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CC807">
      <w:pPr>
        <w:spacing w:line="400" w:lineRule="exact"/>
        <w:jc w:val="center"/>
        <w:rPr>
          <w:rFonts w:hint="eastAsia" w:ascii="宋体" w:hAnsi="宋体" w:eastAsia="宋体" w:cs="宋体"/>
          <w:b/>
          <w:color w:val="auto"/>
          <w:sz w:val="32"/>
          <w:szCs w:val="32"/>
          <w:highlight w:val="none"/>
        </w:rPr>
      </w:pPr>
    </w:p>
    <w:p w14:paraId="5A435C78">
      <w:pPr>
        <w:spacing w:line="400" w:lineRule="exact"/>
        <w:jc w:val="center"/>
        <w:rPr>
          <w:rFonts w:hint="eastAsia" w:ascii="宋体" w:hAnsi="宋体" w:eastAsia="宋体" w:cs="宋体"/>
          <w:b/>
          <w:color w:val="auto"/>
          <w:sz w:val="32"/>
          <w:szCs w:val="32"/>
          <w:highlight w:val="none"/>
        </w:rPr>
      </w:pPr>
    </w:p>
    <w:p w14:paraId="0F6376A4">
      <w:pPr>
        <w:spacing w:line="400" w:lineRule="exact"/>
        <w:jc w:val="center"/>
        <w:rPr>
          <w:rFonts w:hint="eastAsia" w:ascii="宋体" w:hAnsi="宋体" w:eastAsia="宋体" w:cs="宋体"/>
          <w:b/>
          <w:color w:val="auto"/>
          <w:sz w:val="32"/>
          <w:szCs w:val="32"/>
          <w:highlight w:val="none"/>
        </w:rPr>
      </w:pPr>
    </w:p>
    <w:p w14:paraId="0D8FEBBB">
      <w:pPr>
        <w:spacing w:line="72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广西德元工程项目管理有限责任公司</w:t>
      </w:r>
    </w:p>
    <w:p w14:paraId="205E40CF">
      <w:pPr>
        <w:spacing w:line="720" w:lineRule="exact"/>
        <w:jc w:val="center"/>
        <w:rPr>
          <w:rFonts w:hint="eastAsia" w:ascii="宋体" w:hAnsi="宋体" w:eastAsia="宋体" w:cs="宋体"/>
          <w:b/>
          <w:bCs/>
          <w:color w:val="auto"/>
          <w:spacing w:val="80"/>
          <w:sz w:val="72"/>
          <w:highlight w:val="none"/>
        </w:rPr>
      </w:pPr>
    </w:p>
    <w:p w14:paraId="0DB12344">
      <w:pPr>
        <w:spacing w:line="720" w:lineRule="exact"/>
        <w:jc w:val="center"/>
        <w:rPr>
          <w:rFonts w:hint="eastAsia" w:ascii="宋体" w:hAnsi="宋体" w:eastAsia="宋体" w:cs="宋体"/>
          <w:b/>
          <w:bCs/>
          <w:color w:val="auto"/>
          <w:spacing w:val="80"/>
          <w:sz w:val="72"/>
          <w:highlight w:val="none"/>
        </w:rPr>
      </w:pPr>
    </w:p>
    <w:p w14:paraId="1542F9D4">
      <w:pPr>
        <w:spacing w:beforeLines="5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竞争性磋商采购文件</w:t>
      </w:r>
    </w:p>
    <w:p w14:paraId="5BD481A8">
      <w:pPr>
        <w:spacing w:beforeLines="50"/>
        <w:jc w:val="center"/>
        <w:rPr>
          <w:rFonts w:hint="eastAsia" w:ascii="宋体" w:hAnsi="宋体" w:eastAsia="宋体" w:cs="宋体"/>
          <w:b/>
          <w:color w:val="auto"/>
          <w:sz w:val="48"/>
          <w:szCs w:val="48"/>
          <w:highlight w:val="none"/>
        </w:rPr>
      </w:pPr>
    </w:p>
    <w:p w14:paraId="6C6B4EAD">
      <w:pPr>
        <w:snapToGrid w:val="0"/>
        <w:spacing w:beforeLines="50" w:line="360" w:lineRule="auto"/>
        <w:rPr>
          <w:rFonts w:hint="eastAsia" w:ascii="宋体" w:hAnsi="宋体" w:eastAsia="宋体" w:cs="宋体"/>
          <w:color w:val="auto"/>
          <w:sz w:val="30"/>
          <w:szCs w:val="72"/>
          <w:highlight w:val="none"/>
        </w:rPr>
      </w:pPr>
    </w:p>
    <w:p w14:paraId="4B6433F3">
      <w:pPr>
        <w:snapToGrid w:val="0"/>
        <w:spacing w:beforeLines="50" w:line="360" w:lineRule="auto"/>
        <w:rPr>
          <w:rFonts w:hint="eastAsia" w:ascii="宋体" w:hAnsi="宋体" w:eastAsia="宋体" w:cs="宋体"/>
          <w:color w:val="auto"/>
          <w:sz w:val="30"/>
          <w:szCs w:val="72"/>
          <w:highlight w:val="none"/>
        </w:rPr>
      </w:pPr>
    </w:p>
    <w:p w14:paraId="41F87A29">
      <w:pPr>
        <w:pStyle w:val="27"/>
        <w:spacing w:line="360" w:lineRule="auto"/>
        <w:ind w:firstLine="1911" w:firstLineChars="595"/>
        <w:rPr>
          <w:rFonts w:hint="eastAsia" w:ascii="宋体" w:hAnsi="宋体" w:eastAsia="宋体" w:cs="宋体"/>
          <w:b/>
          <w:bCs/>
          <w:color w:val="auto"/>
          <w:sz w:val="32"/>
          <w:highlight w:val="none"/>
        </w:rPr>
      </w:pPr>
    </w:p>
    <w:p w14:paraId="10F20F6B">
      <w:pPr>
        <w:pStyle w:val="27"/>
        <w:tabs>
          <w:tab w:val="left" w:pos="1276"/>
        </w:tabs>
        <w:spacing w:line="360" w:lineRule="auto"/>
        <w:ind w:left="2999" w:leftChars="671" w:hanging="1590" w:hangingChars="495"/>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项目名称：</w:t>
      </w:r>
      <w:r>
        <w:rPr>
          <w:rFonts w:hint="eastAsia" w:hAnsi="宋体" w:cs="宋体"/>
          <w:b/>
          <w:bCs/>
          <w:color w:val="auto"/>
          <w:sz w:val="32"/>
          <w:highlight w:val="none"/>
          <w:lang w:eastAsia="zh-CN"/>
        </w:rPr>
        <w:t>柳州市第一职业技术学校1-5#学生宿舍热水管更换改造项目</w:t>
      </w:r>
    </w:p>
    <w:p w14:paraId="4853E838">
      <w:pPr>
        <w:pStyle w:val="27"/>
        <w:tabs>
          <w:tab w:val="left" w:pos="1276"/>
        </w:tabs>
        <w:spacing w:line="360" w:lineRule="auto"/>
        <w:ind w:left="3197" w:leftChars="671" w:hanging="1788" w:hangingChars="495"/>
        <w:rPr>
          <w:rFonts w:hint="eastAsia" w:ascii="宋体" w:hAnsi="宋体" w:eastAsia="宋体" w:cs="宋体"/>
          <w:b/>
          <w:bCs/>
          <w:color w:val="auto"/>
          <w:spacing w:val="20"/>
          <w:sz w:val="32"/>
          <w:highlight w:val="none"/>
        </w:rPr>
      </w:pPr>
    </w:p>
    <w:p w14:paraId="58BF0B28">
      <w:pPr>
        <w:pStyle w:val="27"/>
        <w:tabs>
          <w:tab w:val="left" w:pos="1276"/>
        </w:tabs>
        <w:spacing w:line="360" w:lineRule="auto"/>
        <w:ind w:left="3197" w:leftChars="671" w:hanging="1788" w:hangingChars="495"/>
        <w:rPr>
          <w:rFonts w:hint="eastAsia" w:ascii="宋体" w:hAnsi="宋体" w:eastAsia="宋体" w:cs="宋体"/>
          <w:b/>
          <w:bCs/>
          <w:color w:val="auto"/>
          <w:spacing w:val="20"/>
          <w:sz w:val="32"/>
          <w:highlight w:val="none"/>
          <w:lang w:eastAsia="zh-CN"/>
        </w:rPr>
      </w:pPr>
      <w:r>
        <w:rPr>
          <w:rFonts w:hint="eastAsia" w:ascii="宋体" w:hAnsi="宋体" w:eastAsia="宋体" w:cs="宋体"/>
          <w:b/>
          <w:bCs/>
          <w:color w:val="auto"/>
          <w:spacing w:val="20"/>
          <w:sz w:val="32"/>
          <w:highlight w:val="none"/>
        </w:rPr>
        <w:t>项</w:t>
      </w:r>
      <w:r>
        <w:rPr>
          <w:rFonts w:hint="eastAsia" w:hAnsi="宋体" w:cs="宋体"/>
          <w:b/>
          <w:bCs/>
          <w:color w:val="auto"/>
          <w:sz w:val="32"/>
          <w:highlight w:val="none"/>
          <w:lang w:eastAsia="zh-CN"/>
        </w:rPr>
        <w:t>目编号</w:t>
      </w:r>
      <w:bookmarkStart w:id="0" w:name="OLE_LINK1"/>
      <w:r>
        <w:rPr>
          <w:rFonts w:hint="eastAsia" w:hAnsi="宋体" w:cs="宋体"/>
          <w:b/>
          <w:bCs/>
          <w:color w:val="auto"/>
          <w:sz w:val="32"/>
          <w:highlight w:val="none"/>
          <w:lang w:eastAsia="zh-CN"/>
        </w:rPr>
        <w:t>：</w:t>
      </w:r>
      <w:bookmarkEnd w:id="0"/>
      <w:r>
        <w:rPr>
          <w:rFonts w:hint="eastAsia" w:hAnsi="宋体" w:cs="宋体"/>
          <w:b/>
          <w:bCs/>
          <w:color w:val="auto"/>
          <w:sz w:val="32"/>
          <w:highlight w:val="none"/>
          <w:lang w:eastAsia="zh-CN"/>
        </w:rPr>
        <w:t>LZZC2025-C2-990650-GXDY</w:t>
      </w:r>
    </w:p>
    <w:p w14:paraId="29644B4C">
      <w:pPr>
        <w:pStyle w:val="27"/>
        <w:tabs>
          <w:tab w:val="left" w:pos="1276"/>
        </w:tabs>
        <w:spacing w:line="360" w:lineRule="auto"/>
        <w:ind w:left="2999" w:leftChars="671" w:hanging="1590" w:hangingChars="495"/>
        <w:rPr>
          <w:rFonts w:hint="eastAsia" w:ascii="宋体" w:hAnsi="宋体" w:eastAsia="宋体" w:cs="宋体"/>
          <w:b/>
          <w:bCs/>
          <w:color w:val="auto"/>
          <w:sz w:val="32"/>
          <w:highlight w:val="none"/>
        </w:rPr>
      </w:pPr>
    </w:p>
    <w:p w14:paraId="7720D876">
      <w:pPr>
        <w:pStyle w:val="27"/>
        <w:spacing w:line="360" w:lineRule="auto"/>
        <w:ind w:firstLine="1430" w:firstLineChars="445"/>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采购人：</w:t>
      </w:r>
      <w:r>
        <w:rPr>
          <w:rFonts w:hint="eastAsia" w:ascii="宋体" w:hAnsi="宋体" w:eastAsia="宋体" w:cs="宋体"/>
          <w:b/>
          <w:bCs/>
          <w:color w:val="auto"/>
          <w:sz w:val="32"/>
          <w:highlight w:val="none"/>
          <w:lang w:eastAsia="zh-CN"/>
        </w:rPr>
        <w:t>柳州市第一职业技术学校</w:t>
      </w:r>
    </w:p>
    <w:p w14:paraId="7C768F19">
      <w:pPr>
        <w:pStyle w:val="27"/>
        <w:spacing w:line="360" w:lineRule="auto"/>
        <w:ind w:firstLine="1430" w:firstLineChars="445"/>
        <w:rPr>
          <w:rFonts w:hint="eastAsia" w:ascii="宋体" w:hAnsi="宋体" w:eastAsia="宋体" w:cs="宋体"/>
          <w:b/>
          <w:bCs/>
          <w:color w:val="auto"/>
          <w:sz w:val="32"/>
          <w:highlight w:val="none"/>
        </w:rPr>
      </w:pPr>
    </w:p>
    <w:p w14:paraId="4A788654">
      <w:pPr>
        <w:pStyle w:val="27"/>
        <w:spacing w:line="360" w:lineRule="auto"/>
        <w:ind w:firstLine="1430" w:firstLineChars="445"/>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采购代理机构：广西德元工程项目管理有限责任公司</w:t>
      </w:r>
    </w:p>
    <w:p w14:paraId="43E7F05E">
      <w:pPr>
        <w:pStyle w:val="27"/>
        <w:spacing w:line="360" w:lineRule="auto"/>
        <w:ind w:firstLine="2303" w:firstLineChars="717"/>
        <w:rPr>
          <w:rFonts w:hint="eastAsia" w:ascii="宋体" w:hAnsi="宋体" w:eastAsia="宋体" w:cs="宋体"/>
          <w:b/>
          <w:bCs/>
          <w:color w:val="auto"/>
          <w:sz w:val="32"/>
          <w:highlight w:val="none"/>
        </w:rPr>
      </w:pPr>
    </w:p>
    <w:p w14:paraId="50123E05">
      <w:pPr>
        <w:pStyle w:val="27"/>
        <w:spacing w:line="360" w:lineRule="auto"/>
        <w:ind w:firstLine="2303" w:firstLineChars="717"/>
        <w:rPr>
          <w:rFonts w:hint="eastAsia" w:ascii="宋体" w:hAnsi="宋体" w:eastAsia="宋体" w:cs="宋体"/>
          <w:b/>
          <w:bCs/>
          <w:color w:val="auto"/>
          <w:sz w:val="32"/>
          <w:highlight w:val="none"/>
        </w:rPr>
      </w:pPr>
    </w:p>
    <w:p w14:paraId="5396C07D">
      <w:pPr>
        <w:pStyle w:val="27"/>
        <w:snapToGrid w:val="0"/>
        <w:spacing w:before="120" w:after="120"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Cs/>
          <w:color w:val="auto"/>
          <w:w w:val="95"/>
          <w:sz w:val="32"/>
          <w:szCs w:val="32"/>
          <w:highlight w:val="none"/>
        </w:rPr>
        <w:t>202</w:t>
      </w:r>
      <w:r>
        <w:rPr>
          <w:rFonts w:hint="eastAsia" w:hAnsi="宋体" w:cs="宋体"/>
          <w:bCs/>
          <w:color w:val="auto"/>
          <w:w w:val="95"/>
          <w:sz w:val="32"/>
          <w:szCs w:val="32"/>
          <w:highlight w:val="none"/>
          <w:lang w:val="en-US" w:eastAsia="zh-CN"/>
        </w:rPr>
        <w:t>5</w:t>
      </w:r>
      <w:r>
        <w:rPr>
          <w:rFonts w:hint="eastAsia" w:ascii="宋体" w:hAnsi="宋体" w:eastAsia="宋体" w:cs="宋体"/>
          <w:bCs/>
          <w:color w:val="auto"/>
          <w:w w:val="95"/>
          <w:sz w:val="32"/>
          <w:szCs w:val="32"/>
          <w:highlight w:val="none"/>
        </w:rPr>
        <w:t>年</w:t>
      </w:r>
      <w:r>
        <w:rPr>
          <w:rFonts w:hint="eastAsia" w:hAnsi="宋体" w:cs="宋体"/>
          <w:bCs/>
          <w:color w:val="auto"/>
          <w:w w:val="95"/>
          <w:sz w:val="32"/>
          <w:szCs w:val="32"/>
          <w:highlight w:val="none"/>
          <w:lang w:val="en-US" w:eastAsia="zh-CN"/>
        </w:rPr>
        <w:t>9</w:t>
      </w:r>
      <w:r>
        <w:rPr>
          <w:rFonts w:hint="eastAsia" w:ascii="宋体" w:hAnsi="宋体" w:eastAsia="宋体" w:cs="宋体"/>
          <w:bCs/>
          <w:color w:val="auto"/>
          <w:w w:val="95"/>
          <w:sz w:val="32"/>
          <w:szCs w:val="32"/>
          <w:highlight w:val="none"/>
        </w:rPr>
        <w:t>月</w:t>
      </w:r>
    </w:p>
    <w:p w14:paraId="05D49C9D">
      <w:pPr>
        <w:pStyle w:val="27"/>
        <w:snapToGrid w:val="0"/>
        <w:spacing w:before="120" w:after="120" w:line="360" w:lineRule="auto"/>
        <w:jc w:val="center"/>
        <w:rPr>
          <w:rFonts w:hint="eastAsia" w:ascii="宋体" w:hAnsi="宋体" w:eastAsia="宋体" w:cs="宋体"/>
          <w:b/>
          <w:bCs/>
          <w:color w:val="auto"/>
          <w:w w:val="95"/>
          <w:sz w:val="32"/>
          <w:szCs w:val="32"/>
          <w:highlight w:val="none"/>
        </w:rPr>
      </w:pPr>
    </w:p>
    <w:p w14:paraId="03077A67">
      <w:pPr>
        <w:spacing w:line="400" w:lineRule="exact"/>
        <w:jc w:val="center"/>
        <w:rPr>
          <w:rFonts w:hint="eastAsia" w:ascii="宋体" w:hAnsi="宋体" w:eastAsia="宋体" w:cs="宋体"/>
          <w:color w:val="auto"/>
          <w:sz w:val="44"/>
          <w:szCs w:val="44"/>
          <w:highlight w:val="none"/>
        </w:rPr>
      </w:pPr>
    </w:p>
    <w:p w14:paraId="1AC9AAE9">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5A8E8C75">
      <w:pPr>
        <w:pStyle w:val="20"/>
        <w:keepNext w:val="0"/>
        <w:keepLines w:val="0"/>
        <w:pageBreakBefore w:val="0"/>
        <w:widowControl w:val="0"/>
        <w:tabs>
          <w:tab w:val="right" w:leader="dot" w:pos="9632"/>
          <w:tab w:val="clear" w:pos="900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begin"/>
      </w:r>
      <w:r>
        <w:rPr>
          <w:rStyle w:val="51"/>
          <w:rFonts w:hint="eastAsia" w:ascii="宋体" w:hAnsi="宋体" w:eastAsia="宋体" w:cs="宋体"/>
          <w:color w:val="auto"/>
          <w:sz w:val="30"/>
          <w:szCs w:val="30"/>
          <w:highlight w:val="none"/>
        </w:rPr>
        <w:instrText xml:space="preserve"> TOC \o "1-3" \h \z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4"/>
          <w:highlight w:val="none"/>
        </w:rPr>
        <w:t>第一章 竞争性磋商采购公告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C68999">
      <w:pPr>
        <w:pStyle w:val="20"/>
        <w:keepNext w:val="0"/>
        <w:keepLines w:val="0"/>
        <w:pageBreakBefore w:val="0"/>
        <w:widowControl w:val="0"/>
        <w:tabs>
          <w:tab w:val="right" w:leader="dot" w:pos="9632"/>
          <w:tab w:val="clear" w:pos="900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_Toc19051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93499ED">
      <w:pPr>
        <w:pStyle w:val="20"/>
        <w:keepNext w:val="0"/>
        <w:keepLines w:val="0"/>
        <w:pageBreakBefore w:val="0"/>
        <w:widowControl w:val="0"/>
        <w:tabs>
          <w:tab w:val="right" w:leader="dot" w:pos="9632"/>
          <w:tab w:val="clear" w:pos="900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_Toc27378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第三章 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80ED7B">
      <w:pPr>
        <w:pStyle w:val="20"/>
        <w:tabs>
          <w:tab w:val="right" w:leader="dot" w:pos="9632"/>
          <w:tab w:val="clear" w:pos="9000"/>
        </w:tabs>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_Toc18131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第四章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9E861E">
      <w:pPr>
        <w:pStyle w:val="20"/>
        <w:tabs>
          <w:tab w:val="right" w:leader="dot" w:pos="9632"/>
          <w:tab w:val="clear" w:pos="9000"/>
        </w:tabs>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_Toc17835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第五章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F2B0AF6">
      <w:pPr>
        <w:pStyle w:val="20"/>
        <w:tabs>
          <w:tab w:val="right" w:leader="dot" w:pos="9632"/>
          <w:tab w:val="clear" w:pos="9000"/>
        </w:tabs>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_Toc14369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第六章 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BFBFB0A">
      <w:pPr>
        <w:spacing w:line="400" w:lineRule="exact"/>
        <w:jc w:val="left"/>
        <w:rPr>
          <w:rStyle w:val="51"/>
          <w:rFonts w:hint="eastAsia" w:ascii="宋体" w:hAnsi="宋体" w:eastAsia="宋体" w:cs="宋体"/>
          <w:b/>
          <w:color w:val="auto"/>
          <w:sz w:val="32"/>
          <w:szCs w:val="32"/>
          <w:highlight w:val="none"/>
        </w:rPr>
      </w:pPr>
      <w:r>
        <w:rPr>
          <w:rFonts w:hint="eastAsia" w:ascii="宋体" w:hAnsi="宋体" w:eastAsia="宋体" w:cs="宋体"/>
          <w:color w:val="auto"/>
          <w:szCs w:val="30"/>
          <w:highlight w:val="none"/>
        </w:rPr>
        <w:fldChar w:fldCharType="end"/>
      </w:r>
    </w:p>
    <w:p w14:paraId="53D3C394">
      <w:pPr>
        <w:spacing w:line="400" w:lineRule="exact"/>
        <w:jc w:val="left"/>
        <w:rPr>
          <w:rFonts w:hint="eastAsia" w:ascii="宋体" w:hAnsi="宋体" w:eastAsia="宋体" w:cs="宋体"/>
          <w:color w:val="auto"/>
          <w:sz w:val="32"/>
          <w:szCs w:val="32"/>
          <w:highlight w:val="none"/>
        </w:rPr>
      </w:pPr>
    </w:p>
    <w:p w14:paraId="48BA65E1">
      <w:pPr>
        <w:pStyle w:val="4"/>
        <w:pageBreakBefore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21"/>
          <w:szCs w:val="21"/>
          <w:highlight w:val="none"/>
        </w:rPr>
      </w:pPr>
      <w:bookmarkStart w:id="114" w:name="_GoBack"/>
      <w:bookmarkEnd w:id="114"/>
      <w:r>
        <w:rPr>
          <w:rFonts w:hint="eastAsia" w:ascii="宋体" w:hAnsi="宋体" w:eastAsia="宋体" w:cs="宋体"/>
          <w:color w:val="auto"/>
          <w:sz w:val="32"/>
          <w:szCs w:val="32"/>
          <w:highlight w:val="none"/>
        </w:rPr>
        <w:br w:type="page"/>
      </w:r>
      <w:bookmarkStart w:id="1" w:name="_Toc8155"/>
      <w:r>
        <w:rPr>
          <w:rFonts w:hint="eastAsia" w:ascii="宋体" w:hAnsi="宋体" w:eastAsia="宋体" w:cs="宋体"/>
          <w:color w:val="auto"/>
          <w:sz w:val="24"/>
          <w:szCs w:val="24"/>
          <w:highlight w:val="none"/>
        </w:rPr>
        <w:t>第一章 竞争性磋商采购公告</w:t>
      </w:r>
      <w:bookmarkEnd w:id="1"/>
    </w:p>
    <w:p w14:paraId="5CB7EEFE">
      <w:pPr>
        <w:pStyle w:val="38"/>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项目概况                                                    </w:t>
      </w:r>
    </w:p>
    <w:p w14:paraId="3C641D7F">
      <w:pPr>
        <w:pStyle w:val="38"/>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柳州市第一职业技术学校1-5#学生宿舍热水管更换改造项目采购项目的潜在供应商应在广西政府采购云平台（https://www.gcy.zfcg.gxzf.gov.cn/）线上获取获取采购文件，并于2025年09月30日 09:20（北京时间）前提交响应文件。                            </w:t>
      </w:r>
    </w:p>
    <w:p w14:paraId="5DEFFFC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一、项目基本情况</w:t>
      </w:r>
    </w:p>
    <w:p w14:paraId="050D929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项目编号：LZZC2025-C2-990650-GXDY </w:t>
      </w:r>
    </w:p>
    <w:p w14:paraId="5DC2207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项目名称：柳州市第一职业技术学校1-5#学生宿舍热水管更换改造项目 </w:t>
      </w:r>
    </w:p>
    <w:p w14:paraId="43D79CC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采购方式：竞争性磋商 </w:t>
      </w:r>
    </w:p>
    <w:p w14:paraId="5BB0CA1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预算总金额（元）：949850.4  </w:t>
      </w:r>
    </w:p>
    <w:p w14:paraId="7DACA39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采购需求：</w:t>
      </w:r>
    </w:p>
    <w:p w14:paraId="6AF8FFA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标项名称:柳州市第一职业技术学校1-5#学生宿舍热水管更换改造项目</w:t>
      </w:r>
      <w:r>
        <w:rPr>
          <w:rFonts w:hint="eastAsia" w:ascii="宋体" w:hAnsi="宋体" w:eastAsia="宋体" w:cs="宋体"/>
          <w:sz w:val="21"/>
          <w:szCs w:val="21"/>
        </w:rPr>
        <w:br w:type="textWrapping"/>
      </w:r>
      <w:r>
        <w:rPr>
          <w:rFonts w:hint="eastAsia" w:ascii="宋体" w:hAnsi="宋体" w:eastAsia="宋体" w:cs="宋体"/>
          <w:sz w:val="21"/>
          <w:szCs w:val="21"/>
        </w:rPr>
        <w:t>数量:不限</w:t>
      </w:r>
      <w:r>
        <w:rPr>
          <w:rFonts w:hint="eastAsia" w:ascii="宋体" w:hAnsi="宋体" w:eastAsia="宋体" w:cs="宋体"/>
          <w:sz w:val="21"/>
          <w:szCs w:val="21"/>
        </w:rPr>
        <w:br w:type="textWrapping"/>
      </w:r>
      <w:r>
        <w:rPr>
          <w:rFonts w:hint="eastAsia" w:ascii="宋体" w:hAnsi="宋体" w:eastAsia="宋体" w:cs="宋体"/>
          <w:sz w:val="21"/>
          <w:szCs w:val="21"/>
        </w:rPr>
        <w:t>预算金额（元）:949850.4</w:t>
      </w:r>
      <w:r>
        <w:rPr>
          <w:rFonts w:hint="eastAsia" w:ascii="宋体" w:hAnsi="宋体" w:eastAsia="宋体" w:cs="宋体"/>
          <w:sz w:val="21"/>
          <w:szCs w:val="21"/>
        </w:rPr>
        <w:br w:type="textWrapping"/>
      </w:r>
      <w:r>
        <w:rPr>
          <w:rFonts w:hint="eastAsia" w:ascii="宋体" w:hAnsi="宋体" w:eastAsia="宋体" w:cs="宋体"/>
          <w:sz w:val="21"/>
          <w:szCs w:val="21"/>
        </w:rPr>
        <w:t>简要规格描述或项目基本概况介绍、用途：柳州市第一职业技术学校1-5#学生宿舍热水管更换改造项目，本项目涉及1-8#宿舍楼水管，主要内容为学生宿舍楼拆除旧水管，室外过路水管拆除混凝土，敷设PP-R给水管、内衬塑镀锌钢管、安装截止阀，楼板打孔、墙面打孔，室外过路水管浇筑混凝土等。具体内容详见《施工图纸和工程量清单》。</w:t>
      </w:r>
    </w:p>
    <w:p w14:paraId="3AD9E0D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最高限价（如有）：949850.4</w:t>
      </w:r>
    </w:p>
    <w:p w14:paraId="2172CF2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合同履约期限：120日历日（工期）</w:t>
      </w:r>
    </w:p>
    <w:p w14:paraId="3159798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本标项（否）接受联合体投标</w:t>
      </w:r>
      <w:r>
        <w:rPr>
          <w:rFonts w:hint="eastAsia" w:ascii="宋体" w:hAnsi="宋体" w:eastAsia="宋体" w:cs="宋体"/>
          <w:sz w:val="21"/>
          <w:szCs w:val="21"/>
        </w:rPr>
        <w:br w:type="textWrapping"/>
      </w:r>
      <w:r>
        <w:rPr>
          <w:rFonts w:hint="eastAsia" w:ascii="宋体" w:hAnsi="宋体" w:eastAsia="宋体" w:cs="宋体"/>
          <w:sz w:val="21"/>
          <w:szCs w:val="21"/>
        </w:rPr>
        <w:t>备注：本项目为全流程电子化采购项目，有意向参与本项目投标的潜在投标人应当做好参与全流程电子招投标交易的充分准备。</w:t>
      </w:r>
    </w:p>
    <w:p w14:paraId="0234064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二、申请人的资格要求：</w:t>
      </w:r>
    </w:p>
    <w:p w14:paraId="54E36BC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1.满足《中华人民共和国政府采购法》第二十二条规定；</w:t>
      </w:r>
    </w:p>
    <w:p w14:paraId="5A26AF4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2.落实政府采购政策需满足的资格要求：分标1：本项目专门面向</w:t>
      </w:r>
      <w:r>
        <w:rPr>
          <w:rFonts w:hint="eastAsia" w:ascii="宋体" w:hAnsi="宋体" w:eastAsia="宋体" w:cs="宋体"/>
          <w:sz w:val="21"/>
          <w:szCs w:val="21"/>
          <w:u w:val="single"/>
        </w:rPr>
        <w:t>小微企业</w:t>
      </w:r>
      <w:r>
        <w:rPr>
          <w:rFonts w:hint="eastAsia" w:ascii="宋体" w:hAnsi="宋体" w:eastAsia="宋体" w:cs="宋体"/>
          <w:sz w:val="21"/>
          <w:szCs w:val="21"/>
        </w:rPr>
        <w:t>，工程的施工单位须符合《关于印发中小企业划型标准规定的通知》（工信部联企业〔2011〕300号）规定建筑业的中小微企业划型标准，或者是《关于政府采购支持监狱企业发展有关问题的通知》(财库[2014]68号)规定的监狱企业，或者是《关于促进残疾人就业政府采购政策的通知》（财库〔2017〕141号）规定的残疾人福利性企业。  </w:t>
      </w:r>
    </w:p>
    <w:p w14:paraId="208A1B1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3.本项目的特定资格要求：（1）须具备有效的 建筑工程施工总承包三级（及以上） 资质，具备有效的《安全生产许可证》，并在人员、设备、资金等方面具备相应的施工能力。（2）拟派项目经理须具备 建筑工程 专业 贰级（含）以上 有效注册建造师执业资格；具备有效的安全生产考核合格证书（B类），本项目不接受有在建、已中标未开工或已列为其他项目成交候选人第一名的建造师作为项目经理（符合《广西壮族自治区建筑市场诚信卡管理暂行办法》第十六条第一款及桂建管﹝2016﹞70号、桂建管〔2019〕26号和桂建管〔2020〕11号文除外）。 </w:t>
      </w:r>
    </w:p>
    <w:p w14:paraId="0715677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三、获取采购文件</w:t>
      </w:r>
    </w:p>
    <w:p w14:paraId="5013D03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时间：2025年09月19日至2025年09月26日，每天上午00:00至12:00，下午12:00至23:59（北京时间，法定节假日除外）</w:t>
      </w:r>
    </w:p>
    <w:p w14:paraId="63DE6C8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地点（网址）：广西政府采购云平台（https://www.gcy.zfcg.gxzf.gov.cn/）线上获取 </w:t>
      </w:r>
    </w:p>
    <w:p w14:paraId="2ABB62E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方式：网上下载。本项目为全流程电子化项目，不发放纸质文件，供应商可自行在“广西政府采购云平台”（https://www.gcy.zfcg.gxzf.gov.cn/）下载采购文件，实名申请获取磋商采购文件，如在操作过程中遇到问题或者需要技术支持，请致电广西政府采购云平台客服热线：95763。供应商登陆“广西政府采购云平台”，应进行“申请获取采购文件”操作，否则，有可能导致无法在线编制响应文件并参与竞标，其不利后果由供应商自行承担。   </w:t>
      </w:r>
    </w:p>
    <w:p w14:paraId="7B5AC38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售价（元）：0 </w:t>
      </w:r>
    </w:p>
    <w:p w14:paraId="3BAB999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四、响应文件提交</w:t>
      </w:r>
      <w:r>
        <w:rPr>
          <w:rFonts w:hint="eastAsia" w:ascii="宋体" w:hAnsi="宋体" w:eastAsia="宋体" w:cs="宋体"/>
          <w:sz w:val="21"/>
          <w:szCs w:val="21"/>
        </w:rPr>
        <w:t> </w:t>
      </w:r>
    </w:p>
    <w:p w14:paraId="3E15B6E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截止时间：2025年09月30日 09:20（北京时间）</w:t>
      </w:r>
    </w:p>
    <w:p w14:paraId="4A9C334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地点（网址）：请登录广西政府采购云平台（https://www.gcy.zfcg.gxzf.gov.cn/）投标客户端投标  </w:t>
      </w:r>
    </w:p>
    <w:p w14:paraId="32B6F59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五、响应文件开启</w:t>
      </w:r>
      <w:r>
        <w:rPr>
          <w:rFonts w:hint="eastAsia" w:ascii="宋体" w:hAnsi="宋体" w:eastAsia="宋体" w:cs="宋体"/>
          <w:sz w:val="21"/>
          <w:szCs w:val="21"/>
        </w:rPr>
        <w:t> </w:t>
      </w:r>
    </w:p>
    <w:p w14:paraId="0BF211B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开启时间：2025年09月30日 09:20 （北京时间）</w:t>
      </w:r>
    </w:p>
    <w:p w14:paraId="7C041A5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地点：广西政府采购云平台（https://www.gcy.zfcg.gxzf.gov.cn/） </w:t>
      </w:r>
    </w:p>
    <w:p w14:paraId="175D9C3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六、公告期限</w:t>
      </w:r>
    </w:p>
    <w:p w14:paraId="03C86A1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自本公告发布之日起5个工作日。</w:t>
      </w:r>
    </w:p>
    <w:p w14:paraId="35E2979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七、其他补充事宜</w:t>
      </w:r>
      <w:r>
        <w:rPr>
          <w:rFonts w:hint="eastAsia" w:ascii="宋体" w:hAnsi="宋体" w:eastAsia="宋体" w:cs="宋体"/>
          <w:sz w:val="21"/>
          <w:szCs w:val="21"/>
        </w:rPr>
        <w:t> </w:t>
      </w:r>
    </w:p>
    <w:p w14:paraId="781C245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1.本项目需要落实的政府采购政策：</w:t>
      </w:r>
    </w:p>
    <w:p w14:paraId="69453DC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（1）政府采购促进中小企业发展。</w:t>
      </w:r>
    </w:p>
    <w:p w14:paraId="00194F8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（2）政府采购促进残疾人就业政策。</w:t>
      </w:r>
    </w:p>
    <w:p w14:paraId="050DB40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（3）政府采购支持监狱企业发展。</w:t>
      </w:r>
    </w:p>
    <w:p w14:paraId="5AA7A4E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6063171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327A2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4.公告发布媒介：广西壮族自治区政府采购网（http://zfcg.gxzf.gov.cn）、 柳州市政府采购网(http://zfcg.lzscz.liuzhou.gov.cn/)。对其他网站转发本公告可能引起的信息误导、造成供应商的经济或其他损失的，采购人不负任何责任。</w:t>
      </w:r>
    </w:p>
    <w:p w14:paraId="7B7E174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5.“广西政府采购云平台”平台电子投标相关事宜：</w:t>
      </w:r>
    </w:p>
    <w:p w14:paraId="1FFA784A">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1）响应文件提交方式：本项目为全流程电子化项目，通过“广西政府采购云平台”（https://www.gcy.zfcg.gxzf.gov.cn/）实行在线电子投标，并按照本项目采购文件和“广西政府采购云平台”的要求编制、加密后在投标截止时间前通过网络上传至“广西政府采购云平台”。</w:t>
      </w:r>
    </w:p>
    <w:p w14:paraId="1DA1886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宋体" w:hAnsi="宋体" w:eastAsia="宋体" w:cs="宋体"/>
          <w:sz w:val="21"/>
          <w:szCs w:val="21"/>
        </w:rPr>
      </w:pPr>
      <w:r>
        <w:rPr>
          <w:rFonts w:hint="eastAsia" w:ascii="宋体" w:hAnsi="宋体" w:eastAsia="宋体" w:cs="宋体"/>
          <w:sz w:val="21"/>
          <w:szCs w:val="21"/>
        </w:rPr>
        <w:t>（2）若对项目采购电子交易系统操作有疑问，可登陆广西政府采购云平台（https://www.gcy.zfcg.gxzf.gov.cn/），点击右侧咨询小采，获取采小蜜智能服务管家帮助，或拨打广西政府采购云平台服务热线95763获取热线服务帮助。   </w:t>
      </w:r>
    </w:p>
    <w:p w14:paraId="0168702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1"/>
          <w:szCs w:val="21"/>
        </w:rPr>
      </w:pPr>
      <w:r>
        <w:rPr>
          <w:rStyle w:val="47"/>
          <w:rFonts w:hint="eastAsia" w:ascii="宋体" w:hAnsi="宋体" w:eastAsia="宋体" w:cs="宋体"/>
          <w:sz w:val="21"/>
          <w:szCs w:val="21"/>
        </w:rPr>
        <w:t>八、凡对本次招标提出询问，请按以下方式联系</w:t>
      </w:r>
    </w:p>
    <w:p w14:paraId="619F5C4A">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1.采购人信息</w:t>
      </w:r>
    </w:p>
    <w:p w14:paraId="636E8C8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名    称：柳州市第一职业技术学校 </w:t>
      </w:r>
    </w:p>
    <w:p w14:paraId="0EA7CC7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地    址：柳州市石冲路2号 </w:t>
      </w:r>
    </w:p>
    <w:p w14:paraId="7C789B7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项目联系人：杨老师 </w:t>
      </w:r>
    </w:p>
    <w:p w14:paraId="5B60853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项目联系方式：0772-3718560  </w:t>
      </w:r>
    </w:p>
    <w:p w14:paraId="3BB2B36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2.采购代理机构信息</w:t>
      </w:r>
    </w:p>
    <w:p w14:paraId="596DD92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名    称：广西德元工程项目管理有限责任公司 </w:t>
      </w:r>
    </w:p>
    <w:p w14:paraId="5B8ED08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地    址：柳州市跃进路19号天元金都1-410室 </w:t>
      </w:r>
    </w:p>
    <w:p w14:paraId="1EDE079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项目联系人：杨工 </w:t>
      </w:r>
    </w:p>
    <w:p w14:paraId="6BBB59E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项目联系方式：0772-2805114 </w:t>
      </w:r>
    </w:p>
    <w:p w14:paraId="5E6C7B01">
      <w:pPr>
        <w:pStyle w:val="38"/>
        <w:keepNext w:val="0"/>
        <w:keepLines w:val="0"/>
        <w:widowControl/>
        <w:suppressLineNumbers w:val="0"/>
        <w:spacing w:before="75" w:beforeAutospacing="0" w:after="75" w:afterAutospacing="0"/>
        <w:ind w:left="0" w:right="0"/>
      </w:pPr>
    </w:p>
    <w:p w14:paraId="67649AE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1"/>
          <w:szCs w:val="21"/>
        </w:rPr>
      </w:pPr>
    </w:p>
    <w:p w14:paraId="0F8086C7">
      <w:pPr>
        <w:pStyle w:val="38"/>
        <w:keepNext w:val="0"/>
        <w:keepLines w:val="0"/>
        <w:widowControl/>
        <w:suppressLineNumbers w:val="0"/>
        <w:spacing w:before="75" w:beforeAutospacing="0" w:after="75" w:afterAutospacing="0"/>
        <w:ind w:left="0" w:right="0"/>
      </w:pPr>
    </w:p>
    <w:p w14:paraId="3781727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eastAsia="宋体" w:cs="宋体"/>
          <w:sz w:val="21"/>
          <w:szCs w:val="21"/>
          <w:highlight w:val="none"/>
          <w:lang w:val="en-US" w:eastAsia="zh-CN"/>
        </w:rPr>
      </w:pPr>
    </w:p>
    <w:p w14:paraId="54AF0C2A">
      <w:pPr>
        <w:pStyle w:val="38"/>
        <w:keepNext w:val="0"/>
        <w:keepLines w:val="0"/>
        <w:widowControl/>
        <w:suppressLineNumbers w:val="0"/>
        <w:spacing w:before="75" w:beforeAutospacing="0" w:after="75" w:afterAutospacing="0"/>
        <w:ind w:left="0" w:right="0"/>
        <w:rPr>
          <w:highlight w:val="none"/>
        </w:rPr>
      </w:pPr>
    </w:p>
    <w:p w14:paraId="702A82A1">
      <w:pPr>
        <w:widowControl/>
        <w:jc w:val="left"/>
        <w:rPr>
          <w:rFonts w:hint="eastAsia" w:ascii="宋体" w:hAnsi="宋体" w:eastAsia="宋体" w:cs="宋体"/>
          <w:color w:val="auto"/>
          <w:kern w:val="0"/>
          <w:szCs w:val="21"/>
          <w:highlight w:val="none"/>
        </w:rPr>
      </w:pPr>
    </w:p>
    <w:p w14:paraId="3F697EC8">
      <w:pPr>
        <w:pStyle w:val="5"/>
        <w:rPr>
          <w:rFonts w:hint="eastAsia" w:ascii="宋体" w:hAnsi="宋体" w:eastAsia="宋体" w:cs="宋体"/>
          <w:color w:val="auto"/>
          <w:kern w:val="0"/>
          <w:szCs w:val="21"/>
          <w:highlight w:val="none"/>
        </w:rPr>
      </w:pPr>
    </w:p>
    <w:p w14:paraId="41F648D4">
      <w:pPr>
        <w:rPr>
          <w:rFonts w:hint="eastAsia" w:ascii="宋体" w:hAnsi="宋体" w:eastAsia="宋体" w:cs="宋体"/>
          <w:color w:val="auto"/>
          <w:highlight w:val="none"/>
        </w:rPr>
      </w:pPr>
    </w:p>
    <w:p w14:paraId="6EB8FC74">
      <w:pPr>
        <w:pStyle w:val="20"/>
        <w:rPr>
          <w:rFonts w:hint="eastAsia" w:ascii="宋体" w:hAnsi="宋体" w:eastAsia="宋体" w:cs="宋体"/>
          <w:color w:val="auto"/>
          <w:highlight w:val="none"/>
        </w:rPr>
      </w:pPr>
    </w:p>
    <w:p w14:paraId="088C69BD">
      <w:pPr>
        <w:rPr>
          <w:rFonts w:hint="eastAsia" w:ascii="宋体" w:hAnsi="宋体" w:eastAsia="宋体" w:cs="宋体"/>
          <w:color w:val="auto"/>
          <w:highlight w:val="none"/>
        </w:rPr>
      </w:pPr>
    </w:p>
    <w:p w14:paraId="5F7F0751">
      <w:pPr>
        <w:pStyle w:val="20"/>
        <w:rPr>
          <w:rFonts w:hint="eastAsia" w:ascii="宋体" w:hAnsi="宋体" w:eastAsia="宋体" w:cs="宋体"/>
          <w:color w:val="auto"/>
          <w:highlight w:val="none"/>
        </w:rPr>
      </w:pPr>
    </w:p>
    <w:p w14:paraId="18DDB1FC">
      <w:pPr>
        <w:rPr>
          <w:rFonts w:hint="eastAsia" w:ascii="宋体" w:hAnsi="宋体" w:eastAsia="宋体" w:cs="宋体"/>
          <w:color w:val="auto"/>
          <w:highlight w:val="none"/>
        </w:rPr>
      </w:pPr>
    </w:p>
    <w:p w14:paraId="191EC9E4">
      <w:pPr>
        <w:rPr>
          <w:rFonts w:hint="eastAsia" w:ascii="宋体" w:hAnsi="宋体" w:eastAsia="宋体" w:cs="宋体"/>
          <w:color w:val="auto"/>
          <w:highlight w:val="none"/>
        </w:rPr>
      </w:pPr>
    </w:p>
    <w:p w14:paraId="0ADA8233">
      <w:pPr>
        <w:rPr>
          <w:rFonts w:hint="eastAsia" w:ascii="宋体" w:hAnsi="宋体" w:eastAsia="宋体" w:cs="宋体"/>
          <w:color w:val="auto"/>
          <w:highlight w:val="none"/>
        </w:rPr>
      </w:pPr>
    </w:p>
    <w:p w14:paraId="45F48CD5">
      <w:pPr>
        <w:rPr>
          <w:rFonts w:hint="eastAsia" w:ascii="宋体" w:hAnsi="宋体" w:eastAsia="宋体" w:cs="宋体"/>
          <w:color w:val="auto"/>
          <w:highlight w:val="none"/>
        </w:rPr>
      </w:pPr>
    </w:p>
    <w:p w14:paraId="4EAB2ACE">
      <w:pPr>
        <w:rPr>
          <w:rFonts w:hint="eastAsia" w:ascii="宋体" w:hAnsi="宋体" w:eastAsia="宋体" w:cs="宋体"/>
          <w:color w:val="auto"/>
          <w:highlight w:val="none"/>
        </w:rPr>
      </w:pPr>
    </w:p>
    <w:p w14:paraId="0814C757">
      <w:pPr>
        <w:rPr>
          <w:rFonts w:hint="eastAsia" w:ascii="宋体" w:hAnsi="宋体" w:eastAsia="宋体" w:cs="宋体"/>
          <w:color w:val="auto"/>
          <w:highlight w:val="none"/>
        </w:rPr>
      </w:pPr>
    </w:p>
    <w:p w14:paraId="08073C9C">
      <w:pPr>
        <w:rPr>
          <w:rFonts w:hint="eastAsia" w:ascii="宋体" w:hAnsi="宋体" w:eastAsia="宋体" w:cs="宋体"/>
          <w:color w:val="auto"/>
          <w:highlight w:val="none"/>
        </w:rPr>
      </w:pPr>
    </w:p>
    <w:p w14:paraId="52DBC17D">
      <w:pPr>
        <w:rPr>
          <w:rFonts w:hint="eastAsia" w:ascii="宋体" w:hAnsi="宋体" w:eastAsia="宋体" w:cs="宋体"/>
          <w:color w:val="auto"/>
          <w:highlight w:val="none"/>
        </w:rPr>
      </w:pPr>
    </w:p>
    <w:p w14:paraId="72161088">
      <w:pPr>
        <w:rPr>
          <w:rFonts w:hint="eastAsia" w:ascii="宋体" w:hAnsi="宋体" w:eastAsia="宋体" w:cs="宋体"/>
          <w:color w:val="auto"/>
          <w:highlight w:val="none"/>
        </w:rPr>
      </w:pPr>
    </w:p>
    <w:p w14:paraId="5F1918AC">
      <w:pPr>
        <w:rPr>
          <w:rFonts w:hint="eastAsia" w:ascii="宋体" w:hAnsi="宋体" w:eastAsia="宋体" w:cs="宋体"/>
          <w:color w:val="auto"/>
          <w:highlight w:val="none"/>
        </w:rPr>
      </w:pPr>
    </w:p>
    <w:p w14:paraId="0087C7B7">
      <w:pPr>
        <w:rPr>
          <w:rFonts w:hint="eastAsia" w:ascii="宋体" w:hAnsi="宋体" w:eastAsia="宋体" w:cs="宋体"/>
          <w:color w:val="auto"/>
          <w:highlight w:val="none"/>
        </w:rPr>
      </w:pPr>
    </w:p>
    <w:p w14:paraId="619CC033">
      <w:pPr>
        <w:rPr>
          <w:rFonts w:hint="eastAsia" w:ascii="宋体" w:hAnsi="宋体" w:eastAsia="宋体" w:cs="宋体"/>
          <w:color w:val="auto"/>
          <w:highlight w:val="none"/>
        </w:rPr>
      </w:pPr>
    </w:p>
    <w:p w14:paraId="03BBCA13">
      <w:pPr>
        <w:rPr>
          <w:rFonts w:hint="eastAsia" w:ascii="宋体" w:hAnsi="宋体" w:eastAsia="宋体" w:cs="宋体"/>
          <w:color w:val="auto"/>
          <w:highlight w:val="none"/>
        </w:rPr>
      </w:pPr>
    </w:p>
    <w:p w14:paraId="6997F7DD">
      <w:pPr>
        <w:rPr>
          <w:rFonts w:hint="eastAsia" w:ascii="宋体" w:hAnsi="宋体" w:eastAsia="宋体" w:cs="宋体"/>
          <w:color w:val="auto"/>
          <w:highlight w:val="none"/>
        </w:rPr>
      </w:pPr>
    </w:p>
    <w:p w14:paraId="1C758F8B">
      <w:pPr>
        <w:rPr>
          <w:rFonts w:hint="eastAsia" w:ascii="宋体" w:hAnsi="宋体" w:eastAsia="宋体" w:cs="宋体"/>
          <w:color w:val="auto"/>
          <w:highlight w:val="none"/>
        </w:rPr>
      </w:pPr>
    </w:p>
    <w:p w14:paraId="1671A3BC">
      <w:pPr>
        <w:rPr>
          <w:rFonts w:hint="eastAsia" w:ascii="宋体" w:hAnsi="宋体" w:eastAsia="宋体" w:cs="宋体"/>
          <w:color w:val="auto"/>
          <w:highlight w:val="none"/>
        </w:rPr>
      </w:pPr>
    </w:p>
    <w:p w14:paraId="7318412A">
      <w:pPr>
        <w:rPr>
          <w:rFonts w:hint="eastAsia" w:ascii="宋体" w:hAnsi="宋体" w:eastAsia="宋体" w:cs="宋体"/>
          <w:color w:val="auto"/>
          <w:highlight w:val="none"/>
        </w:rPr>
      </w:pPr>
    </w:p>
    <w:p w14:paraId="616614AB">
      <w:pPr>
        <w:rPr>
          <w:rFonts w:hint="eastAsia" w:ascii="宋体" w:hAnsi="宋体" w:eastAsia="宋体" w:cs="宋体"/>
          <w:color w:val="auto"/>
          <w:highlight w:val="none"/>
        </w:rPr>
      </w:pPr>
    </w:p>
    <w:p w14:paraId="42693A32">
      <w:pPr>
        <w:rPr>
          <w:rFonts w:hint="eastAsia" w:ascii="宋体" w:hAnsi="宋体" w:eastAsia="宋体" w:cs="宋体"/>
          <w:color w:val="auto"/>
          <w:highlight w:val="none"/>
        </w:rPr>
      </w:pPr>
    </w:p>
    <w:p w14:paraId="5C859940">
      <w:pPr>
        <w:rPr>
          <w:rFonts w:hint="eastAsia" w:ascii="宋体" w:hAnsi="宋体" w:eastAsia="宋体" w:cs="宋体"/>
          <w:color w:val="auto"/>
          <w:highlight w:val="none"/>
        </w:rPr>
      </w:pPr>
    </w:p>
    <w:p w14:paraId="64F63DA1">
      <w:pPr>
        <w:rPr>
          <w:rFonts w:hint="eastAsia" w:ascii="宋体" w:hAnsi="宋体" w:eastAsia="宋体" w:cs="宋体"/>
          <w:color w:val="auto"/>
          <w:highlight w:val="none"/>
        </w:rPr>
      </w:pPr>
    </w:p>
    <w:p w14:paraId="61081D96">
      <w:pPr>
        <w:rPr>
          <w:rFonts w:hint="eastAsia" w:ascii="宋体" w:hAnsi="宋体" w:eastAsia="宋体" w:cs="宋体"/>
          <w:color w:val="auto"/>
          <w:highlight w:val="none"/>
        </w:rPr>
      </w:pPr>
    </w:p>
    <w:p w14:paraId="3978DF30">
      <w:pPr>
        <w:pStyle w:val="4"/>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32"/>
          <w:szCs w:val="32"/>
          <w:highlight w:val="none"/>
        </w:rPr>
      </w:pPr>
      <w:bookmarkStart w:id="2" w:name="_Toc19051"/>
      <w:r>
        <w:rPr>
          <w:rFonts w:hint="eastAsia" w:ascii="宋体" w:hAnsi="宋体" w:eastAsia="宋体" w:cs="宋体"/>
          <w:color w:val="auto"/>
          <w:sz w:val="32"/>
          <w:szCs w:val="32"/>
          <w:highlight w:val="none"/>
        </w:rPr>
        <w:t>第二章 供应商须知</w:t>
      </w:r>
      <w:bookmarkEnd w:id="2"/>
    </w:p>
    <w:tbl>
      <w:tblPr>
        <w:tblStyle w:val="44"/>
        <w:tblW w:w="9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12"/>
      </w:tblGrid>
      <w:tr w14:paraId="60772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9" w:type="dxa"/>
            <w:gridSpan w:val="2"/>
          </w:tcPr>
          <w:p w14:paraId="4EF589D6">
            <w:pPr>
              <w:keepNext w:val="0"/>
              <w:keepLines w:val="0"/>
              <w:pageBreakBefore w:val="0"/>
              <w:widowControl w:val="0"/>
              <w:kinsoku/>
              <w:wordWrap/>
              <w:overflowPunct/>
              <w:topLinePunct w:val="0"/>
              <w:autoSpaceDE/>
              <w:autoSpaceDN/>
              <w:bidi w:val="0"/>
              <w:adjustRightInd/>
              <w:snapToGrid/>
              <w:spacing w:line="360" w:lineRule="exact"/>
              <w:ind w:right="14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供应商须知前附表</w:t>
            </w:r>
          </w:p>
        </w:tc>
      </w:tr>
      <w:tr w14:paraId="54B7B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3213D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612" w:type="dxa"/>
          </w:tcPr>
          <w:p w14:paraId="0B7D61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27D3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0BC371">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12" w:type="dxa"/>
            <w:vAlign w:val="center"/>
          </w:tcPr>
          <w:p w14:paraId="7F256B2C">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柳州市第一职业技术学校1-5#学生宿舍热水管更换改造项目</w:t>
            </w:r>
          </w:p>
        </w:tc>
      </w:tr>
      <w:tr w14:paraId="4EAF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90DDB9">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612" w:type="dxa"/>
            <w:vAlign w:val="center"/>
          </w:tcPr>
          <w:p w14:paraId="07373DD2">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供应商资格要求：</w:t>
            </w:r>
          </w:p>
          <w:p w14:paraId="178524E7">
            <w:pPr>
              <w:keepNext w:val="0"/>
              <w:keepLines w:val="0"/>
              <w:pageBreakBefore w:val="0"/>
              <w:kinsoku/>
              <w:wordWrap/>
              <w:overflowPunct/>
              <w:topLinePunct w:val="0"/>
              <w:bidi w:val="0"/>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1C3EB39">
            <w:pPr>
              <w:keepNext w:val="0"/>
              <w:keepLines w:val="0"/>
              <w:pageBreakBefore w:val="0"/>
              <w:kinsoku/>
              <w:wordWrap/>
              <w:overflowPunct/>
              <w:topLinePunct w:val="0"/>
              <w:bidi w:val="0"/>
              <w:snapToGrid/>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i w:val="0"/>
                <w:iCs w:val="0"/>
                <w:caps w:val="0"/>
                <w:color w:val="auto"/>
                <w:spacing w:val="0"/>
                <w:sz w:val="21"/>
                <w:szCs w:val="21"/>
                <w:highlight w:val="none"/>
              </w:rPr>
              <w:t>本项目专门面向</w:t>
            </w:r>
            <w:r>
              <w:rPr>
                <w:rFonts w:hint="eastAsia" w:ascii="宋体" w:hAnsi="宋体" w:eastAsia="宋体" w:cs="宋体"/>
                <w:b/>
                <w:bCs/>
                <w:i w:val="0"/>
                <w:iCs w:val="0"/>
                <w:caps w:val="0"/>
                <w:color w:val="auto"/>
                <w:spacing w:val="0"/>
                <w:sz w:val="21"/>
                <w:szCs w:val="21"/>
                <w:highlight w:val="none"/>
                <w:u w:val="single"/>
              </w:rPr>
              <w:t>小微企业</w:t>
            </w:r>
            <w:r>
              <w:rPr>
                <w:rFonts w:hint="eastAsia" w:ascii="宋体" w:hAnsi="宋体" w:eastAsia="宋体" w:cs="宋体"/>
                <w:i w:val="0"/>
                <w:iCs w:val="0"/>
                <w:caps w:val="0"/>
                <w:color w:val="auto"/>
                <w:spacing w:val="0"/>
                <w:sz w:val="21"/>
                <w:szCs w:val="21"/>
                <w:highlight w:val="none"/>
              </w:rPr>
              <w:t>，工程的施工单位须符合《关于印发中小企业划型标准规定的通知》（工信部联企业〔2011〕300号）规定的</w:t>
            </w:r>
            <w:r>
              <w:rPr>
                <w:rFonts w:hint="eastAsia" w:ascii="宋体" w:hAnsi="宋体" w:eastAsia="宋体" w:cs="宋体"/>
                <w:i w:val="0"/>
                <w:iCs w:val="0"/>
                <w:caps w:val="0"/>
                <w:color w:val="auto"/>
                <w:spacing w:val="0"/>
                <w:sz w:val="21"/>
                <w:szCs w:val="21"/>
                <w:highlight w:val="none"/>
                <w:u w:val="single"/>
              </w:rPr>
              <w:t xml:space="preserve"> 建筑业 </w:t>
            </w:r>
            <w:r>
              <w:rPr>
                <w:rFonts w:hint="eastAsia" w:ascii="宋体" w:hAnsi="宋体" w:eastAsia="宋体" w:cs="宋体"/>
                <w:i w:val="0"/>
                <w:iCs w:val="0"/>
                <w:caps w:val="0"/>
                <w:color w:val="auto"/>
                <w:spacing w:val="0"/>
                <w:sz w:val="21"/>
                <w:szCs w:val="21"/>
                <w:highlight w:val="none"/>
              </w:rPr>
              <w:t>的中小微企业划型标准，或者是《关于政府采购支持监狱企业发展有关问题的通知》(财库[2014]68号)规定的监狱企业，或者是《关于促进残疾人就业政府采购政策的通知》（财库〔2017〕141号）规定的残疾人福利性企业</w:t>
            </w:r>
            <w:r>
              <w:rPr>
                <w:rFonts w:hint="eastAsia" w:ascii="宋体" w:hAnsi="宋体" w:eastAsia="宋体" w:cs="宋体"/>
                <w:b/>
                <w:bCs/>
                <w:color w:val="auto"/>
                <w:sz w:val="21"/>
                <w:szCs w:val="21"/>
                <w:highlight w:val="none"/>
                <w:lang w:val="en-US" w:eastAsia="zh-CN"/>
              </w:rPr>
              <w:t>。</w:t>
            </w:r>
          </w:p>
          <w:p w14:paraId="227855F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5E2A951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建筑工程施工总承包三级（及以上）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资质，具备有效的《安全生产许可证》，并在人员、设备、资金等方面具备相应的施工能力。</w:t>
            </w:r>
          </w:p>
          <w:p w14:paraId="34663B0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）拟派项目经理须具备</w:t>
            </w:r>
            <w:r>
              <w:rPr>
                <w:rFonts w:hint="eastAsia" w:ascii="宋体" w:hAnsi="宋体" w:eastAsia="宋体" w:cs="宋体"/>
                <w:color w:val="auto"/>
                <w:sz w:val="21"/>
                <w:szCs w:val="21"/>
                <w:highlight w:val="none"/>
                <w:u w:val="single"/>
              </w:rPr>
              <w:t xml:space="preserve"> 建筑工程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u w:val="single"/>
              </w:rPr>
              <w:t xml:space="preserve"> 贰级（含）以上 </w:t>
            </w:r>
            <w:r>
              <w:rPr>
                <w:rFonts w:hint="eastAsia" w:ascii="宋体" w:hAnsi="宋体" w:eastAsia="宋体" w:cs="宋体"/>
                <w:color w:val="auto"/>
                <w:sz w:val="21"/>
                <w:szCs w:val="21"/>
                <w:highlight w:val="none"/>
              </w:rPr>
              <w:t>有效注册建造师执业资格；具备有效的安全生产考核合格证书（B类），</w:t>
            </w:r>
            <w:r>
              <w:rPr>
                <w:rFonts w:hint="eastAsia" w:ascii="宋体" w:hAnsi="宋体" w:eastAsia="宋体" w:cs="宋体"/>
                <w:color w:val="auto"/>
                <w:sz w:val="21"/>
                <w:szCs w:val="21"/>
                <w:highlight w:val="none"/>
                <w:lang w:val="zh-CN"/>
              </w:rPr>
              <w:t>本项目不接受有在建、已中标未开工或已列为其他项目成交候选人第一名的建造师作为项目经理（符合《广西壮族自治区建筑市场诚信卡管理暂行办法》第十六条第一款及桂建管﹝2016﹞70号、桂建管〔2019〕26号和桂建管〔2020〕11号文除外）</w:t>
            </w:r>
            <w:r>
              <w:rPr>
                <w:rFonts w:hint="eastAsia" w:ascii="宋体" w:hAnsi="宋体" w:eastAsia="宋体" w:cs="宋体"/>
                <w:color w:val="auto"/>
                <w:sz w:val="21"/>
                <w:szCs w:val="21"/>
                <w:highlight w:val="none"/>
              </w:rPr>
              <w:t>。</w:t>
            </w:r>
          </w:p>
          <w:p w14:paraId="661D6672">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6454BF54">
            <w:pPr>
              <w:pStyle w:val="27"/>
              <w:keepNext w:val="0"/>
              <w:keepLines w:val="0"/>
              <w:pageBreakBefore w:val="0"/>
              <w:kinsoku/>
              <w:wordWrap/>
              <w:overflowPunct/>
              <w:topLinePunct w:val="0"/>
              <w:bidi w:val="0"/>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7FF2C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817" w:type="dxa"/>
            <w:vAlign w:val="center"/>
          </w:tcPr>
          <w:p w14:paraId="39A4FBD0">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612" w:type="dxa"/>
            <w:vAlign w:val="center"/>
          </w:tcPr>
          <w:p w14:paraId="70BDA1F7">
            <w:pPr>
              <w:pStyle w:val="27"/>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本项目不收取磋商保证金。 </w:t>
            </w:r>
          </w:p>
          <w:p w14:paraId="4F8D6305">
            <w:pPr>
              <w:pStyle w:val="27"/>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□本项目收取磋商保证金，具体规定如下： </w:t>
            </w:r>
          </w:p>
          <w:p w14:paraId="69518924">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磋商保证金为：（￥</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元）。须足额交纳，不得少于规定金额交纳，否则响应无效。磋商保证金应在响应文件有效期内保持有效。</w:t>
            </w:r>
          </w:p>
          <w:p w14:paraId="01406030">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磋商保证金的交纳方式：转账、电汇、网上银行、支票、汇票、本票或者银行、保险机构出具的保函，禁止采用现钞方式。采用转账、电汇、网上银行方式的，在首次提交响应文件截止时间前交至</w:t>
            </w:r>
            <w:r>
              <w:rPr>
                <w:rFonts w:hint="eastAsia" w:ascii="宋体" w:hAnsi="宋体" w:eastAsia="宋体" w:cs="宋体"/>
                <w:color w:val="auto"/>
                <w:sz w:val="21"/>
                <w:szCs w:val="21"/>
                <w:highlight w:val="none"/>
                <w:u w:val="single"/>
              </w:rPr>
              <w:t>广西德元工程项目管理有限责任公司</w:t>
            </w:r>
            <w:r>
              <w:rPr>
                <w:rFonts w:hint="eastAsia" w:ascii="宋体" w:hAnsi="宋体" w:eastAsia="宋体" w:cs="宋体"/>
                <w:color w:val="auto"/>
                <w:sz w:val="21"/>
                <w:szCs w:val="21"/>
                <w:highlight w:val="none"/>
              </w:rPr>
              <w:t>（收款单位名称），开户银行：</w:t>
            </w:r>
            <w:r>
              <w:rPr>
                <w:rFonts w:hint="eastAsia" w:ascii="宋体" w:hAnsi="宋体" w:eastAsia="宋体" w:cs="宋体"/>
                <w:color w:val="auto"/>
                <w:sz w:val="21"/>
                <w:szCs w:val="21"/>
                <w:highlight w:val="none"/>
                <w:u w:val="single"/>
              </w:rPr>
              <w:t>柳州银行北站支行营业部</w:t>
            </w: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707002011010900000108</w:t>
            </w:r>
            <w:r>
              <w:rPr>
                <w:rFonts w:hint="eastAsia" w:ascii="宋体" w:hAnsi="宋体" w:eastAsia="宋体" w:cs="宋体"/>
                <w:color w:val="auto"/>
                <w:sz w:val="21"/>
                <w:szCs w:val="21"/>
                <w:highlight w:val="none"/>
              </w:rPr>
              <w:t>；采用支票、汇票、本票或者保函等方式的，在首次提交响应文件截止时间前，供应商应当递交单独密封的支票、汇票、本票或者保函原件，</w:t>
            </w:r>
            <w:r>
              <w:rPr>
                <w:rFonts w:hint="eastAsia" w:ascii="宋体" w:hAnsi="宋体" w:eastAsia="宋体" w:cs="宋体"/>
                <w:b/>
                <w:bCs/>
                <w:color w:val="auto"/>
                <w:sz w:val="21"/>
                <w:szCs w:val="21"/>
                <w:highlight w:val="none"/>
              </w:rPr>
              <w:t>否则视为无效磋商保证金。</w:t>
            </w:r>
            <w:r>
              <w:rPr>
                <w:rFonts w:hint="eastAsia" w:ascii="宋体" w:hAnsi="宋体" w:eastAsia="宋体" w:cs="宋体"/>
                <w:color w:val="auto"/>
                <w:sz w:val="21"/>
                <w:szCs w:val="21"/>
                <w:highlight w:val="none"/>
              </w:rPr>
              <w:t>原件递交的形式可以是在线下开标现场（柳州市公共资源交易中心对应开标室）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ascii="宋体" w:hAnsi="宋体" w:eastAsia="宋体" w:cs="宋体"/>
                <w:b/>
                <w:color w:val="auto"/>
                <w:sz w:val="21"/>
                <w:szCs w:val="21"/>
                <w:highlight w:val="none"/>
              </w:rPr>
              <w:t>其响应无效</w:t>
            </w:r>
            <w:r>
              <w:rPr>
                <w:rFonts w:hint="eastAsia" w:ascii="宋体" w:hAnsi="宋体" w:eastAsia="宋体" w:cs="宋体"/>
                <w:color w:val="auto"/>
                <w:sz w:val="21"/>
                <w:szCs w:val="21"/>
                <w:highlight w:val="none"/>
              </w:rPr>
              <w:t>；因此供应商无论采用现场或者是邮寄递交上述原件时应充分考虑到达时间，以免影响竞标。</w:t>
            </w:r>
          </w:p>
        </w:tc>
      </w:tr>
      <w:tr w14:paraId="15710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14:paraId="7ADE366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612" w:type="dxa"/>
            <w:vAlign w:val="center"/>
          </w:tcPr>
          <w:p w14:paraId="03B53620">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现场考察或答疑会：</w:t>
            </w:r>
          </w:p>
          <w:p w14:paraId="2EE777F8">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□组织。集中考察时间：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，集中考察地点：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22579F">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不组织。供应商自行考察现场。</w:t>
            </w:r>
          </w:p>
        </w:tc>
      </w:tr>
      <w:tr w14:paraId="0192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14:paraId="68597B8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612" w:type="dxa"/>
            <w:vAlign w:val="center"/>
          </w:tcPr>
          <w:p w14:paraId="354C538C">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是否需要演示：</w:t>
            </w:r>
          </w:p>
          <w:p w14:paraId="69DEDA19">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不需演示。</w:t>
            </w:r>
          </w:p>
          <w:p w14:paraId="5611F04D">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需要演示</w:t>
            </w:r>
          </w:p>
          <w:p w14:paraId="3505BB7A">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3A29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14:paraId="1AB185E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612" w:type="dxa"/>
            <w:vAlign w:val="center"/>
          </w:tcPr>
          <w:p w14:paraId="03827206">
            <w:pPr>
              <w:keepNext w:val="0"/>
              <w:keepLines w:val="0"/>
              <w:pageBreakBefore w:val="0"/>
              <w:kinsoku/>
              <w:wordWrap/>
              <w:overflowPunct/>
              <w:topLinePunct w:val="0"/>
              <w:bidi w:val="0"/>
              <w:snapToGrid/>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联合体竞标：</w:t>
            </w:r>
          </w:p>
          <w:p w14:paraId="084ADAD2">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接受联合体竞标。</w:t>
            </w:r>
          </w:p>
          <w:p w14:paraId="216E0D6B">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不接受联合体竞标</w:t>
            </w:r>
          </w:p>
        </w:tc>
      </w:tr>
      <w:tr w14:paraId="2343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14:paraId="6CB1471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612" w:type="dxa"/>
            <w:vAlign w:val="center"/>
          </w:tcPr>
          <w:p w14:paraId="55080090">
            <w:pPr>
              <w:keepNext w:val="0"/>
              <w:keepLines w:val="0"/>
              <w:pageBreakBefore w:val="0"/>
              <w:kinsoku/>
              <w:wordWrap/>
              <w:overflowPunct/>
              <w:topLinePunct w:val="0"/>
              <w:bidi w:val="0"/>
              <w:snapToGrid/>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是否允许分包：</w:t>
            </w:r>
          </w:p>
          <w:p w14:paraId="5471EDF8">
            <w:pPr>
              <w:keepNext w:val="0"/>
              <w:keepLines w:val="0"/>
              <w:pageBreakBefore w:val="0"/>
              <w:kinsoku/>
              <w:wordWrap/>
              <w:overflowPunct/>
              <w:topLinePunct w:val="0"/>
              <w:bidi w:val="0"/>
              <w:snapToGrid/>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不允许分包</w:t>
            </w:r>
          </w:p>
          <w:p w14:paraId="7C8583CA">
            <w:pPr>
              <w:keepNext w:val="0"/>
              <w:keepLines w:val="0"/>
              <w:pageBreakBefore w:val="0"/>
              <w:kinsoku/>
              <w:wordWrap/>
              <w:overflowPunct/>
              <w:topLinePunct w:val="0"/>
              <w:bidi w:val="0"/>
              <w:snapToGrid/>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□允许分包</w:t>
            </w:r>
          </w:p>
          <w:p w14:paraId="2046CD63">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分包内容：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5567D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14:paraId="47CE3282">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612" w:type="dxa"/>
            <w:vAlign w:val="center"/>
          </w:tcPr>
          <w:p w14:paraId="2534D5E2">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响应文件组成：资格文件、商务和技术文件、报价文件。</w:t>
            </w:r>
          </w:p>
        </w:tc>
      </w:tr>
      <w:tr w14:paraId="460B4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435C0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612" w:type="dxa"/>
            <w:vAlign w:val="center"/>
          </w:tcPr>
          <w:p w14:paraId="56B7675A">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949850.40</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color w:val="auto"/>
                <w:sz w:val="21"/>
                <w:szCs w:val="21"/>
                <w:highlight w:val="none"/>
              </w:rPr>
              <w:t>，响应文件报价须小于等于最高限价，否则响应无效。</w:t>
            </w:r>
          </w:p>
        </w:tc>
      </w:tr>
      <w:tr w14:paraId="614B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FE6F0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612" w:type="dxa"/>
            <w:vAlign w:val="center"/>
          </w:tcPr>
          <w:p w14:paraId="49EA8139">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竞标报价及费用：1、本项目竞标应以人民币报价；2、不论竞标结果如何，供应商均应自行承担所有与竞标有关的全部费用；3、代理服务费按</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国家发展计划委员会文件计价格（2002）1980号“国家计委关于印发《招标代理服务收费管理暂行办法》的通知”规定的</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类标准</w:t>
            </w:r>
            <w:r>
              <w:rPr>
                <w:rFonts w:hint="eastAsia" w:ascii="宋体" w:hAnsi="宋体" w:eastAsia="宋体" w:cs="宋体"/>
                <w:color w:val="auto"/>
                <w:sz w:val="21"/>
                <w:szCs w:val="21"/>
                <w:highlight w:val="none"/>
                <w:lang w:val="en-US" w:eastAsia="zh-CN"/>
              </w:rPr>
              <w:t>计取</w:t>
            </w:r>
            <w:r>
              <w:rPr>
                <w:rFonts w:hint="eastAsia" w:ascii="宋体" w:hAnsi="宋体" w:eastAsia="宋体" w:cs="宋体"/>
                <w:color w:val="auto"/>
                <w:sz w:val="21"/>
                <w:szCs w:val="21"/>
                <w:highlight w:val="none"/>
              </w:rPr>
              <w:t>代理</w:t>
            </w:r>
            <w:r>
              <w:rPr>
                <w:rFonts w:hint="eastAsia" w:ascii="宋体" w:hAnsi="宋体" w:eastAsia="宋体" w:cs="宋体"/>
                <w:color w:val="auto"/>
                <w:sz w:val="21"/>
                <w:szCs w:val="21"/>
                <w:highlight w:val="none"/>
                <w:lang w:val="en-US" w:eastAsia="zh-CN"/>
              </w:rPr>
              <w:t>服务费，不足5000元则按5000元收取</w:t>
            </w:r>
            <w:r>
              <w:rPr>
                <w:rFonts w:hint="eastAsia" w:ascii="宋体" w:hAnsi="宋体" w:eastAsia="宋体" w:cs="宋体"/>
                <w:color w:val="auto"/>
                <w:highlight w:val="none"/>
              </w:rPr>
              <w:t>。本项目的代理服务费由成交人支付，成交人在领取成交通知书时向代理机构一次性付清代理服务费。</w:t>
            </w:r>
          </w:p>
        </w:tc>
      </w:tr>
      <w:tr w14:paraId="053FB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DCCF40">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612" w:type="dxa"/>
            <w:shd w:val="clear" w:color="auto" w:fill="auto"/>
            <w:vAlign w:val="center"/>
          </w:tcPr>
          <w:p w14:paraId="18048F78">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提交响应文件截止时间：</w:t>
            </w:r>
            <w:r>
              <w:rPr>
                <w:rFonts w:hint="eastAsia" w:ascii="宋体" w:hAnsi="宋体" w:cs="宋体"/>
                <w:color w:val="auto"/>
                <w:szCs w:val="21"/>
                <w:highlight w:val="none"/>
                <w:lang w:eastAsia="zh-CN"/>
              </w:rPr>
              <w:t>2025年9月30日</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9时20分</w:t>
            </w:r>
          </w:p>
          <w:p w14:paraId="20F8DFC3">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投标地点（网址）：广西政府采购云平台（https://www.gcy.zfcg.gxzf.gov.cn/）</w:t>
            </w:r>
          </w:p>
          <w:p w14:paraId="54373A5A">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2025年9月30日</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9时20分</w:t>
            </w:r>
          </w:p>
          <w:p w14:paraId="49568463">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开标地点：广西政府采购云平台（https://www.gcy.zfcg.gxzf.gov.cn/）。</w:t>
            </w:r>
          </w:p>
          <w:p w14:paraId="2329583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CA 证书在线解密：供应商投标时，需携带制作响应文件时用来加密的有效数字证书（CA 认证）登录广西政府采购云平台电子开标大厅现场按规定时间对加密的响应文件进行解密，否则后果自负。</w:t>
            </w:r>
          </w:p>
          <w:p w14:paraId="23B741F4">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14:paraId="7B4C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E687DD">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612" w:type="dxa"/>
            <w:vAlign w:val="center"/>
          </w:tcPr>
          <w:p w14:paraId="48BA623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p w14:paraId="72046B09">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2025年9月30日</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9时20分</w:t>
            </w:r>
            <w:r>
              <w:rPr>
                <w:rFonts w:hint="eastAsia" w:ascii="宋体" w:hAnsi="宋体" w:eastAsia="宋体" w:cs="宋体"/>
                <w:color w:val="auto"/>
                <w:szCs w:val="21"/>
                <w:highlight w:val="none"/>
              </w:rPr>
              <w:t>（北京时间）开标后</w:t>
            </w:r>
          </w:p>
          <w:p w14:paraId="003BA4C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地点：广西政府采购云平台（https://www.gcy.zfcg.gxzf.gov.cn/）</w:t>
            </w:r>
          </w:p>
          <w:p w14:paraId="11C69B20">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p w14:paraId="0959A38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w:t>
            </w:r>
            <w:r>
              <w:rPr>
                <w:rFonts w:hint="eastAsia" w:ascii="宋体" w:hAnsi="宋体" w:cs="宋体"/>
                <w:color w:val="auto"/>
                <w:szCs w:val="21"/>
                <w:highlight w:val="none"/>
                <w:lang w:eastAsia="zh-CN"/>
              </w:rPr>
              <w:t>2025年9月30日</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9时20分</w:t>
            </w:r>
            <w:r>
              <w:rPr>
                <w:rFonts w:hint="eastAsia" w:ascii="宋体" w:hAnsi="宋体" w:eastAsia="宋体" w:cs="宋体"/>
                <w:color w:val="auto"/>
                <w:szCs w:val="21"/>
                <w:highlight w:val="none"/>
              </w:rPr>
              <w:t>截标后为与供应商磋商时间，具体时间由采购代理机构另行通知。</w:t>
            </w:r>
          </w:p>
          <w:p w14:paraId="2E57CD73">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地点：广西政府采购云平台（https://www.gcy.zfcg.gxzf.gov.cn/）。</w:t>
            </w:r>
          </w:p>
        </w:tc>
      </w:tr>
      <w:tr w14:paraId="3090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12249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612" w:type="dxa"/>
            <w:vAlign w:val="center"/>
          </w:tcPr>
          <w:p w14:paraId="466733B4">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磋商的顺序：</w:t>
            </w:r>
          </w:p>
          <w:p w14:paraId="42378E29">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按照提交首次响应文件的顺序，通知磋商时，若某供应商不在通知现场时，该供应商排序到最后磋商，按照签到的顺序由其下一位供应商先参与磋商。</w:t>
            </w:r>
          </w:p>
          <w:p w14:paraId="4151A7F7">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随机排序。</w:t>
            </w:r>
          </w:p>
          <w:p w14:paraId="7C68C353">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参与磋商前</w:t>
            </w:r>
            <w:r>
              <w:rPr>
                <w:kern w:val="0"/>
                <w:szCs w:val="21"/>
              </w:rPr>
              <w:t>，</w:t>
            </w:r>
            <w:r>
              <w:rPr>
                <w:rFonts w:hint="eastAsia" w:ascii="宋体" w:hAnsi="宋体" w:cs="宋体"/>
                <w:szCs w:val="21"/>
              </w:rPr>
              <w:t>磋商小组如有要求，</w:t>
            </w:r>
            <w:r>
              <w:rPr>
                <w:rFonts w:hint="eastAsia" w:ascii="宋体" w:hAnsi="宋体" w:eastAsia="宋体" w:cs="宋体"/>
                <w:color w:val="auto"/>
                <w:kern w:val="0"/>
                <w:szCs w:val="21"/>
                <w:highlight w:val="none"/>
              </w:rPr>
              <w:t>供应商法定代表人或者委托代理人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BB2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A3749C">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612" w:type="dxa"/>
            <w:vAlign w:val="center"/>
          </w:tcPr>
          <w:p w14:paraId="6F8089DC">
            <w:pPr>
              <w:keepNext w:val="0"/>
              <w:keepLines w:val="0"/>
              <w:pageBreakBefore w:val="0"/>
              <w:widowControl/>
              <w:kinsoku/>
              <w:wordWrap/>
              <w:overflowPunct/>
              <w:topLinePunct w:val="0"/>
              <w:bidi w:val="0"/>
              <w:snapToGrid/>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评标办法及评分标准：综合评分法</w:t>
            </w:r>
          </w:p>
        </w:tc>
      </w:tr>
      <w:tr w14:paraId="13B4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14:paraId="6B854A4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612" w:type="dxa"/>
            <w:vAlign w:val="center"/>
          </w:tcPr>
          <w:p w14:paraId="5F73953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发布媒体：广西壮族自治区政府采购网（http://zfcg.gxzf.gov.cn）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柳州市政府采购网(http://www.zfcg.lzscz.liuzhou.gov.cn )。</w:t>
            </w:r>
          </w:p>
        </w:tc>
      </w:tr>
      <w:tr w14:paraId="7A44D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14:paraId="7CA8DFA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612" w:type="dxa"/>
            <w:vAlign w:val="center"/>
          </w:tcPr>
          <w:p w14:paraId="17F5A21C">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成交公告及成交通知书：成交供应商确定后，采购代理机构或采购人须在“信用中国”网站（www.creditchina.gov.cn）和中国政府采购网（http://www.ccgp.gov.cn/）查询</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主体信用记录，如其未被列入失信被执行人、重大税收违法案件当事人名单、政府采购严重违法失信行为记录名单，则采购代理机构在中国政府采购网、广西政府采购网发布</w:t>
            </w:r>
            <w:r>
              <w:rPr>
                <w:rFonts w:hint="eastAsia" w:ascii="宋体" w:hAnsi="宋体" w:eastAsia="宋体" w:cs="宋体"/>
                <w:color w:val="auto"/>
                <w:sz w:val="21"/>
                <w:szCs w:val="21"/>
                <w:highlight w:val="none"/>
                <w:lang w:eastAsia="zh-CN"/>
              </w:rPr>
              <w:t>成交公告</w:t>
            </w:r>
            <w:r>
              <w:rPr>
                <w:rFonts w:hint="eastAsia" w:ascii="宋体" w:hAnsi="宋体" w:eastAsia="宋体" w:cs="宋体"/>
                <w:color w:val="auto"/>
                <w:sz w:val="21"/>
                <w:szCs w:val="21"/>
                <w:highlight w:val="none"/>
              </w:rPr>
              <w:t>同时向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；如其被列入失信被执行人、重大税收违法案件当事人名单、政府采购严重违法失信行为记录名单，则取消其中标资格，并确定排名第二的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。排名第二的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因前款规定的同样原因被取消中标资格的，采购人可以确定排名第三的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w:t>
            </w:r>
          </w:p>
        </w:tc>
      </w:tr>
      <w:tr w14:paraId="54BDC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5F25F42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612" w:type="dxa"/>
            <w:vAlign w:val="center"/>
          </w:tcPr>
          <w:p w14:paraId="0CD29F93">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签订合同时间：成交通知书发出之日起二十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日内。</w:t>
            </w:r>
          </w:p>
        </w:tc>
      </w:tr>
      <w:tr w14:paraId="20AC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43108977">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612" w:type="dxa"/>
            <w:vAlign w:val="center"/>
          </w:tcPr>
          <w:p w14:paraId="2063C82A">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p w14:paraId="2156E57E">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不需要提交。</w:t>
            </w:r>
          </w:p>
          <w:p w14:paraId="03936CCC">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需要提交：</w:t>
            </w:r>
          </w:p>
          <w:p w14:paraId="06C67B5C">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在签订合同前提交合同金额的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%做为履约保证金。</w:t>
            </w:r>
          </w:p>
          <w:p w14:paraId="3C36286C">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递交账户：</w:t>
            </w:r>
            <w:r>
              <w:rPr>
                <w:rFonts w:hint="eastAsia" w:ascii="宋体" w:hAnsi="宋体" w:eastAsia="宋体" w:cs="宋体"/>
                <w:color w:val="auto"/>
                <w:sz w:val="21"/>
                <w:szCs w:val="21"/>
                <w:highlight w:val="none"/>
                <w:u w:val="single"/>
              </w:rPr>
              <w:t xml:space="preserve">                        </w:t>
            </w:r>
          </w:p>
          <w:p w14:paraId="699B4416">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5F36F1A0">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tc>
      </w:tr>
      <w:tr w14:paraId="058D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798980C0">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612" w:type="dxa"/>
            <w:vAlign w:val="center"/>
          </w:tcPr>
          <w:p w14:paraId="029DB660">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14:paraId="2255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5024566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612" w:type="dxa"/>
            <w:vAlign w:val="center"/>
          </w:tcPr>
          <w:p w14:paraId="4567F029">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响应文件有效期：提交首次响应文件截止之日起60天内。</w:t>
            </w:r>
          </w:p>
        </w:tc>
      </w:tr>
      <w:tr w14:paraId="7241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5255C59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612" w:type="dxa"/>
            <w:vAlign w:val="center"/>
          </w:tcPr>
          <w:p w14:paraId="38AC998D">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预算资金、预算外资金、其他资金</w:t>
            </w:r>
          </w:p>
        </w:tc>
      </w:tr>
      <w:tr w14:paraId="7FB1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113E2DC1">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612" w:type="dxa"/>
            <w:vAlign w:val="center"/>
          </w:tcPr>
          <w:p w14:paraId="1510B96B">
            <w:pPr>
              <w:keepNext w:val="0"/>
              <w:keepLines w:val="0"/>
              <w:pageBreakBefore w:val="0"/>
              <w:kinsoku/>
              <w:wordWrap/>
              <w:overflowPunct/>
              <w:topLinePunct w:val="0"/>
              <w:autoSpaceDE w:val="0"/>
              <w:autoSpaceDN w:val="0"/>
              <w:bidi w:val="0"/>
              <w:snapToGrid/>
              <w:spacing w:line="3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国库集中支付或采购专户支付、采购人自行支付</w:t>
            </w:r>
          </w:p>
        </w:tc>
      </w:tr>
      <w:tr w14:paraId="1AFA0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416DDBA7">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612" w:type="dxa"/>
            <w:vAlign w:val="center"/>
          </w:tcPr>
          <w:p w14:paraId="519022F8">
            <w:pPr>
              <w:keepNext w:val="0"/>
              <w:keepLines w:val="0"/>
              <w:pageBreakBefore w:val="0"/>
              <w:kinsoku/>
              <w:wordWrap/>
              <w:overflowPunct/>
              <w:topLinePunct w:val="0"/>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w:t>
            </w:r>
            <w:r>
              <w:rPr>
                <w:rFonts w:hint="eastAsia" w:ascii="宋体" w:hAnsi="宋体" w:eastAsia="宋体" w:cs="宋体"/>
                <w:color w:val="auto"/>
                <w:sz w:val="21"/>
                <w:szCs w:val="21"/>
                <w:highlight w:val="none"/>
                <w:lang w:val="en-US" w:eastAsia="zh-CN"/>
              </w:rPr>
              <w:t>竞争性磋商采购</w:t>
            </w:r>
            <w:r>
              <w:rPr>
                <w:rFonts w:hint="eastAsia" w:ascii="宋体" w:hAnsi="宋体" w:eastAsia="宋体" w:cs="宋体"/>
                <w:color w:val="auto"/>
                <w:sz w:val="21"/>
                <w:szCs w:val="21"/>
                <w:highlight w:val="none"/>
              </w:rPr>
              <w:t>文件的解释权属于采购单位。</w:t>
            </w:r>
          </w:p>
        </w:tc>
      </w:tr>
      <w:tr w14:paraId="0F5C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5DB6876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612" w:type="dxa"/>
            <w:vAlign w:val="center"/>
          </w:tcPr>
          <w:p w14:paraId="461E070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注意事项：</w:t>
            </w:r>
          </w:p>
          <w:p w14:paraId="6957D55F">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为全流程电子化采购项目，通过广西政府采购云平台（www.gcy.zfcg.gxzf.gov.cn）实行在线电子竞标，供应商应按照本项目磋商采购文件和广西政府采购云平台的要求编制、加密后在提交响应文件截止时间前通过网络上传至广西政府采购云平台，</w:t>
            </w:r>
            <w:r>
              <w:rPr>
                <w:rFonts w:hint="eastAsia" w:ascii="宋体" w:hAnsi="宋体" w:eastAsia="宋体" w:cs="宋体"/>
                <w:b/>
                <w:bCs/>
                <w:color w:val="auto"/>
                <w:szCs w:val="21"/>
                <w:highlight w:val="none"/>
              </w:rPr>
              <w:t>供应商在广西政府采购云平台提交电子响应文件时，请填写参加远程采购活动经办人联系方式。</w:t>
            </w:r>
            <w:r>
              <w:rPr>
                <w:rFonts w:hint="eastAsia" w:ascii="宋体" w:hAnsi="宋体" w:eastAsia="宋体" w:cs="宋体"/>
                <w:color w:val="auto"/>
                <w:szCs w:val="21"/>
                <w:highlight w:val="none"/>
              </w:rPr>
              <w:t>供应商登录广西政府采购云平台，依次进入“服务中心-项目采购-操作流程-电子招投标-政府采购项目电子交易管理操作指南-供应商”查看电子竞标具体操作流程。</w:t>
            </w:r>
          </w:p>
          <w:p w14:paraId="62F1F42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4AD813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D8130F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BB8939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（4）供应商需要在具备有摄像头及语音功能且互联网网络状况良好的电脑登录广西政府采购云平台远程开标大厅参与本次磋商，否则后果自负。</w:t>
            </w:r>
          </w:p>
          <w:p w14:paraId="0D0FAE7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为电子标项目，不要求参与竞标的供应商到达现场，但竞标供应商应派法定代表人或委托代理人在线准时出席电子标评审，随时关注项目磋商进度，在磋商过程中对磋商小组发出的磋商内容于规定的时间内进行确认回复。</w:t>
            </w:r>
          </w:p>
          <w:p w14:paraId="3EAA010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6）若对项目采购电子交易系统操作有疑问，可登陆广西政府采购云平台（https://www.gcy.zfcg.gxzf.gov.cn/），点击右侧咨询小采，获取采小蜜智能服务管家帮助，或拨打广西政府采购云平台服务热线95763获取热线服务帮助。</w:t>
            </w:r>
          </w:p>
        </w:tc>
      </w:tr>
      <w:tr w14:paraId="039C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3AF45CE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612" w:type="dxa"/>
            <w:vAlign w:val="center"/>
          </w:tcPr>
          <w:p w14:paraId="664276D2">
            <w:pPr>
              <w:pStyle w:val="38"/>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电子响应文件的制作、加密：</w:t>
            </w:r>
          </w:p>
          <w:p w14:paraId="20B8CA07">
            <w:pPr>
              <w:pStyle w:val="38"/>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1、供应商制作电子响应文件前，应登陆“广西政府采购云平台”进行“申请获取采购文件”操作，否则，有可能导致无法在线编制响应文件并参与竞标，其不利后果由供应商自行承担。</w:t>
            </w:r>
          </w:p>
          <w:p w14:paraId="115FDAB8">
            <w:pPr>
              <w:pStyle w:val="38"/>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下载或获取磋商采购文件后，登录“广西政府采购云平台电子投标客户端”，按照本磋商采购文件规定的响应文件格式、顺序以及“广西政府采购云平台”的要求，通过“广西政府采购云平台电子投标客户端”编制电子响应文件。</w:t>
            </w:r>
          </w:p>
          <w:p w14:paraId="4F75B37F">
            <w:pPr>
              <w:pStyle w:val="38"/>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14:paraId="3C5CEABD">
            <w:pPr>
              <w:pStyle w:val="38"/>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电子响应文件不得涂改，若有修改错漏处，须由法定代表人（负责人、自然人）或授权委托代理人通过“广西政府采购云平台电子投标客户端”采用广西政府采购云平台个人CA证书签章，没有办理广西政府采购云平台个人CA证书签章的，在响应文件中响应位置手写签字后扫描或者拍照做成 PDF 的格式上传。因响应文件字迹潦草、表达不清、内容不完整、编排混乱导致响应文件被误读、漏读，或者在按磋商采购文件规定的部位查找不到相关内容的，其不利后果由供应商自行承担。</w:t>
            </w:r>
          </w:p>
          <w:p w14:paraId="28EB256B">
            <w:pPr>
              <w:pStyle w:val="38"/>
              <w:spacing w:before="0" w:beforeAutospacing="0" w:after="0" w:afterAutospacing="0"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5、供应商编制、生成电子响应文件后应当加密响应文件。供应商未按规定编制并加密的响应文件，“广西政府采购云平台”将予以拒收。</w:t>
            </w:r>
          </w:p>
        </w:tc>
      </w:tr>
      <w:tr w14:paraId="5E71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14E7FE55">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612" w:type="dxa"/>
            <w:vAlign w:val="center"/>
          </w:tcPr>
          <w:p w14:paraId="6FB8516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供应商公章及签字：</w:t>
            </w:r>
          </w:p>
          <w:p w14:paraId="03681EE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1、本磋商采购文件中描述供应商的“公章”是指供应商通过指定电子化政府采购平台办理数字证书（CA认证证书）获得的以法定主体行为名称制作的电子印章。</w:t>
            </w:r>
          </w:p>
          <w:p w14:paraId="6459426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2、本磋商采购文件中要求供应商对其电子响应文件的相关内容加盖公章的，均指采用CA证书签章。</w:t>
            </w:r>
          </w:p>
          <w:p w14:paraId="2F0F1E6E">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本磋商采购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2456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2" w:hRule="atLeast"/>
          <w:jc w:val="center"/>
        </w:trPr>
        <w:tc>
          <w:tcPr>
            <w:tcW w:w="817" w:type="dxa"/>
            <w:vAlign w:val="center"/>
          </w:tcPr>
          <w:p w14:paraId="2C90D36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612" w:type="dxa"/>
            <w:vAlign w:val="center"/>
          </w:tcPr>
          <w:p w14:paraId="3813ACC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响应文件的解密：</w:t>
            </w:r>
          </w:p>
          <w:p w14:paraId="7D21DF84">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采购代理机构将在“竞争性磋商采购公告”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通知供应商，供应商没预留联系方式或预留联系方式无效，非代理机构原因导致代理机构无法联系到供应商进行解密的，视为响应文件无效。(解密异常情况处理：详见本章30.电子交易活动的中止。)</w:t>
            </w:r>
          </w:p>
        </w:tc>
      </w:tr>
    </w:tbl>
    <w:p w14:paraId="78B75F2F">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14:paraId="7853544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　则</w:t>
      </w:r>
    </w:p>
    <w:p w14:paraId="0B0049D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适用范围</w:t>
      </w:r>
    </w:p>
    <w:p w14:paraId="462DB61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本竞争性磋商采购文件适用于本项目的竞争性磋商采购、竞争性磋商响应、评审、定标、验收、合同履约、付款等行为（法律、法规另有规定的，从其规定）。</w:t>
      </w:r>
    </w:p>
    <w:p w14:paraId="3F8D81E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定义</w:t>
      </w:r>
    </w:p>
    <w:p w14:paraId="4956DB1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2.1“采购人”：详见竞争性磋商公告。</w:t>
      </w:r>
    </w:p>
    <w:p w14:paraId="04B9CDC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2.2“采购代理机构”是指：广西德元工程项目管理有限责任公司。 </w:t>
      </w:r>
    </w:p>
    <w:p w14:paraId="16716D7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w:t>
      </w:r>
      <w:r>
        <w:rPr>
          <w:rFonts w:hint="eastAsia" w:ascii="宋体" w:hAnsi="宋体" w:eastAsia="宋体" w:cs="宋体"/>
          <w:color w:val="auto"/>
          <w:highlight w:val="none"/>
        </w:rPr>
        <w:t>指响应磋商文件、参加磋商竞争的法人、其他组织或者自然人</w:t>
      </w:r>
      <w:r>
        <w:rPr>
          <w:rFonts w:hint="eastAsia" w:ascii="宋体" w:hAnsi="宋体" w:eastAsia="宋体" w:cs="宋体"/>
          <w:color w:val="auto"/>
          <w:szCs w:val="21"/>
          <w:highlight w:val="none"/>
        </w:rPr>
        <w:t>。如果该供应商在本次磋商采购中成交,即成为“成交供应商”。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70FFA6C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676B292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2.5“服务”是指除货物和工程以外的其他政府采购对象。</w:t>
      </w:r>
    </w:p>
    <w:p w14:paraId="62E458B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2.6“书面形式”包括是指合同书、信件和数据电文（包括电报、电传、传真、电子数据交换和电子邮件）等可以有形地表现所载内容的形式。</w:t>
      </w:r>
    </w:p>
    <w:p w14:paraId="7C12B24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2.7“响应文件”是指：供应商根据本文件要求，编制包含价格、商务、技术和服务等所有内容的文件。</w:t>
      </w:r>
    </w:p>
    <w:p w14:paraId="6383AD4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2.8“签字/签名”是指：指</w:t>
      </w:r>
      <w:r>
        <w:rPr>
          <w:rFonts w:hint="eastAsia" w:ascii="宋体" w:hAnsi="宋体" w:eastAsia="宋体" w:cs="宋体"/>
          <w:color w:val="auto"/>
          <w:highlight w:val="none"/>
        </w:rPr>
        <w:t>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546B397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2.9“公章”是指供应商通过指定电子化政府采购平台办理数字证书（CA认证证书）获得的以法定主体行为名称制作的电子印章。本</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中要求供应商对其电子响应文件的相关内容加盖公章的，均指采用CA证书签章。</w:t>
      </w:r>
    </w:p>
    <w:p w14:paraId="69CCFE3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w:t>
      </w:r>
      <w:r>
        <w:rPr>
          <w:rFonts w:hint="eastAsia" w:ascii="宋体" w:hAnsi="宋体" w:eastAsia="宋体" w:cs="宋体"/>
          <w:color w:val="auto"/>
          <w:highlight w:val="none"/>
        </w:rPr>
        <w:t>▲</w:t>
      </w:r>
      <w:r>
        <w:rPr>
          <w:rFonts w:hint="eastAsia" w:ascii="宋体" w:hAnsi="宋体" w:eastAsia="宋体" w:cs="宋体"/>
          <w:color w:val="auto"/>
          <w:szCs w:val="21"/>
          <w:highlight w:val="none"/>
        </w:rPr>
        <w:t>”是指实质性要求条款。</w:t>
      </w:r>
    </w:p>
    <w:p w14:paraId="6410168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2.11本磋商文件所称的“以上”“以下”“以内”“届满”，包括本数；所称的“不满”“超过”“以外”，不包括本数；如磋商文件另有特殊规定的从其规定。 </w:t>
      </w:r>
    </w:p>
    <w:p w14:paraId="09CC3F1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供应商的资格条件</w:t>
      </w:r>
    </w:p>
    <w:p w14:paraId="0DEC32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供应商资格：详见供应商须知前附表。</w:t>
      </w:r>
    </w:p>
    <w:p w14:paraId="4B5663E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磋商费用</w:t>
      </w:r>
    </w:p>
    <w:p w14:paraId="7DE7DF9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4.1供应商应自行承担所有与编写和提交响应文件有关的费用，不论磋商结果如何，采购人和采购代理机构在任何情况下无义务和责任承担此类费用。</w:t>
      </w:r>
    </w:p>
    <w:p w14:paraId="4E921D6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联合体竞标</w:t>
      </w:r>
    </w:p>
    <w:p w14:paraId="4BDEEFC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C0EAB0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5.2联合体要求（联合体竞标时应满足下列要求）：</w:t>
      </w:r>
    </w:p>
    <w:p w14:paraId="7F7D131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（1）两个以上供应商可以组成一个竞标联合体，以一个供应商的身份共同参加竞标，联合体供应商的名称应统一按“XXX公司与XXX公司的联合体”的规则填写。</w:t>
      </w:r>
    </w:p>
    <w:p w14:paraId="2554AA0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（2）以联合体形式参加竞标的，联合体各方均应当符合“具有独立承担民事责任的能力”的条件。 本项目有特殊要求规定供应商特定条件的，联合体各方中至少应当有一方符合</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规定的特定条件。</w:t>
      </w:r>
    </w:p>
    <w:p w14:paraId="0C71F7C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60D03B1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14:paraId="5119D28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（5）联合体中有同类资质的供应商按照联合体分工承担相同工作的，应当按照资质等级较低的供应商确定资质等级。</w:t>
      </w:r>
    </w:p>
    <w:p w14:paraId="2595FCC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（6）联合体竞标业绩、履约能力按照联合体各方其中较高的一方认定并计算（</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另有规定的除外）。</w:t>
      </w:r>
    </w:p>
    <w:p w14:paraId="788E841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（7）联合体各方均应按照</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的规定提交资格证明文件。</w:t>
      </w:r>
    </w:p>
    <w:p w14:paraId="260C0BD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4CE193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6. 分包与转包 </w:t>
      </w:r>
    </w:p>
    <w:p w14:paraId="2B1A63D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6.1本项目是否允许分包详见“供应商须知前附表”，本项目不允许违法分包。供应商根据</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的规定和采购项目的实际情况，拟在中标后将中标项目的非主体、非关键性工作分包的，应当在响应文件中载明分包承担主体，分包承担主体应当具备相应资质条件且不得再次分包。</w:t>
      </w:r>
    </w:p>
    <w:p w14:paraId="4BCDDE5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14:paraId="5FEDBE9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6.3本项目不允许转包。</w:t>
      </w:r>
    </w:p>
    <w:p w14:paraId="0C878DC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特别说明</w:t>
      </w:r>
    </w:p>
    <w:p w14:paraId="0CCAF04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7.1出现下列情形之一的，在评审过程中，按一家供应商计算，评审后得分最高的同品牌供应商获得</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推荐资格；评审得分相同的，以报价最低的供应商获得</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推荐资格；评审得分及投标报价相同的，以技术得分最高的供应商获得</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推荐资格；其他同品牌供应商不作为</w:t>
      </w:r>
      <w:r>
        <w:rPr>
          <w:rFonts w:hint="eastAsia" w:ascii="宋体" w:hAnsi="宋体" w:eastAsia="宋体" w:cs="宋体"/>
          <w:color w:val="auto"/>
          <w:szCs w:val="21"/>
          <w:highlight w:val="none"/>
          <w:lang w:eastAsia="zh-CN"/>
        </w:rPr>
        <w:t>成交候选人</w:t>
      </w:r>
      <w:r>
        <w:rPr>
          <w:rFonts w:hint="eastAsia" w:ascii="宋体" w:hAnsi="宋体" w:eastAsia="宋体" w:cs="宋体"/>
          <w:color w:val="auto"/>
          <w:szCs w:val="21"/>
          <w:highlight w:val="none"/>
        </w:rPr>
        <w:t>：</w:t>
      </w:r>
    </w:p>
    <w:p w14:paraId="13CC5AD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（1）提供相同品牌产品且通过资格审查、符合性审查的不同供应商参加单一产品的同一合同项下的政府采购活动的。</w:t>
      </w:r>
    </w:p>
    <w:p w14:paraId="05A5CFE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（2）非单一产品采购项目中，多家供应商提供的核心产品品牌相同的，视为提供相同品牌产品。核心产品的名称应当在</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中载明。</w:t>
      </w:r>
    </w:p>
    <w:p w14:paraId="41138AE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7.2供应商投标所使用的资格、信誉、荣誉、业绩与企业认证必须为本供应商所拥有。</w:t>
      </w:r>
    </w:p>
    <w:p w14:paraId="12A2372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7.3供应商应仔细阅读</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的所有内容，按照</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的要求提交响应文件，并对所提供的全部资料的真实性承担法律责任。</w:t>
      </w:r>
    </w:p>
    <w:p w14:paraId="536389A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7.4供应商在投标活动中提供任何虚假材料,其投标无效，并报监管部门查处；中标后发现的,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须依照《中华人民共和国消费者权益保护法》规定赔偿采购人，且民事赔偿并不免除违法供应商的行政与刑事责任。</w:t>
      </w:r>
    </w:p>
    <w:p w14:paraId="2CA3A00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7.5在政府采购活动中，采购人员及相关人员与供应商有下列利害关系之一的，应当回避：</w:t>
      </w:r>
    </w:p>
    <w:p w14:paraId="5B609C2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FFB5A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EEDE73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34486B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75760CE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AC3232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59979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7.6有下列情形之一的视为供应商相互串通投标，其投标无效：</w:t>
      </w:r>
    </w:p>
    <w:p w14:paraId="4516F7A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1478B10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14:paraId="3D6A1B0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（3）不同供应商的响应文件载明的项目管理成员或者联系人员为同一人；</w:t>
      </w:r>
    </w:p>
    <w:p w14:paraId="661C30A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（4）不同供应商的响应文件异常一致或投标报价呈规律性差异；</w:t>
      </w:r>
    </w:p>
    <w:p w14:paraId="715D36A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8CA2F3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（6）不同供应商的投标保证金从同一单位或者个人账户转出。</w:t>
      </w:r>
    </w:p>
    <w:p w14:paraId="40953D5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7.7供应商有下列情形之一的，属于恶意串通行为：</w:t>
      </w:r>
    </w:p>
    <w:p w14:paraId="4BA6D4C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3EB3173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77D0294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7216780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04F8DC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52CC4A9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125EA8E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15160AA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7.8关联供应商不得参加同一合同项下政府采购活动，否则响应文件将被视为无效：</w:t>
      </w:r>
    </w:p>
    <w:p w14:paraId="38A4110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（1）单位负责人为同一人或者存在直接控股、管理关系的不同的供应商，不得参加同一合同项下的政府采购活动；</w:t>
      </w:r>
    </w:p>
    <w:p w14:paraId="2C92ECA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（2）生产厂商授权给供应商后自己不得参加同一合同项下的政府采购活动；生产厂商对同一品牌同一型号的货物，仅能委托一个代理商参加投标。</w:t>
      </w:r>
    </w:p>
    <w:p w14:paraId="4582DFA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FAD3A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8.质疑和投诉</w:t>
      </w:r>
    </w:p>
    <w:p w14:paraId="35B2996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8.1供应商认为</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105D6E9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8.2质疑、投诉应当采用书面形式，质疑书、投诉书均应明确阐述</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、招标过程或中标结果中使自己合法权益受到损害的实质性内容，提供相关事实、依据和证据及其来源或线索，便于有关单位调查、答复和处理。</w:t>
      </w:r>
    </w:p>
    <w:p w14:paraId="2CE6186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8.3质疑和投诉书面要求</w:t>
      </w:r>
    </w:p>
    <w:p w14:paraId="60A5794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质疑人或投诉人提供的书面材料（如材料中有外文资料须同时附上中文译本）至少包括以下内容：</w:t>
      </w:r>
    </w:p>
    <w:p w14:paraId="3E36A17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（1）质疑人或投诉人的姓名或者名称、地址、邮编、联系人及联系电话；</w:t>
      </w:r>
    </w:p>
    <w:p w14:paraId="2EE152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1CBE399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2042A88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12E0EC3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17280EE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（6）质疑人或投诉人的签章及质疑或投诉时间；</w:t>
      </w:r>
    </w:p>
    <w:p w14:paraId="19141F6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（7）质疑或投诉的书面材料须提供法定代表人签名和加盖单位公章的原件。</w:t>
      </w:r>
    </w:p>
    <w:p w14:paraId="13AF127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（8）质疑人须一次性提出针对同一采购程序环节的质疑。</w:t>
      </w:r>
    </w:p>
    <w:p w14:paraId="1FC344E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8D3E9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未持有有效授权委托书的代理人提交的质疑函或不在法定质疑期内提交的质疑函，将不予受理。</w:t>
      </w:r>
    </w:p>
    <w:p w14:paraId="232A995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8.4接受质疑函的联系方式等详见磋商公告中采购人、采购代理机构的联系方式。</w:t>
      </w:r>
    </w:p>
    <w:p w14:paraId="4C76D8F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二、磋商文件</w:t>
      </w:r>
    </w:p>
    <w:p w14:paraId="2B49607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9.竞争性磋商采购文件的组成</w:t>
      </w:r>
    </w:p>
    <w:p w14:paraId="302A84F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（1）磋商公告；</w:t>
      </w:r>
    </w:p>
    <w:p w14:paraId="1EA059B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451A087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（3）项目需求；</w:t>
      </w:r>
    </w:p>
    <w:p w14:paraId="7608A18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（4）评审办法和定标标准；</w:t>
      </w:r>
    </w:p>
    <w:p w14:paraId="6FCEFA2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3F9BF48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（6）合同主要条款；</w:t>
      </w:r>
    </w:p>
    <w:p w14:paraId="5194A8F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（7）其他资料（如有）。</w:t>
      </w:r>
    </w:p>
    <w:p w14:paraId="520BBF8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供应商的风险</w:t>
      </w:r>
    </w:p>
    <w:p w14:paraId="48696E5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10.1供应商没有按照</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要求提供全部资料，或者供应商没有对</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在各方面作出实质性响应是供应商的风险，并可能导致其投标被拒绝。</w:t>
      </w:r>
    </w:p>
    <w:p w14:paraId="7C5CE0C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11.磋商文件的澄清与修改</w:t>
      </w:r>
    </w:p>
    <w:p w14:paraId="785A7A0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11.1供应商应</w:t>
      </w:r>
      <w:r>
        <w:rPr>
          <w:rFonts w:hint="eastAsia" w:ascii="宋体" w:hAnsi="宋体" w:eastAsia="宋体" w:cs="宋体"/>
          <w:bCs/>
          <w:color w:val="auto"/>
          <w:highlight w:val="none"/>
        </w:rPr>
        <w:t>认真阅读本磋商文件，发现</w:t>
      </w:r>
      <w:r>
        <w:rPr>
          <w:rFonts w:hint="eastAsia" w:ascii="宋体" w:hAnsi="宋体" w:eastAsia="宋体" w:cs="宋体"/>
          <w:color w:val="auto"/>
          <w:highlight w:val="none"/>
        </w:rPr>
        <w:t>磋商文件表述不清晰、存在歧视性、排他性或者其他违法内容的，应以书面形式要求招标采购单位作出书面解释、澄清</w:t>
      </w:r>
      <w:r>
        <w:rPr>
          <w:rFonts w:hint="eastAsia" w:ascii="宋体" w:hAnsi="宋体" w:eastAsia="宋体" w:cs="宋体"/>
          <w:color w:val="auto"/>
          <w:szCs w:val="21"/>
          <w:highlight w:val="none"/>
        </w:rPr>
        <w:t>，否则，由此产生的后果由供应商负责。</w:t>
      </w:r>
    </w:p>
    <w:p w14:paraId="7DD6C77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14:paraId="647DE2D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14:paraId="1330617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11.4采购人可视具体情况，延长响应文件递交截止时间和开标时间，并在“供应商须知前附表”规定的发布媒体上发布变更公告。</w:t>
      </w:r>
    </w:p>
    <w:p w14:paraId="6DA6203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12.现场考察或答疑会</w:t>
      </w:r>
    </w:p>
    <w:p w14:paraId="61455D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14:paraId="20CB576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12.2供应商考察现场或参加答疑会发生的费用自理。</w:t>
      </w:r>
    </w:p>
    <w:p w14:paraId="7C7C84C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12.3供应商自行负责在考察现场或参加答疑会中所发生的人员伤亡和财产损失。</w:t>
      </w:r>
    </w:p>
    <w:p w14:paraId="2531352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三、响应文件的编制</w:t>
      </w:r>
    </w:p>
    <w:p w14:paraId="0927A68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13.响应文件的组成</w:t>
      </w:r>
    </w:p>
    <w:p w14:paraId="5BBF5F2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响应文件由资格证明文件、商务和技术文件、报价文件组成。</w:t>
      </w:r>
    </w:p>
    <w:p w14:paraId="514C525E">
      <w:pPr>
        <w:pStyle w:val="2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13.1资格证明文件（以下文件标注“▲”的必须提供，否则投标无效，其他可根据实际情况提供）</w:t>
      </w:r>
    </w:p>
    <w:p w14:paraId="617905D4">
      <w:pPr>
        <w:pStyle w:val="27"/>
        <w:keepNext w:val="0"/>
        <w:keepLines w:val="0"/>
        <w:pageBreakBefore w:val="0"/>
        <w:kinsoku/>
        <w:wordWrap/>
        <w:overflowPunct/>
        <w:topLinePunct w:val="0"/>
        <w:autoSpaceDE/>
        <w:autoSpaceDN/>
        <w:bidi w:val="0"/>
        <w:snapToGrid/>
        <w:spacing w:beforeAutospacing="0" w:afterAutospacing="0" w:line="360" w:lineRule="exact"/>
        <w:ind w:firstLine="40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▲注：以下各项属于均要加盖供应商电子公章。联合体投标时，第</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项资格证明文件联合体各方均必须分别提供，联合体各方分别盖章和签字，否则响应文件按无效响应处理。</w:t>
      </w:r>
    </w:p>
    <w:p w14:paraId="0A7051B2">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▲（1）磋商声明书(按第四章要求格式填写)；</w:t>
      </w:r>
    </w:p>
    <w:p w14:paraId="04E90232">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▲（2）供应商合法的主体资格证明（如营业执照、事业单位法人证书、执业许可证、个体工商户营业执照、自然人身份证等）复印件；</w:t>
      </w:r>
    </w:p>
    <w:p w14:paraId="65898D01">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）政府采购供应商资格信用承诺函(按第</w:t>
      </w:r>
      <w:r>
        <w:rPr>
          <w:rFonts w:hint="eastAsia" w:ascii="宋体" w:hAnsi="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章要求格式填写)；</w:t>
      </w:r>
    </w:p>
    <w:p w14:paraId="0293CA8C">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 xml:space="preserve">）参加政府采购活动前三年内在经营活动中没有重大违法记录和不良信用记录的书面声明书（格式自拟）； </w:t>
      </w:r>
    </w:p>
    <w:p w14:paraId="614DDAC5">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）供应商如为分支机构投标的，须提供其总公司“营业执照”副本复印件和总公司对供应商参与本项目投标的授权书原件；</w:t>
      </w:r>
    </w:p>
    <w:p w14:paraId="1468C33A">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）供应商直接控股、管理关系信息表(按第四章要求格式填写)；</w:t>
      </w:r>
    </w:p>
    <w:p w14:paraId="6A1F0FE3">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）特定资格条件：</w:t>
      </w:r>
      <w:r>
        <w:rPr>
          <w:rFonts w:hint="eastAsia" w:ascii="宋体" w:hAnsi="宋体" w:eastAsia="宋体" w:cs="宋体"/>
          <w:color w:val="auto"/>
          <w:sz w:val="21"/>
          <w:szCs w:val="21"/>
          <w:highlight w:val="none"/>
          <w:lang w:val="en-US" w:eastAsia="zh-CN"/>
        </w:rPr>
        <w:t>①</w:t>
      </w:r>
      <w:r>
        <w:rPr>
          <w:rFonts w:hint="eastAsia" w:ascii="宋体" w:hAnsi="宋体" w:eastAsia="宋体" w:cs="宋体"/>
          <w:b w:val="0"/>
          <w:bCs/>
          <w:color w:val="auto"/>
          <w:szCs w:val="21"/>
          <w:highlight w:val="none"/>
        </w:rPr>
        <w:t>供应商</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eastAsia="zh-CN"/>
        </w:rPr>
        <w:t>建筑工程施工总承包三级（及以上）</w:t>
      </w:r>
      <w:r>
        <w:rPr>
          <w:rFonts w:hint="eastAsia" w:ascii="宋体" w:hAnsi="宋体" w:eastAsia="宋体" w:cs="宋体"/>
          <w:color w:val="auto"/>
          <w:sz w:val="21"/>
          <w:szCs w:val="21"/>
          <w:highlight w:val="none"/>
        </w:rPr>
        <w:t>资质</w:t>
      </w:r>
      <w:r>
        <w:rPr>
          <w:rFonts w:hint="eastAsia" w:ascii="宋体" w:hAnsi="宋体" w:eastAsia="宋体" w:cs="宋体"/>
          <w:color w:val="auto"/>
          <w:sz w:val="21"/>
          <w:szCs w:val="21"/>
          <w:highlight w:val="none"/>
          <w:lang w:val="en-US" w:eastAsia="zh-CN"/>
        </w:rPr>
        <w:t>证书复印件及</w:t>
      </w:r>
      <w:r>
        <w:rPr>
          <w:rFonts w:hint="eastAsia" w:ascii="宋体" w:hAnsi="宋体" w:eastAsia="宋体" w:cs="宋体"/>
          <w:color w:val="auto"/>
          <w:sz w:val="21"/>
          <w:szCs w:val="21"/>
          <w:highlight w:val="none"/>
        </w:rPr>
        <w:t>《安全生产许可证》</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拟派项目经理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rPr>
        <w:t>建筑工程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u w:val="single"/>
        </w:rPr>
        <w:t>贰级（含）以上</w:t>
      </w:r>
      <w:r>
        <w:rPr>
          <w:rFonts w:hint="eastAsia" w:ascii="宋体" w:hAnsi="宋体" w:eastAsia="宋体" w:cs="宋体"/>
          <w:color w:val="auto"/>
          <w:sz w:val="21"/>
          <w:szCs w:val="21"/>
          <w:highlight w:val="none"/>
        </w:rPr>
        <w:t>有效注册建造师执业资格</w:t>
      </w:r>
      <w:r>
        <w:rPr>
          <w:rFonts w:hint="eastAsia" w:ascii="宋体" w:hAnsi="宋体" w:eastAsia="宋体" w:cs="宋体"/>
          <w:color w:val="auto"/>
          <w:sz w:val="21"/>
          <w:szCs w:val="21"/>
          <w:highlight w:val="none"/>
          <w:lang w:val="en-US" w:eastAsia="zh-CN"/>
        </w:rPr>
        <w:t>证书复印件、</w:t>
      </w:r>
      <w:r>
        <w:rPr>
          <w:rFonts w:hint="eastAsia" w:ascii="宋体" w:hAnsi="宋体" w:eastAsia="宋体" w:cs="宋体"/>
          <w:color w:val="auto"/>
          <w:sz w:val="21"/>
          <w:szCs w:val="21"/>
          <w:highlight w:val="none"/>
        </w:rPr>
        <w:t>安全生产考核合格证书（B类）</w:t>
      </w:r>
      <w:r>
        <w:rPr>
          <w:rFonts w:hint="eastAsia" w:ascii="宋体" w:hAnsi="宋体" w:eastAsia="宋体" w:cs="宋体"/>
          <w:color w:val="auto"/>
          <w:sz w:val="21"/>
          <w:szCs w:val="21"/>
          <w:highlight w:val="none"/>
          <w:lang w:val="en-US" w:eastAsia="zh-CN"/>
        </w:rPr>
        <w:t>复印件及</w:t>
      </w:r>
      <w:r>
        <w:rPr>
          <w:rFonts w:hint="eastAsia" w:ascii="宋体" w:hAnsi="宋体" w:eastAsia="宋体" w:cs="宋体"/>
          <w:color w:val="auto"/>
          <w:sz w:val="21"/>
          <w:szCs w:val="21"/>
          <w:highlight w:val="none"/>
        </w:rPr>
        <w:t>拟派项目经理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Cs w:val="21"/>
          <w:highlight w:val="none"/>
          <w:lang w:eastAsia="zh-CN"/>
        </w:rPr>
        <w:t>无在建承诺书</w:t>
      </w:r>
      <w:r>
        <w:rPr>
          <w:rFonts w:hint="eastAsia" w:ascii="宋体" w:hAnsi="宋体" w:eastAsia="宋体" w:cs="宋体"/>
          <w:color w:val="auto"/>
          <w:szCs w:val="21"/>
          <w:highlight w:val="none"/>
        </w:rPr>
        <w:t>（格式自拟）</w:t>
      </w:r>
      <w:r>
        <w:rPr>
          <w:rFonts w:hint="eastAsia" w:ascii="宋体" w:hAnsi="宋体" w:eastAsia="宋体" w:cs="宋体"/>
          <w:color w:val="auto"/>
          <w:sz w:val="21"/>
          <w:szCs w:val="21"/>
          <w:highlight w:val="none"/>
        </w:rPr>
        <w:t>。</w:t>
      </w:r>
    </w:p>
    <w:p w14:paraId="35ACD820">
      <w:pPr>
        <w:spacing w:line="360" w:lineRule="exact"/>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rPr>
        <w:t>中小企业声明函或</w:t>
      </w:r>
      <w:r>
        <w:rPr>
          <w:rFonts w:hint="eastAsia" w:ascii="宋体" w:hAnsi="宋体" w:eastAsia="宋体" w:cs="宋体"/>
          <w:bCs/>
          <w:color w:val="auto"/>
          <w:szCs w:val="21"/>
          <w:highlight w:val="none"/>
        </w:rPr>
        <w:t>残疾人福利性单位声明函或属于监狱企业的证明文件（由省级以上监狱管</w:t>
      </w:r>
      <w:r>
        <w:rPr>
          <w:rFonts w:hint="eastAsia" w:ascii="宋体" w:hAnsi="宋体" w:eastAsia="宋体" w:cs="宋体"/>
          <w:bCs/>
          <w:color w:val="auto"/>
          <w:sz w:val="21"/>
          <w:szCs w:val="21"/>
          <w:highlight w:val="none"/>
        </w:rPr>
        <w:t>理局、戒毒管理局（含新疆生产建设兵团）出具）；（</w:t>
      </w:r>
      <w:r>
        <w:rPr>
          <w:rFonts w:hint="eastAsia" w:ascii="宋体" w:hAnsi="宋体" w:eastAsia="宋体" w:cs="宋体"/>
          <w:color w:val="auto"/>
          <w:sz w:val="21"/>
          <w:szCs w:val="21"/>
          <w:highlight w:val="none"/>
        </w:rPr>
        <w:t>按第四章要求的格式提供</w:t>
      </w:r>
      <w:r>
        <w:rPr>
          <w:rFonts w:hint="eastAsia" w:ascii="宋体" w:hAnsi="宋体" w:eastAsia="宋体" w:cs="宋体"/>
          <w:bCs/>
          <w:color w:val="auto"/>
          <w:sz w:val="21"/>
          <w:szCs w:val="21"/>
          <w:highlight w:val="none"/>
        </w:rPr>
        <w:t>）</w:t>
      </w:r>
    </w:p>
    <w:p w14:paraId="57B11BAC">
      <w:pPr>
        <w:pStyle w:val="27"/>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13.2商务和技术文件（以下文件标注“▲”的必须提供，“</w:t>
      </w:r>
      <w:r>
        <w:rPr>
          <w:rFonts w:hint="eastAsia" w:ascii="宋体" w:hAnsi="宋体" w:eastAsia="宋体" w:cs="宋体"/>
          <w:b/>
          <w:color w:val="auto"/>
          <w:sz w:val="21"/>
          <w:szCs w:val="21"/>
          <w:highlight w:val="none"/>
          <w:lang w:val="en-US" w:eastAsia="zh-CN"/>
        </w:rPr>
        <w:t xml:space="preserve">第三章 </w:t>
      </w:r>
      <w:r>
        <w:rPr>
          <w:rFonts w:hint="eastAsia" w:ascii="宋体" w:hAnsi="宋体" w:eastAsia="宋体" w:cs="宋体"/>
          <w:b/>
          <w:color w:val="auto"/>
          <w:sz w:val="21"/>
          <w:szCs w:val="21"/>
          <w:highlight w:val="none"/>
          <w:lang w:eastAsia="zh-CN"/>
        </w:rPr>
        <w:t>项目采购需求</w:t>
      </w:r>
      <w:r>
        <w:rPr>
          <w:rFonts w:hint="eastAsia" w:ascii="宋体" w:hAnsi="宋体" w:eastAsia="宋体" w:cs="宋体"/>
          <w:b/>
          <w:color w:val="auto"/>
          <w:sz w:val="21"/>
          <w:szCs w:val="21"/>
          <w:highlight w:val="none"/>
        </w:rPr>
        <w:t>”要求“必须提供”的必须提供，其他可根据实际情况提供，第（1）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（2）项由法定代表人签名，否则其投标无效</w:t>
      </w:r>
      <w:r>
        <w:rPr>
          <w:rFonts w:hint="eastAsia" w:ascii="宋体" w:hAnsi="宋体" w:eastAsia="宋体" w:cs="宋体"/>
          <w:color w:val="auto"/>
          <w:sz w:val="21"/>
          <w:szCs w:val="21"/>
          <w:highlight w:val="none"/>
        </w:rPr>
        <w:t>）</w:t>
      </w:r>
    </w:p>
    <w:p w14:paraId="5E7A554F">
      <w:pPr>
        <w:keepNext w:val="0"/>
        <w:keepLines w:val="0"/>
        <w:pageBreakBefore w:val="0"/>
        <w:kinsoku/>
        <w:wordWrap/>
        <w:overflowPunct/>
        <w:topLinePunct w:val="0"/>
        <w:autoSpaceDE/>
        <w:autoSpaceDN/>
        <w:bidi w:val="0"/>
        <w:snapToGrid/>
        <w:spacing w:beforeAutospacing="0" w:afterAutospacing="0"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▲注：以下标注“▲”均要加盖供应商单位电子公章</w:t>
      </w:r>
      <w:r>
        <w:rPr>
          <w:rFonts w:hint="eastAsia" w:ascii="宋体" w:hAnsi="宋体" w:eastAsia="宋体" w:cs="宋体"/>
          <w:b/>
          <w:bCs/>
          <w:color w:val="auto"/>
          <w:sz w:val="21"/>
          <w:szCs w:val="21"/>
          <w:highlight w:val="none"/>
        </w:rPr>
        <w:t>或</w:t>
      </w:r>
      <w:r>
        <w:rPr>
          <w:rFonts w:hint="eastAsia" w:ascii="宋体" w:hAnsi="宋体" w:eastAsia="宋体" w:cs="宋体"/>
          <w:b/>
          <w:color w:val="auto"/>
          <w:sz w:val="21"/>
          <w:szCs w:val="21"/>
          <w:highlight w:val="none"/>
        </w:rPr>
        <w:t>自然人加盖手指指印，否则其投标无效。</w:t>
      </w:r>
    </w:p>
    <w:p w14:paraId="6510CE23">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▲（1）法定代表人身份证明书(按第四章要求格式填写)； </w:t>
      </w:r>
    </w:p>
    <w:p w14:paraId="77717FB0">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▲（2）法定代表人授权委托书及被授权委托人身份证复印件(</w:t>
      </w:r>
      <w:r>
        <w:rPr>
          <w:rFonts w:hint="eastAsia" w:ascii="宋体" w:hAnsi="宋体" w:eastAsia="宋体" w:cs="宋体"/>
          <w:color w:val="auto"/>
          <w:szCs w:val="21"/>
          <w:highlight w:val="none"/>
        </w:rPr>
        <w:t>委托代理时，按第四章要求格式填写)；</w:t>
      </w:r>
    </w:p>
    <w:p w14:paraId="27C06955">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）供应商情况介绍（格式自拟）；</w:t>
      </w:r>
    </w:p>
    <w:p w14:paraId="4CCAD8D8">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）商务响应表(按第四章要求格式填写)；</w:t>
      </w:r>
    </w:p>
    <w:p w14:paraId="150A7C63">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施工组织设计</w:t>
      </w:r>
      <w:r>
        <w:rPr>
          <w:rFonts w:hint="eastAsia" w:ascii="宋体" w:hAnsi="宋体" w:eastAsia="宋体" w:cs="宋体"/>
          <w:color w:val="auto"/>
          <w:szCs w:val="21"/>
          <w:highlight w:val="none"/>
        </w:rPr>
        <w:t>（格式自拟）；</w:t>
      </w:r>
    </w:p>
    <w:p w14:paraId="30F24CCC">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项目管理机构配备表</w:t>
      </w:r>
      <w:r>
        <w:rPr>
          <w:rFonts w:hint="eastAsia" w:ascii="宋体" w:hAnsi="宋体" w:eastAsia="宋体" w:cs="宋体"/>
          <w:color w:val="auto"/>
          <w:szCs w:val="21"/>
          <w:highlight w:val="none"/>
        </w:rPr>
        <w:t>（按第四章要求格式填写）；</w:t>
      </w:r>
    </w:p>
    <w:p w14:paraId="70D12CB0">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项目经理简历表（</w:t>
      </w:r>
      <w:r>
        <w:rPr>
          <w:rFonts w:hint="eastAsia" w:ascii="宋体" w:hAnsi="宋体" w:eastAsia="宋体" w:cs="宋体"/>
          <w:color w:val="auto"/>
          <w:szCs w:val="21"/>
          <w:highlight w:val="none"/>
        </w:rPr>
        <w:t>按第四章要求格式填写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p w14:paraId="3912D704">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）专职安全员简历表</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按第四章要求格式填写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p w14:paraId="4BCEAFB3">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）农民工工资保证金承诺书（按第四章要求格式填写）；</w:t>
      </w:r>
    </w:p>
    <w:p w14:paraId="122C7439">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建设工程项目管理承诺书（按第四章要求格式填写）</w:t>
      </w:r>
    </w:p>
    <w:p w14:paraId="3A466F51">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）代理服务费承诺书(按第四章要求格式填写)；</w:t>
      </w:r>
    </w:p>
    <w:p w14:paraId="3788CD3E">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）供应商对本项目的合理化建议和改进措施（格式自拟）；</w:t>
      </w:r>
    </w:p>
    <w:p w14:paraId="4C0FFBB9">
      <w:pPr>
        <w:keepNext w:val="0"/>
        <w:keepLines w:val="0"/>
        <w:pageBreakBefore w:val="0"/>
        <w:kinsoku/>
        <w:wordWrap/>
        <w:overflowPunct/>
        <w:topLinePunct w:val="0"/>
        <w:autoSpaceDE/>
        <w:autoSpaceDN/>
        <w:bidi w:val="0"/>
        <w:snapToGrid/>
        <w:spacing w:beforeAutospacing="0" w:afterAutospacing="0" w:line="360" w:lineRule="exact"/>
        <w:ind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highlight w:val="none"/>
        </w:rPr>
        <w:t>供应商认为需要提供的其他证明材料。（供应商根据“第三章 采购需求”及“第六章 评标方法及评标标准”提供有关证明材料）。</w:t>
      </w:r>
    </w:p>
    <w:p w14:paraId="52336F0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13.3报价文件（以下文件标注“▲”的必须提供，要求“必须提供”的必须提供，其他可根据实际情况提供</w:t>
      </w:r>
      <w:r>
        <w:rPr>
          <w:rFonts w:hint="eastAsia" w:ascii="宋体" w:hAnsi="宋体" w:eastAsia="宋体" w:cs="宋体"/>
          <w:color w:val="auto"/>
          <w:szCs w:val="21"/>
          <w:highlight w:val="none"/>
        </w:rPr>
        <w:t>）</w:t>
      </w:r>
    </w:p>
    <w:p w14:paraId="37F90532">
      <w:pPr>
        <w:keepNext w:val="0"/>
        <w:keepLines w:val="0"/>
        <w:pageBreakBefore w:val="0"/>
        <w:kinsoku/>
        <w:wordWrap/>
        <w:overflowPunct/>
        <w:topLinePunct w:val="0"/>
        <w:autoSpaceDE/>
        <w:autoSpaceDN/>
        <w:bidi w:val="0"/>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▲注：以下标注“▲”均要加盖供应商单位电子公章</w:t>
      </w:r>
      <w:r>
        <w:rPr>
          <w:rFonts w:hint="eastAsia" w:ascii="宋体" w:hAnsi="宋体" w:eastAsia="宋体" w:cs="宋体"/>
          <w:b/>
          <w:bCs/>
          <w:color w:val="auto"/>
          <w:szCs w:val="21"/>
          <w:highlight w:val="none"/>
        </w:rPr>
        <w:t>或</w:t>
      </w:r>
      <w:r>
        <w:rPr>
          <w:rFonts w:hint="eastAsia" w:ascii="宋体" w:hAnsi="宋体" w:eastAsia="宋体" w:cs="宋体"/>
          <w:b/>
          <w:color w:val="auto"/>
          <w:highlight w:val="none"/>
        </w:rPr>
        <w:t>自然人加盖手指指印，否则其投标无效。</w:t>
      </w:r>
    </w:p>
    <w:p w14:paraId="4F727965">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▲（1）竞标函（按第四章要求格式填写）；</w:t>
      </w:r>
    </w:p>
    <w:p w14:paraId="5DAAE195">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▲（2）报价表 (按第四章要求格式填写) ；</w:t>
      </w:r>
    </w:p>
    <w:p w14:paraId="4E398378">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）已标价的工程量清单（</w:t>
      </w:r>
      <w:r>
        <w:rPr>
          <w:rFonts w:hint="eastAsia" w:ascii="宋体" w:hAnsi="宋体" w:eastAsia="宋体" w:cs="宋体"/>
          <w:color w:val="auto"/>
          <w:highlight w:val="none"/>
          <w:lang w:eastAsia="zh-CN"/>
        </w:rPr>
        <w:t>根据竞争性磋商文件提供的工程量清单编制投标工程量清单</w:t>
      </w:r>
      <w:r>
        <w:rPr>
          <w:rFonts w:hint="eastAsia" w:ascii="宋体" w:hAnsi="宋体" w:eastAsia="宋体" w:cs="宋体"/>
          <w:color w:val="auto"/>
          <w:szCs w:val="21"/>
          <w:highlight w:val="none"/>
        </w:rPr>
        <w:t xml:space="preserve">）； </w:t>
      </w:r>
    </w:p>
    <w:p w14:paraId="56E08F13">
      <w:pPr>
        <w:keepNext w:val="0"/>
        <w:keepLines w:val="0"/>
        <w:pageBreakBefore w:val="0"/>
        <w:kinsoku/>
        <w:wordWrap/>
        <w:overflowPunct/>
        <w:topLinePunct w:val="0"/>
        <w:autoSpaceDE/>
        <w:autoSpaceDN/>
        <w:bidi w:val="0"/>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）供应商针对报价需要说明的其他文件和说明（如有，格式自拟） </w:t>
      </w:r>
    </w:p>
    <w:p w14:paraId="739053EB">
      <w:pPr>
        <w:keepNext w:val="0"/>
        <w:keepLines w:val="0"/>
        <w:pageBreakBefore w:val="0"/>
        <w:kinsoku/>
        <w:wordWrap/>
        <w:overflowPunct/>
        <w:topLinePunct w:val="0"/>
        <w:autoSpaceDE/>
        <w:autoSpaceDN/>
        <w:bidi w:val="0"/>
        <w:snapToGrid/>
        <w:spacing w:beforeAutospacing="0" w:afterAutospacing="0" w:line="36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注：若</w:t>
      </w:r>
      <w:r>
        <w:rPr>
          <w:rFonts w:hint="eastAsia" w:ascii="宋体" w:hAnsi="宋体" w:eastAsia="宋体" w:cs="宋体"/>
          <w:b/>
          <w:bCs/>
          <w:color w:val="auto"/>
          <w:highlight w:val="none"/>
        </w:rPr>
        <w:t>竞争性磋商</w:t>
      </w:r>
      <w:r>
        <w:rPr>
          <w:rFonts w:hint="eastAsia" w:ascii="宋体" w:hAnsi="宋体" w:eastAsia="宋体" w:cs="宋体"/>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14:paraId="43A863B2">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响应文件的语言及计量</w:t>
      </w:r>
    </w:p>
    <w:p w14:paraId="15D4B0B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14:paraId="5B2B638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14:paraId="531EEE17">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15、响应文件报价要求</w:t>
      </w:r>
    </w:p>
    <w:p w14:paraId="0A73A7A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15.1本项目最高限价详见须知前附表。响应文件</w:t>
      </w:r>
      <w:r>
        <w:rPr>
          <w:rFonts w:hint="eastAsia" w:ascii="宋体" w:hAnsi="宋体" w:eastAsia="宋体" w:cs="宋体"/>
          <w:color w:val="auto"/>
          <w:highlight w:val="none"/>
        </w:rPr>
        <w:t>报价须小于等于最高限价，否则响应无效。</w:t>
      </w:r>
    </w:p>
    <w:p w14:paraId="38B3B84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14:paraId="271AD5B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15.3成交供应商负责本项目所需服务的全部工作，包含完成本项目所需的人力成本（含人员工资、福利、各种保险）、交通、设备费、场地使用费、材料费、验收费、利润、税金等一切可能发生的费用。</w:t>
      </w:r>
    </w:p>
    <w:p w14:paraId="428B6F8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15.4供应商应就第三章《项目采购需求》中的全部服务内容作完整唯一报价。</w:t>
      </w:r>
    </w:p>
    <w:p w14:paraId="0D19331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15.5响应文件只允许有一个报价，有选择的或有条件的报价将不予接受（磋商文件另有规定的除外）。</w:t>
      </w:r>
    </w:p>
    <w:p w14:paraId="4D813EF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15.6</w:t>
      </w:r>
      <w:r>
        <w:rPr>
          <w:rFonts w:hint="eastAsia" w:ascii="宋体" w:hAnsi="宋体" w:eastAsia="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14:paraId="215D5D3B">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16、响应文件有效期</w:t>
      </w:r>
    </w:p>
    <w:p w14:paraId="6863F64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16.1响应文件有效期：详见供应商须知前附表。有效期不足的响应文件将被拒绝。</w:t>
      </w:r>
    </w:p>
    <w:p w14:paraId="49D3E131">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16.2在特殊情况下，采购人可与供应商协商延长响应文件的有效期，这种要求和答复均以书面形式进行。</w:t>
      </w:r>
    </w:p>
    <w:p w14:paraId="22D1916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 xml:space="preserve">16.3供应商可拒绝接受延长有效期要求而不会导致磋商保证金被没收。同意延长有效期的供应商需要相应延长磋商保证金的有效期，但不能修改响应文件其它内容。 </w:t>
      </w:r>
    </w:p>
    <w:p w14:paraId="5F7279A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16.4</w:t>
      </w:r>
      <w:r>
        <w:rPr>
          <w:rFonts w:hint="eastAsia" w:ascii="宋体" w:hAnsi="宋体" w:eastAsia="宋体" w:cs="宋体"/>
          <w:color w:val="auto"/>
          <w:highlight w:val="none"/>
        </w:rPr>
        <w:t>供应商的响应文件自开标之日起至合同履行完毕止均应保持有效。</w:t>
      </w:r>
    </w:p>
    <w:p w14:paraId="23BF0C44">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17、磋商保证金</w:t>
      </w:r>
    </w:p>
    <w:p w14:paraId="0109C9C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17.1磋商保证金金额：详见供应商须知前附表。磋商保证金应在响应文件有效期内保持有效。</w:t>
      </w:r>
    </w:p>
    <w:p w14:paraId="3C108DD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17.2供应商须按规定于竞标截止前足额提交磋商保证金，</w:t>
      </w:r>
      <w:r>
        <w:rPr>
          <w:rFonts w:hint="eastAsia" w:ascii="宋体" w:hAnsi="宋体" w:eastAsia="宋体" w:cs="宋体"/>
          <w:b/>
          <w:color w:val="auto"/>
          <w:kern w:val="0"/>
          <w:szCs w:val="21"/>
          <w:highlight w:val="none"/>
        </w:rPr>
        <w:t>否则，其响应无效。</w:t>
      </w:r>
    </w:p>
    <w:p w14:paraId="26AA5F1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17.3磋商保证金交纳形式：</w:t>
      </w:r>
      <w:r>
        <w:rPr>
          <w:rFonts w:hint="eastAsia" w:ascii="宋体" w:hAnsi="宋体" w:eastAsia="宋体" w:cs="宋体"/>
          <w:color w:val="auto"/>
          <w:highlight w:val="none"/>
        </w:rPr>
        <w:t>转账、电汇、网上银行、支票、汇票、本票或者银行、保险机构出具的保函，禁止采用现钞方式。</w:t>
      </w:r>
    </w:p>
    <w:p w14:paraId="4ABF9F6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采用转账、电汇、网上银行方式的，在首次提交响应文件截止时间前交至广西德元工程项目管理有限责任公司（收款单位名称），开户银行：柳州银行北站支行营业部，银行账号：707002011010900000108</w:t>
      </w:r>
      <w:r>
        <w:rPr>
          <w:rFonts w:hint="eastAsia" w:ascii="宋体" w:hAnsi="宋体" w:eastAsia="宋体" w:cs="宋体"/>
          <w:color w:val="auto"/>
          <w:kern w:val="0"/>
          <w:szCs w:val="21"/>
          <w:highlight w:val="none"/>
        </w:rPr>
        <w:t>。</w:t>
      </w:r>
    </w:p>
    <w:p w14:paraId="0CA1A868">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ascii="宋体" w:hAnsi="宋体" w:eastAsia="宋体" w:cs="宋体"/>
          <w:b/>
          <w:color w:val="auto"/>
          <w:sz w:val="21"/>
          <w:highlight w:val="none"/>
        </w:rPr>
        <w:t>否则其响应无效</w:t>
      </w:r>
      <w:r>
        <w:rPr>
          <w:rFonts w:hint="eastAsia" w:ascii="宋体" w:hAnsi="宋体" w:eastAsia="宋体" w:cs="宋体"/>
          <w:color w:val="auto"/>
          <w:sz w:val="21"/>
          <w:highlight w:val="none"/>
        </w:rPr>
        <w:t>。若广西德元工程项目管理有限责任公司保证金专户在保证金规定递交时间内没有收到供应商足额交纳的磋商保证金，</w:t>
      </w:r>
      <w:r>
        <w:rPr>
          <w:rFonts w:hint="eastAsia" w:ascii="宋体" w:hAnsi="宋体" w:eastAsia="宋体" w:cs="宋体"/>
          <w:b/>
          <w:color w:val="auto"/>
          <w:sz w:val="21"/>
          <w:highlight w:val="none"/>
        </w:rPr>
        <w:t>其响应无效</w:t>
      </w:r>
      <w:r>
        <w:rPr>
          <w:rFonts w:hint="eastAsia" w:ascii="宋体" w:hAnsi="宋体" w:eastAsia="宋体" w:cs="宋体"/>
          <w:color w:val="auto"/>
          <w:sz w:val="21"/>
          <w:highlight w:val="none"/>
        </w:rPr>
        <w:t>；因此供应商在缴纳磋商保证金时应充分考虑保证金到达本公司保证金专户上的时间，以免影响竞标。办理磋商保证金手续时，请务必在银行</w:t>
      </w:r>
      <w:r>
        <w:rPr>
          <w:rFonts w:hint="eastAsia" w:ascii="宋体" w:hAnsi="宋体" w:eastAsia="宋体" w:cs="宋体"/>
          <w:color w:val="auto"/>
          <w:sz w:val="21"/>
          <w:highlight w:val="none"/>
          <w:lang w:eastAsia="zh-CN"/>
        </w:rPr>
        <w:t>进账单</w:t>
      </w:r>
      <w:r>
        <w:rPr>
          <w:rFonts w:hint="eastAsia" w:ascii="宋体" w:hAnsi="宋体" w:eastAsia="宋体" w:cs="宋体"/>
          <w:color w:val="auto"/>
          <w:sz w:val="21"/>
          <w:highlight w:val="none"/>
        </w:rPr>
        <w:t>的用途或空白栏上注明招标项目名称或采购编号</w:t>
      </w:r>
      <w:r>
        <w:rPr>
          <w:rFonts w:hint="eastAsia" w:ascii="宋体" w:hAnsi="宋体" w:eastAsia="宋体" w:cs="宋体"/>
          <w:b/>
          <w:color w:val="auto"/>
          <w:sz w:val="21"/>
          <w:highlight w:val="none"/>
        </w:rPr>
        <w:t>，如遇受字符限制的情况，项目名称可简写。</w:t>
      </w:r>
    </w:p>
    <w:p w14:paraId="5CDCC47E">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ascii="宋体" w:hAnsi="宋体" w:eastAsia="宋体" w:cs="宋体"/>
          <w:b/>
          <w:color w:val="auto"/>
          <w:sz w:val="21"/>
          <w:highlight w:val="none"/>
        </w:rPr>
        <w:t>，否则其响应无效</w:t>
      </w:r>
      <w:r>
        <w:rPr>
          <w:rFonts w:hint="eastAsia" w:ascii="宋体" w:hAnsi="宋体" w:eastAsia="宋体" w:cs="宋体"/>
          <w:color w:val="auto"/>
          <w:sz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ascii="宋体" w:hAnsi="宋体" w:eastAsia="宋体" w:cs="宋体"/>
          <w:b/>
          <w:color w:val="auto"/>
          <w:sz w:val="21"/>
          <w:highlight w:val="none"/>
        </w:rPr>
        <w:t>其响应无效</w:t>
      </w:r>
      <w:r>
        <w:rPr>
          <w:rFonts w:hint="eastAsia" w:ascii="宋体" w:hAnsi="宋体" w:eastAsia="宋体" w:cs="宋体"/>
          <w:color w:val="auto"/>
          <w:sz w:val="21"/>
          <w:highlight w:val="none"/>
        </w:rPr>
        <w:t>；因此供应商无论采用现场或者是邮寄递交上述原件时应充分考虑到达时间，以免影响竞标。</w:t>
      </w:r>
    </w:p>
    <w:p w14:paraId="36BD6E14">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17.4</w:t>
      </w:r>
      <w:r>
        <w:rPr>
          <w:rFonts w:hint="eastAsia" w:ascii="宋体" w:hAnsi="宋体" w:eastAsia="宋体" w:cs="宋体"/>
          <w:b/>
          <w:color w:val="auto"/>
          <w:spacing w:val="-2"/>
          <w:sz w:val="21"/>
          <w:highlight w:val="none"/>
        </w:rPr>
        <w:t>首次提交响应文件截止时间后提交的，或未足额交纳的，或保函额度不足的，视为无效磋商保证金</w:t>
      </w:r>
      <w:r>
        <w:rPr>
          <w:rFonts w:hint="eastAsia" w:ascii="宋体" w:hAnsi="宋体" w:eastAsia="宋体" w:cs="宋体"/>
          <w:b/>
          <w:color w:val="auto"/>
          <w:sz w:val="21"/>
          <w:highlight w:val="none"/>
        </w:rPr>
        <w:t>。</w:t>
      </w:r>
    </w:p>
    <w:p w14:paraId="13814A85">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17.5</w:t>
      </w:r>
      <w:r>
        <w:rPr>
          <w:rFonts w:hint="eastAsia" w:ascii="宋体" w:hAnsi="宋体" w:eastAsia="宋体" w:cs="宋体"/>
          <w:b/>
          <w:color w:val="auto"/>
          <w:sz w:val="21"/>
          <w:highlight w:val="none"/>
        </w:rPr>
        <w:t>供应商采用现钞方式或从个人账户（个体工商户及自然人竞标除外）转出的磋商保证金，视为无效磋商保证金。</w:t>
      </w:r>
    </w:p>
    <w:p w14:paraId="3FC2480F">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17.6</w:t>
      </w:r>
      <w:r>
        <w:rPr>
          <w:rFonts w:hint="eastAsia" w:ascii="宋体" w:hAnsi="宋体" w:eastAsia="宋体" w:cs="宋体"/>
          <w:b/>
          <w:color w:val="auto"/>
          <w:sz w:val="21"/>
          <w:highlight w:val="none"/>
        </w:rPr>
        <w:t>支票、汇票、本票出现背书情形，或者有条件支付的，或者支票、汇票、本票无效的，视为无效磋商保证金。</w:t>
      </w:r>
    </w:p>
    <w:p w14:paraId="63D69CF3">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17.7</w:t>
      </w:r>
      <w:r>
        <w:rPr>
          <w:rFonts w:hint="eastAsia" w:ascii="宋体" w:hAnsi="宋体" w:eastAsia="宋体" w:cs="宋体"/>
          <w:b/>
          <w:color w:val="auto"/>
          <w:sz w:val="21"/>
          <w:highlight w:val="none"/>
        </w:rPr>
        <w:t>保函有效期低于响应文件有效期的，视为无效磋商保证金。</w:t>
      </w:r>
    </w:p>
    <w:p w14:paraId="08DBFCC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
          <w:color w:val="auto"/>
          <w:kern w:val="2"/>
          <w:sz w:val="21"/>
          <w:highlight w:val="none"/>
        </w:rPr>
      </w:pPr>
      <w:r>
        <w:rPr>
          <w:rFonts w:hint="eastAsia" w:ascii="宋体" w:hAnsi="宋体" w:eastAsia="宋体" w:cs="宋体"/>
          <w:color w:val="auto"/>
          <w:sz w:val="21"/>
          <w:highlight w:val="none"/>
        </w:rPr>
        <w:t>17.8</w:t>
      </w:r>
      <w:r>
        <w:rPr>
          <w:rFonts w:hint="eastAsia" w:ascii="宋体" w:hAnsi="宋体" w:eastAsia="宋体" w:cs="宋体"/>
          <w:b/>
          <w:color w:val="auto"/>
          <w:sz w:val="21"/>
          <w:highlight w:val="none"/>
        </w:rPr>
        <w:t>磋商保证金采用金融机构、担保机构出具的保函为有条件保函的，视为无效磋商保证金。</w:t>
      </w:r>
    </w:p>
    <w:p w14:paraId="78E411C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17.9磋商保证金的退还</w:t>
      </w:r>
    </w:p>
    <w:p w14:paraId="4B74810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（1）未成交人的磋商保证金自成交通知书发出之日起4个工作日内退还，退还方式如下：</w:t>
      </w:r>
    </w:p>
    <w:p w14:paraId="6228727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①采用银行转账方式的，以转账方式退回到供应商银行账户。</w:t>
      </w:r>
    </w:p>
    <w:p w14:paraId="4BF0A8B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②采用支票、汇票或本票方式的，以转账方式退回到供应商银行账户或由供应商代表持相关授权证明材料至采购人或采购代理机构办理支票、汇票或本票原件退还手续。 </w:t>
      </w:r>
    </w:p>
    <w:p w14:paraId="56F8B2F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③采用银行、保险机构出具的保函方式的，由供应商代表持相关授权证明材料在采购结果公告公布之日起五个工作日内至采购人或采购代理机构办理保函原件退还手续，供应商逾期领取所造成的后果由供应商自行承担。 </w:t>
      </w:r>
    </w:p>
    <w:p w14:paraId="6678FB4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（2）成交人应在合同签订之日起2个工作日内向采购代理机构提供</w:t>
      </w:r>
      <w:r>
        <w:rPr>
          <w:rFonts w:hint="eastAsia" w:ascii="宋体" w:hAnsi="宋体" w:eastAsia="宋体" w:cs="宋体"/>
          <w:color w:val="auto"/>
          <w:highlight w:val="none"/>
          <w:u w:val="single"/>
        </w:rPr>
        <w:t xml:space="preserve"> 壹 </w:t>
      </w:r>
      <w:r>
        <w:rPr>
          <w:rFonts w:hint="eastAsia" w:ascii="宋体" w:hAnsi="宋体" w:eastAsia="宋体" w:cs="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14:paraId="4C6B77A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（3）磋商保证金不计息。</w:t>
      </w:r>
    </w:p>
    <w:p w14:paraId="58912EB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17.10供应商有下列情形之一的，磋商保证金将不予退还：</w:t>
      </w:r>
    </w:p>
    <w:p w14:paraId="27C31E5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（1）供应商在响应文件有效期内撤回响应文件的；</w:t>
      </w:r>
    </w:p>
    <w:p w14:paraId="4EAD1E3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（2）未按规定提交履约保证金的；</w:t>
      </w:r>
    </w:p>
    <w:p w14:paraId="34F73F7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（3）供应商在竞标过程中弄虚作假，提供虚假材料的；</w:t>
      </w:r>
    </w:p>
    <w:p w14:paraId="0A492CA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（4）成交人无正当理由不与采购人签订合同的；</w:t>
      </w:r>
    </w:p>
    <w:p w14:paraId="20DF92F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（5）将成交项目转让给他人或者在响应文件中未说明且未经招标采购单位同意，将成交项目分包给他人的；</w:t>
      </w:r>
    </w:p>
    <w:p w14:paraId="7ECE6AF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（6）拒绝履行合同义务的；</w:t>
      </w:r>
    </w:p>
    <w:p w14:paraId="2C8FA9A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（7）其他严重扰乱招竞标程序的； </w:t>
      </w:r>
    </w:p>
    <w:p w14:paraId="4FDE779A">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w:t>
      </w:r>
      <w:bookmarkStart w:id="3" w:name="_Toc254970683"/>
      <w:bookmarkStart w:id="4" w:name="_Toc254970542"/>
      <w:r>
        <w:rPr>
          <w:rFonts w:hint="eastAsia" w:ascii="宋体" w:hAnsi="宋体" w:eastAsia="宋体" w:cs="宋体"/>
          <w:b/>
          <w:color w:val="auto"/>
          <w:szCs w:val="21"/>
          <w:highlight w:val="none"/>
        </w:rPr>
        <w:t>响应文件的</w:t>
      </w:r>
      <w:bookmarkEnd w:id="3"/>
      <w:bookmarkEnd w:id="4"/>
      <w:r>
        <w:rPr>
          <w:rFonts w:hint="eastAsia" w:ascii="宋体" w:hAnsi="宋体" w:eastAsia="宋体" w:cs="宋体"/>
          <w:b/>
          <w:color w:val="auto"/>
          <w:szCs w:val="21"/>
          <w:highlight w:val="none"/>
        </w:rPr>
        <w:t>编制</w:t>
      </w:r>
    </w:p>
    <w:p w14:paraId="428418D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14:paraId="70E7488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18.2响应文件应按资格证明、报价分别编制，商务技术文件合并编制，本磋商只接受电子版响应文件。</w:t>
      </w:r>
    </w:p>
    <w:p w14:paraId="0C93FB6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18.3 响应文件电子版要求：按照本采购文件“第四章 响应文件格式”编写（第四章未附格式的，由供应商自行拟定），并在规定加盖公章处加盖电子公章，否则响应文件按无效响应处理。</w:t>
      </w:r>
      <w:r>
        <w:rPr>
          <w:rFonts w:hint="eastAsia" w:ascii="宋体" w:hAnsi="宋体" w:eastAsia="宋体" w:cs="宋体"/>
          <w:color w:val="auto"/>
          <w:kern w:val="0"/>
          <w:szCs w:val="21"/>
          <w:highlight w:val="none"/>
        </w:rPr>
        <w:t>骑缝盖</w:t>
      </w:r>
      <w:r>
        <w:rPr>
          <w:rFonts w:hint="eastAsia" w:ascii="宋体" w:hAnsi="宋体" w:eastAsia="宋体" w:cs="宋体"/>
          <w:color w:val="auto"/>
          <w:highlight w:val="none"/>
        </w:rPr>
        <w:t>公章不视为在规定位置盖章。</w:t>
      </w:r>
    </w:p>
    <w:p w14:paraId="16F732A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18.4响应文件中标注的供应商名称应与营业执照（事业单位法人证书、执业许可证、自然人身份证）及电子公章一致，否则其响应文件按无效响应处理。</w:t>
      </w:r>
    </w:p>
    <w:p w14:paraId="135C558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18.5</w:t>
      </w:r>
      <w:r>
        <w:rPr>
          <w:rFonts w:hint="eastAsia" w:ascii="宋体" w:hAnsi="宋体" w:eastAsia="宋体" w:cs="宋体"/>
          <w:color w:val="auto"/>
          <w:kern w:val="0"/>
          <w:szCs w:val="21"/>
          <w:highlight w:val="none"/>
        </w:rPr>
        <w:t>响应文件应避免涂改、行间插字或者删除，否则其响应文件按无效响应处理。</w:t>
      </w:r>
    </w:p>
    <w:p w14:paraId="1AF7D63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18.6供应商进行电子交易应安装客户端软件—“</w:t>
      </w:r>
      <w:r>
        <w:rPr>
          <w:rFonts w:hint="eastAsia" w:ascii="宋体" w:hAnsi="宋体" w:eastAsia="宋体" w:cs="宋体"/>
          <w:color w:val="auto"/>
          <w:highlight w:val="none"/>
          <w:lang w:eastAsia="zh-CN"/>
        </w:rPr>
        <w:t>广西政府采购云平台客户端</w:t>
      </w:r>
      <w:r>
        <w:rPr>
          <w:rFonts w:hint="eastAsia" w:ascii="宋体" w:hAnsi="宋体" w:eastAsia="宋体" w:cs="宋体"/>
          <w:color w:val="auto"/>
          <w:highlight w:val="none"/>
        </w:rPr>
        <w:t>”，并按照磋商文件和电子交易平台的要求编制并加密响应文件。供应商未按规定加密的响应文件，电子交易平台将拒收并提示。</w:t>
      </w:r>
    </w:p>
    <w:p w14:paraId="5198C436">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18.7使用“</w:t>
      </w:r>
      <w:r>
        <w:rPr>
          <w:rFonts w:hint="eastAsia" w:ascii="宋体" w:hAnsi="宋体" w:eastAsia="宋体" w:cs="宋体"/>
          <w:color w:val="auto"/>
          <w:highlight w:val="none"/>
          <w:lang w:eastAsia="zh-CN"/>
        </w:rPr>
        <w:t>广西政府采购云平台客户端</w:t>
      </w:r>
      <w:r>
        <w:rPr>
          <w:rFonts w:hint="eastAsia" w:ascii="宋体" w:hAnsi="宋体" w:eastAsia="宋体" w:cs="宋体"/>
          <w:color w:val="auto"/>
          <w:highlight w:val="none"/>
        </w:rPr>
        <w:t>”需要提前申领CA数字证书，申领流程见该项目采购公告附件。</w:t>
      </w:r>
    </w:p>
    <w:p w14:paraId="163B70E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18.8为确保网上操作合法、有效和安全，供应商应当在响应文件提交截止时间前完成在“</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”的身份认证，确保在电子交易过程中能够对相关数据电文进行加密和使用电子签名。</w:t>
      </w:r>
    </w:p>
    <w:p w14:paraId="0ED2B9D7">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19.</w:t>
      </w:r>
      <w:r>
        <w:rPr>
          <w:rFonts w:hint="eastAsia" w:ascii="宋体" w:hAnsi="宋体" w:eastAsia="宋体" w:cs="宋体"/>
          <w:b/>
          <w:color w:val="auto"/>
          <w:szCs w:val="21"/>
          <w:highlight w:val="none"/>
        </w:rPr>
        <w:t>响应文件的递交</w:t>
      </w:r>
    </w:p>
    <w:p w14:paraId="4213905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19.1供应商必须在“供应商须知前附表”规定的响应文件接收时间和地点提交电子版响应文件。电子响应文件应在制作完成后，在提交截止时间前通过有效数字证书（CA认证锁）进行电子签章、加密，然后通过网络将加密的电子响应文件递交至“</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w:t>
      </w:r>
    </w:p>
    <w:p w14:paraId="66472DA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19.2未在规定时间内提交或者未按照磋商文件要求密封或者标记的电子响应文件，</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将拒收。</w:t>
      </w:r>
    </w:p>
    <w:p w14:paraId="18F5BC7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19.3电子版响应文件提交方式见“磋商公告”中“四、提交响应文件截止时间、开标时间和地点”。</w:t>
      </w:r>
    </w:p>
    <w:p w14:paraId="529DC1E3">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20.响应文件的补充、修改、撤回与退回</w:t>
      </w:r>
    </w:p>
    <w:p w14:paraId="66F75A5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将拒收。</w:t>
      </w:r>
    </w:p>
    <w:p w14:paraId="0A193E6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20.2 </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收到响应文件，将妥善保存并即时向供应商发出确认回执通知。在提交响应文件截止时间前，除供应商补充、修改或者撤回响应文件外，任何单位和个人不得解密或提取响应文件。</w:t>
      </w:r>
    </w:p>
    <w:p w14:paraId="09428EB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20.3在提交响应文件截止时间止提交电子版响应文件的供应商不足3家时，电子版响应文件由代理机构在</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操作退回，除此之外采购人和采购代理机构对已提交的响应文件概不退回。</w:t>
      </w:r>
    </w:p>
    <w:p w14:paraId="32D3B98A">
      <w:pPr>
        <w:keepNext w:val="0"/>
        <w:keepLines w:val="0"/>
        <w:pageBreakBefore w:val="0"/>
        <w:tabs>
          <w:tab w:val="left" w:pos="3600"/>
        </w:tabs>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bookmarkStart w:id="5" w:name="_Toc495388445"/>
      <w:bookmarkStart w:id="6" w:name="_Toc482865152"/>
      <w:bookmarkStart w:id="7" w:name="_Toc495388768"/>
      <w:bookmarkStart w:id="8" w:name="_Toc448421142"/>
      <w:bookmarkStart w:id="9" w:name="_Toc293863320"/>
      <w:bookmarkStart w:id="10" w:name="_Toc482865322"/>
      <w:bookmarkStart w:id="11" w:name="_Toc293863053"/>
      <w:bookmarkStart w:id="12" w:name="_Toc254970544"/>
      <w:bookmarkStart w:id="13" w:name="_Toc445223680"/>
      <w:bookmarkStart w:id="14" w:name="_Toc482864551"/>
      <w:bookmarkStart w:id="15" w:name="_Toc308018677"/>
      <w:bookmarkStart w:id="16" w:name="_Toc400465713"/>
      <w:bookmarkStart w:id="17" w:name="_Toc495351941"/>
      <w:bookmarkStart w:id="18" w:name="_Toc254970685"/>
      <w:bookmarkStart w:id="19" w:name="_Toc483327811"/>
      <w:r>
        <w:rPr>
          <w:rFonts w:hint="eastAsia" w:ascii="宋体" w:hAnsi="宋体" w:eastAsia="宋体" w:cs="宋体"/>
          <w:b/>
          <w:color w:val="auto"/>
          <w:szCs w:val="21"/>
          <w:highlight w:val="none"/>
        </w:rPr>
        <w:t>四、</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ascii="宋体" w:hAnsi="宋体" w:eastAsia="宋体" w:cs="宋体"/>
          <w:b/>
          <w:color w:val="auto"/>
          <w:szCs w:val="21"/>
          <w:highlight w:val="none"/>
        </w:rPr>
        <w:t>评审及磋商</w:t>
      </w:r>
    </w:p>
    <w:p w14:paraId="48A92615">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21.磋商小组成立</w:t>
      </w:r>
    </w:p>
    <w:p w14:paraId="744C4BD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21.1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09104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4C0FD08">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22.首次响应文件的开启</w:t>
      </w:r>
    </w:p>
    <w:p w14:paraId="6C5F623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22.1首次响应文件由磋商小组或者采购代理机构在“供应商须知前附表”规定的时间开启。</w:t>
      </w:r>
    </w:p>
    <w:p w14:paraId="25839DB2">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23. 响应文件解密</w:t>
      </w:r>
    </w:p>
    <w:p w14:paraId="11DC0326">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电子开标大厅签到并在发起解密指令之时起30分钟内完成对电子响应文件在线解密。发起解密指令之时起5分钟内供应商还未进行解密的，代理机构通知供应商，</w:t>
      </w:r>
      <w:r>
        <w:rPr>
          <w:rFonts w:hint="eastAsia" w:ascii="宋体" w:hAnsi="宋体" w:eastAsia="宋体" w:cs="宋体"/>
          <w:bCs/>
          <w:color w:val="auto"/>
          <w:highlight w:val="none"/>
        </w:rPr>
        <w:t>通知后，</w:t>
      </w:r>
      <w:r>
        <w:rPr>
          <w:rFonts w:hint="eastAsia" w:ascii="宋体" w:hAnsi="宋体" w:eastAsia="宋体" w:cs="宋体"/>
          <w:color w:val="auto"/>
          <w:highlight w:val="none"/>
        </w:rPr>
        <w:t>响应</w:t>
      </w:r>
      <w:r>
        <w:rPr>
          <w:rFonts w:hint="eastAsia" w:ascii="宋体" w:hAnsi="宋体" w:eastAsia="宋体" w:cs="宋体"/>
          <w:bCs/>
          <w:color w:val="auto"/>
          <w:highlight w:val="none"/>
        </w:rPr>
        <w:t>文件仍未按时解密，或者</w:t>
      </w:r>
      <w:r>
        <w:rPr>
          <w:rFonts w:hint="eastAsia" w:ascii="宋体" w:hAnsi="宋体" w:eastAsia="宋体" w:cs="宋体"/>
          <w:color w:val="auto"/>
          <w:highlight w:val="none"/>
        </w:rPr>
        <w:t>供应商</w:t>
      </w:r>
      <w:r>
        <w:rPr>
          <w:rFonts w:hint="eastAsia" w:ascii="宋体" w:hAnsi="宋体" w:eastAsia="宋体" w:cs="宋体"/>
          <w:bCs/>
          <w:color w:val="auto"/>
          <w:highlight w:val="none"/>
        </w:rPr>
        <w:t>没预留联系方式或预留联系方式无效，</w:t>
      </w:r>
      <w:r>
        <w:rPr>
          <w:rFonts w:hint="eastAsia" w:ascii="宋体" w:hAnsi="宋体" w:eastAsia="宋体" w:cs="宋体"/>
          <w:color w:val="auto"/>
          <w:highlight w:val="none"/>
        </w:rPr>
        <w:t>非代理机构原因导致代理机构无法联系到供应商进行解密的</w:t>
      </w:r>
      <w:r>
        <w:rPr>
          <w:rFonts w:hint="eastAsia" w:ascii="宋体" w:hAnsi="宋体" w:eastAsia="宋体" w:cs="宋体"/>
          <w:bCs/>
          <w:color w:val="auto"/>
          <w:highlight w:val="none"/>
        </w:rPr>
        <w:t>，</w:t>
      </w:r>
      <w:r>
        <w:rPr>
          <w:rFonts w:hint="eastAsia" w:ascii="宋体" w:hAnsi="宋体" w:eastAsia="宋体" w:cs="宋体"/>
          <w:color w:val="auto"/>
          <w:highlight w:val="none"/>
        </w:rPr>
        <w:t>视为响应文件无效</w:t>
      </w:r>
      <w:r>
        <w:rPr>
          <w:rFonts w:hint="eastAsia" w:ascii="宋体" w:hAnsi="宋体" w:eastAsia="宋体" w:cs="宋体"/>
          <w:bCs/>
          <w:color w:val="auto"/>
          <w:highlight w:val="none"/>
        </w:rPr>
        <w:t>。</w:t>
      </w:r>
      <w:r>
        <w:rPr>
          <w:rFonts w:hint="eastAsia" w:ascii="宋体" w:hAnsi="宋体" w:eastAsia="宋体" w:cs="宋体"/>
          <w:color w:val="auto"/>
          <w:highlight w:val="none"/>
        </w:rPr>
        <w:t>（解密异常情况处理：详见本章30.电子交易活动的中止。）</w:t>
      </w:r>
    </w:p>
    <w:p w14:paraId="50D514D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23.2如供应商成功解密响应文件，但未在</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开标大厅参加谈判的，视同认可谈判过程和结果，由此产生的后果由供应商自行负责。参与谈判的供应商不足3家的，不得谈判。</w:t>
      </w:r>
    </w:p>
    <w:p w14:paraId="0B00B1B3">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24.评审程序</w:t>
      </w:r>
    </w:p>
    <w:p w14:paraId="0183C9A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24.1磋商小组按照“第六章 评审方法和评审标准”规定的方法、评审因素、标准和程序对响应文件进行评审。</w:t>
      </w:r>
    </w:p>
    <w:p w14:paraId="6E001A9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bCs/>
          <w:color w:val="auto"/>
          <w:szCs w:val="21"/>
          <w:highlight w:val="none"/>
        </w:rPr>
        <w:t>资格审查</w:t>
      </w:r>
    </w:p>
    <w:p w14:paraId="365C7C7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响应文件开启后，磋商小组依法对供应商的资格文件进行审查</w:t>
      </w:r>
      <w:r>
        <w:rPr>
          <w:rFonts w:hint="eastAsia" w:ascii="宋体" w:hAnsi="宋体" w:eastAsia="宋体" w:cs="宋体"/>
          <w:color w:val="auto"/>
          <w:spacing w:val="-2"/>
          <w:szCs w:val="21"/>
          <w:highlight w:val="none"/>
        </w:rPr>
        <w:t>。</w:t>
      </w:r>
      <w:r>
        <w:rPr>
          <w:rFonts w:hint="eastAsia" w:ascii="宋体" w:hAnsi="宋体" w:eastAsia="宋体" w:cs="宋体"/>
          <w:b/>
          <w:bCs/>
          <w:color w:val="auto"/>
          <w:szCs w:val="21"/>
          <w:highlight w:val="none"/>
        </w:rPr>
        <w:t>在资格审查时，如发现下列情形之一的，响应文件将被视为无效：</w:t>
      </w:r>
    </w:p>
    <w:p w14:paraId="1D9CD61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1）不具备</w:t>
      </w:r>
      <w:r>
        <w:rPr>
          <w:rFonts w:hint="eastAsia" w:ascii="宋体" w:hAnsi="宋体" w:eastAsia="宋体" w:cs="宋体"/>
          <w:bCs/>
          <w:color w:val="auto"/>
          <w:szCs w:val="21"/>
          <w:highlight w:val="none"/>
          <w:lang w:eastAsia="zh-CN"/>
        </w:rPr>
        <w:t>磋商采购文件</w:t>
      </w:r>
      <w:r>
        <w:rPr>
          <w:rFonts w:hint="eastAsia" w:ascii="宋体" w:hAnsi="宋体" w:eastAsia="宋体" w:cs="宋体"/>
          <w:bCs/>
          <w:color w:val="auto"/>
          <w:szCs w:val="21"/>
          <w:highlight w:val="none"/>
        </w:rPr>
        <w:t>中规定的资格要求的；（注：其中信用查询由</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于资格审查时</w:t>
      </w:r>
      <w:r>
        <w:rPr>
          <w:rFonts w:hint="eastAsia" w:ascii="宋体" w:hAnsi="宋体" w:eastAsia="宋体" w:cs="宋体"/>
          <w:color w:val="auto"/>
          <w:szCs w:val="21"/>
          <w:highlight w:val="none"/>
        </w:rPr>
        <w:t>在“信用中国”网站和“中国政府采购网”</w:t>
      </w:r>
      <w:r>
        <w:rPr>
          <w:rFonts w:hint="eastAsia" w:ascii="宋体" w:hAnsi="宋体" w:eastAsia="宋体" w:cs="宋体"/>
          <w:bCs/>
          <w:color w:val="auto"/>
          <w:szCs w:val="21"/>
          <w:highlight w:val="none"/>
        </w:rPr>
        <w:t>对供应商进行信用查询，联合体成员存在不良信用记录的视同联合体存在不良信用记录。）</w:t>
      </w:r>
    </w:p>
    <w:p w14:paraId="3573FBE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（2）未提供</w:t>
      </w:r>
      <w:r>
        <w:rPr>
          <w:rFonts w:hint="eastAsia" w:ascii="宋体" w:hAnsi="宋体" w:eastAsia="宋体" w:cs="宋体"/>
          <w:bCs/>
          <w:color w:val="auto"/>
          <w:szCs w:val="21"/>
          <w:highlight w:val="none"/>
          <w:lang w:eastAsia="zh-CN"/>
        </w:rPr>
        <w:t>磋商采购文件</w:t>
      </w:r>
      <w:r>
        <w:rPr>
          <w:rFonts w:hint="eastAsia" w:ascii="宋体" w:hAnsi="宋体" w:eastAsia="宋体" w:cs="宋体"/>
          <w:bCs/>
          <w:color w:val="auto"/>
          <w:szCs w:val="21"/>
          <w:highlight w:val="none"/>
        </w:rPr>
        <w:t>中“</w:t>
      </w:r>
      <w:r>
        <w:rPr>
          <w:rFonts w:hint="eastAsia" w:ascii="宋体" w:hAnsi="宋体" w:eastAsia="宋体" w:cs="宋体"/>
          <w:bCs/>
          <w:color w:val="auto"/>
          <w:szCs w:val="21"/>
          <w:highlight w:val="none"/>
          <w:lang w:val="en-US" w:eastAsia="zh-CN"/>
        </w:rPr>
        <w:t>13.</w:t>
      </w:r>
      <w:r>
        <w:rPr>
          <w:rFonts w:hint="eastAsia" w:ascii="宋体" w:hAnsi="宋体" w:eastAsia="宋体" w:cs="宋体"/>
          <w:bCs/>
          <w:color w:val="auto"/>
          <w:szCs w:val="21"/>
          <w:highlight w:val="none"/>
        </w:rPr>
        <w:t>响应文件的组成</w:t>
      </w:r>
      <w:r>
        <w:rPr>
          <w:rFonts w:hint="eastAsia" w:ascii="宋体" w:hAnsi="宋体" w:eastAsia="宋体" w:cs="宋体"/>
          <w:bCs/>
          <w:color w:val="auto"/>
          <w:szCs w:val="21"/>
          <w:highlight w:val="none"/>
          <w:lang w:val="en-US" w:eastAsia="zh-CN"/>
        </w:rPr>
        <w:t>13.1</w:t>
      </w:r>
      <w:r>
        <w:rPr>
          <w:rFonts w:hint="eastAsia" w:ascii="宋体" w:hAnsi="宋体" w:eastAsia="宋体" w:cs="宋体"/>
          <w:bCs/>
          <w:color w:val="auto"/>
          <w:szCs w:val="21"/>
          <w:highlight w:val="none"/>
        </w:rPr>
        <w:t>资格证明文件”要求必须提供的资料的；</w:t>
      </w:r>
    </w:p>
    <w:p w14:paraId="1F60282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（3）法律、法规和</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规定的其他无效情形。</w:t>
      </w:r>
    </w:p>
    <w:p w14:paraId="0715769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通过资格审查的合格供应商不足3家的，不得进入符合性审查环节，采购人或者采购代理机构应当重新开展采购活动。</w:t>
      </w:r>
    </w:p>
    <w:p w14:paraId="73876990">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24.3符合性审查</w:t>
      </w:r>
    </w:p>
    <w:p w14:paraId="04889B8A">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磋商小组依法对供应商的符合性进行审查</w:t>
      </w:r>
      <w:r>
        <w:rPr>
          <w:rFonts w:hint="eastAsia" w:ascii="宋体" w:hAnsi="宋体" w:eastAsia="宋体" w:cs="宋体"/>
          <w:color w:val="auto"/>
          <w:spacing w:val="-2"/>
          <w:szCs w:val="21"/>
          <w:highlight w:val="none"/>
        </w:rPr>
        <w:t>。</w:t>
      </w:r>
      <w:r>
        <w:rPr>
          <w:rFonts w:hint="eastAsia" w:ascii="宋体" w:hAnsi="宋体" w:eastAsia="宋体" w:cs="宋体"/>
          <w:b/>
          <w:bCs/>
          <w:color w:val="auto"/>
          <w:szCs w:val="21"/>
          <w:highlight w:val="none"/>
        </w:rPr>
        <w:t>在符合性审查时，如发现下列情形之一的，响应文件将被视为无效：</w:t>
      </w:r>
    </w:p>
    <w:p w14:paraId="57CAB48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（1）未按照</w:t>
      </w:r>
      <w:r>
        <w:rPr>
          <w:rFonts w:hint="eastAsia" w:ascii="宋体" w:hAnsi="宋体" w:eastAsia="宋体" w:cs="宋体"/>
          <w:color w:val="auto"/>
          <w:kern w:val="0"/>
          <w:szCs w:val="21"/>
          <w:highlight w:val="none"/>
          <w:lang w:eastAsia="zh-CN"/>
        </w:rPr>
        <w:t>磋商采购文件</w:t>
      </w:r>
      <w:r>
        <w:rPr>
          <w:rFonts w:hint="eastAsia" w:ascii="宋体" w:hAnsi="宋体" w:eastAsia="宋体" w:cs="宋体"/>
          <w:color w:val="auto"/>
          <w:kern w:val="0"/>
          <w:szCs w:val="21"/>
          <w:highlight w:val="none"/>
        </w:rPr>
        <w:t>的规定提交磋商保证金的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如有要求</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050F307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2）响应文件未按磋商文件要求签署、盖章的；</w:t>
      </w:r>
    </w:p>
    <w:p w14:paraId="38EABD3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（3）投标代表人未能出具身份证明或与法定代表人授权委托人身份不符的；</w:t>
      </w:r>
    </w:p>
    <w:p w14:paraId="26343F6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（4）响应文件的实质性内容未使用中文表述、意思表述不明确、前后矛盾或者使用计量单位不符合</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要求的（经评标委员会认定并允许其当场更正的笔误除外）</w:t>
      </w:r>
    </w:p>
    <w:p w14:paraId="68847FD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）投标工期、工程质量等商务条款不能满足竞争性磋商文件要求的；</w:t>
      </w:r>
    </w:p>
    <w:p w14:paraId="32C09B4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）未实质性响应竞争性磋商文件要求或者响应文件有采购人不能接受的附加条件的。</w:t>
      </w:r>
    </w:p>
    <w:p w14:paraId="2A61638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未提供</w:t>
      </w:r>
      <w:r>
        <w:rPr>
          <w:rFonts w:hint="eastAsia" w:ascii="宋体" w:hAnsi="宋体" w:eastAsia="宋体" w:cs="宋体"/>
          <w:bCs/>
          <w:color w:val="auto"/>
          <w:szCs w:val="21"/>
          <w:highlight w:val="none"/>
          <w:lang w:eastAsia="zh-CN"/>
        </w:rPr>
        <w:t>磋商采购文件</w:t>
      </w:r>
      <w:r>
        <w:rPr>
          <w:rFonts w:hint="eastAsia" w:ascii="宋体" w:hAnsi="宋体" w:eastAsia="宋体" w:cs="宋体"/>
          <w:bCs/>
          <w:color w:val="auto"/>
          <w:szCs w:val="21"/>
          <w:highlight w:val="none"/>
        </w:rPr>
        <w:t>中“</w:t>
      </w:r>
      <w:r>
        <w:rPr>
          <w:rFonts w:hint="eastAsia" w:ascii="宋体" w:hAnsi="宋体" w:eastAsia="宋体" w:cs="宋体"/>
          <w:bCs/>
          <w:color w:val="auto"/>
          <w:szCs w:val="21"/>
          <w:highlight w:val="none"/>
          <w:lang w:val="en-US" w:eastAsia="zh-CN"/>
        </w:rPr>
        <w:t>13.</w:t>
      </w:r>
      <w:r>
        <w:rPr>
          <w:rFonts w:hint="eastAsia" w:ascii="宋体" w:hAnsi="宋体" w:eastAsia="宋体" w:cs="宋体"/>
          <w:bCs/>
          <w:color w:val="auto"/>
          <w:szCs w:val="21"/>
          <w:highlight w:val="none"/>
        </w:rPr>
        <w:t>响应文件的组成</w:t>
      </w:r>
      <w:r>
        <w:rPr>
          <w:rFonts w:hint="eastAsia" w:ascii="宋体" w:hAnsi="宋体" w:eastAsia="宋体" w:cs="宋体"/>
          <w:bCs/>
          <w:color w:val="auto"/>
          <w:szCs w:val="21"/>
          <w:highlight w:val="none"/>
          <w:lang w:val="en-US" w:eastAsia="zh-CN"/>
        </w:rPr>
        <w:t>13.2</w:t>
      </w:r>
      <w:r>
        <w:rPr>
          <w:rFonts w:hint="eastAsia" w:ascii="宋体" w:hAnsi="宋体" w:eastAsia="宋体" w:cs="宋体"/>
          <w:bCs/>
          <w:color w:val="auto"/>
          <w:szCs w:val="21"/>
          <w:highlight w:val="none"/>
        </w:rPr>
        <w:t>商务和技术文件”要求必须提供的资料的；</w:t>
      </w:r>
    </w:p>
    <w:p w14:paraId="528FCCF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）响应文件标明的响应或偏离与事实不符或虚假竞标的；</w:t>
      </w:r>
    </w:p>
    <w:p w14:paraId="3FD32D2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）明显不符合</w:t>
      </w:r>
      <w:r>
        <w:rPr>
          <w:rFonts w:hint="eastAsia" w:ascii="宋体" w:hAnsi="宋体" w:eastAsia="宋体" w:cs="宋体"/>
          <w:bCs/>
          <w:color w:val="auto"/>
          <w:szCs w:val="21"/>
          <w:highlight w:val="none"/>
        </w:rPr>
        <w:t>竞争性磋商文件</w:t>
      </w:r>
      <w:r>
        <w:rPr>
          <w:rFonts w:hint="eastAsia" w:ascii="宋体" w:hAnsi="宋体" w:eastAsia="宋体" w:cs="宋体"/>
          <w:color w:val="auto"/>
          <w:szCs w:val="21"/>
          <w:highlight w:val="none"/>
        </w:rPr>
        <w:t>要求的服务内容、技术要求、安全、质量标准，或者与竞争性磋商文件中标“▲”的技术指标、服务需求发生实质性偏离的；</w:t>
      </w:r>
    </w:p>
    <w:p w14:paraId="2F6F2D8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）施工组织设计被磋商小组认定为不可行的，存在一个或一个以上备选（替代）竞标方案的。</w:t>
      </w:r>
    </w:p>
    <w:p w14:paraId="30A4F71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）未提供竞争性磋商文件中“</w:t>
      </w:r>
      <w:r>
        <w:rPr>
          <w:rFonts w:hint="eastAsia" w:ascii="宋体" w:hAnsi="宋体" w:eastAsia="宋体" w:cs="宋体"/>
          <w:color w:val="auto"/>
          <w:szCs w:val="21"/>
          <w:highlight w:val="none"/>
          <w:lang w:val="en-US" w:eastAsia="zh-CN"/>
        </w:rPr>
        <w:t>13.3报价文件</w:t>
      </w:r>
      <w:r>
        <w:rPr>
          <w:rFonts w:hint="eastAsia" w:ascii="宋体" w:hAnsi="宋体" w:eastAsia="宋体" w:cs="宋体"/>
          <w:color w:val="auto"/>
          <w:szCs w:val="21"/>
          <w:highlight w:val="none"/>
        </w:rPr>
        <w:t>”要求必须提供的资料的；</w:t>
      </w:r>
    </w:p>
    <w:p w14:paraId="677356A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）竞标人已标价工程量清单的项目编码、计量单位、工程量与招标工程量清单不一致；</w:t>
      </w:r>
    </w:p>
    <w:p w14:paraId="58595864">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）竞标人已标价工程量清单出现不应出现的负值；</w:t>
      </w:r>
    </w:p>
    <w:p w14:paraId="1834E08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）竞标人对招标工程量清单项目（工程量为0的项目除外）进行增减调整，即有增项或缺项；</w:t>
      </w:r>
    </w:p>
    <w:p w14:paraId="6A6547E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）安全文明施工费和规费、增值税未按规定报价；</w:t>
      </w:r>
    </w:p>
    <w:p w14:paraId="27E56AB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）设有暂估价、暂列金额的，投标时未按采购人工程量清单给出的</w:t>
      </w:r>
      <w:r>
        <w:rPr>
          <w:rFonts w:hint="eastAsia" w:ascii="宋体" w:hAnsi="宋体" w:eastAsia="宋体" w:cs="宋体"/>
          <w:color w:val="auto"/>
          <w:szCs w:val="21"/>
          <w:highlight w:val="none"/>
          <w:lang w:eastAsia="zh-CN"/>
        </w:rPr>
        <w:t>暂列金额、材料和工程设备暂估价、专业工程暂估价、安全生产责任保险费暂估价计入投标报价</w:t>
      </w:r>
      <w:r>
        <w:rPr>
          <w:rFonts w:hint="eastAsia" w:ascii="宋体" w:hAnsi="宋体" w:eastAsia="宋体" w:cs="宋体"/>
          <w:color w:val="auto"/>
          <w:szCs w:val="21"/>
          <w:highlight w:val="none"/>
        </w:rPr>
        <w:t>；</w:t>
      </w:r>
    </w:p>
    <w:p w14:paraId="0A84538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）报价超过</w:t>
      </w:r>
      <w:r>
        <w:rPr>
          <w:rFonts w:hint="eastAsia" w:ascii="宋体" w:hAnsi="宋体" w:eastAsia="宋体" w:cs="宋体"/>
          <w:bCs/>
          <w:color w:val="auto"/>
          <w:szCs w:val="21"/>
          <w:highlight w:val="none"/>
          <w:lang w:eastAsia="zh-CN"/>
        </w:rPr>
        <w:t>磋商采购文件</w:t>
      </w:r>
      <w:r>
        <w:rPr>
          <w:rFonts w:hint="eastAsia" w:ascii="宋体" w:hAnsi="宋体" w:eastAsia="宋体" w:cs="宋体"/>
          <w:bCs/>
          <w:color w:val="auto"/>
          <w:szCs w:val="21"/>
          <w:highlight w:val="none"/>
        </w:rPr>
        <w:t>中规定的预算金额或者最高限价的；</w:t>
      </w:r>
    </w:p>
    <w:p w14:paraId="766E778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）未采用人民币报价或者未按照</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标明的币种报价的；</w:t>
      </w:r>
    </w:p>
    <w:p w14:paraId="41CBCC1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）竞标报价具有选择性，或者开标价格与响应文件承诺的优惠（折扣）价格不一致的；</w:t>
      </w:r>
    </w:p>
    <w:p w14:paraId="7650E257">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修正后的报价，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不确认的；</w:t>
      </w:r>
    </w:p>
    <w:p w14:paraId="14C60588">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法律、法规和</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规定的其他无效情形。</w:t>
      </w:r>
    </w:p>
    <w:p w14:paraId="5B159B9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出现恶意竞争低于成本价的情形。</w:t>
      </w:r>
    </w:p>
    <w:p w14:paraId="02D4DAF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A38A7F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DC3B3F3">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25.磋商程序</w:t>
      </w:r>
    </w:p>
    <w:p w14:paraId="4A9722F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2759CA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B97C76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25.3对磋商文件作出的实质性变动是磋商文件的有效组成部分，由磋商小组及时以电子澄清函形式同时通知所有参加磋商的供应商。</w:t>
      </w:r>
    </w:p>
    <w:p w14:paraId="2C5D57E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B79161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25.5磋商中，磋商的任何一方不得透露与磋商有关的其他供应商的技术资料、价格和其他信息。</w:t>
      </w:r>
    </w:p>
    <w:p w14:paraId="01B1DC4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25.6磋商小组应对磋商过程和重要磋商内容进行记录，作为评标报告一部分，磋商小组在记录上签字确认。</w:t>
      </w:r>
    </w:p>
    <w:p w14:paraId="14C1E366">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25.7磋商过程中重新提交的响应文件，供应商可以在开启前补充、修改。</w:t>
      </w:r>
    </w:p>
    <w:p w14:paraId="14294BC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25.8对磋商过程提交的响应文件进行有效性、完整性和响应程度审查，通过审查的合格供应商不足3家的，采购人或者采购代理机构应当重新开展采购活动。</w:t>
      </w:r>
    </w:p>
    <w:p w14:paraId="33920CA6">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26.最后报价</w:t>
      </w:r>
    </w:p>
    <w:p w14:paraId="64A7C9A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26.1磋商文件能够详细列明采购标的的技术、服务要求的，磋商结束后，由磋商小组要求所有继续参加磋商的供应商在规定时间内提交最后报价，除本章第26.3条</w:t>
      </w:r>
      <w:r>
        <w:rPr>
          <w:rFonts w:hint="eastAsia" w:ascii="宋体" w:hAnsi="宋体" w:eastAsia="宋体" w:cs="宋体"/>
          <w:color w:val="auto"/>
          <w:highlight w:val="none"/>
        </w:rPr>
        <w:t>以及</w:t>
      </w:r>
      <w:r>
        <w:rPr>
          <w:rFonts w:hint="eastAsia" w:ascii="宋体" w:hAnsi="宋体" w:eastAsia="宋体" w:cs="宋体"/>
          <w:color w:val="auto"/>
          <w:szCs w:val="21"/>
          <w:highlight w:val="none"/>
        </w:rPr>
        <w:t>《财政部关于政府采购竞争性磋商采购方式管理暂行办法有关问题的补充通知》（财库〔2015〕124号）规定外，提交最后报价的供应商不得少于3家，否则必须重新采购。</w:t>
      </w:r>
      <w:r>
        <w:rPr>
          <w:rFonts w:hint="eastAsia" w:ascii="宋体" w:hAnsi="宋体" w:eastAsia="宋体" w:cs="宋体"/>
          <w:color w:val="auto"/>
          <w:kern w:val="0"/>
          <w:szCs w:val="21"/>
          <w:highlight w:val="none"/>
        </w:rPr>
        <w:t>继续参加磋商的供应商</w:t>
      </w:r>
      <w:r>
        <w:rPr>
          <w:rFonts w:hint="eastAsia" w:ascii="宋体" w:hAnsi="宋体" w:eastAsia="宋体" w:cs="宋体"/>
          <w:color w:val="auto"/>
          <w:szCs w:val="21"/>
          <w:highlight w:val="none"/>
        </w:rPr>
        <w:t>作最后报价</w:t>
      </w:r>
      <w:r>
        <w:rPr>
          <w:rFonts w:hint="eastAsia" w:ascii="宋体" w:hAnsi="宋体" w:eastAsia="宋体" w:cs="宋体"/>
          <w:b/>
          <w:color w:val="auto"/>
          <w:szCs w:val="21"/>
          <w:highlight w:val="none"/>
        </w:rPr>
        <w:t>并附相应的最后报价明细表（报价明细表按已标价工程量清单填写），最后报价和相应的最后报价已标价工程量清单须由其法定代表人或授权代表签字或者加盖电子公章</w:t>
      </w:r>
      <w:r>
        <w:rPr>
          <w:rFonts w:hint="eastAsia" w:ascii="宋体" w:hAnsi="宋体" w:eastAsia="宋体" w:cs="宋体"/>
          <w:b/>
          <w:color w:val="auto"/>
          <w:kern w:val="0"/>
          <w:szCs w:val="21"/>
          <w:highlight w:val="none"/>
        </w:rPr>
        <w:t>后递交</w:t>
      </w:r>
      <w:r>
        <w:rPr>
          <w:rFonts w:hint="eastAsia" w:ascii="宋体" w:hAnsi="宋体" w:eastAsia="宋体" w:cs="宋体"/>
          <w:b/>
          <w:color w:val="auto"/>
          <w:szCs w:val="21"/>
          <w:highlight w:val="none"/>
        </w:rPr>
        <w:t>。</w:t>
      </w:r>
    </w:p>
    <w:p w14:paraId="0C8DF43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26.2磋商文件不能详细列明采购标的的技术、服务要求，需经磋商由供应商提供最后</w:t>
      </w:r>
      <w:r>
        <w:rPr>
          <w:rFonts w:hint="eastAsia" w:ascii="宋体" w:hAnsi="宋体" w:eastAsia="宋体" w:cs="宋体"/>
          <w:color w:val="auto"/>
          <w:sz w:val="21"/>
          <w:szCs w:val="21"/>
          <w:highlight w:val="none"/>
          <w:lang w:val="en-US" w:eastAsia="zh-CN"/>
        </w:rPr>
        <w:t>施工组织</w:t>
      </w:r>
      <w:r>
        <w:rPr>
          <w:rFonts w:hint="eastAsia" w:ascii="宋体" w:hAnsi="宋体" w:eastAsia="宋体" w:cs="宋体"/>
          <w:color w:val="auto"/>
          <w:szCs w:val="21"/>
          <w:highlight w:val="none"/>
        </w:rPr>
        <w:t>设计方案或者解决方案的，磋商结束后，由磋商小组按照少数服从多数的原则投票推荐3家以上供应商的</w:t>
      </w:r>
      <w:r>
        <w:rPr>
          <w:rFonts w:hint="eastAsia" w:ascii="宋体" w:hAnsi="宋体" w:eastAsia="宋体" w:cs="宋体"/>
          <w:color w:val="auto"/>
          <w:sz w:val="21"/>
          <w:szCs w:val="21"/>
          <w:highlight w:val="none"/>
          <w:lang w:val="en-US" w:eastAsia="zh-CN"/>
        </w:rPr>
        <w:t>施工组织</w:t>
      </w:r>
      <w:r>
        <w:rPr>
          <w:rFonts w:hint="eastAsia" w:ascii="宋体" w:hAnsi="宋体" w:eastAsia="宋体" w:cs="宋体"/>
          <w:color w:val="auto"/>
          <w:szCs w:val="21"/>
          <w:highlight w:val="none"/>
        </w:rPr>
        <w:t>设计方案或者解决方案，并要求其在规定时间内提交最后报价。</w:t>
      </w:r>
    </w:p>
    <w:p w14:paraId="5E59F39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2D0B8E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26.4已经提交响应文件的供应商，在提交最后报价之前，可以根据磋商情况退出磋商，退出磋商的供应商的响应文件按无效响应处理。</w:t>
      </w:r>
    </w:p>
    <w:p w14:paraId="4036FF6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26.5供应商未在规定时间内提交最后报价的，视同退出磋商。</w:t>
      </w:r>
    </w:p>
    <w:p w14:paraId="5219BE3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26.6磋商小组收齐项目或某一分标最后报价后统一开启，磋商小组对最后报价进行有效性、完整性和响应程度的审查。</w:t>
      </w:r>
    </w:p>
    <w:p w14:paraId="7CEFCD3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26.7最终响应文件的报价出现前后不一致的，按照本章第29.1条的规定修正。</w:t>
      </w:r>
    </w:p>
    <w:p w14:paraId="36736E4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26.8修正后的最终报价出现下列情形的，按无效响应处理：</w:t>
      </w:r>
    </w:p>
    <w:p w14:paraId="722F53A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769694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087E95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936161B">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26.9经供应商确认修正后的最后报价作为评审及签订合同的依据。</w:t>
      </w:r>
    </w:p>
    <w:p w14:paraId="3BF6C1C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26.10供应商出现最后报价按无效响应处理或者响应文件按无效处理时，磋商小组应当告知有关供应商。</w:t>
      </w:r>
    </w:p>
    <w:p w14:paraId="444DAE56">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26.11最后报价结束后，磋商小组不得再与供应商进行任何形式的商谈。</w:t>
      </w:r>
    </w:p>
    <w:p w14:paraId="0011FC05">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27.比较与评价</w:t>
      </w:r>
    </w:p>
    <w:p w14:paraId="6155C5C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27.1评审方法：综合评分法。</w:t>
      </w:r>
    </w:p>
    <w:p w14:paraId="3DE6D9B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27.2经磋商确定最终采购需求和提交最后报价的供应商后，由磋商小组采用综合评分法对提交最后报价的供应商的响应文件和最后报价进行综合评分。</w:t>
      </w:r>
    </w:p>
    <w:p w14:paraId="14ED135E">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27.3评审时，磋商小组各成员应当独立对每个有效响应的文件进行评价、打分，然后汇总每个供应商每项评分因素的得分。</w:t>
      </w:r>
    </w:p>
    <w:p w14:paraId="18FA558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7060CF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B08899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27.4评审价为供应商的最后报价进行政策性扣除后的价格，评审价只是作为评审时使用。最终成交供应商的成交金额等于最后报价（如有修正，以确认修正后的最后报价为准）。</w:t>
      </w:r>
    </w:p>
    <w:p w14:paraId="6790779D">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14:paraId="56296B02">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2D41A1">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28.澄清问题的形式</w:t>
      </w:r>
    </w:p>
    <w:p w14:paraId="1363D58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28.1对于响应文件中含义不明确、同类问题表述不一致或者有明显文字和计算错误的内容，评标委员会应在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发布电子澄清函，要求供应商在规定时间内作出必要的澄清、说明或者补正。供应商在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14:paraId="291A60D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14:paraId="595DD517">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29.错误修正</w:t>
      </w:r>
    </w:p>
    <w:p w14:paraId="462B6D4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29.1竞争性磋商响应文件如果出现计算或表达上的错误，修正错误的原则如下：</w:t>
      </w:r>
    </w:p>
    <w:p w14:paraId="65A05BA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（1）响应文件中开标一览表（报价表）内容与响应文件中相应内容不一致的，以开标一览表（报价表）为准；</w:t>
      </w:r>
    </w:p>
    <w:p w14:paraId="27854FA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2）大写金额和小写金额不一致的，以大写金额为准；</w:t>
      </w:r>
    </w:p>
    <w:p w14:paraId="2EB89EC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535877CF">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6B3E650">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14:paraId="292E4467">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29.2经供应商确认修正后的首次及最后报价若超过采购预算金额，供应商的响应文件作无效处理。</w:t>
      </w:r>
    </w:p>
    <w:p w14:paraId="04105E6E">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29.3经供应商确认修正后的最后报价作为评审及签订合同的依据。</w:t>
      </w:r>
    </w:p>
    <w:p w14:paraId="7BB528B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30.电子交易活动的中止</w:t>
      </w:r>
    </w:p>
    <w:p w14:paraId="69DC7169">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30.1采购过程中出现以下情形，导致电子交易平台无法正常运行，或者无法保证电子交易的公平、公正和安全时，采购机构可中止电子交易活动：</w:t>
      </w:r>
    </w:p>
    <w:p w14:paraId="4FC4276E">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28AA9F5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47F8404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6AEBCDA9">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14:paraId="2E9ABDF6">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14:paraId="53DD929D">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FDB55B2">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31.评委表决</w:t>
      </w:r>
    </w:p>
    <w:p w14:paraId="66135E29">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14:paraId="5AC2B4FF">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32.评审过程的监控</w:t>
      </w:r>
    </w:p>
    <w:p w14:paraId="6CFA7D7F">
      <w:pPr>
        <w:keepNext w:val="0"/>
        <w:keepLines w:val="0"/>
        <w:pageBreakBefore w:val="0"/>
        <w:widowControl/>
        <w:tabs>
          <w:tab w:val="left" w:pos="540"/>
        </w:tabs>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32.1本项目电子评标过程实行网上留痕、全程录音、录像监控，供应商在评审过程中所进行的试图影响评审结果的不公正活动，可能导致其竞争性磋商被拒绝。</w:t>
      </w:r>
    </w:p>
    <w:p w14:paraId="1DFEE90B">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五、成交及合同</w:t>
      </w:r>
    </w:p>
    <w:p w14:paraId="3AF5C871">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33.确定成交供应商</w:t>
      </w:r>
    </w:p>
    <w:p w14:paraId="544322B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33.1 </w:t>
      </w:r>
      <w:r>
        <w:rPr>
          <w:rFonts w:hint="eastAsia" w:ascii="宋体" w:hAnsi="宋体" w:eastAsia="宋体" w:cs="宋体"/>
          <w:color w:val="auto"/>
          <w:kern w:val="0"/>
          <w:szCs w:val="21"/>
          <w:highlight w:val="none"/>
        </w:rPr>
        <w:t>根据以下原则确定成交供应商：</w:t>
      </w:r>
      <w:r>
        <w:rPr>
          <w:rFonts w:hint="eastAsia" w:ascii="宋体" w:hAnsi="宋体" w:eastAsia="宋体" w:cs="宋体"/>
          <w:color w:val="auto"/>
          <w:kern w:val="0"/>
          <w:highlight w:val="none"/>
        </w:rPr>
        <w:t>响应文件满足磋商文件全部实质性要求且按评审因素的量化指标评审得分最高的供应商为成交供应商。</w:t>
      </w:r>
    </w:p>
    <w:p w14:paraId="3358EF43">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14:paraId="6DA9B507">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33.3成交供应商确定后二个工作日内，</w:t>
      </w:r>
      <w:r>
        <w:rPr>
          <w:rFonts w:hint="eastAsia" w:ascii="宋体" w:hAnsi="宋体" w:eastAsia="宋体" w:cs="宋体"/>
          <w:color w:val="auto"/>
          <w:highlight w:val="none"/>
        </w:rPr>
        <w:t>采购代理机构或采购人</w:t>
      </w:r>
      <w:r>
        <w:rPr>
          <w:rFonts w:hint="eastAsia" w:ascii="宋体" w:hAnsi="宋体" w:eastAsia="宋体" w:cs="宋体"/>
          <w:color w:val="auto"/>
          <w:kern w:val="0"/>
          <w:highlight w:val="none"/>
        </w:rPr>
        <w:t>应当对成交人信用进行核实</w:t>
      </w:r>
      <w:r>
        <w:rPr>
          <w:rFonts w:hint="eastAsia" w:ascii="宋体" w:hAnsi="宋体" w:eastAsia="宋体" w:cs="宋体"/>
          <w:color w:val="auto"/>
          <w:highlight w:val="none"/>
        </w:rPr>
        <w:t>，如其未被列入失信被执行人、重大税收违法案件当事人名单、政府采购严重违法失信行为记录名单，则采购代理机构在公告发布媒体</w:t>
      </w:r>
      <w:r>
        <w:rPr>
          <w:rFonts w:hint="eastAsia" w:ascii="宋体" w:hAnsi="宋体" w:eastAsia="宋体" w:cs="宋体"/>
          <w:color w:val="auto"/>
          <w:highlight w:val="none"/>
          <w:lang w:eastAsia="zh-CN"/>
        </w:rPr>
        <w:t>成交公告</w:t>
      </w:r>
      <w:r>
        <w:rPr>
          <w:rFonts w:hint="eastAsia" w:ascii="宋体" w:hAnsi="宋体" w:eastAsia="宋体" w:cs="宋体"/>
          <w:color w:val="auto"/>
          <w:highlight w:val="none"/>
        </w:rPr>
        <w:t>；如其被列入失信被执行人、重大税收违法案件当事人名单、政府采购严重违法失信行为记录名单，则取消其中标资格，</w:t>
      </w:r>
      <w:r>
        <w:rPr>
          <w:rFonts w:hint="eastAsia" w:ascii="宋体" w:hAnsi="宋体" w:eastAsia="宋体" w:cs="宋体"/>
          <w:color w:val="auto"/>
          <w:spacing w:val="-3"/>
          <w:highlight w:val="none"/>
        </w:rPr>
        <w:t>并确定排名第二的</w:t>
      </w:r>
      <w:r>
        <w:rPr>
          <w:rFonts w:hint="eastAsia" w:ascii="宋体" w:hAnsi="宋体" w:eastAsia="宋体" w:cs="宋体"/>
          <w:color w:val="auto"/>
          <w:spacing w:val="-3"/>
          <w:highlight w:val="none"/>
          <w:lang w:eastAsia="zh-CN"/>
        </w:rPr>
        <w:t>成交候选人</w:t>
      </w:r>
      <w:r>
        <w:rPr>
          <w:rFonts w:hint="eastAsia" w:ascii="宋体" w:hAnsi="宋体" w:eastAsia="宋体" w:cs="宋体"/>
          <w:color w:val="auto"/>
          <w:spacing w:val="-3"/>
          <w:highlight w:val="none"/>
        </w:rPr>
        <w:t>为</w:t>
      </w:r>
      <w:r>
        <w:rPr>
          <w:rFonts w:hint="eastAsia" w:ascii="宋体" w:hAnsi="宋体" w:eastAsia="宋体" w:cs="宋体"/>
          <w:color w:val="auto"/>
          <w:spacing w:val="-3"/>
          <w:highlight w:val="none"/>
          <w:lang w:eastAsia="zh-CN"/>
        </w:rPr>
        <w:t>成交人</w:t>
      </w:r>
      <w:r>
        <w:rPr>
          <w:rFonts w:hint="eastAsia" w:ascii="宋体" w:hAnsi="宋体" w:eastAsia="宋体" w:cs="宋体"/>
          <w:color w:val="auto"/>
          <w:spacing w:val="-3"/>
          <w:highlight w:val="none"/>
        </w:rPr>
        <w:t>。排名第二的</w:t>
      </w:r>
      <w:r>
        <w:rPr>
          <w:rFonts w:hint="eastAsia" w:ascii="宋体" w:hAnsi="宋体" w:eastAsia="宋体" w:cs="宋体"/>
          <w:color w:val="auto"/>
          <w:spacing w:val="-3"/>
          <w:highlight w:val="none"/>
          <w:lang w:eastAsia="zh-CN"/>
        </w:rPr>
        <w:t>成交候选人</w:t>
      </w:r>
      <w:r>
        <w:rPr>
          <w:rFonts w:hint="eastAsia" w:ascii="宋体" w:hAnsi="宋体" w:eastAsia="宋体" w:cs="宋体"/>
          <w:color w:val="auto"/>
          <w:spacing w:val="-3"/>
          <w:highlight w:val="none"/>
        </w:rPr>
        <w:t>因前款规定的同样原因被取消中标资格的，采购人可以确定排名第三的</w:t>
      </w:r>
      <w:r>
        <w:rPr>
          <w:rFonts w:hint="eastAsia" w:ascii="宋体" w:hAnsi="宋体" w:eastAsia="宋体" w:cs="宋体"/>
          <w:color w:val="auto"/>
          <w:spacing w:val="-3"/>
          <w:highlight w:val="none"/>
          <w:lang w:eastAsia="zh-CN"/>
        </w:rPr>
        <w:t>成交候选人</w:t>
      </w:r>
      <w:r>
        <w:rPr>
          <w:rFonts w:hint="eastAsia" w:ascii="宋体" w:hAnsi="宋体" w:eastAsia="宋体" w:cs="宋体"/>
          <w:color w:val="auto"/>
          <w:spacing w:val="-3"/>
          <w:highlight w:val="none"/>
        </w:rPr>
        <w:t>为</w:t>
      </w:r>
      <w:r>
        <w:rPr>
          <w:rFonts w:hint="eastAsia" w:ascii="宋体" w:hAnsi="宋体" w:eastAsia="宋体" w:cs="宋体"/>
          <w:color w:val="auto"/>
          <w:spacing w:val="-3"/>
          <w:highlight w:val="none"/>
          <w:lang w:eastAsia="zh-CN"/>
        </w:rPr>
        <w:t>成交人</w:t>
      </w:r>
      <w:r>
        <w:rPr>
          <w:rFonts w:hint="eastAsia" w:ascii="宋体" w:hAnsi="宋体" w:eastAsia="宋体" w:cs="宋体"/>
          <w:color w:val="auto"/>
          <w:spacing w:val="-3"/>
          <w:highlight w:val="none"/>
        </w:rPr>
        <w:t>。</w:t>
      </w:r>
    </w:p>
    <w:p w14:paraId="301ABB5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w:t>
      </w:r>
      <w:r>
        <w:rPr>
          <w:rFonts w:hint="eastAsia" w:ascii="宋体" w:hAnsi="宋体" w:eastAsia="宋体" w:cs="宋体"/>
          <w:color w:val="auto"/>
          <w:highlight w:val="none"/>
        </w:rPr>
        <w:t>在发布成交公告的同时，采购代理机构向成交供应商</w:t>
      </w:r>
      <w:r>
        <w:rPr>
          <w:rFonts w:hint="eastAsia" w:ascii="宋体" w:hAnsi="宋体" w:eastAsia="宋体" w:cs="宋体"/>
          <w:color w:val="auto"/>
          <w:kern w:val="0"/>
          <w:highlight w:val="none"/>
        </w:rPr>
        <w:t>通过</w:t>
      </w:r>
      <w:r>
        <w:rPr>
          <w:rFonts w:hint="eastAsia" w:ascii="宋体" w:hAnsi="宋体" w:eastAsia="宋体" w:cs="宋体"/>
          <w:color w:val="auto"/>
          <w:kern w:val="0"/>
          <w:highlight w:val="none"/>
          <w:lang w:eastAsia="zh-CN"/>
        </w:rPr>
        <w:t>广西政府采购云平台</w:t>
      </w:r>
      <w:r>
        <w:rPr>
          <w:rFonts w:hint="eastAsia" w:ascii="宋体" w:hAnsi="宋体" w:eastAsia="宋体" w:cs="宋体"/>
          <w:color w:val="auto"/>
          <w:kern w:val="0"/>
          <w:highlight w:val="none"/>
        </w:rPr>
        <w:t>发出电子</w:t>
      </w:r>
      <w:r>
        <w:rPr>
          <w:rFonts w:hint="eastAsia" w:ascii="宋体" w:hAnsi="宋体" w:eastAsia="宋体" w:cs="宋体"/>
          <w:color w:val="auto"/>
          <w:highlight w:val="none"/>
        </w:rPr>
        <w:t>成交通知书。</w:t>
      </w:r>
    </w:p>
    <w:p w14:paraId="54DF493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33.5供应商认为竞争性磋商采购文件、招标过程和成交结果使自己的权益受到损害的，可以在知道或者应知其权益受到损害之日起七个工作日内，以书面形式向招标采购单位提出质疑，并及时索要书面回执。</w:t>
      </w:r>
    </w:p>
    <w:p w14:paraId="2A6CA63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14:paraId="5F7E6687">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34.签订合同</w:t>
      </w:r>
    </w:p>
    <w:p w14:paraId="5411F7AA">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34.1成交供应商应在成交通知书发出之日起二十</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eastAsia="宋体" w:cs="宋体"/>
          <w:color w:val="auto"/>
          <w:kern w:val="0"/>
          <w:highlight w:val="none"/>
        </w:rPr>
        <w:t>电子采购合同需要供应商通过有效CA证书进行电子签名与签章。</w:t>
      </w:r>
    </w:p>
    <w:p w14:paraId="59562A3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E1B162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34.3如成交人不按成交通知书的规定签订合同，则按成交人违约处理，采购代理机构将没收成交人投标的全部磋商保证金并上缴同级财政国库。</w:t>
      </w:r>
    </w:p>
    <w:p w14:paraId="53F66DA5">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34.4成交人拒绝签订政府采购合同或者因不可抗力或自身原因不能履行采购合同的，采购人可以按照评审</w:t>
      </w:r>
      <w:r>
        <w:rPr>
          <w:rFonts w:hint="eastAsia" w:ascii="宋体" w:hAnsi="宋体" w:eastAsia="宋体" w:cs="宋体"/>
          <w:color w:val="auto"/>
          <w:sz w:val="21"/>
          <w:szCs w:val="21"/>
          <w:highlight w:val="none"/>
        </w:rPr>
        <w:t>报告推荐的成交候选人名单排序，确定下一候选人为成交供应商，也可以重新开展采购活动。拒绝签订政府采购合同的成交供应商不得参加对该项目重新开展的采购活动。</w:t>
      </w:r>
    </w:p>
    <w:p w14:paraId="653561A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14:paraId="71841F22">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34.6履约保证金</w:t>
      </w:r>
    </w:p>
    <w:p w14:paraId="7C5B6B7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34.6.1履约保证金金额：详见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w:t>
      </w:r>
      <w:r>
        <w:rPr>
          <w:rFonts w:hint="eastAsia" w:ascii="宋体" w:hAnsi="宋体" w:eastAsia="宋体" w:cs="宋体"/>
          <w:color w:val="auto"/>
          <w:sz w:val="21"/>
          <w:szCs w:val="21"/>
          <w:highlight w:val="none"/>
        </w:rPr>
        <w:t>表</w:t>
      </w:r>
      <w:r>
        <w:rPr>
          <w:rFonts w:hint="eastAsia" w:ascii="宋体" w:hAnsi="宋体" w:eastAsia="宋体" w:cs="宋体"/>
          <w:color w:val="auto"/>
          <w:kern w:val="0"/>
          <w:sz w:val="21"/>
          <w:szCs w:val="21"/>
          <w:highlight w:val="none"/>
        </w:rPr>
        <w:t>。</w:t>
      </w:r>
    </w:p>
    <w:p w14:paraId="304E698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34.6.2履约保证金递交时间：详见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w:t>
      </w:r>
      <w:r>
        <w:rPr>
          <w:rFonts w:hint="eastAsia" w:ascii="宋体" w:hAnsi="宋体" w:eastAsia="宋体" w:cs="宋体"/>
          <w:color w:val="auto"/>
          <w:sz w:val="21"/>
          <w:szCs w:val="21"/>
          <w:highlight w:val="none"/>
        </w:rPr>
        <w:t>表，未在规定时间内足额缴纳履约保证金的，不予签订合同</w:t>
      </w:r>
      <w:r>
        <w:rPr>
          <w:rFonts w:hint="eastAsia" w:ascii="宋体" w:hAnsi="宋体" w:eastAsia="宋体" w:cs="宋体"/>
          <w:color w:val="auto"/>
          <w:kern w:val="0"/>
          <w:sz w:val="21"/>
          <w:szCs w:val="21"/>
          <w:highlight w:val="none"/>
        </w:rPr>
        <w:t>。</w:t>
      </w:r>
    </w:p>
    <w:p w14:paraId="282A4BEA">
      <w:pPr>
        <w:pStyle w:val="27"/>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34.6.3在履约保证金退还日期前，若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的开户名称、开户银行、</w:t>
      </w:r>
      <w:r>
        <w:rPr>
          <w:rFonts w:hint="eastAsia" w:ascii="宋体" w:hAnsi="宋体" w:eastAsia="宋体" w:cs="宋体"/>
          <w:color w:val="auto"/>
          <w:sz w:val="21"/>
          <w:szCs w:val="21"/>
          <w:highlight w:val="none"/>
          <w:lang w:eastAsia="zh-CN"/>
        </w:rPr>
        <w:t>账号</w:t>
      </w:r>
      <w:r>
        <w:rPr>
          <w:rFonts w:hint="eastAsia" w:ascii="宋体" w:hAnsi="宋体" w:eastAsia="宋体" w:cs="宋体"/>
          <w:color w:val="auto"/>
          <w:sz w:val="21"/>
          <w:szCs w:val="21"/>
          <w:highlight w:val="none"/>
        </w:rPr>
        <w:t>有变动的，请以书面形式通知保证金收取单位，否则由此产生的后果由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自负。</w:t>
      </w:r>
    </w:p>
    <w:p w14:paraId="79A841F1">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六、验收</w:t>
      </w:r>
    </w:p>
    <w:p w14:paraId="53212444">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35.验收</w:t>
      </w:r>
    </w:p>
    <w:p w14:paraId="1DCA591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896108">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35.2采购人可以邀请参加本项目的其他供应商或者第三方机构参与验收。参与验收的供应商或者第三方机构的意见作为验收书的参考资料一并存档。</w:t>
      </w:r>
    </w:p>
    <w:p w14:paraId="29082851">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A82F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5F9729">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35.5项目验收完毕，成交供应商将壹份《广西壮族自治区政府采购项目合同验收书》（格式详见附件）送采购代理机构存档。</w:t>
      </w:r>
    </w:p>
    <w:p w14:paraId="50A30DE8">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七、其他事项</w:t>
      </w:r>
    </w:p>
    <w:p w14:paraId="13C07955">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需要补充的其他内容</w:t>
      </w:r>
    </w:p>
    <w:p w14:paraId="44FE096F">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36.1本</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解释规则详见“供应商须知前附表”。</w:t>
      </w:r>
    </w:p>
    <w:p w14:paraId="151E7610">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37.2其他事项详见“供应商须知前附表”。</w:t>
      </w:r>
    </w:p>
    <w:p w14:paraId="73BDDCB0">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 成交服务费</w:t>
      </w:r>
    </w:p>
    <w:p w14:paraId="406A8BEC">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37.1成交服务费：</w:t>
      </w:r>
      <w:r>
        <w:rPr>
          <w:rFonts w:hint="eastAsia" w:ascii="宋体" w:hAnsi="宋体" w:eastAsia="宋体" w:cs="宋体"/>
          <w:color w:val="auto"/>
          <w:sz w:val="21"/>
          <w:szCs w:val="21"/>
          <w:highlight w:val="none"/>
        </w:rPr>
        <w:t>代理服务费按</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国家发展计划委员会文件计价格（2002）1980号“国家计委关于印发《招标代理服务收费管理暂行办法》的通知”规定的</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类标准</w:t>
      </w:r>
      <w:r>
        <w:rPr>
          <w:rFonts w:hint="eastAsia" w:ascii="宋体" w:hAnsi="宋体" w:eastAsia="宋体" w:cs="宋体"/>
          <w:color w:val="auto"/>
          <w:sz w:val="21"/>
          <w:szCs w:val="21"/>
          <w:highlight w:val="none"/>
          <w:lang w:val="en-US" w:eastAsia="zh-CN"/>
        </w:rPr>
        <w:t>计取</w:t>
      </w:r>
      <w:r>
        <w:rPr>
          <w:rFonts w:hint="eastAsia" w:ascii="宋体" w:hAnsi="宋体" w:eastAsia="宋体" w:cs="宋体"/>
          <w:color w:val="auto"/>
          <w:sz w:val="21"/>
          <w:szCs w:val="21"/>
          <w:highlight w:val="none"/>
        </w:rPr>
        <w:t>代理</w:t>
      </w:r>
      <w:r>
        <w:rPr>
          <w:rFonts w:hint="eastAsia" w:ascii="宋体" w:hAnsi="宋体" w:eastAsia="宋体" w:cs="宋体"/>
          <w:color w:val="auto"/>
          <w:sz w:val="21"/>
          <w:szCs w:val="21"/>
          <w:highlight w:val="none"/>
          <w:lang w:val="en-US" w:eastAsia="zh-CN"/>
        </w:rPr>
        <w:t>服务费，不足5000元则按5000元收取</w:t>
      </w:r>
      <w:r>
        <w:rPr>
          <w:rFonts w:hint="eastAsia" w:ascii="宋体" w:hAnsi="宋体" w:eastAsia="宋体" w:cs="宋体"/>
          <w:color w:val="auto"/>
          <w:highlight w:val="none"/>
        </w:rPr>
        <w:t>。本项目的代理服务费由成交人支付，成交人在领取成交通知书时向代理机构一次性付清代理服务费。</w:t>
      </w:r>
    </w:p>
    <w:p w14:paraId="471A77C6">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37.2成交服务费收费标准：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14:paraId="24F0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14:paraId="362D97ED">
            <w:pPr>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15" name="直线 20"/>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x y;margin-left:36pt;margin-top:-0.5pt;height:70.55pt;width:80pt;z-index:251662336;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kzwNIAAAAJAQAADwAAAAAAAAABACAAAAAiAAAAZHJzL2Rvd25yZXYueG1sUEsBAhQA&#10;FAAAAAgAh07iQDFPHqr4AQAA9gMAAA4AAAAAAAAAAQAgAAAAI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费率</w:t>
            </w:r>
            <w:r>
              <w:rPr>
                <w:rFonts w:hint="eastAsia" w:ascii="宋体" w:hAnsi="宋体" w:eastAsia="宋体" w:cs="宋体"/>
                <w:b/>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BUpVMnm&#10;AQAA2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 xml:space="preserve">    服务类型</w:t>
            </w:r>
          </w:p>
          <w:p w14:paraId="194374EC">
            <w:pPr>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14" name="直线 1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 y;margin-left:-9pt;margin-top:5.9pt;height:43.6pt;width:122.45pt;z-index:251661312;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13Di1AAAAAkBAAAPAAAAAAAAAAEAIAAAACIAAABkcnMvZG93bnJldi54bWxQ&#10;SwECFAAUAAAACACHTuJAtXo5HPsBAAD2AwAADgAAAAAAAAABACAAAAAjAQAAZHJzL2Uyb0RvYy54&#10;bWxQSwUGAAAAAAYABgBZAQAAkAUAAAAA&#10;">
                      <v:fill on="f" focussize="0,0"/>
                      <v:stroke color="#000000" joinstyle="round"/>
                      <v:imagedata o:title=""/>
                      <o:lock v:ext="edit" aspectratio="f"/>
                    </v:line>
                  </w:pict>
                </mc:Fallback>
              </mc:AlternateContent>
            </w:r>
          </w:p>
          <w:p w14:paraId="7A4B002B">
            <w:pPr>
              <w:keepNext w:val="0"/>
              <w:keepLines w:val="0"/>
              <w:pageBreakBefore w:val="0"/>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b/>
                <w:color w:val="auto"/>
                <w:szCs w:val="21"/>
                <w:highlight w:val="none"/>
              </w:rPr>
            </w:pPr>
          </w:p>
          <w:p w14:paraId="4A156D56">
            <w:pPr>
              <w:keepNext w:val="0"/>
              <w:keepLines w:val="0"/>
              <w:pageBreakBefore w:val="0"/>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成交金额（万元）</w:t>
            </w:r>
          </w:p>
        </w:tc>
        <w:tc>
          <w:tcPr>
            <w:tcW w:w="1980" w:type="dxa"/>
            <w:vAlign w:val="center"/>
          </w:tcPr>
          <w:p w14:paraId="407E6DEA">
            <w:pPr>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1980" w:type="dxa"/>
            <w:vAlign w:val="center"/>
          </w:tcPr>
          <w:p w14:paraId="3E131D94">
            <w:pPr>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700" w:type="dxa"/>
            <w:vAlign w:val="center"/>
          </w:tcPr>
          <w:p w14:paraId="6D89F7E8">
            <w:pPr>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3B66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1FD9C955">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100以下</w:t>
            </w:r>
          </w:p>
        </w:tc>
        <w:tc>
          <w:tcPr>
            <w:tcW w:w="1980" w:type="dxa"/>
            <w:vAlign w:val="center"/>
          </w:tcPr>
          <w:p w14:paraId="4A086920">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1980" w:type="dxa"/>
            <w:vAlign w:val="center"/>
          </w:tcPr>
          <w:p w14:paraId="4F3219C3">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2700" w:type="dxa"/>
            <w:vAlign w:val="center"/>
          </w:tcPr>
          <w:p w14:paraId="744C2A06">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p>
        </w:tc>
      </w:tr>
      <w:tr w14:paraId="3823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690A2107">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100-500</w:t>
            </w:r>
          </w:p>
        </w:tc>
        <w:tc>
          <w:tcPr>
            <w:tcW w:w="1980" w:type="dxa"/>
            <w:vAlign w:val="center"/>
          </w:tcPr>
          <w:p w14:paraId="62D135EC">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p>
        </w:tc>
        <w:tc>
          <w:tcPr>
            <w:tcW w:w="1980" w:type="dxa"/>
            <w:vAlign w:val="center"/>
          </w:tcPr>
          <w:p w14:paraId="74FFFAFE">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2700" w:type="dxa"/>
            <w:vAlign w:val="center"/>
          </w:tcPr>
          <w:p w14:paraId="22A48D59">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0.7%</w:t>
            </w:r>
          </w:p>
        </w:tc>
      </w:tr>
      <w:tr w14:paraId="77AD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5321400D">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500-1000</w:t>
            </w:r>
          </w:p>
        </w:tc>
        <w:tc>
          <w:tcPr>
            <w:tcW w:w="1980" w:type="dxa"/>
            <w:vAlign w:val="center"/>
          </w:tcPr>
          <w:p w14:paraId="6E118418">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1980" w:type="dxa"/>
            <w:vAlign w:val="center"/>
          </w:tcPr>
          <w:p w14:paraId="7B2D9BC0">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0.45%</w:t>
            </w:r>
          </w:p>
        </w:tc>
        <w:tc>
          <w:tcPr>
            <w:tcW w:w="2700" w:type="dxa"/>
            <w:vAlign w:val="center"/>
          </w:tcPr>
          <w:p w14:paraId="3721C50C">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0.55%</w:t>
            </w:r>
          </w:p>
        </w:tc>
      </w:tr>
      <w:tr w14:paraId="457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21180FA8">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1000-5000</w:t>
            </w:r>
          </w:p>
        </w:tc>
        <w:tc>
          <w:tcPr>
            <w:tcW w:w="1980" w:type="dxa"/>
            <w:vAlign w:val="center"/>
          </w:tcPr>
          <w:p w14:paraId="2FAF1B0C">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0.5%</w:t>
            </w:r>
          </w:p>
        </w:tc>
        <w:tc>
          <w:tcPr>
            <w:tcW w:w="1980" w:type="dxa"/>
            <w:vAlign w:val="center"/>
          </w:tcPr>
          <w:p w14:paraId="29F0064D">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2700" w:type="dxa"/>
            <w:vAlign w:val="center"/>
          </w:tcPr>
          <w:p w14:paraId="2535CCEB">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0.35%</w:t>
            </w:r>
          </w:p>
        </w:tc>
      </w:tr>
      <w:tr w14:paraId="126B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59821934">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5000-10000</w:t>
            </w:r>
          </w:p>
        </w:tc>
        <w:tc>
          <w:tcPr>
            <w:tcW w:w="1980" w:type="dxa"/>
            <w:vAlign w:val="center"/>
          </w:tcPr>
          <w:p w14:paraId="6C18F289">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1980" w:type="dxa"/>
            <w:vAlign w:val="center"/>
          </w:tcPr>
          <w:p w14:paraId="3A754425">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0.1%</w:t>
            </w:r>
          </w:p>
        </w:tc>
        <w:tc>
          <w:tcPr>
            <w:tcW w:w="2700" w:type="dxa"/>
            <w:vAlign w:val="center"/>
          </w:tcPr>
          <w:p w14:paraId="7AC0AE0A">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0.2%</w:t>
            </w:r>
          </w:p>
        </w:tc>
      </w:tr>
      <w:tr w14:paraId="1F4F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352A6211">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10000-100000</w:t>
            </w:r>
          </w:p>
        </w:tc>
        <w:tc>
          <w:tcPr>
            <w:tcW w:w="1980" w:type="dxa"/>
            <w:vAlign w:val="center"/>
          </w:tcPr>
          <w:p w14:paraId="0D86F972">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c>
          <w:tcPr>
            <w:tcW w:w="1980" w:type="dxa"/>
            <w:vAlign w:val="center"/>
          </w:tcPr>
          <w:p w14:paraId="2889F341">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c>
          <w:tcPr>
            <w:tcW w:w="2700" w:type="dxa"/>
            <w:vAlign w:val="center"/>
          </w:tcPr>
          <w:p w14:paraId="0FEDFB41">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r>
      <w:tr w14:paraId="6302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02677EDE">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1000000以上</w:t>
            </w:r>
          </w:p>
        </w:tc>
        <w:tc>
          <w:tcPr>
            <w:tcW w:w="1980" w:type="dxa"/>
            <w:vAlign w:val="center"/>
          </w:tcPr>
          <w:p w14:paraId="092AAD0E">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0.01%</w:t>
            </w:r>
          </w:p>
        </w:tc>
        <w:tc>
          <w:tcPr>
            <w:tcW w:w="1980" w:type="dxa"/>
            <w:vAlign w:val="center"/>
          </w:tcPr>
          <w:p w14:paraId="4E2C8D88">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0.01%</w:t>
            </w:r>
          </w:p>
        </w:tc>
        <w:tc>
          <w:tcPr>
            <w:tcW w:w="2700" w:type="dxa"/>
            <w:vAlign w:val="center"/>
          </w:tcPr>
          <w:p w14:paraId="04D8E612">
            <w:pPr>
              <w:pStyle w:val="27"/>
              <w:keepNext w:val="0"/>
              <w:keepLines w:val="0"/>
              <w:pageBreakBefore w:val="0"/>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0.01%</w:t>
            </w:r>
          </w:p>
        </w:tc>
      </w:tr>
    </w:tbl>
    <w:p w14:paraId="49A2AA4D">
      <w:pPr>
        <w:pStyle w:val="27"/>
        <w:keepNext w:val="0"/>
        <w:keepLines w:val="0"/>
        <w:pageBreakBefore w:val="0"/>
        <w:kinsoku/>
        <w:wordWrap/>
        <w:overflowPunct/>
        <w:topLinePunct w:val="0"/>
        <w:autoSpaceDE/>
        <w:autoSpaceDN/>
        <w:bidi w:val="0"/>
        <w:snapToGrid/>
        <w:spacing w:beforeAutospacing="0" w:afterAutospacing="0" w:line="360" w:lineRule="exact"/>
        <w:ind w:firstLine="411" w:firstLineChars="196"/>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注：招标代理服务费收费按差额定率累进法计算。</w:t>
      </w:r>
    </w:p>
    <w:p w14:paraId="1EB4010A">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38.供应商信用查询相关规定</w:t>
      </w:r>
    </w:p>
    <w:p w14:paraId="4EB5E39A">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38.1信用查询渠道：“信用中国”网站（www.creditchina.gov.cn）、中国政府采购网（www.ccgp.gov.cn）；</w:t>
      </w:r>
    </w:p>
    <w:p w14:paraId="795784EA">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38.2信用查询截止时点：资格审查时。</w:t>
      </w:r>
    </w:p>
    <w:p w14:paraId="03643BD9">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38.3信用信息查询记录：“列入失信被执行人”、“ 重大税收违法案件当事人名单”、“政府采购严重违法失信行为记录名单”。</w:t>
      </w:r>
    </w:p>
    <w:p w14:paraId="2DA4DE8F">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14:paraId="73A5BC9B">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38.5</w:t>
      </w:r>
      <w:r>
        <w:rPr>
          <w:rFonts w:hint="eastAsia" w:ascii="宋体" w:hAnsi="宋体" w:eastAsia="宋体" w:cs="宋体"/>
          <w:color w:val="auto"/>
          <w:szCs w:val="21"/>
          <w:highlight w:val="none"/>
          <w:lang w:eastAsia="zh-CN"/>
        </w:rPr>
        <w:t>信用查询</w:t>
      </w: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eastAsia="zh-CN"/>
        </w:rPr>
        <w:t>评标委员会成员</w:t>
      </w:r>
      <w:r>
        <w:rPr>
          <w:rFonts w:hint="eastAsia" w:ascii="宋体" w:hAnsi="宋体" w:eastAsia="宋体" w:cs="宋体"/>
          <w:color w:val="auto"/>
          <w:highlight w:val="none"/>
        </w:rPr>
        <w:t>在查询网站中直接查询。</w:t>
      </w:r>
    </w:p>
    <w:p w14:paraId="7D9A4CC9">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39.关于中小企业的相关规定</w:t>
      </w:r>
    </w:p>
    <w:p w14:paraId="365ED811">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39.1根据《政府采购促进中小企业发展管理办法》（财库[2020]46号），本</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6B86DC4">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130BBAAB">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39.3在货物采购项目中，供应商提供的货物既有中小企业制造货物，也有大型企业制造货物的，不享受中小企业扶持政策。</w:t>
      </w:r>
    </w:p>
    <w:p w14:paraId="61733010">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39.4以联合体形式参加政府采购活动，联合体各方均为中小企业的，联合体视同中小企业。其中，联合体各方均为小微企业的，联合体视同小微企业。</w:t>
      </w:r>
    </w:p>
    <w:p w14:paraId="4A7AEE06">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3EB750C2">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39.5享受中小企业扶持政策获得政府采购合同的，小微企业不得将合同分包给大中型企业，中型企业不得将合同分包给大型企业。</w:t>
      </w:r>
    </w:p>
    <w:p w14:paraId="3FEDCF1D">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BCE8154">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0D455919">
      <w:pPr>
        <w:keepNext w:val="0"/>
        <w:keepLines w:val="0"/>
        <w:pageBreakBefore w:val="0"/>
        <w:widowControl w:val="0"/>
        <w:kinsoku/>
        <w:wordWrap/>
        <w:overflowPunct/>
        <w:topLinePunct w:val="0"/>
        <w:autoSpaceDE/>
        <w:autoSpaceDN/>
        <w:bidi w:val="0"/>
        <w:adjustRightInd w:val="0"/>
        <w:snapToGrid/>
        <w:spacing w:beforeAutospacing="0" w:afterAutospacing="0"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eastAsia="宋体" w:cs="宋体"/>
          <w:color w:val="auto"/>
          <w:sz w:val="32"/>
          <w:szCs w:val="32"/>
          <w:highlight w:val="none"/>
        </w:rPr>
        <w:br w:type="page"/>
      </w:r>
      <w:r>
        <w:rPr>
          <w:rFonts w:hint="eastAsia" w:ascii="宋体" w:hAnsi="宋体" w:eastAsia="宋体" w:cs="宋体"/>
          <w:color w:val="auto"/>
          <w:highlight w:val="none"/>
        </w:rPr>
        <w:t>附件1：</w:t>
      </w:r>
    </w:p>
    <w:p w14:paraId="75311B5E">
      <w:pPr>
        <w:keepNext w:val="0"/>
        <w:keepLines w:val="0"/>
        <w:pageBreakBefore w:val="0"/>
        <w:widowControl/>
        <w:shd w:val="clear" w:color="auto" w:fill="FFFFFF"/>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广西壮族自治区政府采购项目</w:t>
      </w:r>
      <w:r>
        <w:rPr>
          <w:rFonts w:hint="eastAsia" w:ascii="宋体" w:hAnsi="宋体" w:eastAsia="宋体" w:cs="宋体"/>
          <w:b/>
          <w:color w:val="auto"/>
          <w:kern w:val="0"/>
          <w:szCs w:val="21"/>
          <w:highlight w:val="none"/>
        </w:rPr>
        <w:t>合同验收书（格式）</w:t>
      </w:r>
    </w:p>
    <w:p w14:paraId="37096587">
      <w:pPr>
        <w:keepNext w:val="0"/>
        <w:keepLines w:val="0"/>
        <w:pageBreakBefore w:val="0"/>
        <w:widowControl/>
        <w:shd w:val="clear" w:color="auto" w:fill="FFFFFF"/>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）提供的货物（或工程、服务）进行了验收，验收情况如下：</w:t>
      </w:r>
    </w:p>
    <w:tbl>
      <w:tblPr>
        <w:tblStyle w:val="44"/>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14:paraId="233C65D0">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7B2CDE47">
            <w:pPr>
              <w:keepNext w:val="0"/>
              <w:keepLines w:val="0"/>
              <w:pageBreakBefore w:val="0"/>
              <w:widowControl/>
              <w:kinsoku/>
              <w:wordWrap/>
              <w:overflowPunct/>
              <w:topLinePunct w:val="0"/>
              <w:autoSpaceDE/>
              <w:autoSpaceDN/>
              <w:bidi w:val="0"/>
              <w:snapToGrid/>
              <w:spacing w:beforeAutospacing="0" w:afterAutospacing="0" w:line="36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666E46C2">
            <w:pPr>
              <w:keepNext w:val="0"/>
              <w:keepLines w:val="0"/>
              <w:pageBreakBefore w:val="0"/>
              <w:widowControl/>
              <w:kinsoku/>
              <w:wordWrap/>
              <w:overflowPunct/>
              <w:topLinePunct w:val="0"/>
              <w:autoSpaceDE/>
              <w:autoSpaceDN/>
              <w:bidi w:val="0"/>
              <w:snapToGrid/>
              <w:spacing w:beforeAutospacing="0" w:afterAutospacing="0" w:line="360" w:lineRule="exact"/>
              <w:ind w:firstLine="48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78108F32">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051B0E10">
            <w:pPr>
              <w:keepNext w:val="0"/>
              <w:keepLines w:val="0"/>
              <w:pageBreakBefore w:val="0"/>
              <w:widowControl/>
              <w:kinsoku/>
              <w:wordWrap/>
              <w:overflowPunct/>
              <w:topLinePunct w:val="0"/>
              <w:autoSpaceDE/>
              <w:autoSpaceDN/>
              <w:bidi w:val="0"/>
              <w:snapToGrid/>
              <w:spacing w:beforeAutospacing="0" w:afterAutospacing="0" w:line="36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14:paraId="6D8EFF37">
            <w:pPr>
              <w:keepNext w:val="0"/>
              <w:keepLines w:val="0"/>
              <w:pageBreakBefore w:val="0"/>
              <w:widowControl/>
              <w:kinsoku/>
              <w:wordWrap/>
              <w:overflowPunct/>
              <w:topLinePunct w:val="0"/>
              <w:autoSpaceDE/>
              <w:autoSpaceDN/>
              <w:bidi w:val="0"/>
              <w:snapToGrid/>
              <w:spacing w:beforeAutospacing="0" w:afterAutospacing="0" w:line="36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14:paraId="36488799">
            <w:pPr>
              <w:keepNext w:val="0"/>
              <w:keepLines w:val="0"/>
              <w:pageBreakBefore w:val="0"/>
              <w:widowControl/>
              <w:kinsoku/>
              <w:wordWrap/>
              <w:overflowPunct/>
              <w:topLinePunct w:val="0"/>
              <w:autoSpaceDE/>
              <w:autoSpaceDN/>
              <w:bidi w:val="0"/>
              <w:snapToGrid/>
              <w:spacing w:beforeAutospacing="0" w:afterAutospacing="0" w:line="36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26F68484">
            <w:pPr>
              <w:keepNext w:val="0"/>
              <w:keepLines w:val="0"/>
              <w:pageBreakBefore w:val="0"/>
              <w:widowControl/>
              <w:kinsoku/>
              <w:wordWrap/>
              <w:overflowPunct/>
              <w:topLinePunct w:val="0"/>
              <w:autoSpaceDE/>
              <w:autoSpaceDN/>
              <w:bidi w:val="0"/>
              <w:snapToGrid/>
              <w:spacing w:beforeAutospacing="0" w:afterAutospacing="0" w:line="36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14:paraId="0CC3D29D">
            <w:pPr>
              <w:keepNext w:val="0"/>
              <w:keepLines w:val="0"/>
              <w:pageBreakBefore w:val="0"/>
              <w:widowControl/>
              <w:kinsoku/>
              <w:wordWrap/>
              <w:overflowPunct/>
              <w:topLinePunct w:val="0"/>
              <w:autoSpaceDE/>
              <w:autoSpaceDN/>
              <w:bidi w:val="0"/>
              <w:snapToGrid/>
              <w:spacing w:beforeAutospacing="0" w:afterAutospacing="0" w:line="36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11260D9A">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7B8CE77">
            <w:pPr>
              <w:keepNext w:val="0"/>
              <w:keepLines w:val="0"/>
              <w:pageBreakBefore w:val="0"/>
              <w:widowControl/>
              <w:kinsoku/>
              <w:wordWrap/>
              <w:overflowPunct/>
              <w:topLinePunct w:val="0"/>
              <w:autoSpaceDE/>
              <w:autoSpaceDN/>
              <w:bidi w:val="0"/>
              <w:snapToGrid/>
              <w:spacing w:beforeAutospacing="0" w:afterAutospacing="0" w:line="360" w:lineRule="exact"/>
              <w:ind w:firstLine="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26475E85">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3BDDC769">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29BD4F67">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13BA2C0">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D8E89D7">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6923F474">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66F586C9">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7364EB5F">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71A2747C">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1BF11D8">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71306E">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FA71E5A">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72B21475">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03FD8ABB">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5DEDF08D">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03E3552E">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B141185">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67C868DE">
            <w:pPr>
              <w:keepNext w:val="0"/>
              <w:keepLines w:val="0"/>
              <w:pageBreakBefore w:val="0"/>
              <w:widowControl/>
              <w:kinsoku/>
              <w:wordWrap/>
              <w:overflowPunct/>
              <w:topLinePunct w:val="0"/>
              <w:autoSpaceDE/>
              <w:autoSpaceDN/>
              <w:bidi w:val="0"/>
              <w:snapToGrid/>
              <w:spacing w:beforeAutospacing="0" w:afterAutospacing="0" w:line="36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14:paraId="151A9C64">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DFFD676">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F7F3FAE">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24517F00">
            <w:pPr>
              <w:keepNext w:val="0"/>
              <w:keepLines w:val="0"/>
              <w:pageBreakBefore w:val="0"/>
              <w:widowControl/>
              <w:kinsoku/>
              <w:wordWrap/>
              <w:overflowPunct/>
              <w:topLinePunct w:val="0"/>
              <w:autoSpaceDE/>
              <w:autoSpaceDN/>
              <w:bidi w:val="0"/>
              <w:snapToGrid/>
              <w:spacing w:beforeAutospacing="0" w:afterAutospacing="0" w:line="36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19CE7D14">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303E5639">
            <w:pPr>
              <w:keepNext w:val="0"/>
              <w:keepLines w:val="0"/>
              <w:pageBreakBefore w:val="0"/>
              <w:widowControl/>
              <w:kinsoku/>
              <w:wordWrap/>
              <w:overflowPunct/>
              <w:topLinePunct w:val="0"/>
              <w:autoSpaceDE/>
              <w:autoSpaceDN/>
              <w:bidi w:val="0"/>
              <w:snapToGrid/>
              <w:spacing w:beforeAutospacing="0" w:afterAutospacing="0" w:line="36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14:paraId="1BDBD5EC">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4512015B">
            <w:pPr>
              <w:keepNext w:val="0"/>
              <w:keepLines w:val="0"/>
              <w:pageBreakBefore w:val="0"/>
              <w:widowControl/>
              <w:kinsoku/>
              <w:wordWrap/>
              <w:overflowPunct/>
              <w:topLinePunct w:val="0"/>
              <w:autoSpaceDE/>
              <w:autoSpaceDN/>
              <w:bidi w:val="0"/>
              <w:snapToGrid/>
              <w:spacing w:beforeAutospacing="0" w:afterAutospacing="0" w:line="360" w:lineRule="exact"/>
              <w:ind w:firstLine="46"/>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15674132">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0A0315F">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30B09B86">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14:paraId="006F8A1C">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47747B8A">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14:paraId="35AD72E1">
            <w:pPr>
              <w:keepNext w:val="0"/>
              <w:keepLines w:val="0"/>
              <w:pageBreakBefore w:val="0"/>
              <w:widowControl/>
              <w:kinsoku/>
              <w:wordWrap/>
              <w:overflowPunct/>
              <w:topLinePunct w:val="0"/>
              <w:autoSpaceDE/>
              <w:autoSpaceDN/>
              <w:bidi w:val="0"/>
              <w:snapToGrid/>
              <w:spacing w:beforeAutospacing="0" w:afterAutospacing="0" w:line="36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63FC819">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C6993">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052B751C">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019CF450">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7701A8">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14:paraId="3CD45AAB">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验收结论性意见：</w:t>
            </w:r>
          </w:p>
          <w:p w14:paraId="5404C2EA">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63DBF50">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2C407B6D">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14:paraId="129C41A5">
            <w:pPr>
              <w:keepNext w:val="0"/>
              <w:keepLines w:val="0"/>
              <w:pageBreakBefore w:val="0"/>
              <w:widowControl/>
              <w:kinsoku/>
              <w:wordWrap/>
              <w:overflowPunct/>
              <w:topLinePunct w:val="0"/>
              <w:autoSpaceDE/>
              <w:autoSpaceDN/>
              <w:bidi w:val="0"/>
              <w:snapToGrid/>
              <w:spacing w:beforeAutospacing="0" w:afterAutospacing="0" w:line="360" w:lineRule="exact"/>
              <w:ind w:firstLine="96"/>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3661619">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签字：</w:t>
            </w:r>
          </w:p>
        </w:tc>
      </w:tr>
      <w:tr w14:paraId="4EB51EDC">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24AC0E">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7B41649B">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88D8762">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0249A97A">
            <w:pPr>
              <w:keepNext w:val="0"/>
              <w:keepLines w:val="0"/>
              <w:pageBreakBefore w:val="0"/>
              <w:widowControl/>
              <w:kinsoku/>
              <w:wordWrap/>
              <w:overflowPunct/>
              <w:topLinePunct w:val="0"/>
              <w:autoSpaceDE/>
              <w:autoSpaceDN/>
              <w:bidi w:val="0"/>
              <w:snapToGrid/>
              <w:spacing w:beforeAutospacing="0" w:afterAutospacing="0" w:line="360" w:lineRule="exact"/>
              <w:ind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17D25989">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83232F">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14:paraId="14BE66E5">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14:paraId="7196699C">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采购人或受托机构的意见（盖章）：</w:t>
            </w:r>
          </w:p>
          <w:p w14:paraId="337216E9">
            <w:pPr>
              <w:keepNext w:val="0"/>
              <w:keepLines w:val="0"/>
              <w:pageBreakBefore w:val="0"/>
              <w:widowControl/>
              <w:kinsoku/>
              <w:wordWrap/>
              <w:overflowPunct/>
              <w:topLinePunct w:val="0"/>
              <w:autoSpaceDE/>
              <w:autoSpaceDN/>
              <w:bidi w:val="0"/>
              <w:snapToGrid/>
              <w:spacing w:beforeAutospacing="0" w:afterAutospacing="0" w:line="36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8F59E23">
      <w:pPr>
        <w:pStyle w:val="27"/>
        <w:keepNext w:val="0"/>
        <w:keepLines w:val="0"/>
        <w:pageBreakBefore w:val="0"/>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color w:val="auto"/>
          <w:highlight w:val="none"/>
        </w:rPr>
      </w:pPr>
    </w:p>
    <w:p w14:paraId="0D022297">
      <w:pPr>
        <w:pStyle w:val="27"/>
        <w:keepNext w:val="0"/>
        <w:keepLines w:val="0"/>
        <w:pageBreakBefore w:val="0"/>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color w:val="auto"/>
          <w:highlight w:val="none"/>
        </w:rPr>
      </w:pPr>
    </w:p>
    <w:p w14:paraId="2687982E">
      <w:pPr>
        <w:pStyle w:val="27"/>
        <w:snapToGrid w:val="0"/>
        <w:rPr>
          <w:rFonts w:hint="eastAsia" w:ascii="宋体" w:hAnsi="宋体" w:eastAsia="宋体" w:cs="宋体"/>
          <w:color w:val="auto"/>
          <w:highlight w:val="none"/>
        </w:rPr>
      </w:pPr>
    </w:p>
    <w:p w14:paraId="4A55822D">
      <w:pPr>
        <w:pStyle w:val="4"/>
        <w:spacing w:line="420" w:lineRule="exact"/>
        <w:jc w:val="center"/>
        <w:rPr>
          <w:rFonts w:hint="eastAsia" w:ascii="宋体" w:hAnsi="宋体" w:eastAsia="宋体" w:cs="宋体"/>
          <w:color w:val="auto"/>
          <w:sz w:val="32"/>
          <w:szCs w:val="32"/>
          <w:highlight w:val="none"/>
        </w:rPr>
      </w:pPr>
      <w:bookmarkStart w:id="20" w:name="_Toc27378"/>
      <w:r>
        <w:rPr>
          <w:rFonts w:hint="eastAsia" w:ascii="宋体" w:hAnsi="宋体" w:eastAsia="宋体" w:cs="宋体"/>
          <w:color w:val="auto"/>
          <w:sz w:val="32"/>
          <w:szCs w:val="32"/>
          <w:highlight w:val="none"/>
        </w:rPr>
        <w:t>第三章 项目采购需求</w:t>
      </w:r>
      <w:bookmarkEnd w:id="20"/>
    </w:p>
    <w:p w14:paraId="5CFDCB7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、采购项目类别：工程类</w:t>
      </w:r>
    </w:p>
    <w:p w14:paraId="3B3C84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采购标的的所属行业：根据中小企业划分标准 (《关于印发中小企业划型标准规定的通知》 (工信部联企业〔2011〕300号) 文件，本项目采购标的的所属行业：</w:t>
      </w:r>
      <w:r>
        <w:rPr>
          <w:rFonts w:hint="eastAsia" w:ascii="宋体" w:hAnsi="宋体" w:eastAsia="宋体" w:cs="宋体"/>
          <w:color w:val="auto"/>
          <w:sz w:val="21"/>
          <w:szCs w:val="21"/>
          <w:highlight w:val="none"/>
          <w:u w:val="single"/>
        </w:rPr>
        <w:t>建筑业</w:t>
      </w:r>
      <w:r>
        <w:rPr>
          <w:rFonts w:hint="eastAsia" w:ascii="宋体" w:hAnsi="宋体" w:eastAsia="宋体" w:cs="宋体"/>
          <w:color w:val="auto"/>
          <w:sz w:val="21"/>
          <w:szCs w:val="21"/>
          <w:highlight w:val="none"/>
        </w:rPr>
        <w:t>。</w:t>
      </w:r>
    </w:p>
    <w:p w14:paraId="437C0DA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、采购项目需求：</w:t>
      </w:r>
    </w:p>
    <w:p w14:paraId="19F5E6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 工程综合说明</w:t>
      </w:r>
      <w:r>
        <w:rPr>
          <w:rFonts w:hint="eastAsia" w:ascii="宋体" w:hAnsi="宋体" w:eastAsia="宋体" w:cs="宋体"/>
          <w:color w:val="auto"/>
          <w:sz w:val="21"/>
          <w:szCs w:val="21"/>
          <w:highlight w:val="none"/>
          <w:lang w:eastAsia="zh-CN"/>
        </w:rPr>
        <w:t>：</w:t>
      </w:r>
    </w:p>
    <w:p w14:paraId="46E6B1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cs="宋体"/>
          <w:color w:val="auto"/>
          <w:sz w:val="21"/>
          <w:szCs w:val="21"/>
          <w:highlight w:val="none"/>
          <w:lang w:eastAsia="zh-CN"/>
        </w:rPr>
        <w:t>柳州市第一职业技术学校1-5#学生宿舍热水管更换改造项目</w:t>
      </w:r>
    </w:p>
    <w:p w14:paraId="2D2E9C8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2、项目编号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LZZC2025-C2-990650-GXDY</w:t>
      </w:r>
    </w:p>
    <w:p w14:paraId="137939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3、建设地点：</w:t>
      </w:r>
      <w:r>
        <w:rPr>
          <w:rFonts w:hint="eastAsia" w:ascii="宋体" w:hAnsi="宋体" w:eastAsia="宋体" w:cs="宋体"/>
          <w:color w:val="auto"/>
          <w:sz w:val="21"/>
          <w:szCs w:val="21"/>
          <w:highlight w:val="none"/>
          <w:lang w:eastAsia="zh-CN"/>
        </w:rPr>
        <w:t>广西柳州</w:t>
      </w:r>
    </w:p>
    <w:p w14:paraId="5D8527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4、工程概况：</w:t>
      </w:r>
      <w:r>
        <w:rPr>
          <w:rFonts w:hint="eastAsia" w:ascii="宋体" w:hAnsi="宋体" w:cs="宋体"/>
          <w:color w:val="auto"/>
          <w:sz w:val="21"/>
          <w:szCs w:val="21"/>
          <w:highlight w:val="none"/>
          <w:lang w:eastAsia="zh-CN"/>
        </w:rPr>
        <w:t>柳州市第一职业技术学校1-5#学生宿舍热水管更换改造项目</w:t>
      </w:r>
      <w:r>
        <w:rPr>
          <w:rFonts w:hint="eastAsia" w:ascii="宋体" w:hAnsi="宋体" w:eastAsia="宋体" w:cs="宋体"/>
          <w:color w:val="auto"/>
          <w:sz w:val="21"/>
          <w:szCs w:val="21"/>
          <w:highlight w:val="none"/>
          <w:lang w:eastAsia="zh-CN"/>
        </w:rPr>
        <w:t>，本项目涉及1-8#宿舍楼水管，主要内容为学生宿舍楼拆除旧水管，室外过路水管拆除混凝土，敷设PP-R给水管、内衬塑镀锌钢管、安装截止阀，楼板打孔、墙面打孔，室外过路水管浇筑混凝土等。</w:t>
      </w:r>
      <w:r>
        <w:rPr>
          <w:rFonts w:hint="eastAsia" w:ascii="宋体" w:hAnsi="宋体" w:eastAsia="宋体" w:cs="宋体"/>
          <w:sz w:val="21"/>
          <w:szCs w:val="21"/>
          <w:highlight w:val="none"/>
        </w:rPr>
        <w:t>具体内容详见《施工图纸和工程量清单》</w:t>
      </w:r>
      <w:r>
        <w:rPr>
          <w:rFonts w:hint="eastAsia" w:cs="宋体"/>
          <w:sz w:val="21"/>
          <w:szCs w:val="21"/>
          <w:highlight w:val="none"/>
          <w:lang w:eastAsia="zh-CN"/>
        </w:rPr>
        <w:t>。</w:t>
      </w:r>
    </w:p>
    <w:p w14:paraId="09B439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5、预算金额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招标控制价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949850.40</w:t>
      </w:r>
      <w:r>
        <w:rPr>
          <w:rFonts w:hint="eastAsia" w:ascii="宋体" w:hAnsi="宋体" w:eastAsia="宋体" w:cs="宋体"/>
          <w:color w:val="auto"/>
          <w:sz w:val="21"/>
          <w:szCs w:val="21"/>
          <w:highlight w:val="none"/>
          <w:lang w:val="en-US" w:eastAsia="zh-CN"/>
        </w:rPr>
        <w:t>元</w:t>
      </w:r>
    </w:p>
    <w:p w14:paraId="049656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6、资金来源及出资比例：财政资金100%。</w:t>
      </w:r>
    </w:p>
    <w:p w14:paraId="597CD7E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7、发包方式：固定综合单价。</w:t>
      </w:r>
    </w:p>
    <w:p w14:paraId="340923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日历天。</w:t>
      </w:r>
    </w:p>
    <w:p w14:paraId="0E6CD7C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strike w:val="0"/>
          <w:dstrike w:val="0"/>
          <w:color w:val="auto"/>
          <w:sz w:val="21"/>
          <w:szCs w:val="21"/>
          <w:highlight w:val="none"/>
        </w:rPr>
        <w:t>9、质量要求：达到国家和行业施工验收规范合格标准。</w:t>
      </w:r>
      <w:r>
        <w:rPr>
          <w:rFonts w:hint="eastAsia" w:ascii="宋体" w:hAnsi="宋体" w:eastAsia="宋体" w:cs="宋体"/>
          <w:strike w:val="0"/>
          <w:color w:val="auto"/>
          <w:sz w:val="21"/>
          <w:szCs w:val="21"/>
          <w:highlight w:val="none"/>
        </w:rPr>
        <w:t>本工</w:t>
      </w:r>
      <w:r>
        <w:rPr>
          <w:rFonts w:hint="eastAsia" w:ascii="宋体" w:hAnsi="宋体" w:eastAsia="宋体" w:cs="宋体"/>
          <w:color w:val="auto"/>
          <w:sz w:val="21"/>
          <w:szCs w:val="21"/>
          <w:highlight w:val="none"/>
        </w:rPr>
        <w:t>程生活给水系统管材选用应符合国家现行标准及卫生规范，确保饮用水安全</w:t>
      </w:r>
      <w:r>
        <w:rPr>
          <w:rFonts w:hint="eastAsia" w:ascii="宋体" w:hAnsi="宋体" w:cs="宋体"/>
          <w:color w:val="auto"/>
          <w:sz w:val="21"/>
          <w:szCs w:val="21"/>
          <w:highlight w:val="none"/>
          <w:lang w:eastAsia="zh-CN"/>
        </w:rPr>
        <w:t xml:space="preserve">。具体要求如下：  </w:t>
      </w:r>
    </w:p>
    <w:p w14:paraId="4A7C05C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 xml:space="preserve"> 室外给水管</w:t>
      </w:r>
    </w:p>
    <w:p w14:paraId="4F27B71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管材类型：采用给水用聚乙烯（PE）衬塑复合钢管，公称压力1.</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lang w:eastAsia="zh-CN"/>
        </w:rPr>
        <w:t xml:space="preserve">MPa。  </w:t>
      </w:r>
    </w:p>
    <w:p w14:paraId="4449D7B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执行标准：  </w:t>
      </w:r>
    </w:p>
    <w:p w14:paraId="77B17A9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《给水用聚乙烯（PE）衬塑复合钢管》（CJ/T 136-2007）  </w:t>
      </w:r>
    </w:p>
    <w:p w14:paraId="4389C88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《生活饮用水输配水设备及防护材料的安全性评价标准》（GB/T 17219-1998）  </w:t>
      </w:r>
    </w:p>
    <w:p w14:paraId="555E8108">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卫生要求：管材及管件必须提供省级以上卫生行政部门颁发的卫生许可批件，并提供相关卫生性能检测报告（如浸泡试验、重金属析出量等）。  </w:t>
      </w:r>
    </w:p>
    <w:p w14:paraId="60309DD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连接方式：采用法兰连接或沟槽式卡箍连接，确保密封性，防止渗漏。  </w:t>
      </w:r>
    </w:p>
    <w:p w14:paraId="20DE9E0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防腐要求：埋地管道外壁需做环氧煤沥青防腐层（或采用其他符合《埋地钢质管道防腐层技术标准》GB/T 23257的防腐措施）。  </w:t>
      </w:r>
    </w:p>
    <w:p w14:paraId="1CFF586E">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 xml:space="preserve"> 室内给水管</w:t>
      </w:r>
    </w:p>
    <w:p w14:paraId="7E9E4EC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管材（</w:t>
      </w:r>
      <w:r>
        <w:rPr>
          <w:rFonts w:hint="eastAsia" w:ascii="宋体" w:hAnsi="宋体" w:cs="宋体"/>
          <w:color w:val="auto"/>
          <w:sz w:val="21"/>
          <w:szCs w:val="21"/>
          <w:highlight w:val="none"/>
          <w:lang w:val="en-US" w:eastAsia="zh-CN"/>
        </w:rPr>
        <w:t>包含管及管件</w:t>
      </w:r>
      <w:r>
        <w:rPr>
          <w:rFonts w:hint="eastAsia" w:ascii="宋体" w:hAnsi="宋体" w:cs="宋体"/>
          <w:color w:val="auto"/>
          <w:sz w:val="21"/>
          <w:szCs w:val="21"/>
          <w:highlight w:val="none"/>
          <w:lang w:eastAsia="zh-CN"/>
        </w:rPr>
        <w:t>）类型：采用冷热水用聚丙烯（PP-R）</w:t>
      </w:r>
      <w:r>
        <w:rPr>
          <w:rFonts w:hint="eastAsia" w:ascii="宋体" w:hAnsi="宋体" w:cs="宋体"/>
          <w:color w:val="auto"/>
          <w:sz w:val="21"/>
          <w:szCs w:val="21"/>
          <w:highlight w:val="none"/>
          <w:lang w:val="en-US" w:eastAsia="zh-CN"/>
        </w:rPr>
        <w:t>饮用水</w:t>
      </w:r>
      <w:r>
        <w:rPr>
          <w:rFonts w:hint="eastAsia" w:ascii="宋体" w:hAnsi="宋体" w:cs="宋体"/>
          <w:color w:val="auto"/>
          <w:sz w:val="21"/>
          <w:szCs w:val="21"/>
          <w:highlight w:val="none"/>
          <w:lang w:eastAsia="zh-CN"/>
        </w:rPr>
        <w:t>管，</w:t>
      </w:r>
      <w:r>
        <w:rPr>
          <w:rFonts w:hint="eastAsia" w:ascii="宋体" w:hAnsi="宋体" w:cs="宋体"/>
          <w:color w:val="auto"/>
          <w:sz w:val="21"/>
          <w:szCs w:val="21"/>
          <w:highlight w:val="none"/>
          <w:lang w:val="en-US" w:eastAsia="zh-CN"/>
        </w:rPr>
        <w:t>冷水管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蓝线）</w:t>
      </w:r>
      <w:r>
        <w:rPr>
          <w:rFonts w:hint="eastAsia" w:ascii="宋体" w:hAnsi="宋体" w:cs="宋体"/>
          <w:color w:val="auto"/>
          <w:sz w:val="21"/>
          <w:szCs w:val="21"/>
          <w:highlight w:val="none"/>
          <w:lang w:eastAsia="zh-CN"/>
        </w:rPr>
        <w:t>公称压力1.25MPa，</w:t>
      </w:r>
      <w:r>
        <w:rPr>
          <w:rFonts w:hint="eastAsia" w:ascii="宋体" w:hAnsi="宋体" w:cs="宋体"/>
          <w:color w:val="auto"/>
          <w:sz w:val="21"/>
          <w:szCs w:val="21"/>
          <w:highlight w:val="none"/>
          <w:lang w:val="en-US" w:eastAsia="zh-CN"/>
        </w:rPr>
        <w:t>热水管（红线）</w:t>
      </w:r>
      <w:r>
        <w:rPr>
          <w:rFonts w:hint="eastAsia" w:ascii="宋体" w:hAnsi="宋体" w:cs="宋体"/>
          <w:color w:val="auto"/>
          <w:sz w:val="21"/>
          <w:szCs w:val="21"/>
          <w:highlight w:val="none"/>
          <w:lang w:eastAsia="zh-CN"/>
        </w:rPr>
        <w:t>公称压力</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eastAsia="zh-CN"/>
        </w:rPr>
        <w:t xml:space="preserve">MPa。  </w:t>
      </w:r>
    </w:p>
    <w:p w14:paraId="78589E6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执行标准：  </w:t>
      </w:r>
    </w:p>
    <w:p w14:paraId="3A710C9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《冷热水用聚丙烯管道系统 第2部分：管材》（GB/T 18742.2-2017）  </w:t>
      </w:r>
    </w:p>
    <w:p w14:paraId="5433D14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《建筑给水排水设计标准》（GB 50015-2019）  </w:t>
      </w:r>
    </w:p>
    <w:p w14:paraId="35D5802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《生活饮用水输配水设备及防护材料的安全性评价标准》（GB/T 17219-1998）  </w:t>
      </w:r>
    </w:p>
    <w:p w14:paraId="38CB69F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卫生要求：PP-R管材及管件需提供卫生许可批件，并符合饮用水卫生安全标准。  </w:t>
      </w:r>
    </w:p>
    <w:p w14:paraId="27C4769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连接方式：采用热熔连接，确保接口无渗漏，施工应符合《建筑给水塑料管道工程技术规程》（CJJ/T 98-2014）。  </w:t>
      </w:r>
    </w:p>
    <w:p w14:paraId="2403534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 xml:space="preserve"> 其他要求</w:t>
      </w:r>
    </w:p>
    <w:p w14:paraId="3D8DDE1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所有管材</w:t>
      </w:r>
      <w:r>
        <w:rPr>
          <w:rFonts w:hint="eastAsia" w:ascii="宋体" w:hAnsi="宋体" w:cs="宋体"/>
          <w:color w:val="auto"/>
          <w:sz w:val="21"/>
          <w:szCs w:val="21"/>
          <w:highlight w:val="none"/>
          <w:lang w:val="en-US" w:eastAsia="zh-CN"/>
        </w:rPr>
        <w:t>采购前需提供样品及</w:t>
      </w:r>
      <w:r>
        <w:rPr>
          <w:rFonts w:hint="eastAsia" w:ascii="宋体" w:hAnsi="宋体" w:cs="宋体"/>
          <w:color w:val="auto"/>
          <w:sz w:val="21"/>
          <w:szCs w:val="21"/>
          <w:highlight w:val="none"/>
          <w:lang w:eastAsia="zh-CN"/>
        </w:rPr>
        <w:t>合格证、检测报告及卫生许可批件，并经建设单位</w:t>
      </w:r>
      <w:r>
        <w:rPr>
          <w:rFonts w:hint="eastAsia" w:ascii="宋体" w:hAnsi="宋体" w:cs="宋体"/>
          <w:color w:val="auto"/>
          <w:sz w:val="21"/>
          <w:szCs w:val="21"/>
          <w:highlight w:val="none"/>
          <w:lang w:val="en-US" w:eastAsia="zh-CN"/>
        </w:rPr>
        <w:t>认可</w:t>
      </w:r>
      <w:r>
        <w:rPr>
          <w:rFonts w:hint="eastAsia" w:ascii="宋体" w:hAnsi="宋体" w:cs="宋体"/>
          <w:color w:val="auto"/>
          <w:sz w:val="21"/>
          <w:szCs w:val="21"/>
          <w:highlight w:val="none"/>
          <w:lang w:eastAsia="zh-CN"/>
        </w:rPr>
        <w:t>合格后方可</w:t>
      </w:r>
      <w:r>
        <w:rPr>
          <w:rFonts w:hint="eastAsia" w:ascii="宋体" w:hAnsi="宋体" w:cs="宋体"/>
          <w:color w:val="auto"/>
          <w:sz w:val="21"/>
          <w:szCs w:val="21"/>
          <w:highlight w:val="none"/>
          <w:lang w:val="en-US" w:eastAsia="zh-CN"/>
        </w:rPr>
        <w:t>使用；所有材料进场需提供以上材料经建设单位进行材料验收合格后方可施工</w:t>
      </w:r>
      <w:r>
        <w:rPr>
          <w:rFonts w:hint="eastAsia" w:ascii="宋体" w:hAnsi="宋体" w:cs="宋体"/>
          <w:color w:val="auto"/>
          <w:sz w:val="21"/>
          <w:szCs w:val="21"/>
          <w:highlight w:val="none"/>
          <w:lang w:eastAsia="zh-CN"/>
        </w:rPr>
        <w:t xml:space="preserve">。  </w:t>
      </w:r>
    </w:p>
    <w:p w14:paraId="40EC87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trike/>
          <w:dstrike w:val="0"/>
          <w:color w:val="auto"/>
          <w:sz w:val="21"/>
          <w:szCs w:val="21"/>
          <w:highlight w:val="none"/>
        </w:rPr>
      </w:pPr>
      <w:r>
        <w:rPr>
          <w:rFonts w:hint="eastAsia" w:ascii="宋体" w:hAnsi="宋体" w:cs="宋体"/>
          <w:color w:val="auto"/>
          <w:sz w:val="21"/>
          <w:szCs w:val="21"/>
          <w:highlight w:val="none"/>
          <w:lang w:eastAsia="zh-CN"/>
        </w:rPr>
        <w:t xml:space="preserve"> 施工完成后，应对管道系统进行冲洗消毒，确保符合《生活饮用水卫生标准》（GB 5749-2022）。</w:t>
      </w:r>
    </w:p>
    <w:p w14:paraId="31C7F5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bookmarkStart w:id="21" w:name="_bookmark4"/>
      <w:bookmarkEnd w:id="21"/>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 工程进度款支付：</w:t>
      </w:r>
    </w:p>
    <w:p w14:paraId="7FEE00D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本合同生效后，甲方按如下约定向乙方支付工程款：</w:t>
      </w:r>
    </w:p>
    <w:p w14:paraId="56D36719">
      <w:pPr>
        <w:spacing w:line="380" w:lineRule="exact"/>
        <w:ind w:firstLine="420" w:firstLineChars="200"/>
        <w:rPr>
          <w:rFonts w:hint="eastAsia" w:ascii="宋体" w:hAnsi="宋体" w:eastAsia="宋体" w:cs="宋体"/>
          <w:color w:val="auto"/>
          <w:sz w:val="21"/>
          <w:szCs w:val="21"/>
          <w:highlight w:val="none"/>
          <w:lang w:val="en-US" w:eastAsia="zh-CN"/>
        </w:rPr>
      </w:pPr>
      <w:r>
        <w:rPr>
          <w:rStyle w:val="46"/>
          <w:rFonts w:hint="eastAsia" w:ascii="宋体" w:hAnsi="宋体" w:cs="宋体"/>
          <w:color w:val="auto"/>
          <w:szCs w:val="21"/>
          <w:highlight w:val="none"/>
          <w:lang w:eastAsia="zh-CN"/>
        </w:rPr>
        <w:t>（</w:t>
      </w:r>
      <w:r>
        <w:rPr>
          <w:rStyle w:val="46"/>
          <w:rFonts w:hint="eastAsia" w:ascii="宋体" w:hAnsi="宋体" w:cs="宋体"/>
          <w:color w:val="auto"/>
          <w:szCs w:val="21"/>
          <w:highlight w:val="none"/>
          <w:lang w:val="en-US" w:eastAsia="zh-CN"/>
        </w:rPr>
        <w:t>1</w:t>
      </w:r>
      <w:r>
        <w:rPr>
          <w:rStyle w:val="46"/>
          <w:rFonts w:hint="eastAsia" w:ascii="宋体" w:hAnsi="宋体" w:cs="宋体"/>
          <w:color w:val="auto"/>
          <w:szCs w:val="21"/>
          <w:highlight w:val="none"/>
          <w:lang w:eastAsia="zh-CN"/>
        </w:rPr>
        <w:t>）</w:t>
      </w:r>
      <w:r>
        <w:rPr>
          <w:rStyle w:val="46"/>
          <w:rFonts w:hint="eastAsia" w:ascii="宋体" w:hAnsi="宋体" w:cs="宋体"/>
          <w:color w:val="auto"/>
          <w:szCs w:val="21"/>
          <w:highlight w:val="none"/>
        </w:rPr>
        <w:t>工程计量周期和支付比例</w:t>
      </w:r>
    </w:p>
    <w:p w14:paraId="6590B96F">
      <w:pPr>
        <w:spacing w:line="380" w:lineRule="exact"/>
        <w:ind w:firstLine="420" w:firstLineChars="20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①</w:t>
      </w:r>
      <w:r>
        <w:rPr>
          <w:rStyle w:val="46"/>
          <w:rFonts w:hint="eastAsia" w:ascii="宋体" w:hAnsi="宋体" w:cs="宋体"/>
          <w:color w:val="0000FF"/>
          <w:szCs w:val="21"/>
          <w:highlight w:val="none"/>
        </w:rPr>
        <w:t>工程计量周期</w:t>
      </w:r>
      <w:r>
        <w:rPr>
          <w:rStyle w:val="46"/>
          <w:rFonts w:hint="eastAsia" w:ascii="宋体" w:hAnsi="宋体" w:cs="宋体"/>
          <w:color w:val="0000FF"/>
          <w:szCs w:val="21"/>
          <w:highlight w:val="none"/>
          <w:lang w:eastAsia="zh-CN"/>
        </w:rPr>
        <w:t>：</w:t>
      </w:r>
      <w:r>
        <w:rPr>
          <w:rStyle w:val="46"/>
          <w:rFonts w:hint="eastAsia" w:ascii="宋体" w:hAnsi="宋体" w:cs="宋体"/>
          <w:color w:val="0000FF"/>
          <w:szCs w:val="21"/>
          <w:highlight w:val="none"/>
          <w:u w:val="single"/>
        </w:rPr>
        <w:t>按两个月为一个计量付款周期，每月 20 日为当月计量截止日期（不含当日）及下月计量起始日期（含当日），每两个自然月依据周期内累计计量结果办理付款</w:t>
      </w:r>
      <w:r>
        <w:rPr>
          <w:rStyle w:val="46"/>
          <w:rFonts w:hint="eastAsia" w:ascii="宋体" w:hAnsi="宋体" w:cs="宋体"/>
          <w:color w:val="0000FF"/>
          <w:szCs w:val="21"/>
          <w:highlight w:val="none"/>
        </w:rPr>
        <w:t>。</w:t>
      </w:r>
    </w:p>
    <w:p w14:paraId="62FBB112">
      <w:pPr>
        <w:spacing w:line="380" w:lineRule="exact"/>
        <w:ind w:firstLine="420" w:firstLineChars="200"/>
        <w:rPr>
          <w:rStyle w:val="46"/>
          <w:rFonts w:hint="eastAsia" w:ascii="宋体" w:hAnsi="宋体" w:cs="宋体"/>
          <w:color w:val="0000FF"/>
          <w:szCs w:val="21"/>
          <w:highlight w:val="none"/>
          <w:u w:val="single"/>
          <w:lang w:eastAsia="zh-CN"/>
        </w:rPr>
      </w:pPr>
      <w:r>
        <w:rPr>
          <w:rFonts w:hint="eastAsia" w:ascii="宋体" w:hAnsi="宋体" w:cs="宋体"/>
          <w:color w:val="0000FF"/>
          <w:sz w:val="21"/>
          <w:szCs w:val="21"/>
          <w:highlight w:val="none"/>
          <w:lang w:val="en-US" w:eastAsia="zh-CN"/>
        </w:rPr>
        <w:t>②</w:t>
      </w:r>
      <w:r>
        <w:rPr>
          <w:rStyle w:val="46"/>
          <w:rFonts w:hint="eastAsia" w:ascii="宋体" w:hAnsi="宋体" w:cs="宋体"/>
          <w:color w:val="0000FF"/>
          <w:szCs w:val="21"/>
          <w:highlight w:val="none"/>
        </w:rPr>
        <w:t>支付比例</w:t>
      </w:r>
      <w:r>
        <w:rPr>
          <w:rStyle w:val="46"/>
          <w:rFonts w:hint="eastAsia" w:ascii="宋体" w:hAnsi="宋体" w:cs="宋体"/>
          <w:color w:val="0000FF"/>
          <w:szCs w:val="21"/>
          <w:highlight w:val="none"/>
          <w:lang w:eastAsia="zh-CN"/>
        </w:rPr>
        <w:t>：</w:t>
      </w:r>
      <w:r>
        <w:rPr>
          <w:rStyle w:val="46"/>
          <w:rFonts w:hint="eastAsia" w:ascii="宋体" w:hAnsi="宋体" w:cs="宋体"/>
          <w:color w:val="0000FF"/>
          <w:szCs w:val="21"/>
          <w:highlight w:val="none"/>
          <w:u w:val="single"/>
        </w:rPr>
        <w:t>按工程计量周期内完成工程量的80% 。工程完工验收达到质量要求，结算经发包人</w:t>
      </w:r>
      <w:r>
        <w:rPr>
          <w:rStyle w:val="46"/>
          <w:rFonts w:hint="eastAsia" w:ascii="宋体" w:hAnsi="宋体" w:cs="宋体"/>
          <w:color w:val="0000FF"/>
          <w:szCs w:val="21"/>
          <w:highlight w:val="none"/>
          <w:u w:val="single"/>
          <w:lang w:eastAsia="zh-CN"/>
        </w:rPr>
        <w:t>、</w:t>
      </w:r>
      <w:r>
        <w:rPr>
          <w:rStyle w:val="46"/>
          <w:rFonts w:hint="eastAsia" w:ascii="宋体" w:hAnsi="宋体" w:cs="宋体"/>
          <w:color w:val="0000FF"/>
          <w:szCs w:val="21"/>
          <w:highlight w:val="none"/>
          <w:u w:val="single"/>
        </w:rPr>
        <w:t>财政投资评审中心（或第三方审核机构</w:t>
      </w:r>
      <w:r>
        <w:rPr>
          <w:rStyle w:val="46"/>
          <w:rFonts w:hint="eastAsia" w:ascii="宋体" w:hAnsi="宋体" w:cs="宋体"/>
          <w:color w:val="0000FF"/>
          <w:szCs w:val="21"/>
          <w:highlight w:val="none"/>
          <w:u w:val="single"/>
          <w:lang w:eastAsia="zh-CN"/>
        </w:rPr>
        <w:t>）</w:t>
      </w:r>
      <w:r>
        <w:rPr>
          <w:rStyle w:val="46"/>
          <w:rFonts w:hint="eastAsia" w:ascii="宋体" w:hAnsi="宋体" w:cs="宋体"/>
          <w:color w:val="0000FF"/>
          <w:szCs w:val="21"/>
          <w:highlight w:val="none"/>
          <w:u w:val="single"/>
        </w:rPr>
        <w:t>审定后，承包人预留工程价款结算总额3%作为质量保证(保修)金的，发包人向承包人支付至工程价款结算总额的97%；或承包人提交工程价款结算总额3%的质量保证(保修)金保函作为质量保证(保修)金的，发包人向承包人支付至工程价款结算总额的100%。</w:t>
      </w:r>
    </w:p>
    <w:p w14:paraId="390B8C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支付说明：</w:t>
      </w:r>
    </w:p>
    <w:p w14:paraId="64DF06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乙方应理解政府部门付款的相关程序，因</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使用的是财政资金，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在前款规定的付款时间为向政府财政支付部门提出办理财政支付申请手续的时间，不含政府财政支付部门审核的时间。因政府财政支付审批流程及办理手续而造成项目支付进度有所推延，而导致</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逾期付款的，</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不承担逾期付款违约责任。</w:t>
      </w:r>
    </w:p>
    <w:p w14:paraId="05838C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②甲方</w:t>
      </w:r>
      <w:r>
        <w:rPr>
          <w:rFonts w:hint="eastAsia" w:ascii="宋体" w:hAnsi="宋体" w:eastAsia="宋体" w:cs="宋体"/>
          <w:color w:val="auto"/>
          <w:sz w:val="21"/>
          <w:szCs w:val="21"/>
          <w:highlight w:val="none"/>
          <w:lang w:eastAsia="zh-CN"/>
        </w:rPr>
        <w:t>支付款项前，乙方应提供相应金额的有效发票，收款方、出具发票方均必须与乙方名称一致。</w:t>
      </w:r>
    </w:p>
    <w:p w14:paraId="0F967F6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三、项目技术方案 </w:t>
      </w:r>
    </w:p>
    <w:p w14:paraId="53EF82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供应商须根据项目需求、评分办法，按照实际情况自行编制切实可行的项目技术方案，项目技术方案应包含但不限于项目管理机构及施工组织设计。 </w:t>
      </w:r>
    </w:p>
    <w:p w14:paraId="318BBC8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四、工程量清单 </w:t>
      </w:r>
    </w:p>
    <w:p w14:paraId="6A302A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1.工程量清单或招标控制价、图纸（另册提供） </w:t>
      </w:r>
    </w:p>
    <w:p w14:paraId="7F6EF8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2.已标价工程单 </w:t>
      </w:r>
    </w:p>
    <w:p w14:paraId="1E712D7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工程量清单进行报价，采购人在上传磋商采购文件的同时将工程量清单电子文件上传至广西壮族自治区政府采购网供供应商自行下载。供应商应逐项填报工程量清单，包括工程量清单各项表格，确定竞标报价，并打印出投标工程量清单，编入响应文件。供应商未在工程量清单中填入单价或总额价的工程子目，将被认为其己包含在工程量清单其他子目的单价和总额价中，采购人将不予支付。</w:t>
      </w:r>
    </w:p>
    <w:p w14:paraId="5069B34A">
      <w:pPr>
        <w:pStyle w:val="27"/>
        <w:rPr>
          <w:rFonts w:hint="eastAsia" w:ascii="宋体" w:hAnsi="宋体" w:eastAsia="宋体" w:cs="宋体"/>
          <w:color w:val="auto"/>
          <w:sz w:val="24"/>
          <w:szCs w:val="24"/>
          <w:highlight w:val="none"/>
          <w:lang w:val="en-US" w:eastAsia="zh-CN"/>
        </w:rPr>
      </w:pPr>
    </w:p>
    <w:p w14:paraId="31CD4495">
      <w:pPr>
        <w:rPr>
          <w:rFonts w:hint="eastAsia" w:ascii="宋体" w:hAnsi="宋体" w:eastAsia="宋体" w:cs="宋体"/>
          <w:color w:val="auto"/>
          <w:sz w:val="24"/>
          <w:szCs w:val="24"/>
          <w:highlight w:val="none"/>
          <w:lang w:val="en-US" w:eastAsia="zh-CN"/>
        </w:rPr>
      </w:pPr>
    </w:p>
    <w:p w14:paraId="168A1D3C">
      <w:pPr>
        <w:pStyle w:val="27"/>
        <w:rPr>
          <w:rFonts w:hint="eastAsia" w:ascii="宋体" w:hAnsi="宋体" w:eastAsia="宋体" w:cs="宋体"/>
          <w:color w:val="auto"/>
          <w:sz w:val="24"/>
          <w:szCs w:val="24"/>
          <w:highlight w:val="none"/>
          <w:lang w:val="en-US" w:eastAsia="zh-CN"/>
        </w:rPr>
      </w:pPr>
    </w:p>
    <w:p w14:paraId="54D4DC82">
      <w:pPr>
        <w:rPr>
          <w:rFonts w:hint="eastAsia" w:ascii="宋体" w:hAnsi="宋体" w:eastAsia="宋体" w:cs="宋体"/>
          <w:color w:val="auto"/>
          <w:sz w:val="24"/>
          <w:szCs w:val="24"/>
          <w:highlight w:val="none"/>
          <w:lang w:val="en-US" w:eastAsia="zh-CN"/>
        </w:rPr>
      </w:pPr>
    </w:p>
    <w:p w14:paraId="2F59BE9F">
      <w:pPr>
        <w:rPr>
          <w:rFonts w:hint="eastAsia" w:ascii="宋体" w:hAnsi="宋体" w:eastAsia="宋体" w:cs="宋体"/>
          <w:color w:val="auto"/>
          <w:sz w:val="32"/>
          <w:szCs w:val="32"/>
          <w:highlight w:val="none"/>
          <w:lang w:val="en-US" w:eastAsia="zh-CN"/>
        </w:rPr>
      </w:pPr>
      <w:bookmarkStart w:id="22" w:name="_Toc28266"/>
      <w:r>
        <w:rPr>
          <w:rFonts w:hint="eastAsia" w:ascii="宋体" w:hAnsi="宋体" w:eastAsia="宋体" w:cs="宋体"/>
          <w:color w:val="auto"/>
          <w:sz w:val="32"/>
          <w:szCs w:val="32"/>
          <w:highlight w:val="none"/>
          <w:lang w:val="en-US" w:eastAsia="zh-CN"/>
        </w:rPr>
        <w:br w:type="page"/>
      </w:r>
    </w:p>
    <w:p w14:paraId="0CA92CC1">
      <w:pPr>
        <w:pStyle w:val="4"/>
        <w:spacing w:line="42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附件1：</w:t>
      </w:r>
      <w:bookmarkEnd w:id="22"/>
    </w:p>
    <w:p w14:paraId="7184AF9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工程量清单</w:t>
      </w:r>
    </w:p>
    <w:p w14:paraId="221E8D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1、本工程采用工程量清单报价 ,在发出</w:t>
      </w:r>
      <w:r>
        <w:rPr>
          <w:rFonts w:hint="eastAsia" w:ascii="宋体" w:hAnsi="宋体" w:eastAsia="宋体" w:cs="宋体"/>
          <w:color w:val="auto"/>
          <w:sz w:val="24"/>
          <w:highlight w:val="none"/>
          <w:lang w:val="en-US" w:eastAsia="zh-CN"/>
        </w:rPr>
        <w:t>竞争性磋商采购文件</w:t>
      </w:r>
      <w:r>
        <w:rPr>
          <w:rFonts w:hint="eastAsia" w:ascii="宋体" w:hAnsi="宋体" w:eastAsia="宋体" w:cs="宋体"/>
          <w:color w:val="auto"/>
          <w:sz w:val="24"/>
          <w:highlight w:val="none"/>
        </w:rPr>
        <w:t>的同时向供应商提供工程清单电子文件。供应商填写工程量清单中的单价及总价，即可完成工程量清单的编制，确定</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报价，编入</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文件。供应商未在工程量清单中填入单价或总额价的工程子目，将被认为其已包含在工程量清单其他子目的单价和总额价中，采购人将不予支付。</w:t>
      </w:r>
    </w:p>
    <w:p w14:paraId="0810FD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2、所有报价应以人民币表示。</w:t>
      </w:r>
    </w:p>
    <w:p w14:paraId="1C2330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3、工程量清单另册发放。</w:t>
      </w:r>
    </w:p>
    <w:p w14:paraId="5E1535BB">
      <w:pPr>
        <w:jc w:val="center"/>
        <w:rPr>
          <w:rFonts w:hint="eastAsia" w:ascii="宋体" w:hAnsi="宋体" w:eastAsia="宋体" w:cs="宋体"/>
          <w:b/>
          <w:bCs/>
          <w:color w:val="auto"/>
          <w:spacing w:val="10"/>
          <w:sz w:val="24"/>
          <w:highlight w:val="none"/>
        </w:rPr>
      </w:pPr>
    </w:p>
    <w:p w14:paraId="7652C532">
      <w:pPr>
        <w:pStyle w:val="4"/>
        <w:spacing w:line="420" w:lineRule="exact"/>
        <w:jc w:val="left"/>
        <w:rPr>
          <w:rFonts w:hint="eastAsia" w:ascii="宋体" w:hAnsi="宋体" w:eastAsia="宋体" w:cs="宋体"/>
          <w:color w:val="auto"/>
          <w:sz w:val="32"/>
          <w:szCs w:val="32"/>
          <w:highlight w:val="none"/>
          <w:lang w:val="en-US" w:eastAsia="zh-CN"/>
        </w:rPr>
      </w:pPr>
      <w:bookmarkStart w:id="23" w:name="_Toc9157"/>
      <w:r>
        <w:rPr>
          <w:rFonts w:hint="eastAsia" w:ascii="宋体" w:hAnsi="宋体" w:eastAsia="宋体" w:cs="宋体"/>
          <w:color w:val="auto"/>
          <w:sz w:val="32"/>
          <w:szCs w:val="32"/>
          <w:highlight w:val="none"/>
          <w:lang w:eastAsia="zh-CN"/>
        </w:rPr>
        <w:t>附件</w:t>
      </w:r>
      <w:r>
        <w:rPr>
          <w:rFonts w:hint="eastAsia" w:ascii="宋体" w:hAnsi="宋体" w:eastAsia="宋体" w:cs="宋体"/>
          <w:color w:val="auto"/>
          <w:sz w:val="32"/>
          <w:szCs w:val="32"/>
          <w:highlight w:val="none"/>
          <w:lang w:val="en-US" w:eastAsia="zh-CN"/>
        </w:rPr>
        <w:t>2：</w:t>
      </w:r>
      <w:bookmarkEnd w:id="23"/>
    </w:p>
    <w:p w14:paraId="1F39A50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图纸</w:t>
      </w:r>
    </w:p>
    <w:p w14:paraId="2BC57910">
      <w:pPr>
        <w:jc w:val="center"/>
        <w:rPr>
          <w:rFonts w:hint="eastAsia" w:ascii="宋体" w:hAnsi="宋体" w:eastAsia="宋体" w:cs="宋体"/>
          <w:b/>
          <w:color w:val="auto"/>
          <w:sz w:val="48"/>
          <w:szCs w:val="48"/>
          <w:highlight w:val="none"/>
        </w:rPr>
      </w:pPr>
    </w:p>
    <w:p w14:paraId="114C0668">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（另附）</w:t>
      </w:r>
    </w:p>
    <w:p w14:paraId="38593BB1">
      <w:pPr>
        <w:rPr>
          <w:rFonts w:hint="eastAsia" w:ascii="宋体" w:hAnsi="宋体" w:eastAsia="宋体" w:cs="宋体"/>
          <w:color w:val="auto"/>
          <w:highlight w:val="none"/>
        </w:rPr>
      </w:pPr>
    </w:p>
    <w:p w14:paraId="28CEAD48">
      <w:pPr>
        <w:pStyle w:val="27"/>
        <w:rPr>
          <w:rFonts w:hint="eastAsia" w:ascii="宋体" w:hAnsi="宋体" w:eastAsia="宋体" w:cs="宋体"/>
          <w:color w:val="auto"/>
          <w:highlight w:val="none"/>
        </w:rPr>
      </w:pPr>
    </w:p>
    <w:p w14:paraId="6352D86A">
      <w:pPr>
        <w:pStyle w:val="27"/>
        <w:rPr>
          <w:rFonts w:hint="eastAsia" w:ascii="宋体" w:hAnsi="宋体" w:eastAsia="宋体" w:cs="宋体"/>
          <w:b/>
          <w:bCs/>
          <w:color w:val="auto"/>
          <w:sz w:val="44"/>
          <w:szCs w:val="44"/>
          <w:highlight w:val="none"/>
          <w:lang w:val="en-US" w:eastAsia="zh-CN"/>
        </w:rPr>
      </w:pPr>
    </w:p>
    <w:p w14:paraId="6D4D1530">
      <w:pPr>
        <w:pStyle w:val="27"/>
        <w:rPr>
          <w:rFonts w:hint="eastAsia" w:ascii="宋体" w:hAnsi="宋体" w:eastAsia="宋体" w:cs="宋体"/>
          <w:b/>
          <w:bCs/>
          <w:color w:val="auto"/>
          <w:sz w:val="44"/>
          <w:szCs w:val="44"/>
          <w:highlight w:val="none"/>
          <w:lang w:val="en-US" w:eastAsia="zh-CN"/>
        </w:rPr>
      </w:pPr>
    </w:p>
    <w:p w14:paraId="1F232D82">
      <w:pPr>
        <w:pStyle w:val="27"/>
        <w:rPr>
          <w:rFonts w:hint="eastAsia" w:ascii="宋体" w:hAnsi="宋体" w:eastAsia="宋体" w:cs="宋体"/>
          <w:b/>
          <w:bCs/>
          <w:color w:val="auto"/>
          <w:sz w:val="44"/>
          <w:szCs w:val="44"/>
          <w:highlight w:val="none"/>
          <w:lang w:val="en-US" w:eastAsia="zh-CN"/>
        </w:rPr>
      </w:pPr>
    </w:p>
    <w:p w14:paraId="05968BA1">
      <w:pPr>
        <w:pStyle w:val="27"/>
        <w:rPr>
          <w:rFonts w:hint="eastAsia" w:ascii="宋体" w:hAnsi="宋体" w:eastAsia="宋体" w:cs="宋体"/>
          <w:b/>
          <w:bCs/>
          <w:color w:val="auto"/>
          <w:sz w:val="44"/>
          <w:szCs w:val="44"/>
          <w:highlight w:val="none"/>
          <w:lang w:val="en-US" w:eastAsia="zh-CN"/>
        </w:rPr>
      </w:pPr>
    </w:p>
    <w:p w14:paraId="55AB4AAD">
      <w:pPr>
        <w:pStyle w:val="27"/>
        <w:rPr>
          <w:rFonts w:hint="eastAsia" w:ascii="宋体" w:hAnsi="宋体" w:eastAsia="宋体" w:cs="宋体"/>
          <w:b/>
          <w:bCs/>
          <w:color w:val="auto"/>
          <w:sz w:val="44"/>
          <w:szCs w:val="44"/>
          <w:highlight w:val="none"/>
          <w:lang w:val="en-US" w:eastAsia="zh-CN"/>
        </w:rPr>
      </w:pPr>
    </w:p>
    <w:p w14:paraId="14027F5D">
      <w:pPr>
        <w:pStyle w:val="27"/>
        <w:rPr>
          <w:rFonts w:hint="eastAsia" w:ascii="宋体" w:hAnsi="宋体" w:eastAsia="宋体" w:cs="宋体"/>
          <w:b/>
          <w:bCs/>
          <w:color w:val="auto"/>
          <w:sz w:val="44"/>
          <w:szCs w:val="44"/>
          <w:highlight w:val="none"/>
          <w:lang w:val="en-US" w:eastAsia="zh-CN"/>
        </w:rPr>
      </w:pPr>
    </w:p>
    <w:p w14:paraId="77A3D4CC">
      <w:pPr>
        <w:rPr>
          <w:rFonts w:hint="eastAsia" w:ascii="宋体" w:hAnsi="宋体" w:eastAsia="宋体" w:cs="宋体"/>
          <w:b/>
          <w:bCs/>
          <w:color w:val="auto"/>
          <w:sz w:val="44"/>
          <w:szCs w:val="44"/>
          <w:highlight w:val="none"/>
          <w:lang w:val="en-US" w:eastAsia="zh-CN"/>
        </w:rPr>
      </w:pPr>
    </w:p>
    <w:p w14:paraId="35AE0B7C">
      <w:pPr>
        <w:rPr>
          <w:rFonts w:hint="eastAsia" w:ascii="宋体" w:hAnsi="宋体" w:eastAsia="宋体" w:cs="宋体"/>
          <w:b/>
          <w:bCs/>
          <w:color w:val="auto"/>
          <w:sz w:val="44"/>
          <w:szCs w:val="44"/>
          <w:highlight w:val="none"/>
          <w:lang w:val="en-US" w:eastAsia="zh-CN"/>
        </w:rPr>
      </w:pPr>
    </w:p>
    <w:p w14:paraId="7E6DC0BC">
      <w:pPr>
        <w:rPr>
          <w:rFonts w:hint="eastAsia" w:ascii="宋体" w:hAnsi="宋体" w:eastAsia="宋体" w:cs="宋体"/>
          <w:b/>
          <w:bCs/>
          <w:color w:val="auto"/>
          <w:sz w:val="44"/>
          <w:szCs w:val="44"/>
          <w:highlight w:val="none"/>
          <w:lang w:val="en-US" w:eastAsia="zh-CN"/>
        </w:rPr>
      </w:pPr>
    </w:p>
    <w:p w14:paraId="3C3F1720">
      <w:pPr>
        <w:rPr>
          <w:rFonts w:hint="eastAsia" w:ascii="宋体" w:hAnsi="宋体" w:eastAsia="宋体" w:cs="宋体"/>
          <w:color w:val="auto"/>
          <w:sz w:val="32"/>
          <w:szCs w:val="32"/>
          <w:highlight w:val="none"/>
          <w:lang w:val="en-US" w:eastAsia="zh-CN"/>
        </w:rPr>
      </w:pPr>
      <w:bookmarkStart w:id="24" w:name="_Toc14236"/>
      <w:r>
        <w:rPr>
          <w:rFonts w:hint="eastAsia" w:ascii="宋体" w:hAnsi="宋体" w:eastAsia="宋体" w:cs="宋体"/>
          <w:color w:val="auto"/>
          <w:sz w:val="32"/>
          <w:szCs w:val="32"/>
          <w:highlight w:val="none"/>
          <w:lang w:val="en-US" w:eastAsia="zh-CN"/>
        </w:rPr>
        <w:br w:type="page"/>
      </w:r>
    </w:p>
    <w:p w14:paraId="01C59EB9">
      <w:pPr>
        <w:pStyle w:val="4"/>
        <w:spacing w:line="42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附件3：</w:t>
      </w:r>
      <w:bookmarkEnd w:id="24"/>
    </w:p>
    <w:p w14:paraId="1F6B7D3A">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44"/>
        <w:tblW w:w="9600" w:type="dxa"/>
        <w:tblInd w:w="250" w:type="dxa"/>
        <w:tblLayout w:type="fixed"/>
        <w:tblCellMar>
          <w:top w:w="0" w:type="dxa"/>
          <w:left w:w="108" w:type="dxa"/>
          <w:bottom w:w="0" w:type="dxa"/>
          <w:right w:w="108" w:type="dxa"/>
        </w:tblCellMar>
      </w:tblPr>
      <w:tblGrid>
        <w:gridCol w:w="1700"/>
        <w:gridCol w:w="1383"/>
        <w:gridCol w:w="1118"/>
        <w:gridCol w:w="1916"/>
        <w:gridCol w:w="2033"/>
        <w:gridCol w:w="1450"/>
      </w:tblGrid>
      <w:tr w14:paraId="0493AF30">
        <w:tblPrEx>
          <w:tblCellMar>
            <w:top w:w="0" w:type="dxa"/>
            <w:left w:w="108" w:type="dxa"/>
            <w:bottom w:w="0" w:type="dxa"/>
            <w:right w:w="108" w:type="dxa"/>
          </w:tblCellMar>
        </w:tblPrEx>
        <w:trPr>
          <w:trHeight w:val="285" w:hRule="atLeast"/>
        </w:trPr>
        <w:tc>
          <w:tcPr>
            <w:tcW w:w="1700" w:type="dxa"/>
            <w:tcBorders>
              <w:top w:val="single" w:color="auto" w:sz="4" w:space="0"/>
              <w:left w:val="single" w:color="auto" w:sz="4" w:space="0"/>
              <w:bottom w:val="single" w:color="auto" w:sz="4" w:space="0"/>
              <w:right w:val="single" w:color="auto" w:sz="4" w:space="0"/>
            </w:tcBorders>
            <w:noWrap/>
            <w:vAlign w:val="center"/>
          </w:tcPr>
          <w:p w14:paraId="06269D71">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1E10CE41">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1118" w:type="dxa"/>
            <w:tcBorders>
              <w:top w:val="single" w:color="auto" w:sz="4" w:space="0"/>
              <w:left w:val="nil"/>
              <w:bottom w:val="single" w:color="auto" w:sz="4" w:space="0"/>
              <w:right w:val="single" w:color="auto" w:sz="4" w:space="0"/>
            </w:tcBorders>
            <w:noWrap/>
            <w:vAlign w:val="center"/>
          </w:tcPr>
          <w:p w14:paraId="271EA46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916" w:type="dxa"/>
            <w:tcBorders>
              <w:top w:val="single" w:color="auto" w:sz="4" w:space="0"/>
              <w:left w:val="nil"/>
              <w:bottom w:val="single" w:color="auto" w:sz="4" w:space="0"/>
              <w:right w:val="single" w:color="auto" w:sz="4" w:space="0"/>
            </w:tcBorders>
            <w:noWrap/>
            <w:vAlign w:val="center"/>
          </w:tcPr>
          <w:p w14:paraId="1872C16E">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2033" w:type="dxa"/>
            <w:tcBorders>
              <w:top w:val="single" w:color="auto" w:sz="4" w:space="0"/>
              <w:left w:val="nil"/>
              <w:bottom w:val="single" w:color="auto" w:sz="4" w:space="0"/>
              <w:right w:val="single" w:color="auto" w:sz="4" w:space="0"/>
            </w:tcBorders>
            <w:noWrap/>
            <w:vAlign w:val="center"/>
          </w:tcPr>
          <w:p w14:paraId="06ACF806">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07DAE9C7">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3080E309">
        <w:tblPrEx>
          <w:tblCellMar>
            <w:top w:w="0" w:type="dxa"/>
            <w:left w:w="108" w:type="dxa"/>
            <w:bottom w:w="0" w:type="dxa"/>
            <w:right w:w="108" w:type="dxa"/>
          </w:tblCellMar>
        </w:tblPrEx>
        <w:trPr>
          <w:trHeight w:val="275" w:hRule="atLeast"/>
        </w:trPr>
        <w:tc>
          <w:tcPr>
            <w:tcW w:w="1700" w:type="dxa"/>
            <w:tcBorders>
              <w:top w:val="nil"/>
              <w:left w:val="single" w:color="auto" w:sz="4" w:space="0"/>
              <w:bottom w:val="single" w:color="auto" w:sz="4" w:space="0"/>
              <w:right w:val="single" w:color="auto" w:sz="4" w:space="0"/>
            </w:tcBorders>
            <w:noWrap/>
            <w:vAlign w:val="center"/>
          </w:tcPr>
          <w:p w14:paraId="66A54E6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383" w:type="dxa"/>
            <w:tcBorders>
              <w:top w:val="nil"/>
              <w:left w:val="nil"/>
              <w:bottom w:val="single" w:color="auto" w:sz="4" w:space="0"/>
              <w:right w:val="single" w:color="auto" w:sz="4" w:space="0"/>
            </w:tcBorders>
            <w:noWrap/>
            <w:vAlign w:val="center"/>
          </w:tcPr>
          <w:p w14:paraId="70D487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1A5F59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D347E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2033" w:type="dxa"/>
            <w:tcBorders>
              <w:top w:val="nil"/>
              <w:left w:val="nil"/>
              <w:bottom w:val="single" w:color="auto" w:sz="4" w:space="0"/>
              <w:right w:val="single" w:color="auto" w:sz="4" w:space="0"/>
            </w:tcBorders>
            <w:noWrap/>
            <w:vAlign w:val="center"/>
          </w:tcPr>
          <w:p w14:paraId="08C771C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450" w:type="dxa"/>
            <w:tcBorders>
              <w:top w:val="nil"/>
              <w:left w:val="nil"/>
              <w:bottom w:val="single" w:color="auto" w:sz="4" w:space="0"/>
              <w:right w:val="single" w:color="auto" w:sz="4" w:space="0"/>
            </w:tcBorders>
            <w:noWrap/>
            <w:vAlign w:val="center"/>
          </w:tcPr>
          <w:p w14:paraId="771E54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F0A4897">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2260799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383" w:type="dxa"/>
            <w:tcBorders>
              <w:top w:val="nil"/>
              <w:left w:val="nil"/>
              <w:bottom w:val="single" w:color="auto" w:sz="4" w:space="0"/>
              <w:right w:val="single" w:color="auto" w:sz="4" w:space="0"/>
            </w:tcBorders>
            <w:noWrap/>
            <w:vAlign w:val="center"/>
          </w:tcPr>
          <w:p w14:paraId="4BDCA8F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7F8A9D9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54C2EE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2033" w:type="dxa"/>
            <w:tcBorders>
              <w:top w:val="nil"/>
              <w:left w:val="nil"/>
              <w:bottom w:val="single" w:color="auto" w:sz="4" w:space="0"/>
              <w:right w:val="single" w:color="auto" w:sz="4" w:space="0"/>
            </w:tcBorders>
            <w:noWrap/>
            <w:vAlign w:val="center"/>
          </w:tcPr>
          <w:p w14:paraId="122205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450" w:type="dxa"/>
            <w:tcBorders>
              <w:top w:val="nil"/>
              <w:left w:val="nil"/>
              <w:bottom w:val="single" w:color="auto" w:sz="4" w:space="0"/>
              <w:right w:val="single" w:color="auto" w:sz="4" w:space="0"/>
            </w:tcBorders>
            <w:noWrap/>
            <w:vAlign w:val="center"/>
          </w:tcPr>
          <w:p w14:paraId="7234EC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57722E0">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7468CCD">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68D5C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1B837D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0B29D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2033" w:type="dxa"/>
            <w:tcBorders>
              <w:top w:val="nil"/>
              <w:left w:val="nil"/>
              <w:bottom w:val="single" w:color="auto" w:sz="4" w:space="0"/>
              <w:right w:val="single" w:color="auto" w:sz="4" w:space="0"/>
            </w:tcBorders>
            <w:noWrap/>
            <w:vAlign w:val="center"/>
          </w:tcPr>
          <w:p w14:paraId="1E8D19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450" w:type="dxa"/>
            <w:tcBorders>
              <w:top w:val="nil"/>
              <w:left w:val="nil"/>
              <w:bottom w:val="single" w:color="auto" w:sz="4" w:space="0"/>
              <w:right w:val="single" w:color="auto" w:sz="4" w:space="0"/>
            </w:tcBorders>
            <w:noWrap/>
            <w:vAlign w:val="center"/>
          </w:tcPr>
          <w:p w14:paraId="6C68CB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A6FF6CB">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6594A06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383" w:type="dxa"/>
            <w:tcBorders>
              <w:top w:val="nil"/>
              <w:left w:val="nil"/>
              <w:bottom w:val="single" w:color="auto" w:sz="4" w:space="0"/>
              <w:right w:val="single" w:color="auto" w:sz="4" w:space="0"/>
            </w:tcBorders>
            <w:noWrap/>
            <w:vAlign w:val="center"/>
          </w:tcPr>
          <w:p w14:paraId="42062E3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370D72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06FB9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2033" w:type="dxa"/>
            <w:tcBorders>
              <w:top w:val="nil"/>
              <w:left w:val="nil"/>
              <w:bottom w:val="single" w:color="auto" w:sz="4" w:space="0"/>
              <w:right w:val="single" w:color="auto" w:sz="4" w:space="0"/>
            </w:tcBorders>
            <w:noWrap/>
            <w:vAlign w:val="center"/>
          </w:tcPr>
          <w:p w14:paraId="2A671A1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450" w:type="dxa"/>
            <w:tcBorders>
              <w:top w:val="nil"/>
              <w:left w:val="nil"/>
              <w:bottom w:val="single" w:color="auto" w:sz="4" w:space="0"/>
              <w:right w:val="single" w:color="auto" w:sz="4" w:space="0"/>
            </w:tcBorders>
            <w:noWrap/>
            <w:vAlign w:val="center"/>
          </w:tcPr>
          <w:p w14:paraId="1C0650F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4DA2F6B7">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48BB28A1">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15C6E84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118" w:type="dxa"/>
            <w:tcBorders>
              <w:top w:val="nil"/>
              <w:left w:val="nil"/>
              <w:bottom w:val="single" w:color="auto" w:sz="4" w:space="0"/>
              <w:right w:val="single" w:color="auto" w:sz="4" w:space="0"/>
            </w:tcBorders>
            <w:noWrap/>
            <w:vAlign w:val="center"/>
          </w:tcPr>
          <w:p w14:paraId="6ADCB6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56F8A48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2033" w:type="dxa"/>
            <w:tcBorders>
              <w:top w:val="nil"/>
              <w:left w:val="nil"/>
              <w:bottom w:val="single" w:color="auto" w:sz="4" w:space="0"/>
              <w:right w:val="single" w:color="auto" w:sz="4" w:space="0"/>
            </w:tcBorders>
            <w:noWrap/>
            <w:vAlign w:val="center"/>
          </w:tcPr>
          <w:p w14:paraId="4FCB0C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450" w:type="dxa"/>
            <w:tcBorders>
              <w:top w:val="nil"/>
              <w:left w:val="nil"/>
              <w:bottom w:val="single" w:color="auto" w:sz="4" w:space="0"/>
              <w:right w:val="single" w:color="auto" w:sz="4" w:space="0"/>
            </w:tcBorders>
            <w:noWrap/>
            <w:vAlign w:val="center"/>
          </w:tcPr>
          <w:p w14:paraId="0FD610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0796F3D9">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1496F7F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383" w:type="dxa"/>
            <w:tcBorders>
              <w:top w:val="nil"/>
              <w:left w:val="nil"/>
              <w:bottom w:val="single" w:color="auto" w:sz="4" w:space="0"/>
              <w:right w:val="single" w:color="auto" w:sz="4" w:space="0"/>
            </w:tcBorders>
            <w:noWrap/>
            <w:vAlign w:val="center"/>
          </w:tcPr>
          <w:p w14:paraId="457988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36D600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66F0E1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2033" w:type="dxa"/>
            <w:tcBorders>
              <w:top w:val="nil"/>
              <w:left w:val="nil"/>
              <w:bottom w:val="single" w:color="auto" w:sz="4" w:space="0"/>
              <w:right w:val="single" w:color="auto" w:sz="4" w:space="0"/>
            </w:tcBorders>
            <w:noWrap/>
            <w:vAlign w:val="center"/>
          </w:tcPr>
          <w:p w14:paraId="570F6A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450" w:type="dxa"/>
            <w:tcBorders>
              <w:top w:val="nil"/>
              <w:left w:val="nil"/>
              <w:bottom w:val="single" w:color="auto" w:sz="4" w:space="0"/>
              <w:right w:val="single" w:color="auto" w:sz="4" w:space="0"/>
            </w:tcBorders>
            <w:noWrap/>
            <w:vAlign w:val="center"/>
          </w:tcPr>
          <w:p w14:paraId="39112E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4682C5FA">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29A0C436">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443E52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0B0BD71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225F2D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2033" w:type="dxa"/>
            <w:tcBorders>
              <w:top w:val="nil"/>
              <w:left w:val="nil"/>
              <w:bottom w:val="single" w:color="auto" w:sz="4" w:space="0"/>
              <w:right w:val="single" w:color="auto" w:sz="4" w:space="0"/>
            </w:tcBorders>
            <w:noWrap/>
            <w:vAlign w:val="center"/>
          </w:tcPr>
          <w:p w14:paraId="10B06D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50" w:type="dxa"/>
            <w:tcBorders>
              <w:top w:val="nil"/>
              <w:left w:val="nil"/>
              <w:bottom w:val="single" w:color="auto" w:sz="4" w:space="0"/>
              <w:right w:val="single" w:color="auto" w:sz="4" w:space="0"/>
            </w:tcBorders>
            <w:noWrap/>
            <w:vAlign w:val="center"/>
          </w:tcPr>
          <w:p w14:paraId="279913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B1571C7">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756C90B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383" w:type="dxa"/>
            <w:tcBorders>
              <w:top w:val="nil"/>
              <w:left w:val="nil"/>
              <w:bottom w:val="single" w:color="auto" w:sz="4" w:space="0"/>
              <w:right w:val="single" w:color="auto" w:sz="4" w:space="0"/>
            </w:tcBorders>
            <w:noWrap/>
            <w:vAlign w:val="center"/>
          </w:tcPr>
          <w:p w14:paraId="2DC8378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5880BD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402F69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2033" w:type="dxa"/>
            <w:tcBorders>
              <w:top w:val="nil"/>
              <w:left w:val="nil"/>
              <w:bottom w:val="single" w:color="auto" w:sz="4" w:space="0"/>
              <w:right w:val="single" w:color="auto" w:sz="4" w:space="0"/>
            </w:tcBorders>
            <w:noWrap/>
            <w:vAlign w:val="center"/>
          </w:tcPr>
          <w:p w14:paraId="34464E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450" w:type="dxa"/>
            <w:tcBorders>
              <w:top w:val="nil"/>
              <w:left w:val="nil"/>
              <w:bottom w:val="single" w:color="auto" w:sz="4" w:space="0"/>
              <w:right w:val="single" w:color="auto" w:sz="4" w:space="0"/>
            </w:tcBorders>
            <w:noWrap/>
            <w:vAlign w:val="center"/>
          </w:tcPr>
          <w:p w14:paraId="3FC2F1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8C2DC3C">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459ADAFB">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1BB596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1A83AD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4DEEA7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2033" w:type="dxa"/>
            <w:tcBorders>
              <w:top w:val="nil"/>
              <w:left w:val="nil"/>
              <w:bottom w:val="single" w:color="auto" w:sz="4" w:space="0"/>
              <w:right w:val="single" w:color="auto" w:sz="4" w:space="0"/>
            </w:tcBorders>
            <w:noWrap/>
            <w:vAlign w:val="center"/>
          </w:tcPr>
          <w:p w14:paraId="62F213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450" w:type="dxa"/>
            <w:tcBorders>
              <w:top w:val="nil"/>
              <w:left w:val="nil"/>
              <w:bottom w:val="single" w:color="auto" w:sz="4" w:space="0"/>
              <w:right w:val="single" w:color="auto" w:sz="4" w:space="0"/>
            </w:tcBorders>
            <w:noWrap/>
            <w:vAlign w:val="center"/>
          </w:tcPr>
          <w:p w14:paraId="3611A3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0BF2D06">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671B917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383" w:type="dxa"/>
            <w:tcBorders>
              <w:top w:val="nil"/>
              <w:left w:val="nil"/>
              <w:bottom w:val="single" w:color="auto" w:sz="4" w:space="0"/>
              <w:right w:val="single" w:color="auto" w:sz="4" w:space="0"/>
            </w:tcBorders>
            <w:noWrap/>
            <w:vAlign w:val="center"/>
          </w:tcPr>
          <w:p w14:paraId="6E4684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29C890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2E44F1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2033" w:type="dxa"/>
            <w:tcBorders>
              <w:top w:val="nil"/>
              <w:left w:val="nil"/>
              <w:bottom w:val="single" w:color="auto" w:sz="4" w:space="0"/>
              <w:right w:val="single" w:color="auto" w:sz="4" w:space="0"/>
            </w:tcBorders>
            <w:noWrap/>
            <w:vAlign w:val="center"/>
          </w:tcPr>
          <w:p w14:paraId="077C1C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450" w:type="dxa"/>
            <w:tcBorders>
              <w:top w:val="nil"/>
              <w:left w:val="nil"/>
              <w:bottom w:val="single" w:color="auto" w:sz="4" w:space="0"/>
              <w:right w:val="single" w:color="auto" w:sz="4" w:space="0"/>
            </w:tcBorders>
            <w:noWrap/>
            <w:vAlign w:val="center"/>
          </w:tcPr>
          <w:p w14:paraId="261BD4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6016714">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785ADA1D">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66DA15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2AE091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4FFD8C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2033" w:type="dxa"/>
            <w:tcBorders>
              <w:top w:val="nil"/>
              <w:left w:val="nil"/>
              <w:bottom w:val="single" w:color="auto" w:sz="4" w:space="0"/>
              <w:right w:val="single" w:color="auto" w:sz="4" w:space="0"/>
            </w:tcBorders>
            <w:noWrap/>
            <w:vAlign w:val="center"/>
          </w:tcPr>
          <w:p w14:paraId="4B9BB4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450" w:type="dxa"/>
            <w:tcBorders>
              <w:top w:val="nil"/>
              <w:left w:val="nil"/>
              <w:bottom w:val="single" w:color="auto" w:sz="4" w:space="0"/>
              <w:right w:val="single" w:color="auto" w:sz="4" w:space="0"/>
            </w:tcBorders>
            <w:noWrap/>
            <w:vAlign w:val="center"/>
          </w:tcPr>
          <w:p w14:paraId="34BAA6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54B1AB04">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51087BF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383" w:type="dxa"/>
            <w:tcBorders>
              <w:top w:val="nil"/>
              <w:left w:val="nil"/>
              <w:bottom w:val="single" w:color="auto" w:sz="4" w:space="0"/>
              <w:right w:val="single" w:color="auto" w:sz="4" w:space="0"/>
            </w:tcBorders>
            <w:noWrap/>
            <w:vAlign w:val="center"/>
          </w:tcPr>
          <w:p w14:paraId="02032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7A7A8F2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02221A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2033" w:type="dxa"/>
            <w:tcBorders>
              <w:top w:val="nil"/>
              <w:left w:val="nil"/>
              <w:bottom w:val="single" w:color="auto" w:sz="4" w:space="0"/>
              <w:right w:val="single" w:color="auto" w:sz="4" w:space="0"/>
            </w:tcBorders>
            <w:noWrap/>
            <w:vAlign w:val="center"/>
          </w:tcPr>
          <w:p w14:paraId="48AB95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450" w:type="dxa"/>
            <w:tcBorders>
              <w:top w:val="nil"/>
              <w:left w:val="nil"/>
              <w:bottom w:val="single" w:color="auto" w:sz="4" w:space="0"/>
              <w:right w:val="single" w:color="auto" w:sz="4" w:space="0"/>
            </w:tcBorders>
            <w:noWrap/>
            <w:vAlign w:val="center"/>
          </w:tcPr>
          <w:p w14:paraId="39F8E8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6C997BA">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1389C736">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3459AE2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5542C5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763F489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2033" w:type="dxa"/>
            <w:tcBorders>
              <w:top w:val="nil"/>
              <w:left w:val="nil"/>
              <w:bottom w:val="single" w:color="auto" w:sz="4" w:space="0"/>
              <w:right w:val="single" w:color="auto" w:sz="4" w:space="0"/>
            </w:tcBorders>
            <w:noWrap/>
            <w:vAlign w:val="center"/>
          </w:tcPr>
          <w:p w14:paraId="2823A7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450" w:type="dxa"/>
            <w:tcBorders>
              <w:top w:val="nil"/>
              <w:left w:val="nil"/>
              <w:bottom w:val="single" w:color="auto" w:sz="4" w:space="0"/>
              <w:right w:val="single" w:color="auto" w:sz="4" w:space="0"/>
            </w:tcBorders>
            <w:noWrap/>
            <w:vAlign w:val="center"/>
          </w:tcPr>
          <w:p w14:paraId="31A269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E850C74">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2B2E2D1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383" w:type="dxa"/>
            <w:tcBorders>
              <w:top w:val="nil"/>
              <w:left w:val="nil"/>
              <w:bottom w:val="single" w:color="auto" w:sz="4" w:space="0"/>
              <w:right w:val="single" w:color="auto" w:sz="4" w:space="0"/>
            </w:tcBorders>
            <w:noWrap/>
            <w:vAlign w:val="center"/>
          </w:tcPr>
          <w:p w14:paraId="73C7771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5393BD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331D26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2033" w:type="dxa"/>
            <w:tcBorders>
              <w:top w:val="nil"/>
              <w:left w:val="nil"/>
              <w:bottom w:val="single" w:color="auto" w:sz="4" w:space="0"/>
              <w:right w:val="single" w:color="auto" w:sz="4" w:space="0"/>
            </w:tcBorders>
            <w:noWrap/>
            <w:vAlign w:val="center"/>
          </w:tcPr>
          <w:p w14:paraId="7E39AB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450" w:type="dxa"/>
            <w:tcBorders>
              <w:top w:val="nil"/>
              <w:left w:val="nil"/>
              <w:bottom w:val="single" w:color="auto" w:sz="4" w:space="0"/>
              <w:right w:val="single" w:color="auto" w:sz="4" w:space="0"/>
            </w:tcBorders>
            <w:noWrap/>
            <w:vAlign w:val="center"/>
          </w:tcPr>
          <w:p w14:paraId="115EE6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27CCA44">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255CCA9">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771800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1EEB15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148BEC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2033" w:type="dxa"/>
            <w:tcBorders>
              <w:top w:val="nil"/>
              <w:left w:val="nil"/>
              <w:bottom w:val="single" w:color="auto" w:sz="4" w:space="0"/>
              <w:right w:val="single" w:color="auto" w:sz="4" w:space="0"/>
            </w:tcBorders>
            <w:noWrap/>
            <w:vAlign w:val="center"/>
          </w:tcPr>
          <w:p w14:paraId="61B1C8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450" w:type="dxa"/>
            <w:tcBorders>
              <w:top w:val="nil"/>
              <w:left w:val="nil"/>
              <w:bottom w:val="single" w:color="auto" w:sz="4" w:space="0"/>
              <w:right w:val="single" w:color="auto" w:sz="4" w:space="0"/>
            </w:tcBorders>
            <w:noWrap/>
            <w:vAlign w:val="center"/>
          </w:tcPr>
          <w:p w14:paraId="5F1E66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710056A">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06522CE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383" w:type="dxa"/>
            <w:tcBorders>
              <w:top w:val="nil"/>
              <w:left w:val="nil"/>
              <w:bottom w:val="single" w:color="auto" w:sz="4" w:space="0"/>
              <w:right w:val="single" w:color="auto" w:sz="4" w:space="0"/>
            </w:tcBorders>
            <w:noWrap/>
            <w:vAlign w:val="center"/>
          </w:tcPr>
          <w:p w14:paraId="088919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02933D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5528B8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2033" w:type="dxa"/>
            <w:tcBorders>
              <w:top w:val="nil"/>
              <w:left w:val="nil"/>
              <w:bottom w:val="single" w:color="auto" w:sz="4" w:space="0"/>
              <w:right w:val="single" w:color="auto" w:sz="4" w:space="0"/>
            </w:tcBorders>
            <w:noWrap/>
            <w:vAlign w:val="center"/>
          </w:tcPr>
          <w:p w14:paraId="35934AB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77318B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AE109BE">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7789D83">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5A157D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2314B3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180F3D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2033" w:type="dxa"/>
            <w:tcBorders>
              <w:top w:val="nil"/>
              <w:left w:val="nil"/>
              <w:bottom w:val="single" w:color="auto" w:sz="4" w:space="0"/>
              <w:right w:val="single" w:color="auto" w:sz="4" w:space="0"/>
            </w:tcBorders>
            <w:noWrap/>
            <w:vAlign w:val="center"/>
          </w:tcPr>
          <w:p w14:paraId="6D0599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450" w:type="dxa"/>
            <w:tcBorders>
              <w:top w:val="nil"/>
              <w:left w:val="nil"/>
              <w:bottom w:val="single" w:color="auto" w:sz="4" w:space="0"/>
              <w:right w:val="single" w:color="auto" w:sz="4" w:space="0"/>
            </w:tcBorders>
            <w:noWrap/>
            <w:vAlign w:val="center"/>
          </w:tcPr>
          <w:p w14:paraId="4F0DC0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DA2A0E1">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3849F87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383" w:type="dxa"/>
            <w:tcBorders>
              <w:top w:val="nil"/>
              <w:left w:val="nil"/>
              <w:bottom w:val="single" w:color="auto" w:sz="4" w:space="0"/>
              <w:right w:val="single" w:color="auto" w:sz="4" w:space="0"/>
            </w:tcBorders>
            <w:noWrap/>
            <w:vAlign w:val="center"/>
          </w:tcPr>
          <w:p w14:paraId="40EA35A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044D6E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6AD08E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2033" w:type="dxa"/>
            <w:tcBorders>
              <w:top w:val="nil"/>
              <w:left w:val="nil"/>
              <w:bottom w:val="single" w:color="auto" w:sz="4" w:space="0"/>
              <w:right w:val="single" w:color="auto" w:sz="4" w:space="0"/>
            </w:tcBorders>
            <w:noWrap/>
            <w:vAlign w:val="center"/>
          </w:tcPr>
          <w:p w14:paraId="241F26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4E70CF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EB71201">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794B2FE">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0D619D5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728F90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545DD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2033" w:type="dxa"/>
            <w:tcBorders>
              <w:top w:val="nil"/>
              <w:left w:val="nil"/>
              <w:bottom w:val="single" w:color="auto" w:sz="4" w:space="0"/>
              <w:right w:val="single" w:color="auto" w:sz="4" w:space="0"/>
            </w:tcBorders>
            <w:noWrap/>
            <w:vAlign w:val="center"/>
          </w:tcPr>
          <w:p w14:paraId="433D6B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450" w:type="dxa"/>
            <w:tcBorders>
              <w:top w:val="nil"/>
              <w:left w:val="nil"/>
              <w:bottom w:val="single" w:color="auto" w:sz="4" w:space="0"/>
              <w:right w:val="single" w:color="auto" w:sz="4" w:space="0"/>
            </w:tcBorders>
            <w:noWrap/>
            <w:vAlign w:val="center"/>
          </w:tcPr>
          <w:p w14:paraId="689486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622915F">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0864092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383" w:type="dxa"/>
            <w:tcBorders>
              <w:top w:val="nil"/>
              <w:left w:val="nil"/>
              <w:bottom w:val="single" w:color="auto" w:sz="4" w:space="0"/>
              <w:right w:val="single" w:color="auto" w:sz="4" w:space="0"/>
            </w:tcBorders>
            <w:noWrap/>
            <w:vAlign w:val="center"/>
          </w:tcPr>
          <w:p w14:paraId="5A05D5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7D2211B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6FEBC09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2033" w:type="dxa"/>
            <w:tcBorders>
              <w:top w:val="nil"/>
              <w:left w:val="nil"/>
              <w:bottom w:val="single" w:color="auto" w:sz="4" w:space="0"/>
              <w:right w:val="single" w:color="auto" w:sz="4" w:space="0"/>
            </w:tcBorders>
            <w:noWrap/>
            <w:vAlign w:val="center"/>
          </w:tcPr>
          <w:p w14:paraId="6B4E84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692F4A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216EC3D">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787E99EC">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2C63D8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0DCF6D5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0CB2FA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2033" w:type="dxa"/>
            <w:tcBorders>
              <w:top w:val="nil"/>
              <w:left w:val="nil"/>
              <w:bottom w:val="single" w:color="auto" w:sz="4" w:space="0"/>
              <w:right w:val="single" w:color="auto" w:sz="4" w:space="0"/>
            </w:tcBorders>
            <w:noWrap/>
            <w:vAlign w:val="center"/>
          </w:tcPr>
          <w:p w14:paraId="211DA5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450" w:type="dxa"/>
            <w:tcBorders>
              <w:top w:val="nil"/>
              <w:left w:val="nil"/>
              <w:bottom w:val="single" w:color="auto" w:sz="4" w:space="0"/>
              <w:right w:val="single" w:color="auto" w:sz="4" w:space="0"/>
            </w:tcBorders>
            <w:noWrap/>
            <w:vAlign w:val="center"/>
          </w:tcPr>
          <w:p w14:paraId="5F2B1F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F613E5B">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026ED47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64779C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52EB0B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333D5D8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2033" w:type="dxa"/>
            <w:tcBorders>
              <w:top w:val="nil"/>
              <w:left w:val="nil"/>
              <w:bottom w:val="single" w:color="auto" w:sz="4" w:space="0"/>
              <w:right w:val="single" w:color="auto" w:sz="4" w:space="0"/>
            </w:tcBorders>
            <w:noWrap/>
            <w:vAlign w:val="center"/>
          </w:tcPr>
          <w:p w14:paraId="7680491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5ABD67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107ECB7">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607AC6B7">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4F3D0F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629AE76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085BC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2033" w:type="dxa"/>
            <w:tcBorders>
              <w:top w:val="nil"/>
              <w:left w:val="nil"/>
              <w:bottom w:val="single" w:color="auto" w:sz="4" w:space="0"/>
              <w:right w:val="single" w:color="auto" w:sz="4" w:space="0"/>
            </w:tcBorders>
            <w:noWrap/>
            <w:vAlign w:val="center"/>
          </w:tcPr>
          <w:p w14:paraId="317B189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450" w:type="dxa"/>
            <w:tcBorders>
              <w:top w:val="nil"/>
              <w:left w:val="nil"/>
              <w:bottom w:val="single" w:color="auto" w:sz="4" w:space="0"/>
              <w:right w:val="single" w:color="auto" w:sz="4" w:space="0"/>
            </w:tcBorders>
            <w:noWrap/>
            <w:vAlign w:val="center"/>
          </w:tcPr>
          <w:p w14:paraId="49FCA6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898428D">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3128D3E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383" w:type="dxa"/>
            <w:tcBorders>
              <w:top w:val="nil"/>
              <w:left w:val="nil"/>
              <w:bottom w:val="single" w:color="auto" w:sz="4" w:space="0"/>
              <w:right w:val="single" w:color="auto" w:sz="4" w:space="0"/>
            </w:tcBorders>
            <w:noWrap/>
            <w:vAlign w:val="center"/>
          </w:tcPr>
          <w:p w14:paraId="1969BF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4D2686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795802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2033" w:type="dxa"/>
            <w:tcBorders>
              <w:top w:val="nil"/>
              <w:left w:val="nil"/>
              <w:bottom w:val="single" w:color="auto" w:sz="4" w:space="0"/>
              <w:right w:val="single" w:color="auto" w:sz="4" w:space="0"/>
            </w:tcBorders>
            <w:noWrap/>
            <w:vAlign w:val="center"/>
          </w:tcPr>
          <w:p w14:paraId="578387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450" w:type="dxa"/>
            <w:tcBorders>
              <w:top w:val="nil"/>
              <w:left w:val="nil"/>
              <w:bottom w:val="single" w:color="auto" w:sz="4" w:space="0"/>
              <w:right w:val="single" w:color="auto" w:sz="4" w:space="0"/>
            </w:tcBorders>
            <w:noWrap/>
            <w:vAlign w:val="center"/>
          </w:tcPr>
          <w:p w14:paraId="2B937A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65BBB4E2">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1713EC8F">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11032E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118" w:type="dxa"/>
            <w:tcBorders>
              <w:top w:val="nil"/>
              <w:left w:val="nil"/>
              <w:bottom w:val="single" w:color="auto" w:sz="4" w:space="0"/>
              <w:right w:val="single" w:color="auto" w:sz="4" w:space="0"/>
            </w:tcBorders>
            <w:noWrap/>
            <w:vAlign w:val="center"/>
          </w:tcPr>
          <w:p w14:paraId="0D8C0F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221C2C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2033" w:type="dxa"/>
            <w:tcBorders>
              <w:top w:val="nil"/>
              <w:left w:val="nil"/>
              <w:bottom w:val="single" w:color="auto" w:sz="4" w:space="0"/>
              <w:right w:val="single" w:color="auto" w:sz="4" w:space="0"/>
            </w:tcBorders>
            <w:noWrap/>
            <w:vAlign w:val="center"/>
          </w:tcPr>
          <w:p w14:paraId="3EC5C2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450" w:type="dxa"/>
            <w:tcBorders>
              <w:top w:val="nil"/>
              <w:left w:val="nil"/>
              <w:bottom w:val="single" w:color="auto" w:sz="4" w:space="0"/>
              <w:right w:val="single" w:color="auto" w:sz="4" w:space="0"/>
            </w:tcBorders>
            <w:noWrap/>
            <w:vAlign w:val="center"/>
          </w:tcPr>
          <w:p w14:paraId="730C80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73216960">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4DDE75D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383" w:type="dxa"/>
            <w:tcBorders>
              <w:top w:val="nil"/>
              <w:left w:val="nil"/>
              <w:bottom w:val="single" w:color="auto" w:sz="4" w:space="0"/>
              <w:right w:val="single" w:color="auto" w:sz="4" w:space="0"/>
            </w:tcBorders>
            <w:noWrap/>
            <w:vAlign w:val="center"/>
          </w:tcPr>
          <w:p w14:paraId="1F79F7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76C434E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374900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2033" w:type="dxa"/>
            <w:tcBorders>
              <w:top w:val="nil"/>
              <w:left w:val="nil"/>
              <w:bottom w:val="single" w:color="auto" w:sz="4" w:space="0"/>
              <w:right w:val="single" w:color="auto" w:sz="4" w:space="0"/>
            </w:tcBorders>
            <w:noWrap/>
            <w:vAlign w:val="center"/>
          </w:tcPr>
          <w:p w14:paraId="0CBAE2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50" w:type="dxa"/>
            <w:tcBorders>
              <w:top w:val="nil"/>
              <w:left w:val="nil"/>
              <w:bottom w:val="single" w:color="auto" w:sz="4" w:space="0"/>
              <w:right w:val="single" w:color="auto" w:sz="4" w:space="0"/>
            </w:tcBorders>
            <w:noWrap/>
            <w:vAlign w:val="center"/>
          </w:tcPr>
          <w:p w14:paraId="6289EA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189D4A55">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190132E9">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5E3BB01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1118" w:type="dxa"/>
            <w:tcBorders>
              <w:top w:val="nil"/>
              <w:left w:val="nil"/>
              <w:bottom w:val="single" w:color="auto" w:sz="4" w:space="0"/>
              <w:right w:val="single" w:color="auto" w:sz="4" w:space="0"/>
            </w:tcBorders>
            <w:noWrap/>
            <w:vAlign w:val="center"/>
          </w:tcPr>
          <w:p w14:paraId="099AF7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9E74B1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2033" w:type="dxa"/>
            <w:tcBorders>
              <w:top w:val="nil"/>
              <w:left w:val="nil"/>
              <w:bottom w:val="single" w:color="auto" w:sz="4" w:space="0"/>
              <w:right w:val="single" w:color="auto" w:sz="4" w:space="0"/>
            </w:tcBorders>
            <w:noWrap/>
            <w:vAlign w:val="center"/>
          </w:tcPr>
          <w:p w14:paraId="14C220A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450" w:type="dxa"/>
            <w:tcBorders>
              <w:top w:val="nil"/>
              <w:left w:val="nil"/>
              <w:bottom w:val="single" w:color="auto" w:sz="4" w:space="0"/>
              <w:right w:val="single" w:color="auto" w:sz="4" w:space="0"/>
            </w:tcBorders>
            <w:noWrap/>
            <w:vAlign w:val="center"/>
          </w:tcPr>
          <w:p w14:paraId="29116A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44764768">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center"/>
          </w:tcPr>
          <w:p w14:paraId="1137BE2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383" w:type="dxa"/>
            <w:tcBorders>
              <w:top w:val="nil"/>
              <w:left w:val="nil"/>
              <w:bottom w:val="single" w:color="auto" w:sz="4" w:space="0"/>
              <w:right w:val="single" w:color="auto" w:sz="4" w:space="0"/>
            </w:tcBorders>
            <w:noWrap/>
            <w:vAlign w:val="center"/>
          </w:tcPr>
          <w:p w14:paraId="182343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25D699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588EFC1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2033" w:type="dxa"/>
            <w:tcBorders>
              <w:top w:val="nil"/>
              <w:left w:val="nil"/>
              <w:bottom w:val="single" w:color="auto" w:sz="4" w:space="0"/>
              <w:right w:val="single" w:color="auto" w:sz="4" w:space="0"/>
            </w:tcBorders>
            <w:noWrap/>
            <w:vAlign w:val="center"/>
          </w:tcPr>
          <w:p w14:paraId="7BF8F5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2E50D9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9084181">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3E6A17CF">
            <w:pPr>
              <w:widowControl/>
              <w:jc w:val="center"/>
              <w:rPr>
                <w:rFonts w:hint="eastAsia" w:ascii="宋体" w:hAnsi="宋体" w:eastAsia="宋体" w:cs="宋体"/>
                <w:b/>
                <w:bCs/>
                <w:color w:val="auto"/>
                <w:kern w:val="0"/>
                <w:sz w:val="21"/>
                <w:szCs w:val="21"/>
                <w:highlight w:val="none"/>
              </w:rPr>
            </w:pPr>
          </w:p>
        </w:tc>
        <w:tc>
          <w:tcPr>
            <w:tcW w:w="1383" w:type="dxa"/>
            <w:tcBorders>
              <w:top w:val="nil"/>
              <w:left w:val="nil"/>
              <w:bottom w:val="single" w:color="auto" w:sz="4" w:space="0"/>
              <w:right w:val="single" w:color="auto" w:sz="4" w:space="0"/>
            </w:tcBorders>
            <w:noWrap/>
            <w:vAlign w:val="center"/>
          </w:tcPr>
          <w:p w14:paraId="59EAC1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1118" w:type="dxa"/>
            <w:tcBorders>
              <w:top w:val="nil"/>
              <w:left w:val="nil"/>
              <w:bottom w:val="single" w:color="auto" w:sz="4" w:space="0"/>
              <w:right w:val="single" w:color="auto" w:sz="4" w:space="0"/>
            </w:tcBorders>
            <w:noWrap/>
            <w:vAlign w:val="center"/>
          </w:tcPr>
          <w:p w14:paraId="7E442D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916" w:type="dxa"/>
            <w:tcBorders>
              <w:top w:val="nil"/>
              <w:left w:val="nil"/>
              <w:bottom w:val="single" w:color="auto" w:sz="4" w:space="0"/>
              <w:right w:val="single" w:color="auto" w:sz="4" w:space="0"/>
            </w:tcBorders>
            <w:noWrap/>
            <w:vAlign w:val="center"/>
          </w:tcPr>
          <w:p w14:paraId="634F2D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2033" w:type="dxa"/>
            <w:tcBorders>
              <w:top w:val="nil"/>
              <w:left w:val="nil"/>
              <w:bottom w:val="single" w:color="auto" w:sz="4" w:space="0"/>
              <w:right w:val="single" w:color="auto" w:sz="4" w:space="0"/>
            </w:tcBorders>
            <w:noWrap/>
            <w:vAlign w:val="center"/>
          </w:tcPr>
          <w:p w14:paraId="0738108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450" w:type="dxa"/>
            <w:tcBorders>
              <w:top w:val="nil"/>
              <w:left w:val="nil"/>
              <w:bottom w:val="single" w:color="auto" w:sz="4" w:space="0"/>
              <w:right w:val="single" w:color="auto" w:sz="4" w:space="0"/>
            </w:tcBorders>
            <w:noWrap/>
            <w:vAlign w:val="center"/>
          </w:tcPr>
          <w:p w14:paraId="25AC73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D7B076F">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noWrap/>
            <w:vAlign w:val="center"/>
          </w:tcPr>
          <w:p w14:paraId="564B4C9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383" w:type="dxa"/>
            <w:tcBorders>
              <w:top w:val="nil"/>
              <w:left w:val="nil"/>
              <w:bottom w:val="single" w:color="auto" w:sz="4" w:space="0"/>
              <w:right w:val="single" w:color="auto" w:sz="4" w:space="0"/>
            </w:tcBorders>
            <w:noWrap/>
            <w:vAlign w:val="center"/>
          </w:tcPr>
          <w:p w14:paraId="5C79B2D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1118" w:type="dxa"/>
            <w:tcBorders>
              <w:top w:val="nil"/>
              <w:left w:val="nil"/>
              <w:bottom w:val="single" w:color="auto" w:sz="4" w:space="0"/>
              <w:right w:val="single" w:color="auto" w:sz="4" w:space="0"/>
            </w:tcBorders>
            <w:noWrap/>
            <w:vAlign w:val="center"/>
          </w:tcPr>
          <w:p w14:paraId="5C3CF0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916" w:type="dxa"/>
            <w:tcBorders>
              <w:top w:val="nil"/>
              <w:left w:val="nil"/>
              <w:bottom w:val="single" w:color="auto" w:sz="4" w:space="0"/>
              <w:right w:val="single" w:color="auto" w:sz="4" w:space="0"/>
            </w:tcBorders>
            <w:noWrap/>
            <w:vAlign w:val="center"/>
          </w:tcPr>
          <w:p w14:paraId="07BF6A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2033" w:type="dxa"/>
            <w:tcBorders>
              <w:top w:val="nil"/>
              <w:left w:val="nil"/>
              <w:bottom w:val="single" w:color="auto" w:sz="4" w:space="0"/>
              <w:right w:val="single" w:color="auto" w:sz="4" w:space="0"/>
            </w:tcBorders>
            <w:noWrap/>
            <w:vAlign w:val="center"/>
          </w:tcPr>
          <w:p w14:paraId="640472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450" w:type="dxa"/>
            <w:tcBorders>
              <w:top w:val="nil"/>
              <w:left w:val="nil"/>
              <w:bottom w:val="single" w:color="auto" w:sz="4" w:space="0"/>
              <w:right w:val="single" w:color="auto" w:sz="4" w:space="0"/>
            </w:tcBorders>
            <w:noWrap/>
            <w:vAlign w:val="center"/>
          </w:tcPr>
          <w:p w14:paraId="460633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3364BB2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54CC5E2">
      <w:pPr>
        <w:spacing w:line="560" w:lineRule="exact"/>
        <w:ind w:firstLine="482" w:firstLineChars="200"/>
        <w:rPr>
          <w:rFonts w:hint="eastAsia" w:ascii="宋体" w:hAnsi="宋体" w:eastAsia="宋体" w:cs="宋体"/>
          <w:b/>
          <w:color w:val="auto"/>
          <w:sz w:val="24"/>
          <w:highlight w:val="none"/>
        </w:rPr>
      </w:pPr>
    </w:p>
    <w:p w14:paraId="45D1F380">
      <w:pPr>
        <w:spacing w:line="560" w:lineRule="exact"/>
        <w:ind w:firstLine="482" w:firstLineChars="200"/>
        <w:rPr>
          <w:rFonts w:hint="eastAsia" w:ascii="宋体" w:hAnsi="宋体" w:eastAsia="宋体" w:cs="宋体"/>
          <w:b/>
          <w:color w:val="auto"/>
          <w:sz w:val="24"/>
          <w:highlight w:val="none"/>
        </w:rPr>
      </w:pPr>
    </w:p>
    <w:p w14:paraId="766D9B1F">
      <w:pPr>
        <w:spacing w:line="560" w:lineRule="exact"/>
        <w:ind w:firstLine="482" w:firstLineChars="200"/>
        <w:rPr>
          <w:rFonts w:hint="eastAsia" w:ascii="宋体" w:hAnsi="宋体" w:eastAsia="宋体" w:cs="宋体"/>
          <w:b/>
          <w:color w:val="auto"/>
          <w:sz w:val="24"/>
          <w:highlight w:val="none"/>
        </w:rPr>
      </w:pPr>
    </w:p>
    <w:p w14:paraId="5A47999D">
      <w:pPr>
        <w:spacing w:line="560" w:lineRule="exact"/>
        <w:ind w:firstLine="482" w:firstLineChars="200"/>
        <w:rPr>
          <w:rFonts w:hint="eastAsia" w:ascii="宋体" w:hAnsi="宋体" w:eastAsia="宋体" w:cs="宋体"/>
          <w:b/>
          <w:color w:val="auto"/>
          <w:sz w:val="24"/>
          <w:highlight w:val="none"/>
        </w:rPr>
      </w:pPr>
    </w:p>
    <w:p w14:paraId="542A3BBF">
      <w:pPr>
        <w:spacing w:line="560" w:lineRule="exact"/>
        <w:ind w:firstLine="482" w:firstLineChars="200"/>
        <w:rPr>
          <w:rFonts w:hint="eastAsia" w:ascii="宋体" w:hAnsi="宋体" w:eastAsia="宋体" w:cs="宋体"/>
          <w:b/>
          <w:color w:val="auto"/>
          <w:sz w:val="24"/>
          <w:highlight w:val="none"/>
        </w:rPr>
      </w:pPr>
    </w:p>
    <w:p w14:paraId="6B209533">
      <w:pPr>
        <w:spacing w:line="560" w:lineRule="exact"/>
        <w:ind w:firstLine="482" w:firstLineChars="200"/>
        <w:rPr>
          <w:rFonts w:hint="eastAsia" w:ascii="宋体" w:hAnsi="宋体" w:eastAsia="宋体" w:cs="宋体"/>
          <w:b/>
          <w:color w:val="auto"/>
          <w:sz w:val="24"/>
          <w:highlight w:val="none"/>
        </w:rPr>
      </w:pPr>
    </w:p>
    <w:p w14:paraId="2067875E">
      <w:pPr>
        <w:spacing w:line="560" w:lineRule="exact"/>
        <w:ind w:firstLine="482" w:firstLineChars="200"/>
        <w:rPr>
          <w:rFonts w:hint="eastAsia" w:ascii="宋体" w:hAnsi="宋体" w:eastAsia="宋体" w:cs="宋体"/>
          <w:b/>
          <w:color w:val="auto"/>
          <w:sz w:val="24"/>
          <w:highlight w:val="none"/>
        </w:rPr>
      </w:pPr>
    </w:p>
    <w:p w14:paraId="31273ADF">
      <w:pPr>
        <w:pStyle w:val="4"/>
        <w:spacing w:line="360" w:lineRule="exact"/>
        <w:jc w:val="center"/>
        <w:rPr>
          <w:rFonts w:hint="eastAsia" w:ascii="宋体" w:hAnsi="宋体" w:eastAsia="宋体" w:cs="宋体"/>
          <w:color w:val="auto"/>
          <w:sz w:val="32"/>
          <w:szCs w:val="32"/>
          <w:highlight w:val="none"/>
        </w:rPr>
      </w:pPr>
      <w:bookmarkStart w:id="25" w:name="_Toc18131"/>
      <w:r>
        <w:rPr>
          <w:rFonts w:hint="eastAsia" w:ascii="宋体" w:hAnsi="宋体" w:eastAsia="宋体" w:cs="宋体"/>
          <w:color w:val="auto"/>
          <w:sz w:val="32"/>
          <w:szCs w:val="32"/>
          <w:highlight w:val="none"/>
        </w:rPr>
        <w:t>第四章 响应文件格式</w:t>
      </w:r>
      <w:bookmarkEnd w:id="25"/>
    </w:p>
    <w:p w14:paraId="4B75A6CD">
      <w:pPr>
        <w:spacing w:line="240" w:lineRule="atLeast"/>
        <w:jc w:val="center"/>
        <w:rPr>
          <w:rFonts w:hint="eastAsia" w:ascii="宋体" w:hAnsi="宋体" w:eastAsia="宋体" w:cs="宋体"/>
          <w:b/>
          <w:color w:val="auto"/>
          <w:sz w:val="32"/>
          <w:szCs w:val="32"/>
          <w:highlight w:val="none"/>
        </w:rPr>
      </w:pPr>
    </w:p>
    <w:p w14:paraId="65B37B55">
      <w:pPr>
        <w:spacing w:line="240" w:lineRule="atLeast"/>
        <w:jc w:val="center"/>
        <w:rPr>
          <w:rFonts w:hint="eastAsia" w:ascii="宋体" w:hAnsi="宋体" w:eastAsia="宋体" w:cs="宋体"/>
          <w:b/>
          <w:color w:val="auto"/>
          <w:sz w:val="32"/>
          <w:szCs w:val="32"/>
          <w:highlight w:val="none"/>
        </w:rPr>
      </w:pPr>
    </w:p>
    <w:p w14:paraId="52F6FA0E">
      <w:pPr>
        <w:spacing w:line="240" w:lineRule="atLeast"/>
        <w:jc w:val="left"/>
        <w:rPr>
          <w:rFonts w:hint="eastAsia" w:ascii="宋体" w:hAnsi="宋体" w:eastAsia="宋体" w:cs="宋体"/>
          <w:b/>
          <w:bCs/>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Cs w:val="21"/>
          <w:highlight w:val="none"/>
        </w:rPr>
        <w:t>一、响应文件外封面格式</w:t>
      </w:r>
    </w:p>
    <w:p w14:paraId="1A1270D2">
      <w:pPr>
        <w:snapToGrid w:val="0"/>
        <w:spacing w:beforeLines="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1.所有文件（资格证明文件、商务和技术文件、报价文件）的外封面格式：</w:t>
      </w:r>
    </w:p>
    <w:p w14:paraId="71AA179D">
      <w:pPr>
        <w:snapToGrid w:val="0"/>
        <w:spacing w:beforeLines="50" w:after="50"/>
        <w:jc w:val="center"/>
        <w:rPr>
          <w:rFonts w:hint="eastAsia" w:ascii="宋体" w:hAnsi="宋体" w:eastAsia="宋体" w:cs="宋体"/>
          <w:bCs/>
          <w:color w:val="auto"/>
          <w:szCs w:val="21"/>
          <w:highlight w:val="none"/>
        </w:rPr>
      </w:pPr>
    </w:p>
    <w:p w14:paraId="294DEA57">
      <w:pPr>
        <w:snapToGrid w:val="0"/>
        <w:spacing w:beforeLines="50" w:after="50"/>
        <w:jc w:val="center"/>
        <w:rPr>
          <w:rFonts w:hint="eastAsia" w:ascii="宋体" w:hAnsi="宋体" w:eastAsia="宋体" w:cs="宋体"/>
          <w:bCs/>
          <w:color w:val="auto"/>
          <w:szCs w:val="21"/>
          <w:highlight w:val="none"/>
        </w:rPr>
      </w:pPr>
    </w:p>
    <w:p w14:paraId="4DB5AB18">
      <w:pPr>
        <w:snapToGrid w:val="0"/>
        <w:spacing w:beforeLines="50" w:after="50"/>
        <w:jc w:val="center"/>
        <w:rPr>
          <w:rFonts w:hint="eastAsia" w:ascii="宋体" w:hAnsi="宋体" w:eastAsia="宋体" w:cs="宋体"/>
          <w:bCs/>
          <w:color w:val="auto"/>
          <w:szCs w:val="21"/>
          <w:highlight w:val="none"/>
        </w:rPr>
      </w:pPr>
    </w:p>
    <w:p w14:paraId="15DF3D3A">
      <w:pPr>
        <w:snapToGrid w:val="0"/>
        <w:spacing w:beforeLines="50" w:after="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 xml:space="preserve">响  应 文 件 </w:t>
      </w:r>
    </w:p>
    <w:p w14:paraId="2BE44640">
      <w:pPr>
        <w:snapToGrid w:val="0"/>
        <w:spacing w:beforeLines="50" w:after="50"/>
        <w:jc w:val="center"/>
        <w:rPr>
          <w:rFonts w:hint="eastAsia" w:ascii="宋体" w:hAnsi="宋体" w:eastAsia="宋体" w:cs="宋体"/>
          <w:bCs/>
          <w:color w:val="auto"/>
          <w:sz w:val="52"/>
          <w:szCs w:val="52"/>
          <w:highlight w:val="none"/>
        </w:rPr>
      </w:pPr>
    </w:p>
    <w:p w14:paraId="77B05985">
      <w:pPr>
        <w:snapToGrid w:val="0"/>
        <w:spacing w:beforeLines="50" w:after="50"/>
        <w:jc w:val="center"/>
        <w:rPr>
          <w:rFonts w:hint="eastAsia" w:ascii="宋体" w:hAnsi="宋体" w:eastAsia="宋体" w:cs="宋体"/>
          <w:bCs/>
          <w:color w:val="auto"/>
          <w:sz w:val="52"/>
          <w:szCs w:val="52"/>
          <w:highlight w:val="none"/>
        </w:rPr>
      </w:pPr>
    </w:p>
    <w:p w14:paraId="5BDD90E0">
      <w:pPr>
        <w:snapToGrid w:val="0"/>
        <w:spacing w:beforeLines="50" w:after="50"/>
        <w:rPr>
          <w:rFonts w:hint="eastAsia" w:ascii="宋体" w:hAnsi="宋体" w:eastAsia="宋体" w:cs="宋体"/>
          <w:bCs/>
          <w:color w:val="auto"/>
          <w:szCs w:val="21"/>
          <w:highlight w:val="none"/>
        </w:rPr>
      </w:pPr>
    </w:p>
    <w:p w14:paraId="376163BD">
      <w:pPr>
        <w:snapToGrid w:val="0"/>
        <w:spacing w:beforeLines="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438CC643">
      <w:pPr>
        <w:snapToGrid w:val="0"/>
        <w:spacing w:beforeLines="50" w:after="50"/>
        <w:ind w:firstLine="450" w:firstLineChars="150"/>
        <w:rPr>
          <w:rFonts w:hint="eastAsia" w:ascii="宋体" w:hAnsi="宋体" w:eastAsia="宋体" w:cs="宋体"/>
          <w:bCs/>
          <w:color w:val="auto"/>
          <w:sz w:val="30"/>
          <w:szCs w:val="30"/>
          <w:highlight w:val="none"/>
        </w:rPr>
      </w:pPr>
    </w:p>
    <w:p w14:paraId="5EC68BA5">
      <w:pPr>
        <w:snapToGrid w:val="0"/>
        <w:spacing w:beforeLines="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项目编号： </w:t>
      </w:r>
    </w:p>
    <w:p w14:paraId="5285F686">
      <w:pPr>
        <w:snapToGrid w:val="0"/>
        <w:spacing w:beforeLines="50" w:after="50"/>
        <w:ind w:firstLine="450" w:firstLineChars="150"/>
        <w:rPr>
          <w:rFonts w:hint="eastAsia" w:ascii="宋体" w:hAnsi="宋体" w:eastAsia="宋体" w:cs="宋体"/>
          <w:bCs/>
          <w:color w:val="auto"/>
          <w:sz w:val="30"/>
          <w:szCs w:val="30"/>
          <w:highlight w:val="none"/>
        </w:rPr>
      </w:pPr>
    </w:p>
    <w:p w14:paraId="2936E90C">
      <w:pPr>
        <w:pStyle w:val="11"/>
        <w:snapToGrid w:val="0"/>
        <w:spacing w:before="50" w:after="50" w:line="360" w:lineRule="auto"/>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7AFD619F">
      <w:pPr>
        <w:pStyle w:val="11"/>
        <w:snapToGrid w:val="0"/>
        <w:spacing w:before="50" w:after="50"/>
        <w:ind w:firstLine="450" w:firstLineChars="150"/>
        <w:rPr>
          <w:rFonts w:hint="eastAsia" w:ascii="宋体" w:hAnsi="宋体" w:eastAsia="宋体" w:cs="宋体"/>
          <w:bCs/>
          <w:color w:val="auto"/>
          <w:sz w:val="30"/>
          <w:szCs w:val="30"/>
          <w:highlight w:val="none"/>
        </w:rPr>
      </w:pPr>
    </w:p>
    <w:p w14:paraId="053F0A76">
      <w:pPr>
        <w:pStyle w:val="11"/>
        <w:snapToGrid w:val="0"/>
        <w:spacing w:before="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w:t>
      </w:r>
      <w:r>
        <w:rPr>
          <w:rFonts w:hint="eastAsia" w:ascii="宋体" w:hAnsi="宋体" w:eastAsia="宋体" w:cs="宋体"/>
          <w:bCs/>
          <w:color w:val="auto"/>
          <w:sz w:val="30"/>
          <w:szCs w:val="30"/>
          <w:highlight w:val="none"/>
          <w:u w:val="single"/>
        </w:rPr>
        <w:t xml:space="preserve">             全称           </w:t>
      </w:r>
      <w:r>
        <w:rPr>
          <w:rFonts w:hint="eastAsia" w:ascii="宋体" w:hAnsi="宋体" w:eastAsia="宋体" w:cs="宋体"/>
          <w:bCs/>
          <w:color w:val="auto"/>
          <w:sz w:val="30"/>
          <w:szCs w:val="30"/>
          <w:highlight w:val="none"/>
        </w:rPr>
        <w:t>（加盖单位电子公章）</w:t>
      </w:r>
    </w:p>
    <w:p w14:paraId="6064FFE0">
      <w:pPr>
        <w:pStyle w:val="11"/>
        <w:snapToGrid w:val="0"/>
        <w:spacing w:before="50" w:after="50"/>
        <w:ind w:firstLine="450" w:firstLineChars="150"/>
        <w:rPr>
          <w:rFonts w:hint="eastAsia" w:ascii="宋体" w:hAnsi="宋体" w:eastAsia="宋体" w:cs="宋体"/>
          <w:bCs/>
          <w:color w:val="auto"/>
          <w:sz w:val="30"/>
          <w:szCs w:val="30"/>
          <w:highlight w:val="none"/>
        </w:rPr>
      </w:pPr>
    </w:p>
    <w:p w14:paraId="0FFBF482">
      <w:pPr>
        <w:pStyle w:val="11"/>
        <w:snapToGrid w:val="0"/>
        <w:spacing w:before="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 xml:space="preserve">   </w:t>
      </w:r>
    </w:p>
    <w:p w14:paraId="4D96E25B">
      <w:pPr>
        <w:pStyle w:val="11"/>
        <w:snapToGrid w:val="0"/>
        <w:spacing w:before="50" w:after="50"/>
        <w:ind w:firstLine="450" w:firstLineChars="150"/>
        <w:rPr>
          <w:rFonts w:hint="eastAsia" w:ascii="宋体" w:hAnsi="宋体" w:eastAsia="宋体" w:cs="宋体"/>
          <w:bCs/>
          <w:color w:val="auto"/>
          <w:sz w:val="30"/>
          <w:szCs w:val="30"/>
          <w:highlight w:val="none"/>
        </w:rPr>
      </w:pPr>
    </w:p>
    <w:p w14:paraId="37E1A78E">
      <w:pPr>
        <w:pStyle w:val="11"/>
        <w:snapToGrid w:val="0"/>
        <w:spacing w:before="50" w:after="50"/>
        <w:ind w:firstLine="450" w:firstLineChars="150"/>
        <w:rPr>
          <w:rFonts w:hint="eastAsia" w:ascii="宋体" w:hAnsi="宋体" w:eastAsia="宋体" w:cs="宋体"/>
          <w:bCs/>
          <w:color w:val="auto"/>
          <w:sz w:val="30"/>
          <w:szCs w:val="30"/>
          <w:highlight w:val="none"/>
        </w:rPr>
      </w:pPr>
    </w:p>
    <w:p w14:paraId="32CB8691">
      <w:pPr>
        <w:pStyle w:val="11"/>
        <w:snapToGrid w:val="0"/>
        <w:spacing w:before="50" w:after="50"/>
        <w:ind w:firstLine="36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24"/>
          <w:highlight w:val="none"/>
        </w:rPr>
        <w:t>在首次响应文件提交截止时间之前不得解密</w:t>
      </w:r>
    </w:p>
    <w:p w14:paraId="01B4B4B3">
      <w:pPr>
        <w:pStyle w:val="11"/>
        <w:snapToGrid w:val="0"/>
        <w:spacing w:before="50" w:after="50"/>
        <w:ind w:firstLine="450" w:firstLineChars="150"/>
        <w:rPr>
          <w:rFonts w:hint="eastAsia" w:ascii="宋体" w:hAnsi="宋体" w:eastAsia="宋体" w:cs="宋体"/>
          <w:bCs/>
          <w:color w:val="auto"/>
          <w:sz w:val="30"/>
          <w:szCs w:val="30"/>
          <w:highlight w:val="none"/>
        </w:rPr>
      </w:pPr>
    </w:p>
    <w:p w14:paraId="54A20A8B">
      <w:pPr>
        <w:pStyle w:val="11"/>
        <w:snapToGrid w:val="0"/>
        <w:spacing w:before="50" w:after="50"/>
        <w:ind w:firstLine="0"/>
        <w:rPr>
          <w:rFonts w:hint="eastAsia" w:ascii="宋体" w:hAnsi="宋体" w:eastAsia="宋体" w:cs="宋体"/>
          <w:bCs/>
          <w:color w:val="auto"/>
          <w:sz w:val="30"/>
          <w:szCs w:val="30"/>
          <w:highlight w:val="none"/>
        </w:rPr>
      </w:pPr>
    </w:p>
    <w:p w14:paraId="762C6412">
      <w:pPr>
        <w:pStyle w:val="11"/>
        <w:snapToGrid w:val="0"/>
        <w:spacing w:before="50" w:after="50"/>
        <w:ind w:firstLine="450" w:firstLineChars="150"/>
        <w:jc w:val="center"/>
        <w:rPr>
          <w:rFonts w:hint="eastAsia" w:ascii="宋体" w:hAnsi="宋体" w:eastAsia="宋体" w:cs="宋体"/>
          <w:color w:val="auto"/>
          <w:szCs w:val="21"/>
          <w:highlight w:val="none"/>
        </w:rPr>
      </w:pPr>
      <w:r>
        <w:rPr>
          <w:rFonts w:hint="eastAsia" w:ascii="宋体" w:hAnsi="宋体" w:eastAsia="宋体" w:cs="宋体"/>
          <w:bCs/>
          <w:color w:val="auto"/>
          <w:sz w:val="30"/>
          <w:szCs w:val="30"/>
          <w:highlight w:val="none"/>
        </w:rPr>
        <w:t xml:space="preserve">                          年    月    日</w:t>
      </w:r>
    </w:p>
    <w:p w14:paraId="16A66ECE">
      <w:pPr>
        <w:snapToGrid w:val="0"/>
        <w:spacing w:beforeLines="50" w:after="50"/>
        <w:outlineLvl w:val="1"/>
        <w:rPr>
          <w:rFonts w:hint="eastAsia" w:ascii="宋体" w:hAnsi="宋体" w:eastAsia="宋体" w:cs="宋体"/>
          <w:b/>
          <w:bCs/>
          <w:color w:val="auto"/>
          <w:szCs w:val="21"/>
          <w:highlight w:val="none"/>
        </w:rPr>
      </w:pPr>
      <w:bookmarkStart w:id="26" w:name="_Toc254970557"/>
      <w:bookmarkStart w:id="27" w:name="_Toc254970698"/>
      <w:r>
        <w:rPr>
          <w:rFonts w:hint="eastAsia" w:ascii="宋体" w:hAnsi="宋体" w:eastAsia="宋体" w:cs="宋体"/>
          <w:b/>
          <w:bCs/>
          <w:color w:val="auto"/>
          <w:szCs w:val="21"/>
          <w:highlight w:val="none"/>
        </w:rPr>
        <w:br w:type="page"/>
      </w:r>
      <w:bookmarkEnd w:id="26"/>
      <w:bookmarkEnd w:id="27"/>
      <w:r>
        <w:rPr>
          <w:rFonts w:hint="eastAsia" w:ascii="宋体" w:hAnsi="宋体" w:eastAsia="宋体" w:cs="宋体"/>
          <w:b/>
          <w:bCs/>
          <w:color w:val="auto"/>
          <w:szCs w:val="21"/>
          <w:highlight w:val="none"/>
        </w:rPr>
        <w:t>二、响应文件格式</w:t>
      </w:r>
    </w:p>
    <w:p w14:paraId="02B98883">
      <w:pPr>
        <w:snapToGrid w:val="0"/>
        <w:spacing w:beforeLines="50" w:after="50"/>
        <w:rPr>
          <w:rFonts w:hint="eastAsia" w:ascii="宋体" w:hAnsi="宋体" w:eastAsia="宋体" w:cs="宋体"/>
          <w:b/>
          <w:bCs/>
          <w:color w:val="auto"/>
          <w:szCs w:val="21"/>
          <w:highlight w:val="none"/>
        </w:rPr>
      </w:pPr>
    </w:p>
    <w:p w14:paraId="799896E7">
      <w:pPr>
        <w:snapToGrid w:val="0"/>
        <w:spacing w:beforeLines="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1、资格证明文件格式：</w:t>
      </w:r>
    </w:p>
    <w:p w14:paraId="7643D2B9">
      <w:pPr>
        <w:spacing w:line="240" w:lineRule="atLeast"/>
        <w:jc w:val="center"/>
        <w:rPr>
          <w:rFonts w:hint="eastAsia" w:ascii="宋体" w:hAnsi="宋体" w:eastAsia="宋体" w:cs="宋体"/>
          <w:b/>
          <w:color w:val="auto"/>
          <w:sz w:val="32"/>
          <w:szCs w:val="32"/>
          <w:highlight w:val="none"/>
        </w:rPr>
      </w:pPr>
    </w:p>
    <w:p w14:paraId="649C0A85">
      <w:pPr>
        <w:spacing w:line="240" w:lineRule="atLeast"/>
        <w:jc w:val="center"/>
        <w:rPr>
          <w:rFonts w:hint="eastAsia" w:ascii="宋体" w:hAnsi="宋体" w:eastAsia="宋体" w:cs="宋体"/>
          <w:b/>
          <w:color w:val="auto"/>
          <w:sz w:val="32"/>
          <w:szCs w:val="32"/>
          <w:highlight w:val="none"/>
        </w:rPr>
      </w:pPr>
    </w:p>
    <w:p w14:paraId="0F187CF4">
      <w:pPr>
        <w:snapToGrid w:val="0"/>
        <w:spacing w:beforeLines="50" w:after="50" w:line="28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4D6D6486">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7431CF83">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2DD10255">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4B28CDAB">
      <w:pPr>
        <w:snapToGrid w:val="0"/>
        <w:spacing w:beforeLines="50" w:after="50"/>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6A6BD891">
      <w:pPr>
        <w:snapToGrid w:val="0"/>
        <w:spacing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（资格证明文件）</w:t>
      </w:r>
    </w:p>
    <w:p w14:paraId="36967D4A">
      <w:pPr>
        <w:snapToGrid w:val="0"/>
        <w:spacing w:beforeLines="50" w:after="50"/>
        <w:rPr>
          <w:rFonts w:hint="eastAsia" w:ascii="宋体" w:hAnsi="宋体" w:eastAsia="宋体" w:cs="宋体"/>
          <w:bCs/>
          <w:color w:val="auto"/>
          <w:szCs w:val="21"/>
          <w:highlight w:val="none"/>
        </w:rPr>
      </w:pPr>
    </w:p>
    <w:p w14:paraId="4CA0FB51">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43288C9D">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25068CB2">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7887B47F">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 </w:t>
      </w:r>
    </w:p>
    <w:p w14:paraId="43284811">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745AABE5">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0EF21865">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30"/>
          <w:szCs w:val="30"/>
          <w:highlight w:val="none"/>
        </w:rPr>
        <w:t>（加盖单位电子公章）</w:t>
      </w:r>
    </w:p>
    <w:p w14:paraId="195772AF">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p>
    <w:p w14:paraId="2FEF6FE6">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671047C6">
      <w:pPr>
        <w:pStyle w:val="11"/>
        <w:snapToGrid w:val="0"/>
        <w:spacing w:before="50" w:after="50" w:line="280" w:lineRule="exact"/>
        <w:ind w:firstLine="675" w:firstLineChars="225"/>
        <w:rPr>
          <w:rFonts w:hint="eastAsia" w:ascii="宋体" w:hAnsi="宋体" w:eastAsia="宋体" w:cs="宋体"/>
          <w:bCs/>
          <w:color w:val="auto"/>
          <w:sz w:val="30"/>
          <w:szCs w:val="30"/>
          <w:highlight w:val="none"/>
        </w:rPr>
      </w:pPr>
    </w:p>
    <w:p w14:paraId="5CA90981">
      <w:pPr>
        <w:snapToGrid w:val="0"/>
        <w:spacing w:beforeLines="50" w:after="50"/>
        <w:ind w:firstLine="10"/>
        <w:jc w:val="center"/>
        <w:rPr>
          <w:rFonts w:hint="eastAsia" w:ascii="宋体" w:hAnsi="宋体" w:eastAsia="宋体" w:cs="宋体"/>
          <w:color w:val="auto"/>
          <w:sz w:val="30"/>
          <w:szCs w:val="30"/>
          <w:highlight w:val="none"/>
        </w:rPr>
      </w:pPr>
    </w:p>
    <w:p w14:paraId="03358F4A">
      <w:pPr>
        <w:snapToGrid w:val="0"/>
        <w:spacing w:beforeLines="50" w:after="50"/>
        <w:ind w:firstLine="10"/>
        <w:jc w:val="center"/>
        <w:rPr>
          <w:rFonts w:hint="eastAsia" w:ascii="宋体" w:hAnsi="宋体" w:eastAsia="宋体" w:cs="宋体"/>
          <w:color w:val="auto"/>
          <w:sz w:val="30"/>
          <w:szCs w:val="30"/>
          <w:highlight w:val="none"/>
        </w:rPr>
      </w:pPr>
    </w:p>
    <w:p w14:paraId="33592FC4">
      <w:pPr>
        <w:snapToGrid w:val="0"/>
        <w:spacing w:beforeLines="50" w:after="50"/>
        <w:ind w:firstLine="10"/>
        <w:jc w:val="center"/>
        <w:rPr>
          <w:rFonts w:hint="eastAsia" w:ascii="宋体" w:hAnsi="宋体" w:eastAsia="宋体" w:cs="宋体"/>
          <w:color w:val="auto"/>
          <w:sz w:val="30"/>
          <w:szCs w:val="30"/>
          <w:highlight w:val="none"/>
        </w:rPr>
      </w:pPr>
    </w:p>
    <w:p w14:paraId="1D7CA842">
      <w:pPr>
        <w:snapToGrid w:val="0"/>
        <w:spacing w:beforeLines="50" w:after="50"/>
        <w:ind w:firstLine="10"/>
        <w:jc w:val="center"/>
        <w:rPr>
          <w:rFonts w:hint="eastAsia" w:ascii="宋体" w:hAnsi="宋体" w:eastAsia="宋体" w:cs="宋体"/>
          <w:color w:val="auto"/>
          <w:sz w:val="30"/>
          <w:szCs w:val="30"/>
          <w:highlight w:val="none"/>
        </w:rPr>
      </w:pPr>
    </w:p>
    <w:p w14:paraId="6D9DE0B2">
      <w:pPr>
        <w:snapToGrid w:val="0"/>
        <w:spacing w:beforeLines="50" w:after="50"/>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0E7C8521">
      <w:pPr>
        <w:snapToGrid w:val="0"/>
        <w:spacing w:before="50" w:after="50"/>
        <w:rPr>
          <w:rFonts w:hint="eastAsia" w:ascii="宋体" w:hAnsi="宋体" w:eastAsia="宋体" w:cs="宋体"/>
          <w:b/>
          <w:color w:val="auto"/>
          <w:szCs w:val="21"/>
          <w:highlight w:val="none"/>
        </w:rPr>
      </w:pPr>
    </w:p>
    <w:p w14:paraId="6D1CEA57">
      <w:pPr>
        <w:snapToGrid w:val="0"/>
        <w:spacing w:beforeLines="50" w:after="50" w:line="33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171E15BD">
      <w:pPr>
        <w:snapToGrid w:val="0"/>
        <w:spacing w:beforeLines="50" w:after="50" w:line="33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 xml:space="preserve"> </w:t>
      </w:r>
    </w:p>
    <w:p w14:paraId="1B4E0F7C">
      <w:pPr>
        <w:snapToGrid w:val="0"/>
        <w:spacing w:beforeLines="50" w:after="50" w:line="33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0C5AB48D">
      <w:pPr>
        <w:snapToGrid w:val="0"/>
        <w:spacing w:beforeLines="50" w:after="50" w:line="330" w:lineRule="exact"/>
        <w:jc w:val="center"/>
        <w:rPr>
          <w:rFonts w:hint="eastAsia" w:ascii="宋体" w:hAnsi="宋体" w:eastAsia="宋体" w:cs="宋体"/>
          <w:color w:val="auto"/>
          <w:sz w:val="28"/>
          <w:szCs w:val="28"/>
          <w:highlight w:val="none"/>
        </w:rPr>
      </w:pPr>
    </w:p>
    <w:p w14:paraId="2FEE5BB4">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(供应商需根据响应文件自行编制目录及页码)</w:t>
      </w:r>
    </w:p>
    <w:p w14:paraId="765801B9">
      <w:pPr>
        <w:widowControl/>
        <w:spacing w:line="360" w:lineRule="exact"/>
        <w:rPr>
          <w:rFonts w:hint="eastAsia" w:ascii="宋体" w:hAnsi="宋体" w:eastAsia="宋体" w:cs="宋体"/>
          <w:b/>
          <w:bCs/>
          <w:color w:val="auto"/>
          <w:sz w:val="24"/>
          <w:highlight w:val="none"/>
        </w:rPr>
      </w:pPr>
    </w:p>
    <w:p w14:paraId="0BAAEB4C">
      <w:pPr>
        <w:tabs>
          <w:tab w:val="left" w:pos="2625"/>
        </w:tabs>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一、磋商声明书格式</w:t>
      </w:r>
    </w:p>
    <w:p w14:paraId="60AECA56">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磋商声明书</w:t>
      </w:r>
    </w:p>
    <w:p w14:paraId="092079AB">
      <w:pPr>
        <w:pStyle w:val="27"/>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（采购人单位名称）：</w:t>
      </w:r>
    </w:p>
    <w:p w14:paraId="153CCCB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项目的竞标，为便于贵方公正、择优地确定成交供应商及其竞标产品和服务，我方就本次竞标有关事项郑重声明如下：</w:t>
      </w:r>
    </w:p>
    <w:p w14:paraId="5585607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0453BAF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36B32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3B1AFA1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14:paraId="7D10C24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14:paraId="06932FB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（3）同意提供按照贵方可能要求的与谈判有关的一切数据或者资料；</w:t>
      </w:r>
    </w:p>
    <w:p w14:paraId="7EDA2262">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（4）响应磋商文件规定的响应文件有效期。</w:t>
      </w:r>
    </w:p>
    <w:p w14:paraId="7D80B62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4.我方承诺符合《中华人民共和国政府采购法》第二十二条规定：</w:t>
      </w:r>
    </w:p>
    <w:p w14:paraId="4FB9F03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067A3B4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5F51FA30">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19890C5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1660E1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528697A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7A39829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81601FB">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r>
        <w:rPr>
          <w:rFonts w:hint="eastAsia" w:ascii="宋体" w:hAnsi="宋体" w:eastAsia="宋体" w:cs="宋体"/>
          <w:color w:val="auto"/>
          <w:szCs w:val="21"/>
          <w:highlight w:val="none"/>
          <w:lang w:eastAsia="zh-CN"/>
        </w:rPr>
        <w:t>，如均未选择则视为同意将合同进行公示</w:t>
      </w:r>
      <w:r>
        <w:rPr>
          <w:rFonts w:hint="eastAsia" w:ascii="宋体" w:hAnsi="宋体" w:eastAsia="宋体" w:cs="宋体"/>
          <w:color w:val="auto"/>
          <w:szCs w:val="21"/>
          <w:highlight w:val="none"/>
        </w:rPr>
        <w:t>）</w:t>
      </w:r>
    </w:p>
    <w:p w14:paraId="1FE8FD1C">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□我方本次响应文件内容中未涉及商业秘密；</w:t>
      </w:r>
    </w:p>
    <w:p w14:paraId="3865D9C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□我方本次响应文件涉及商业秘密的内容有：</w:t>
      </w:r>
      <w:r>
        <w:rPr>
          <w:rFonts w:hint="eastAsia" w:ascii="宋体" w:hAnsi="宋体" w:cs="宋体"/>
          <w:color w:val="auto"/>
          <w:szCs w:val="21"/>
          <w:highlight w:val="none"/>
          <w:u w:val="single"/>
          <w:lang w:val="en-US" w:eastAsia="zh-CN"/>
        </w:rPr>
        <w:t xml:space="preserve">           </w:t>
      </w:r>
    </w:p>
    <w:p w14:paraId="3BD1C4D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7.以上事项如有虚假或者隐瞒，我方愿意承担一切后果，并不再寻求任何旨在减轻或者免除法律责任的辩解。</w:t>
      </w:r>
    </w:p>
    <w:p w14:paraId="4CE53F85">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供应商名称（电子签章）：</w:t>
      </w:r>
    </w:p>
    <w:p w14:paraId="0B288709">
      <w:pPr>
        <w:pStyle w:val="27"/>
        <w:keepNext w:val="0"/>
        <w:keepLines w:val="0"/>
        <w:pageBreakBefore w:val="0"/>
        <w:widowControl w:val="0"/>
        <w:kinsoku/>
        <w:wordWrap/>
        <w:overflowPunct/>
        <w:topLinePunct w:val="0"/>
        <w:autoSpaceDE/>
        <w:autoSpaceDN/>
        <w:bidi w:val="0"/>
        <w:adjustRightInd/>
        <w:snapToGrid/>
        <w:spacing w:line="340" w:lineRule="exact"/>
        <w:ind w:firstLine="40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3E204D4">
      <w:pPr>
        <w:keepNext w:val="0"/>
        <w:keepLines w:val="0"/>
        <w:pageBreakBefore w:val="0"/>
        <w:widowControl w:val="0"/>
        <w:kinsoku/>
        <w:wordWrap/>
        <w:overflowPunct/>
        <w:topLinePunct w:val="0"/>
        <w:autoSpaceDE/>
        <w:autoSpaceDN/>
        <w:bidi w:val="0"/>
        <w:adjustRightInd/>
        <w:snapToGrid/>
        <w:spacing w:line="340" w:lineRule="exact"/>
        <w:ind w:left="-6" w:leftChars="-3" w:right="-817" w:rightChars="-389" w:firstLine="360" w:firstLineChars="20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394179AC">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1.供应商可以自行通过 “信用中国”（www.creditchina.gov.cn）和“中国政府采购网”网站（www.ccgp.gov.cn）查询供应商相关主体的信用记录。查询时间为本项目投标截止时间前10日至投标截止时间中任意一天。在资格审查阶段经</w:t>
      </w:r>
      <w:r>
        <w:rPr>
          <w:rFonts w:hint="eastAsia" w:ascii="宋体" w:hAnsi="宋体" w:cs="宋体"/>
          <w:color w:val="auto"/>
          <w:sz w:val="18"/>
          <w:szCs w:val="18"/>
          <w:highlight w:val="none"/>
          <w:lang w:val="en-US" w:eastAsia="zh-CN"/>
        </w:rPr>
        <w:t>磋商小组</w:t>
      </w:r>
      <w:r>
        <w:rPr>
          <w:rFonts w:hint="eastAsia" w:ascii="宋体" w:hAnsi="宋体" w:eastAsia="宋体" w:cs="宋体"/>
          <w:color w:val="auto"/>
          <w:sz w:val="18"/>
          <w:szCs w:val="18"/>
          <w:highlight w:val="none"/>
        </w:rPr>
        <w:t>查询，对列入失信被执行人、重大税收违法案件当事人名单、政府采购严重违法失信行为记录名单的供应商，将被拒绝参与本项目政府采购活动。</w:t>
      </w:r>
    </w:p>
    <w:p w14:paraId="06C9F457">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B9186A">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3.如为联合体投标，盖章处须加盖联合体各方公章，否则投标无效。</w:t>
      </w:r>
    </w:p>
    <w:p w14:paraId="38CFF8C1">
      <w:pPr>
        <w:tabs>
          <w:tab w:val="left" w:pos="262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二、政府采购供应商资格信用承诺函格式</w:t>
      </w:r>
    </w:p>
    <w:p w14:paraId="6FD00A85">
      <w:pPr>
        <w:autoSpaceDE w:val="0"/>
        <w:autoSpaceDN w:val="0"/>
        <w:adjustRightInd w:val="0"/>
        <w:spacing w:line="400" w:lineRule="exact"/>
        <w:jc w:val="left"/>
        <w:rPr>
          <w:rFonts w:hint="eastAsia" w:ascii="宋体" w:hAnsi="宋体" w:eastAsia="宋体" w:cs="宋体"/>
          <w:b/>
          <w:bCs/>
          <w:color w:val="auto"/>
          <w:szCs w:val="21"/>
          <w:highlight w:val="none"/>
        </w:rPr>
      </w:pPr>
    </w:p>
    <w:p w14:paraId="25BB358E">
      <w:pPr>
        <w:autoSpaceDE w:val="0"/>
        <w:autoSpaceDN w:val="0"/>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政府采购供应商资格信用承诺函</w:t>
      </w:r>
    </w:p>
    <w:p w14:paraId="6BC4B183">
      <w:pPr>
        <w:pStyle w:val="34"/>
        <w:rPr>
          <w:rFonts w:hint="eastAsia" w:ascii="宋体" w:hAnsi="宋体" w:eastAsia="宋体" w:cs="宋体"/>
          <w:color w:val="auto"/>
          <w:sz w:val="21"/>
          <w:szCs w:val="21"/>
          <w:highlight w:val="none"/>
        </w:rPr>
      </w:pPr>
    </w:p>
    <w:p w14:paraId="1B92C391">
      <w:pPr>
        <w:autoSpaceDE w:val="0"/>
        <w:autoSpaceDN w:val="0"/>
        <w:adjustRightIn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致：</w:t>
      </w:r>
      <w:r>
        <w:rPr>
          <w:rFonts w:hint="eastAsia" w:ascii="宋体" w:hAnsi="宋体" w:eastAsia="宋体" w:cs="宋体"/>
          <w:color w:val="auto"/>
          <w:spacing w:val="6"/>
          <w:szCs w:val="21"/>
          <w:highlight w:val="none"/>
          <w:u w:val="single"/>
        </w:rPr>
        <w:t>（采购人名称）、（代理机构名称）</w:t>
      </w:r>
      <w:r>
        <w:rPr>
          <w:rFonts w:hint="eastAsia" w:ascii="宋体" w:hAnsi="宋体" w:eastAsia="宋体" w:cs="宋体"/>
          <w:color w:val="auto"/>
          <w:spacing w:val="6"/>
          <w:szCs w:val="21"/>
          <w:highlight w:val="none"/>
        </w:rPr>
        <w:t>：</w:t>
      </w:r>
    </w:p>
    <w:p w14:paraId="7B59984F">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我方自愿参加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项目（项目编号：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）的政府采购活动，并郑重承诺我方符合《中华人民共和国政府采购法》第二十二条规定的条件： </w:t>
      </w:r>
    </w:p>
    <w:p w14:paraId="6ECA2340">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（一）具有独立承担民事责任的能力； </w:t>
      </w:r>
    </w:p>
    <w:p w14:paraId="19D63315">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（二）具有良好的商业信誉和健全的财务会计制度； </w:t>
      </w:r>
    </w:p>
    <w:p w14:paraId="35EDAF53">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（三）具有履行合同所必需的设备和专业技术能力； </w:t>
      </w:r>
    </w:p>
    <w:p w14:paraId="79A79AC6">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（四）有依法缴纳税收和社会保障资金的良好记录； </w:t>
      </w:r>
    </w:p>
    <w:p w14:paraId="5F3DF140">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（五）参加政府采购活动前三年内，在经营活动中没有重大违法记录； </w:t>
      </w:r>
    </w:p>
    <w:p w14:paraId="7878947A">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（六）法律、行政法规规定的其他条件。 </w:t>
      </w:r>
    </w:p>
    <w:p w14:paraId="233F5224">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8B57983">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特此声明！</w:t>
      </w:r>
      <w:r>
        <w:rPr>
          <w:rFonts w:hint="eastAsia" w:ascii="宋体" w:hAnsi="宋体" w:eastAsia="宋体" w:cs="宋体"/>
          <w:color w:val="auto"/>
          <w:spacing w:val="6"/>
          <w:szCs w:val="21"/>
          <w:highlight w:val="none"/>
        </w:rPr>
        <w:t xml:space="preserve"> </w:t>
      </w:r>
    </w:p>
    <w:p w14:paraId="178230EC">
      <w:pPr>
        <w:pStyle w:val="43"/>
        <w:spacing w:line="400" w:lineRule="exact"/>
        <w:ind w:firstLine="444"/>
        <w:rPr>
          <w:rFonts w:hint="eastAsia" w:ascii="宋体" w:hAnsi="宋体" w:eastAsia="宋体" w:cs="宋体"/>
          <w:color w:val="auto"/>
          <w:spacing w:val="6"/>
          <w:szCs w:val="21"/>
          <w:highlight w:val="none"/>
        </w:rPr>
      </w:pPr>
    </w:p>
    <w:p w14:paraId="0FB75BF8">
      <w:pPr>
        <w:spacing w:line="400" w:lineRule="exact"/>
        <w:rPr>
          <w:rFonts w:hint="eastAsia" w:ascii="宋体" w:hAnsi="宋体" w:eastAsia="宋体" w:cs="宋体"/>
          <w:color w:val="auto"/>
          <w:szCs w:val="21"/>
          <w:highlight w:val="none"/>
        </w:rPr>
      </w:pPr>
    </w:p>
    <w:p w14:paraId="272ABB92">
      <w:pPr>
        <w:spacing w:line="400" w:lineRule="exact"/>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b/>
          <w:bCs/>
          <w:color w:val="auto"/>
          <w:szCs w:val="21"/>
          <w:highlight w:val="none"/>
        </w:rPr>
        <w:t>（签字</w:t>
      </w:r>
      <w:r>
        <w:rPr>
          <w:rFonts w:hint="eastAsia" w:ascii="宋体" w:hAnsi="宋体" w:eastAsia="宋体" w:cs="宋体"/>
          <w:b/>
          <w:bCs/>
          <w:color w:val="auto"/>
          <w:szCs w:val="21"/>
          <w:highlight w:val="none"/>
          <w:lang w:eastAsia="zh-CN"/>
        </w:rPr>
        <w:t>或盖章</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14:paraId="408E2712">
      <w:pPr>
        <w:spacing w:line="400" w:lineRule="exact"/>
        <w:jc w:val="center"/>
        <w:rPr>
          <w:rFonts w:hint="eastAsia" w:ascii="宋体" w:hAnsi="宋体" w:eastAsia="宋体" w:cs="宋体"/>
          <w:color w:val="auto"/>
          <w:szCs w:val="21"/>
          <w:highlight w:val="none"/>
          <w:u w:val="single"/>
        </w:rPr>
      </w:pPr>
    </w:p>
    <w:p w14:paraId="7E1AA537">
      <w:pPr>
        <w:pStyle w:val="27"/>
        <w:spacing w:line="400" w:lineRule="exact"/>
        <w:ind w:firstLine="3570" w:firstLineChars="17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政府采购供应商</w:t>
      </w:r>
      <w:r>
        <w:rPr>
          <w:rFonts w:hint="eastAsia" w:ascii="宋体" w:hAnsi="宋体" w:eastAsia="宋体" w:cs="宋体"/>
          <w:b/>
          <w:bCs/>
          <w:color w:val="auto"/>
          <w:sz w:val="21"/>
          <w:highlight w:val="none"/>
        </w:rPr>
        <w:t>（CA电子签章）</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p>
    <w:p w14:paraId="5DB9A76A">
      <w:pPr>
        <w:pStyle w:val="27"/>
        <w:spacing w:line="400" w:lineRule="exact"/>
        <w:rPr>
          <w:rFonts w:hint="eastAsia" w:ascii="宋体" w:hAnsi="宋体" w:eastAsia="宋体" w:cs="宋体"/>
          <w:color w:val="auto"/>
          <w:sz w:val="21"/>
          <w:highlight w:val="none"/>
        </w:rPr>
      </w:pPr>
    </w:p>
    <w:p w14:paraId="26A720AD">
      <w:pPr>
        <w:pStyle w:val="27"/>
        <w:spacing w:line="400" w:lineRule="exact"/>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       年   月   日</w:t>
      </w:r>
    </w:p>
    <w:p w14:paraId="17CBE5CF">
      <w:pPr>
        <w:pStyle w:val="27"/>
        <w:spacing w:line="400" w:lineRule="exact"/>
        <w:rPr>
          <w:rFonts w:hint="eastAsia" w:ascii="宋体" w:hAnsi="宋体" w:eastAsia="宋体" w:cs="宋体"/>
          <w:b/>
          <w:color w:val="auto"/>
          <w:sz w:val="21"/>
          <w:highlight w:val="none"/>
        </w:rPr>
      </w:pPr>
    </w:p>
    <w:p w14:paraId="0FE196D3">
      <w:pPr>
        <w:pStyle w:val="27"/>
        <w:spacing w:line="400" w:lineRule="exact"/>
        <w:rPr>
          <w:rFonts w:hint="eastAsia" w:ascii="宋体" w:hAnsi="宋体" w:eastAsia="宋体" w:cs="宋体"/>
          <w:b/>
          <w:color w:val="auto"/>
          <w:sz w:val="21"/>
          <w:highlight w:val="none"/>
        </w:rPr>
      </w:pPr>
    </w:p>
    <w:p w14:paraId="406854DE">
      <w:pPr>
        <w:pStyle w:val="27"/>
        <w:spacing w:line="400" w:lineRule="exact"/>
        <w:rPr>
          <w:rFonts w:hint="eastAsia" w:ascii="宋体" w:hAnsi="宋体" w:eastAsia="宋体" w:cs="宋体"/>
          <w:b/>
          <w:color w:val="auto"/>
          <w:sz w:val="21"/>
          <w:highlight w:val="none"/>
        </w:rPr>
      </w:pPr>
    </w:p>
    <w:p w14:paraId="420B3730">
      <w:pPr>
        <w:pStyle w:val="27"/>
        <w:spacing w:line="400" w:lineRule="exact"/>
        <w:rPr>
          <w:rFonts w:hint="eastAsia" w:ascii="宋体" w:hAnsi="宋体" w:eastAsia="宋体" w:cs="宋体"/>
          <w:b/>
          <w:color w:val="auto"/>
          <w:sz w:val="21"/>
          <w:highlight w:val="none"/>
        </w:rPr>
      </w:pPr>
    </w:p>
    <w:p w14:paraId="6CA80D60">
      <w:pPr>
        <w:pStyle w:val="27"/>
        <w:spacing w:line="400" w:lineRule="exact"/>
        <w:rPr>
          <w:rFonts w:hint="eastAsia" w:ascii="宋体" w:hAnsi="宋体" w:eastAsia="宋体" w:cs="宋体"/>
          <w:b/>
          <w:color w:val="auto"/>
          <w:sz w:val="21"/>
          <w:highlight w:val="none"/>
        </w:rPr>
      </w:pPr>
    </w:p>
    <w:p w14:paraId="69B87C12">
      <w:pPr>
        <w:pStyle w:val="27"/>
        <w:spacing w:line="400" w:lineRule="exact"/>
        <w:rPr>
          <w:rFonts w:hint="eastAsia" w:ascii="宋体" w:hAnsi="宋体" w:eastAsia="宋体" w:cs="宋体"/>
          <w:b/>
          <w:color w:val="auto"/>
          <w:sz w:val="21"/>
          <w:highlight w:val="none"/>
        </w:rPr>
      </w:pPr>
    </w:p>
    <w:p w14:paraId="607DB3DA">
      <w:pPr>
        <w:pStyle w:val="27"/>
        <w:spacing w:line="400" w:lineRule="exact"/>
        <w:rPr>
          <w:rFonts w:hint="eastAsia" w:ascii="宋体" w:hAnsi="宋体" w:eastAsia="宋体" w:cs="宋体"/>
          <w:b/>
          <w:color w:val="auto"/>
          <w:sz w:val="21"/>
          <w:highlight w:val="none"/>
        </w:rPr>
      </w:pPr>
    </w:p>
    <w:p w14:paraId="15786ABB">
      <w:pPr>
        <w:pStyle w:val="27"/>
        <w:spacing w:line="400" w:lineRule="exact"/>
        <w:rPr>
          <w:rFonts w:hint="eastAsia" w:ascii="宋体" w:hAnsi="宋体" w:eastAsia="宋体" w:cs="宋体"/>
          <w:b/>
          <w:color w:val="auto"/>
          <w:sz w:val="21"/>
          <w:highlight w:val="none"/>
        </w:rPr>
      </w:pPr>
    </w:p>
    <w:p w14:paraId="6FB2E668">
      <w:pPr>
        <w:rPr>
          <w:rFonts w:hint="eastAsia" w:ascii="宋体" w:hAnsi="宋体" w:eastAsia="宋体" w:cs="宋体"/>
          <w:color w:val="auto"/>
          <w:highlight w:val="none"/>
        </w:rPr>
      </w:pPr>
    </w:p>
    <w:p w14:paraId="2B343FBD">
      <w:pPr>
        <w:pStyle w:val="27"/>
        <w:spacing w:line="400" w:lineRule="exact"/>
        <w:rPr>
          <w:rFonts w:hint="eastAsia" w:ascii="宋体" w:hAnsi="宋体" w:eastAsia="宋体" w:cs="宋体"/>
          <w:b/>
          <w:color w:val="auto"/>
          <w:sz w:val="21"/>
          <w:highlight w:val="none"/>
        </w:rPr>
      </w:pPr>
    </w:p>
    <w:p w14:paraId="618776D3">
      <w:pPr>
        <w:pStyle w:val="27"/>
        <w:spacing w:line="400" w:lineRule="exact"/>
        <w:rPr>
          <w:rFonts w:hint="eastAsia" w:ascii="宋体" w:hAnsi="宋体" w:eastAsia="宋体" w:cs="宋体"/>
          <w:b/>
          <w:color w:val="auto"/>
          <w:sz w:val="21"/>
          <w:highlight w:val="none"/>
        </w:rPr>
      </w:pPr>
    </w:p>
    <w:p w14:paraId="56816002">
      <w:pPr>
        <w:snapToGrid w:val="0"/>
        <w:spacing w:beforeLines="50" w:after="50" w:line="400" w:lineRule="exact"/>
        <w:rPr>
          <w:rFonts w:hint="eastAsia" w:ascii="宋体" w:hAnsi="宋体" w:eastAsia="宋体" w:cs="宋体"/>
          <w:b/>
          <w:color w:val="auto"/>
          <w:highlight w:val="none"/>
        </w:rPr>
      </w:pPr>
    </w:p>
    <w:p w14:paraId="1A9292E8">
      <w:pPr>
        <w:snapToGrid w:val="0"/>
        <w:spacing w:beforeLines="50" w:after="50" w:line="400" w:lineRule="exact"/>
        <w:rPr>
          <w:rFonts w:hint="eastAsia" w:ascii="宋体" w:hAnsi="宋体" w:eastAsia="宋体" w:cs="宋体"/>
          <w:b/>
          <w:color w:val="auto"/>
          <w:highlight w:val="none"/>
        </w:rPr>
      </w:pPr>
    </w:p>
    <w:p w14:paraId="4DE59D86">
      <w:pPr>
        <w:tabs>
          <w:tab w:val="left" w:pos="262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三、供应商直接控股、管理关系信息表格式</w:t>
      </w:r>
    </w:p>
    <w:p w14:paraId="1B33BEBC">
      <w:pPr>
        <w:snapToGrid w:val="0"/>
        <w:spacing w:before="50" w:after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供应商直接控股股东信息表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4D1D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39B56AD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69" w:type="dxa"/>
            <w:tcMar>
              <w:top w:w="120" w:type="dxa"/>
              <w:left w:w="120" w:type="dxa"/>
              <w:bottom w:w="120" w:type="dxa"/>
              <w:right w:w="120" w:type="dxa"/>
            </w:tcMar>
            <w:vAlign w:val="center"/>
          </w:tcPr>
          <w:p w14:paraId="61AFCAF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直接控股股东名称</w:t>
            </w:r>
          </w:p>
        </w:tc>
        <w:tc>
          <w:tcPr>
            <w:tcW w:w="1239" w:type="dxa"/>
            <w:tcMar>
              <w:top w:w="120" w:type="dxa"/>
              <w:left w:w="120" w:type="dxa"/>
              <w:bottom w:w="120" w:type="dxa"/>
              <w:right w:w="120" w:type="dxa"/>
            </w:tcMar>
            <w:vAlign w:val="center"/>
          </w:tcPr>
          <w:p w14:paraId="7C469CC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722" w:type="dxa"/>
            <w:tcMar>
              <w:top w:w="120" w:type="dxa"/>
              <w:left w:w="120" w:type="dxa"/>
              <w:bottom w:w="120" w:type="dxa"/>
              <w:right w:w="120" w:type="dxa"/>
            </w:tcMar>
            <w:vAlign w:val="center"/>
          </w:tcPr>
          <w:p w14:paraId="6F12B80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身份证号码或统一社会信用代码</w:t>
            </w:r>
          </w:p>
        </w:tc>
        <w:tc>
          <w:tcPr>
            <w:tcW w:w="1418" w:type="dxa"/>
            <w:tcMar>
              <w:top w:w="120" w:type="dxa"/>
              <w:left w:w="120" w:type="dxa"/>
              <w:bottom w:w="120" w:type="dxa"/>
              <w:right w:w="120" w:type="dxa"/>
            </w:tcMar>
            <w:vAlign w:val="center"/>
          </w:tcPr>
          <w:p w14:paraId="2356F27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D84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7A7AF8DE">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69" w:type="dxa"/>
            <w:tcMar>
              <w:top w:w="120" w:type="dxa"/>
              <w:left w:w="120" w:type="dxa"/>
              <w:bottom w:w="120" w:type="dxa"/>
              <w:right w:w="120" w:type="dxa"/>
            </w:tcMar>
            <w:vAlign w:val="center"/>
          </w:tcPr>
          <w:p w14:paraId="0ED9003D">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10DE0D32">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3278C8DF">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5D5F864E">
            <w:pPr>
              <w:widowControl/>
              <w:wordWrap w:val="0"/>
              <w:spacing w:line="360" w:lineRule="auto"/>
              <w:jc w:val="center"/>
              <w:rPr>
                <w:rFonts w:hint="eastAsia" w:ascii="宋体" w:hAnsi="宋体" w:eastAsia="宋体" w:cs="宋体"/>
                <w:color w:val="auto"/>
                <w:szCs w:val="21"/>
                <w:highlight w:val="none"/>
              </w:rPr>
            </w:pPr>
          </w:p>
        </w:tc>
      </w:tr>
      <w:tr w14:paraId="76BE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7B71D37C">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69" w:type="dxa"/>
            <w:tcMar>
              <w:top w:w="120" w:type="dxa"/>
              <w:left w:w="120" w:type="dxa"/>
              <w:bottom w:w="120" w:type="dxa"/>
              <w:right w:w="120" w:type="dxa"/>
            </w:tcMar>
            <w:vAlign w:val="center"/>
          </w:tcPr>
          <w:p w14:paraId="2AB617ED">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01C40858">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7484A2B5">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68555B3D">
            <w:pPr>
              <w:widowControl/>
              <w:wordWrap w:val="0"/>
              <w:spacing w:line="360" w:lineRule="auto"/>
              <w:jc w:val="center"/>
              <w:rPr>
                <w:rFonts w:hint="eastAsia" w:ascii="宋体" w:hAnsi="宋体" w:eastAsia="宋体" w:cs="宋体"/>
                <w:color w:val="auto"/>
                <w:szCs w:val="21"/>
                <w:highlight w:val="none"/>
              </w:rPr>
            </w:pPr>
          </w:p>
        </w:tc>
      </w:tr>
      <w:tr w14:paraId="023F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15C73D7C">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9" w:type="dxa"/>
            <w:tcMar>
              <w:top w:w="120" w:type="dxa"/>
              <w:left w:w="120" w:type="dxa"/>
              <w:bottom w:w="120" w:type="dxa"/>
              <w:right w:w="120" w:type="dxa"/>
            </w:tcMar>
            <w:vAlign w:val="center"/>
          </w:tcPr>
          <w:p w14:paraId="2D2197A1">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3E6A23D8">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3BB06523">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6B61CCC9">
            <w:pPr>
              <w:widowControl/>
              <w:wordWrap w:val="0"/>
              <w:spacing w:line="360" w:lineRule="auto"/>
              <w:jc w:val="center"/>
              <w:rPr>
                <w:rFonts w:hint="eastAsia" w:ascii="宋体" w:hAnsi="宋体" w:eastAsia="宋体" w:cs="宋体"/>
                <w:color w:val="auto"/>
                <w:szCs w:val="21"/>
                <w:highlight w:val="none"/>
              </w:rPr>
            </w:pPr>
          </w:p>
        </w:tc>
      </w:tr>
    </w:tbl>
    <w:p w14:paraId="345D241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EE7D6D0">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55A0D6">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6F4BAE26">
      <w:pPr>
        <w:snapToGrid w:val="0"/>
        <w:spacing w:before="50" w:afterLines="50"/>
        <w:jc w:val="center"/>
        <w:rPr>
          <w:rFonts w:hint="eastAsia" w:ascii="宋体" w:hAnsi="宋体" w:eastAsia="宋体" w:cs="宋体"/>
          <w:color w:val="auto"/>
          <w:szCs w:val="21"/>
          <w:highlight w:val="none"/>
        </w:rPr>
      </w:pPr>
    </w:p>
    <w:p w14:paraId="5EA62556">
      <w:pP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b/>
          <w:color w:val="auto"/>
          <w:sz w:val="24"/>
          <w:highlight w:val="none"/>
        </w:rPr>
        <w:t>供应商直接管理关系信息表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1E59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3E372D5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59" w:type="dxa"/>
            <w:tcMar>
              <w:top w:w="120" w:type="dxa"/>
              <w:left w:w="120" w:type="dxa"/>
              <w:bottom w:w="120" w:type="dxa"/>
              <w:right w:w="120" w:type="dxa"/>
            </w:tcMar>
            <w:vAlign w:val="center"/>
          </w:tcPr>
          <w:p w14:paraId="6D0BF0A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直接管理关系单位名称</w:t>
            </w:r>
          </w:p>
        </w:tc>
        <w:tc>
          <w:tcPr>
            <w:tcW w:w="3924" w:type="dxa"/>
            <w:tcMar>
              <w:top w:w="120" w:type="dxa"/>
              <w:left w:w="120" w:type="dxa"/>
              <w:bottom w:w="120" w:type="dxa"/>
              <w:right w:w="120" w:type="dxa"/>
            </w:tcMar>
            <w:vAlign w:val="center"/>
          </w:tcPr>
          <w:p w14:paraId="70BDDA2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064" w:type="dxa"/>
            <w:tcMar>
              <w:top w:w="120" w:type="dxa"/>
              <w:left w:w="120" w:type="dxa"/>
              <w:bottom w:w="120" w:type="dxa"/>
              <w:right w:w="120" w:type="dxa"/>
            </w:tcMar>
            <w:vAlign w:val="center"/>
          </w:tcPr>
          <w:p w14:paraId="704E53D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603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296CF53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59" w:type="dxa"/>
            <w:tcMar>
              <w:top w:w="120" w:type="dxa"/>
              <w:left w:w="120" w:type="dxa"/>
              <w:bottom w:w="120" w:type="dxa"/>
              <w:right w:w="120" w:type="dxa"/>
            </w:tcMar>
            <w:vAlign w:val="center"/>
          </w:tcPr>
          <w:p w14:paraId="2965D3E4">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19C128DA">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67A22729">
            <w:pPr>
              <w:widowControl/>
              <w:spacing w:line="360" w:lineRule="auto"/>
              <w:jc w:val="center"/>
              <w:rPr>
                <w:rFonts w:hint="eastAsia" w:ascii="宋体" w:hAnsi="宋体" w:eastAsia="宋体" w:cs="宋体"/>
                <w:color w:val="auto"/>
                <w:szCs w:val="21"/>
                <w:highlight w:val="none"/>
              </w:rPr>
            </w:pPr>
          </w:p>
        </w:tc>
      </w:tr>
      <w:tr w14:paraId="5258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0C00B02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59" w:type="dxa"/>
            <w:tcMar>
              <w:top w:w="120" w:type="dxa"/>
              <w:left w:w="120" w:type="dxa"/>
              <w:bottom w:w="120" w:type="dxa"/>
              <w:right w:w="120" w:type="dxa"/>
            </w:tcMar>
            <w:vAlign w:val="center"/>
          </w:tcPr>
          <w:p w14:paraId="2E835C11">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4DE81BA2">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60C69DB1">
            <w:pPr>
              <w:widowControl/>
              <w:spacing w:line="360" w:lineRule="auto"/>
              <w:jc w:val="center"/>
              <w:rPr>
                <w:rFonts w:hint="eastAsia" w:ascii="宋体" w:hAnsi="宋体" w:eastAsia="宋体" w:cs="宋体"/>
                <w:color w:val="auto"/>
                <w:szCs w:val="21"/>
                <w:highlight w:val="none"/>
              </w:rPr>
            </w:pPr>
          </w:p>
        </w:tc>
      </w:tr>
      <w:tr w14:paraId="3A74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6ECDC28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59" w:type="dxa"/>
            <w:tcMar>
              <w:top w:w="120" w:type="dxa"/>
              <w:left w:w="120" w:type="dxa"/>
              <w:bottom w:w="120" w:type="dxa"/>
              <w:right w:w="120" w:type="dxa"/>
            </w:tcMar>
            <w:vAlign w:val="center"/>
          </w:tcPr>
          <w:p w14:paraId="4921DCFA">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2B9085EC">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672E3246">
            <w:pPr>
              <w:widowControl/>
              <w:spacing w:line="360" w:lineRule="auto"/>
              <w:jc w:val="center"/>
              <w:rPr>
                <w:rFonts w:hint="eastAsia" w:ascii="宋体" w:hAnsi="宋体" w:eastAsia="宋体" w:cs="宋体"/>
                <w:color w:val="auto"/>
                <w:szCs w:val="21"/>
                <w:highlight w:val="none"/>
              </w:rPr>
            </w:pPr>
          </w:p>
        </w:tc>
      </w:tr>
    </w:tbl>
    <w:p w14:paraId="5BADD4C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F4A0E05">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71FC66E1">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6DF6D726">
      <w:pPr>
        <w:pStyle w:val="27"/>
        <w:tabs>
          <w:tab w:val="left" w:pos="5529"/>
        </w:tabs>
        <w:wordWrap w:val="0"/>
        <w:ind w:firstLine="3240" w:firstLineChars="1620"/>
        <w:rPr>
          <w:rFonts w:hint="eastAsia" w:ascii="宋体" w:hAnsi="宋体" w:eastAsia="宋体" w:cs="宋体"/>
          <w:color w:val="auto"/>
          <w:highlight w:val="none"/>
        </w:rPr>
      </w:pPr>
    </w:p>
    <w:p w14:paraId="3AA3C8F8">
      <w:pPr>
        <w:pStyle w:val="27"/>
        <w:tabs>
          <w:tab w:val="left" w:pos="5529"/>
        </w:tabs>
        <w:wordWrap w:val="0"/>
        <w:ind w:firstLine="3240" w:firstLineChars="1620"/>
        <w:rPr>
          <w:rFonts w:hint="eastAsia" w:ascii="宋体" w:hAnsi="宋体" w:eastAsia="宋体" w:cs="宋体"/>
          <w:color w:val="auto"/>
          <w:highlight w:val="none"/>
        </w:rPr>
      </w:pPr>
    </w:p>
    <w:p w14:paraId="54CEC0FB">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4D1B2C84">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114A119">
      <w:pPr>
        <w:snapToGrid w:val="0"/>
        <w:spacing w:before="50" w:after="50"/>
        <w:ind w:left="-6" w:leftChars="-3" w:right="-817" w:rightChars="-389" w:firstLine="6720" w:firstLineChars="3200"/>
        <w:rPr>
          <w:rFonts w:hint="eastAsia" w:ascii="宋体" w:hAnsi="宋体" w:eastAsia="宋体" w:cs="宋体"/>
          <w:color w:val="auto"/>
          <w:szCs w:val="21"/>
          <w:highlight w:val="none"/>
        </w:rPr>
      </w:pPr>
    </w:p>
    <w:p w14:paraId="7434184B">
      <w:pPr>
        <w:snapToGrid w:val="0"/>
        <w:spacing w:before="50" w:after="50"/>
        <w:ind w:left="-6" w:leftChars="-3" w:right="-817" w:rightChars="-389" w:firstLine="6720" w:firstLineChars="3200"/>
        <w:rPr>
          <w:rFonts w:hint="eastAsia" w:ascii="宋体" w:hAnsi="宋体" w:eastAsia="宋体" w:cs="宋体"/>
          <w:color w:val="auto"/>
          <w:szCs w:val="21"/>
          <w:highlight w:val="none"/>
        </w:rPr>
      </w:pPr>
    </w:p>
    <w:p w14:paraId="533260AF">
      <w:pPr>
        <w:spacing w:line="360" w:lineRule="exact"/>
        <w:rPr>
          <w:rFonts w:hint="eastAsia" w:ascii="宋体" w:hAnsi="宋体" w:eastAsia="宋体" w:cs="宋体"/>
          <w:b/>
          <w:color w:val="auto"/>
          <w:sz w:val="24"/>
          <w:szCs w:val="20"/>
          <w:highlight w:val="none"/>
        </w:rPr>
      </w:pPr>
    </w:p>
    <w:p w14:paraId="48507A2D">
      <w:pPr>
        <w:spacing w:line="360" w:lineRule="exact"/>
        <w:rPr>
          <w:rFonts w:hint="eastAsia" w:ascii="宋体" w:hAnsi="宋体" w:eastAsia="宋体" w:cs="宋体"/>
          <w:b/>
          <w:color w:val="auto"/>
          <w:sz w:val="24"/>
          <w:szCs w:val="20"/>
          <w:highlight w:val="none"/>
        </w:rPr>
      </w:pPr>
    </w:p>
    <w:p w14:paraId="4CC689B8">
      <w:pPr>
        <w:spacing w:line="360" w:lineRule="exact"/>
        <w:rPr>
          <w:rFonts w:hint="eastAsia" w:ascii="宋体" w:hAnsi="宋体" w:eastAsia="宋体" w:cs="宋体"/>
          <w:b/>
          <w:color w:val="auto"/>
          <w:sz w:val="24"/>
          <w:szCs w:val="20"/>
          <w:highlight w:val="none"/>
        </w:rPr>
      </w:pPr>
    </w:p>
    <w:p w14:paraId="5FC0C753">
      <w:pPr>
        <w:spacing w:line="360" w:lineRule="exact"/>
        <w:rPr>
          <w:rFonts w:hint="eastAsia" w:ascii="宋体" w:hAnsi="宋体" w:eastAsia="宋体" w:cs="宋体"/>
          <w:b/>
          <w:color w:val="auto"/>
          <w:sz w:val="24"/>
          <w:szCs w:val="20"/>
          <w:highlight w:val="none"/>
        </w:rPr>
      </w:pPr>
    </w:p>
    <w:p w14:paraId="301EC4CE">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四、中小企业声明函格式</w:t>
      </w:r>
    </w:p>
    <w:p w14:paraId="34D6F4BD">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w:t>
      </w:r>
    </w:p>
    <w:p w14:paraId="1E022195">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2F8F2C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1、本声明函主要供参加政府采购活动的中小企业填写，非中小企业无需填写。</w:t>
      </w:r>
    </w:p>
    <w:p w14:paraId="35D685A2">
      <w:pPr>
        <w:spacing w:line="360" w:lineRule="exact"/>
        <w:ind w:firstLine="420" w:firstLineChars="200"/>
        <w:rPr>
          <w:rFonts w:hint="eastAsia" w:ascii="宋体" w:hAnsi="宋体" w:eastAsia="宋体" w:cs="宋体"/>
          <w:color w:val="auto"/>
          <w:szCs w:val="21"/>
          <w:highlight w:val="none"/>
        </w:rPr>
      </w:pPr>
    </w:p>
    <w:p w14:paraId="1889A37A">
      <w:pPr>
        <w:spacing w:line="360" w:lineRule="exact"/>
        <w:ind w:firstLine="420" w:firstLineChars="200"/>
        <w:rPr>
          <w:rFonts w:hint="eastAsia" w:ascii="宋体" w:hAnsi="宋体" w:eastAsia="宋体" w:cs="宋体"/>
          <w:color w:val="auto"/>
          <w:szCs w:val="21"/>
          <w:highlight w:val="none"/>
        </w:rPr>
      </w:pPr>
    </w:p>
    <w:p w14:paraId="6E8D9133">
      <w:pPr>
        <w:adjustRightInd w:val="0"/>
        <w:snapToGrid w:val="0"/>
        <w:spacing w:line="560" w:lineRule="exact"/>
        <w:ind w:firstLine="420" w:firstLineChars="200"/>
        <w:rPr>
          <w:rFonts w:hint="eastAsia" w:ascii="宋体" w:hAnsi="宋体" w:eastAsia="宋体" w:cs="宋体"/>
          <w:color w:val="auto"/>
          <w:sz w:val="30"/>
          <w:szCs w:val="30"/>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842FD5">
      <w:pPr>
        <w:adjustRightInd w:val="0"/>
        <w:snapToGrid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w:t>
      </w:r>
      <w:r>
        <w:rPr>
          <w:rFonts w:hint="eastAsia" w:ascii="宋体" w:hAnsi="宋体" w:eastAsia="宋体" w:cs="宋体"/>
          <w:color w:val="auto"/>
          <w:highlight w:val="none"/>
        </w:rPr>
        <w:t>承建（承接）企业为（企业名称）</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2CFCE9F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w:t>
      </w:r>
      <w:r>
        <w:rPr>
          <w:rFonts w:hint="eastAsia" w:ascii="宋体" w:hAnsi="宋体" w:eastAsia="宋体" w:cs="宋体"/>
          <w:color w:val="auto"/>
          <w:highlight w:val="none"/>
        </w:rPr>
        <w:t>承建（承接）企业为（企业名称）</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7ECA8F1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77C6C6E">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67FF859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1DF16C4">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名称(电子签章)：</w:t>
      </w:r>
    </w:p>
    <w:p w14:paraId="0A190080">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日期：年月日</w:t>
      </w:r>
    </w:p>
    <w:p w14:paraId="3CBC1662">
      <w:pPr>
        <w:spacing w:line="360" w:lineRule="exact"/>
        <w:ind w:firstLine="420" w:firstLineChars="200"/>
        <w:rPr>
          <w:rFonts w:hint="eastAsia" w:ascii="宋体" w:hAnsi="宋体" w:eastAsia="宋体" w:cs="宋体"/>
          <w:color w:val="auto"/>
          <w:szCs w:val="21"/>
          <w:highlight w:val="none"/>
        </w:rPr>
      </w:pPr>
    </w:p>
    <w:p w14:paraId="7D4DE571">
      <w:pPr>
        <w:spacing w:line="360" w:lineRule="exact"/>
        <w:ind w:firstLine="420" w:firstLineChars="200"/>
        <w:rPr>
          <w:rFonts w:hint="eastAsia" w:ascii="宋体" w:hAnsi="宋体" w:eastAsia="宋体" w:cs="宋体"/>
          <w:color w:val="auto"/>
          <w:szCs w:val="21"/>
          <w:highlight w:val="none"/>
        </w:rPr>
      </w:pPr>
    </w:p>
    <w:p w14:paraId="40F601B1">
      <w:pPr>
        <w:spacing w:line="360" w:lineRule="exact"/>
        <w:ind w:firstLine="420" w:firstLineChars="200"/>
        <w:rPr>
          <w:rFonts w:hint="eastAsia" w:ascii="宋体" w:hAnsi="宋体" w:eastAsia="宋体" w:cs="宋体"/>
          <w:color w:val="auto"/>
          <w:szCs w:val="21"/>
          <w:highlight w:val="none"/>
        </w:rPr>
      </w:pPr>
    </w:p>
    <w:p w14:paraId="1308278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3E130B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684DC71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14:paraId="71B50582">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0DB55B40">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7AF12367">
      <w:pPr>
        <w:snapToGrid w:val="0"/>
        <w:spacing w:before="50" w:after="50" w:line="240" w:lineRule="exact"/>
        <w:jc w:val="left"/>
        <w:rPr>
          <w:rFonts w:hint="eastAsia" w:ascii="宋体" w:hAnsi="宋体" w:eastAsia="宋体" w:cs="宋体"/>
          <w:color w:val="auto"/>
          <w:sz w:val="18"/>
          <w:szCs w:val="18"/>
          <w:highlight w:val="none"/>
        </w:rPr>
      </w:pPr>
    </w:p>
    <w:p w14:paraId="613F3424">
      <w:pPr>
        <w:snapToGrid w:val="0"/>
        <w:spacing w:before="50" w:after="50" w:line="240" w:lineRule="exact"/>
        <w:jc w:val="left"/>
        <w:rPr>
          <w:rFonts w:hint="eastAsia" w:ascii="宋体" w:hAnsi="宋体" w:eastAsia="宋体" w:cs="宋体"/>
          <w:color w:val="auto"/>
          <w:sz w:val="18"/>
          <w:szCs w:val="18"/>
          <w:highlight w:val="none"/>
        </w:rPr>
      </w:pPr>
    </w:p>
    <w:p w14:paraId="567AFD4B">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0DD3F772">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089EEA38">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1B311D98">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3B10E12D">
      <w:pPr>
        <w:spacing w:line="320" w:lineRule="exact"/>
        <w:rPr>
          <w:rFonts w:hint="eastAsia" w:ascii="宋体" w:hAnsi="宋体" w:eastAsia="宋体" w:cs="宋体"/>
          <w:b/>
          <w:color w:val="auto"/>
          <w:sz w:val="24"/>
          <w:szCs w:val="24"/>
          <w:highlight w:val="none"/>
          <w:lang w:val="en-US" w:eastAsia="zh-CN"/>
        </w:rPr>
      </w:pPr>
      <w:bookmarkStart w:id="28" w:name="OLE_LINK13"/>
      <w:bookmarkStart w:id="29" w:name="OLE_LINK14"/>
      <w:r>
        <w:rPr>
          <w:rFonts w:hint="eastAsia" w:ascii="宋体" w:hAnsi="宋体" w:eastAsia="宋体" w:cs="宋体"/>
          <w:b/>
          <w:color w:val="auto"/>
          <w:sz w:val="24"/>
          <w:szCs w:val="24"/>
          <w:highlight w:val="none"/>
          <w:lang w:val="en-US" w:eastAsia="zh-CN"/>
        </w:rPr>
        <w:t>五、残疾人福利性单位声明函格式</w:t>
      </w:r>
    </w:p>
    <w:p w14:paraId="45E5C4F2">
      <w:pPr>
        <w:spacing w:line="588"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bookmarkEnd w:id="28"/>
    <w:bookmarkEnd w:id="29"/>
    <w:p w14:paraId="23AF3EC0">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0036BE">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53DF7D3F">
      <w:pPr>
        <w:spacing w:line="360" w:lineRule="exact"/>
        <w:ind w:firstLine="420" w:firstLineChars="200"/>
        <w:rPr>
          <w:rFonts w:hint="eastAsia" w:ascii="宋体" w:hAnsi="宋体" w:eastAsia="宋体" w:cs="宋体"/>
          <w:color w:val="auto"/>
          <w:szCs w:val="21"/>
          <w:highlight w:val="none"/>
        </w:rPr>
      </w:pPr>
    </w:p>
    <w:p w14:paraId="4AEDBEC3">
      <w:pPr>
        <w:spacing w:line="360" w:lineRule="exact"/>
        <w:ind w:firstLine="420" w:firstLineChars="200"/>
        <w:rPr>
          <w:rFonts w:hint="eastAsia" w:ascii="宋体" w:hAnsi="宋体" w:eastAsia="宋体" w:cs="宋体"/>
          <w:color w:val="auto"/>
          <w:szCs w:val="21"/>
          <w:highlight w:val="none"/>
        </w:rPr>
      </w:pPr>
    </w:p>
    <w:p w14:paraId="204A91EB">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名称(电子签章)：</w:t>
      </w:r>
    </w:p>
    <w:p w14:paraId="6126E445">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日期：年月日</w:t>
      </w:r>
    </w:p>
    <w:p w14:paraId="4F8E59B1">
      <w:pPr>
        <w:spacing w:line="360" w:lineRule="exact"/>
        <w:ind w:firstLine="420" w:firstLineChars="200"/>
        <w:rPr>
          <w:rFonts w:hint="eastAsia" w:ascii="宋体" w:hAnsi="宋体" w:eastAsia="宋体" w:cs="宋体"/>
          <w:color w:val="auto"/>
          <w:szCs w:val="21"/>
          <w:highlight w:val="none"/>
        </w:rPr>
      </w:pPr>
    </w:p>
    <w:p w14:paraId="76A30DBF">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14:paraId="4FB65271">
      <w:pPr>
        <w:pStyle w:val="4"/>
        <w:spacing w:line="360" w:lineRule="exact"/>
        <w:jc w:val="center"/>
        <w:rPr>
          <w:rFonts w:hint="eastAsia" w:ascii="宋体" w:hAnsi="宋体" w:eastAsia="宋体" w:cs="宋体"/>
          <w:color w:val="auto"/>
          <w:sz w:val="28"/>
          <w:szCs w:val="28"/>
          <w:highlight w:val="none"/>
        </w:rPr>
      </w:pPr>
    </w:p>
    <w:p w14:paraId="5B57C996">
      <w:pPr>
        <w:rPr>
          <w:rFonts w:hint="eastAsia" w:ascii="宋体" w:hAnsi="宋体" w:eastAsia="宋体" w:cs="宋体"/>
          <w:color w:val="auto"/>
          <w:sz w:val="28"/>
          <w:szCs w:val="28"/>
          <w:highlight w:val="none"/>
        </w:rPr>
      </w:pPr>
    </w:p>
    <w:p w14:paraId="04397E3D">
      <w:pPr>
        <w:rPr>
          <w:rFonts w:hint="eastAsia" w:ascii="宋体" w:hAnsi="宋体" w:eastAsia="宋体" w:cs="宋体"/>
          <w:color w:val="auto"/>
          <w:sz w:val="28"/>
          <w:szCs w:val="28"/>
          <w:highlight w:val="none"/>
        </w:rPr>
      </w:pPr>
    </w:p>
    <w:p w14:paraId="76683647">
      <w:pPr>
        <w:rPr>
          <w:rFonts w:hint="eastAsia" w:ascii="宋体" w:hAnsi="宋体" w:eastAsia="宋体" w:cs="宋体"/>
          <w:color w:val="auto"/>
          <w:sz w:val="28"/>
          <w:szCs w:val="28"/>
          <w:highlight w:val="none"/>
        </w:rPr>
      </w:pPr>
    </w:p>
    <w:p w14:paraId="2E5373BC">
      <w:pPr>
        <w:rPr>
          <w:rFonts w:hint="eastAsia" w:ascii="宋体" w:hAnsi="宋体" w:eastAsia="宋体" w:cs="宋体"/>
          <w:color w:val="auto"/>
          <w:sz w:val="28"/>
          <w:szCs w:val="28"/>
          <w:highlight w:val="none"/>
        </w:rPr>
      </w:pPr>
    </w:p>
    <w:p w14:paraId="7E897482">
      <w:pPr>
        <w:rPr>
          <w:rFonts w:hint="eastAsia" w:ascii="宋体" w:hAnsi="宋体" w:eastAsia="宋体" w:cs="宋体"/>
          <w:color w:val="auto"/>
          <w:sz w:val="28"/>
          <w:szCs w:val="28"/>
          <w:highlight w:val="none"/>
        </w:rPr>
      </w:pPr>
    </w:p>
    <w:p w14:paraId="345BA431">
      <w:pPr>
        <w:rPr>
          <w:rFonts w:hint="eastAsia" w:ascii="宋体" w:hAnsi="宋体" w:eastAsia="宋体" w:cs="宋体"/>
          <w:color w:val="auto"/>
          <w:sz w:val="28"/>
          <w:szCs w:val="28"/>
          <w:highlight w:val="none"/>
        </w:rPr>
      </w:pPr>
    </w:p>
    <w:p w14:paraId="32F232BE">
      <w:pPr>
        <w:rPr>
          <w:rFonts w:hint="eastAsia" w:ascii="宋体" w:hAnsi="宋体" w:eastAsia="宋体" w:cs="宋体"/>
          <w:color w:val="auto"/>
          <w:sz w:val="28"/>
          <w:szCs w:val="28"/>
          <w:highlight w:val="none"/>
        </w:rPr>
      </w:pPr>
    </w:p>
    <w:p w14:paraId="3AEAAB8E">
      <w:pPr>
        <w:rPr>
          <w:rFonts w:hint="eastAsia" w:ascii="宋体" w:hAnsi="宋体" w:eastAsia="宋体" w:cs="宋体"/>
          <w:color w:val="auto"/>
          <w:sz w:val="28"/>
          <w:szCs w:val="28"/>
          <w:highlight w:val="none"/>
        </w:rPr>
      </w:pPr>
    </w:p>
    <w:p w14:paraId="1D99DB81">
      <w:pPr>
        <w:rPr>
          <w:rFonts w:hint="eastAsia" w:ascii="宋体" w:hAnsi="宋体" w:eastAsia="宋体" w:cs="宋体"/>
          <w:color w:val="auto"/>
          <w:sz w:val="28"/>
          <w:szCs w:val="28"/>
          <w:highlight w:val="none"/>
        </w:rPr>
      </w:pPr>
    </w:p>
    <w:p w14:paraId="378D5C82">
      <w:pPr>
        <w:rPr>
          <w:rFonts w:hint="eastAsia" w:ascii="宋体" w:hAnsi="宋体" w:eastAsia="宋体" w:cs="宋体"/>
          <w:color w:val="auto"/>
          <w:sz w:val="28"/>
          <w:szCs w:val="28"/>
          <w:highlight w:val="none"/>
        </w:rPr>
      </w:pPr>
    </w:p>
    <w:p w14:paraId="0DA94D5A">
      <w:pPr>
        <w:rPr>
          <w:rFonts w:hint="eastAsia" w:ascii="宋体" w:hAnsi="宋体" w:eastAsia="宋体" w:cs="宋体"/>
          <w:color w:val="auto"/>
          <w:sz w:val="28"/>
          <w:szCs w:val="28"/>
          <w:highlight w:val="none"/>
        </w:rPr>
      </w:pPr>
    </w:p>
    <w:p w14:paraId="34DDAAAB">
      <w:pPr>
        <w:rPr>
          <w:rFonts w:hint="eastAsia" w:ascii="宋体" w:hAnsi="宋体" w:eastAsia="宋体" w:cs="宋体"/>
          <w:color w:val="auto"/>
          <w:sz w:val="28"/>
          <w:szCs w:val="28"/>
          <w:highlight w:val="none"/>
        </w:rPr>
      </w:pPr>
    </w:p>
    <w:p w14:paraId="0CC006A5">
      <w:pPr>
        <w:rPr>
          <w:rFonts w:hint="eastAsia" w:ascii="宋体" w:hAnsi="宋体" w:eastAsia="宋体" w:cs="宋体"/>
          <w:color w:val="auto"/>
          <w:sz w:val="28"/>
          <w:szCs w:val="28"/>
          <w:highlight w:val="none"/>
        </w:rPr>
      </w:pPr>
    </w:p>
    <w:p w14:paraId="5CFC85B3">
      <w:pPr>
        <w:rPr>
          <w:rFonts w:hint="eastAsia" w:ascii="宋体" w:hAnsi="宋体" w:eastAsia="宋体" w:cs="宋体"/>
          <w:color w:val="auto"/>
          <w:sz w:val="28"/>
          <w:szCs w:val="28"/>
          <w:highlight w:val="none"/>
        </w:rPr>
      </w:pPr>
    </w:p>
    <w:p w14:paraId="7976D35A">
      <w:pPr>
        <w:rPr>
          <w:rFonts w:hint="eastAsia" w:ascii="宋体" w:hAnsi="宋体" w:eastAsia="宋体" w:cs="宋体"/>
          <w:color w:val="auto"/>
          <w:sz w:val="28"/>
          <w:szCs w:val="28"/>
          <w:highlight w:val="none"/>
        </w:rPr>
      </w:pPr>
    </w:p>
    <w:p w14:paraId="08DD35E1">
      <w:pPr>
        <w:rPr>
          <w:rFonts w:hint="eastAsia" w:ascii="宋体" w:hAnsi="宋体" w:eastAsia="宋体" w:cs="宋体"/>
          <w:color w:val="auto"/>
          <w:sz w:val="28"/>
          <w:szCs w:val="28"/>
          <w:highlight w:val="none"/>
        </w:rPr>
      </w:pPr>
    </w:p>
    <w:p w14:paraId="106F144D">
      <w:pPr>
        <w:rPr>
          <w:rFonts w:hint="eastAsia" w:ascii="宋体" w:hAnsi="宋体" w:eastAsia="宋体" w:cs="宋体"/>
          <w:color w:val="auto"/>
          <w:sz w:val="28"/>
          <w:szCs w:val="28"/>
          <w:highlight w:val="none"/>
        </w:rPr>
      </w:pPr>
    </w:p>
    <w:p w14:paraId="42F46BCD">
      <w:pPr>
        <w:rPr>
          <w:rFonts w:hint="eastAsia" w:ascii="宋体" w:hAnsi="宋体" w:eastAsia="宋体" w:cs="宋体"/>
          <w:color w:val="auto"/>
          <w:sz w:val="28"/>
          <w:szCs w:val="28"/>
          <w:highlight w:val="none"/>
        </w:rPr>
      </w:pPr>
    </w:p>
    <w:p w14:paraId="72D30523">
      <w:pPr>
        <w:rPr>
          <w:rFonts w:hint="eastAsia" w:ascii="宋体" w:hAnsi="宋体" w:eastAsia="宋体" w:cs="宋体"/>
          <w:color w:val="auto"/>
          <w:sz w:val="28"/>
          <w:szCs w:val="28"/>
          <w:highlight w:val="none"/>
        </w:rPr>
      </w:pPr>
    </w:p>
    <w:p w14:paraId="5BCD69CB">
      <w:pPr>
        <w:rPr>
          <w:rFonts w:hint="eastAsia" w:ascii="宋体" w:hAnsi="宋体" w:eastAsia="宋体" w:cs="宋体"/>
          <w:color w:val="auto"/>
          <w:sz w:val="28"/>
          <w:szCs w:val="28"/>
          <w:highlight w:val="none"/>
        </w:rPr>
      </w:pPr>
    </w:p>
    <w:p w14:paraId="06C3E1DD">
      <w:pPr>
        <w:rPr>
          <w:rFonts w:hint="eastAsia" w:ascii="宋体" w:hAnsi="宋体" w:eastAsia="宋体" w:cs="宋体"/>
          <w:color w:val="auto"/>
          <w:sz w:val="28"/>
          <w:szCs w:val="28"/>
          <w:highlight w:val="none"/>
        </w:rPr>
      </w:pPr>
    </w:p>
    <w:p w14:paraId="01A40EDC">
      <w:pPr>
        <w:rPr>
          <w:rFonts w:hint="eastAsia" w:ascii="宋体" w:hAnsi="宋体" w:eastAsia="宋体" w:cs="宋体"/>
          <w:color w:val="auto"/>
          <w:sz w:val="28"/>
          <w:szCs w:val="28"/>
          <w:highlight w:val="none"/>
        </w:rPr>
      </w:pPr>
    </w:p>
    <w:p w14:paraId="038B5E26">
      <w:pPr>
        <w:snapToGrid w:val="0"/>
        <w:spacing w:beforeLines="50" w:after="50"/>
        <w:rPr>
          <w:rFonts w:hint="eastAsia" w:ascii="宋体" w:hAnsi="宋体" w:eastAsia="宋体" w:cs="宋体"/>
          <w:b/>
          <w:bCs/>
          <w:color w:val="auto"/>
          <w:szCs w:val="21"/>
          <w:highlight w:val="none"/>
        </w:rPr>
      </w:pPr>
    </w:p>
    <w:p w14:paraId="3B3EA380">
      <w:pPr>
        <w:tabs>
          <w:tab w:val="left" w:pos="262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2、商务和技术文件格式：</w:t>
      </w:r>
    </w:p>
    <w:p w14:paraId="1C15AE28">
      <w:pPr>
        <w:spacing w:line="240" w:lineRule="atLeast"/>
        <w:jc w:val="center"/>
        <w:rPr>
          <w:rFonts w:hint="eastAsia" w:ascii="宋体" w:hAnsi="宋体" w:eastAsia="宋体" w:cs="宋体"/>
          <w:b/>
          <w:color w:val="auto"/>
          <w:sz w:val="32"/>
          <w:szCs w:val="32"/>
          <w:highlight w:val="none"/>
        </w:rPr>
      </w:pPr>
    </w:p>
    <w:p w14:paraId="32B2A925">
      <w:pPr>
        <w:snapToGrid w:val="0"/>
        <w:spacing w:beforeLines="50" w:after="50" w:line="28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1852DFA9">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7C31B0EA">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37C02243">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5A72DFD3">
      <w:pPr>
        <w:snapToGrid w:val="0"/>
        <w:spacing w:beforeLines="50" w:after="50"/>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18FC0A71">
      <w:pPr>
        <w:snapToGrid w:val="0"/>
        <w:spacing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（商务和技术文件）</w:t>
      </w:r>
    </w:p>
    <w:p w14:paraId="43EA8145">
      <w:pPr>
        <w:snapToGrid w:val="0"/>
        <w:spacing w:beforeLines="50" w:after="50"/>
        <w:rPr>
          <w:rFonts w:hint="eastAsia" w:ascii="宋体" w:hAnsi="宋体" w:eastAsia="宋体" w:cs="宋体"/>
          <w:bCs/>
          <w:color w:val="auto"/>
          <w:szCs w:val="21"/>
          <w:highlight w:val="none"/>
        </w:rPr>
      </w:pPr>
    </w:p>
    <w:p w14:paraId="0D4A9290">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53A2E5F3">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10C03053">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1F33ACFE">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 </w:t>
      </w:r>
    </w:p>
    <w:p w14:paraId="68B2A73C">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633634C4">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7DAC1768">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30"/>
          <w:szCs w:val="30"/>
          <w:highlight w:val="none"/>
        </w:rPr>
        <w:t>（加盖单位电子公章）</w:t>
      </w:r>
    </w:p>
    <w:p w14:paraId="775CB9DA">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p>
    <w:p w14:paraId="5AC9E995">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20A919E7">
      <w:pPr>
        <w:pStyle w:val="11"/>
        <w:snapToGrid w:val="0"/>
        <w:spacing w:before="50" w:after="50" w:line="280" w:lineRule="exact"/>
        <w:ind w:firstLine="675" w:firstLineChars="225"/>
        <w:rPr>
          <w:rFonts w:hint="eastAsia" w:ascii="宋体" w:hAnsi="宋体" w:eastAsia="宋体" w:cs="宋体"/>
          <w:bCs/>
          <w:color w:val="auto"/>
          <w:sz w:val="30"/>
          <w:szCs w:val="30"/>
          <w:highlight w:val="none"/>
        </w:rPr>
      </w:pPr>
    </w:p>
    <w:p w14:paraId="3D976ACA">
      <w:pPr>
        <w:snapToGrid w:val="0"/>
        <w:spacing w:beforeLines="50" w:after="50"/>
        <w:ind w:firstLine="10"/>
        <w:jc w:val="center"/>
        <w:rPr>
          <w:rFonts w:hint="eastAsia" w:ascii="宋体" w:hAnsi="宋体" w:eastAsia="宋体" w:cs="宋体"/>
          <w:color w:val="auto"/>
          <w:sz w:val="30"/>
          <w:szCs w:val="30"/>
          <w:highlight w:val="none"/>
        </w:rPr>
      </w:pPr>
    </w:p>
    <w:p w14:paraId="6CEACE90">
      <w:pPr>
        <w:snapToGrid w:val="0"/>
        <w:spacing w:beforeLines="50" w:after="50"/>
        <w:ind w:firstLine="10"/>
        <w:jc w:val="center"/>
        <w:rPr>
          <w:rFonts w:hint="eastAsia" w:ascii="宋体" w:hAnsi="宋体" w:eastAsia="宋体" w:cs="宋体"/>
          <w:color w:val="auto"/>
          <w:sz w:val="30"/>
          <w:szCs w:val="30"/>
          <w:highlight w:val="none"/>
        </w:rPr>
      </w:pPr>
    </w:p>
    <w:p w14:paraId="7024F384">
      <w:pPr>
        <w:snapToGrid w:val="0"/>
        <w:spacing w:beforeLines="50" w:after="50"/>
        <w:ind w:firstLine="10"/>
        <w:jc w:val="center"/>
        <w:rPr>
          <w:rFonts w:hint="eastAsia" w:ascii="宋体" w:hAnsi="宋体" w:eastAsia="宋体" w:cs="宋体"/>
          <w:color w:val="auto"/>
          <w:sz w:val="30"/>
          <w:szCs w:val="30"/>
          <w:highlight w:val="none"/>
        </w:rPr>
      </w:pPr>
    </w:p>
    <w:p w14:paraId="12792812">
      <w:pPr>
        <w:snapToGrid w:val="0"/>
        <w:spacing w:beforeLines="50" w:after="50"/>
        <w:ind w:firstLine="10"/>
        <w:jc w:val="center"/>
        <w:rPr>
          <w:rFonts w:hint="eastAsia" w:ascii="宋体" w:hAnsi="宋体" w:eastAsia="宋体" w:cs="宋体"/>
          <w:color w:val="auto"/>
          <w:sz w:val="30"/>
          <w:szCs w:val="30"/>
          <w:highlight w:val="none"/>
        </w:rPr>
      </w:pPr>
    </w:p>
    <w:p w14:paraId="0F7A3FFF">
      <w:pPr>
        <w:snapToGrid w:val="0"/>
        <w:spacing w:beforeLines="50" w:after="50"/>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387C50F3">
      <w:pPr>
        <w:snapToGrid w:val="0"/>
        <w:spacing w:before="50" w:after="50"/>
        <w:rPr>
          <w:rFonts w:hint="eastAsia" w:ascii="宋体" w:hAnsi="宋体" w:eastAsia="宋体" w:cs="宋体"/>
          <w:b/>
          <w:color w:val="auto"/>
          <w:szCs w:val="21"/>
          <w:highlight w:val="none"/>
        </w:rPr>
      </w:pPr>
    </w:p>
    <w:p w14:paraId="1FDA7C74">
      <w:pPr>
        <w:snapToGrid w:val="0"/>
        <w:spacing w:beforeLines="50" w:after="50" w:line="33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291A1C7">
      <w:pPr>
        <w:snapToGrid w:val="0"/>
        <w:spacing w:beforeLines="50" w:after="50" w:line="330" w:lineRule="exact"/>
        <w:jc w:val="center"/>
        <w:rPr>
          <w:rFonts w:hint="eastAsia" w:ascii="宋体" w:hAnsi="宋体" w:eastAsia="宋体" w:cs="宋体"/>
          <w:b/>
          <w:color w:val="auto"/>
          <w:szCs w:val="21"/>
          <w:highlight w:val="none"/>
        </w:rPr>
      </w:pPr>
    </w:p>
    <w:p w14:paraId="60CD6A0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3805F0B0">
      <w:pPr>
        <w:snapToGrid w:val="0"/>
        <w:spacing w:beforeLines="50" w:after="50" w:line="330" w:lineRule="exact"/>
        <w:jc w:val="center"/>
        <w:rPr>
          <w:rFonts w:hint="eastAsia" w:ascii="宋体" w:hAnsi="宋体" w:eastAsia="宋体" w:cs="宋体"/>
          <w:color w:val="auto"/>
          <w:sz w:val="28"/>
          <w:szCs w:val="28"/>
          <w:highlight w:val="none"/>
        </w:rPr>
      </w:pPr>
    </w:p>
    <w:p w14:paraId="16900E00">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(供应商需根据响应文件自行编制目录及页码)</w:t>
      </w:r>
    </w:p>
    <w:p w14:paraId="1C2FC910">
      <w:pPr>
        <w:spacing w:line="320" w:lineRule="exact"/>
        <w:rPr>
          <w:rFonts w:hint="eastAsia" w:ascii="宋体" w:hAnsi="宋体" w:eastAsia="宋体" w:cs="宋体"/>
          <w:color w:val="auto"/>
          <w:szCs w:val="21"/>
          <w:highlight w:val="none"/>
        </w:rPr>
      </w:pPr>
    </w:p>
    <w:p w14:paraId="0C63D800">
      <w:pPr>
        <w:spacing w:line="320" w:lineRule="exact"/>
        <w:rPr>
          <w:rFonts w:hint="eastAsia" w:ascii="宋体" w:hAnsi="宋体" w:eastAsia="宋体" w:cs="宋体"/>
          <w:color w:val="auto"/>
          <w:szCs w:val="21"/>
          <w:highlight w:val="none"/>
        </w:rPr>
      </w:pPr>
    </w:p>
    <w:p w14:paraId="2F248539">
      <w:pPr>
        <w:spacing w:line="320" w:lineRule="exact"/>
        <w:rPr>
          <w:rFonts w:hint="eastAsia" w:ascii="宋体" w:hAnsi="宋体" w:eastAsia="宋体" w:cs="宋体"/>
          <w:color w:val="auto"/>
          <w:szCs w:val="21"/>
          <w:highlight w:val="none"/>
        </w:rPr>
      </w:pPr>
    </w:p>
    <w:p w14:paraId="1AA470B2">
      <w:pPr>
        <w:spacing w:line="320" w:lineRule="exact"/>
        <w:rPr>
          <w:rFonts w:hint="eastAsia" w:ascii="宋体" w:hAnsi="宋体" w:eastAsia="宋体" w:cs="宋体"/>
          <w:color w:val="auto"/>
          <w:szCs w:val="21"/>
          <w:highlight w:val="none"/>
        </w:rPr>
      </w:pPr>
    </w:p>
    <w:p w14:paraId="3C296195">
      <w:pPr>
        <w:spacing w:line="320" w:lineRule="exact"/>
        <w:rPr>
          <w:rFonts w:hint="eastAsia" w:ascii="宋体" w:hAnsi="宋体" w:eastAsia="宋体" w:cs="宋体"/>
          <w:color w:val="auto"/>
          <w:szCs w:val="21"/>
          <w:highlight w:val="none"/>
        </w:rPr>
      </w:pPr>
    </w:p>
    <w:p w14:paraId="2973D2BD">
      <w:pPr>
        <w:spacing w:line="320" w:lineRule="exact"/>
        <w:rPr>
          <w:rFonts w:hint="eastAsia" w:ascii="宋体" w:hAnsi="宋体" w:eastAsia="宋体" w:cs="宋体"/>
          <w:color w:val="auto"/>
          <w:szCs w:val="21"/>
          <w:highlight w:val="none"/>
        </w:rPr>
      </w:pPr>
    </w:p>
    <w:p w14:paraId="74614244">
      <w:pPr>
        <w:spacing w:line="320" w:lineRule="exact"/>
        <w:rPr>
          <w:rFonts w:hint="eastAsia" w:ascii="宋体" w:hAnsi="宋体" w:eastAsia="宋体" w:cs="宋体"/>
          <w:color w:val="auto"/>
          <w:szCs w:val="21"/>
          <w:highlight w:val="none"/>
        </w:rPr>
      </w:pPr>
    </w:p>
    <w:p w14:paraId="2E0CD136">
      <w:pPr>
        <w:spacing w:line="320" w:lineRule="exact"/>
        <w:rPr>
          <w:rFonts w:hint="eastAsia" w:ascii="宋体" w:hAnsi="宋体" w:eastAsia="宋体" w:cs="宋体"/>
          <w:color w:val="auto"/>
          <w:szCs w:val="21"/>
          <w:highlight w:val="none"/>
        </w:rPr>
      </w:pPr>
    </w:p>
    <w:p w14:paraId="58C1681A">
      <w:pPr>
        <w:spacing w:line="320" w:lineRule="exact"/>
        <w:rPr>
          <w:rFonts w:hint="eastAsia" w:ascii="宋体" w:hAnsi="宋体" w:eastAsia="宋体" w:cs="宋体"/>
          <w:color w:val="auto"/>
          <w:szCs w:val="21"/>
          <w:highlight w:val="none"/>
        </w:rPr>
      </w:pPr>
    </w:p>
    <w:p w14:paraId="42BCDC3E">
      <w:pPr>
        <w:spacing w:line="320" w:lineRule="exact"/>
        <w:rPr>
          <w:rFonts w:hint="eastAsia" w:ascii="宋体" w:hAnsi="宋体" w:eastAsia="宋体" w:cs="宋体"/>
          <w:color w:val="auto"/>
          <w:szCs w:val="21"/>
          <w:highlight w:val="none"/>
        </w:rPr>
      </w:pPr>
    </w:p>
    <w:p w14:paraId="31266EBE">
      <w:pPr>
        <w:spacing w:line="320" w:lineRule="exact"/>
        <w:rPr>
          <w:rFonts w:hint="eastAsia" w:ascii="宋体" w:hAnsi="宋体" w:eastAsia="宋体" w:cs="宋体"/>
          <w:color w:val="auto"/>
          <w:szCs w:val="21"/>
          <w:highlight w:val="none"/>
        </w:rPr>
      </w:pPr>
    </w:p>
    <w:p w14:paraId="4A9ABC28">
      <w:pPr>
        <w:spacing w:line="320" w:lineRule="exact"/>
        <w:rPr>
          <w:rFonts w:hint="eastAsia" w:ascii="宋体" w:hAnsi="宋体" w:eastAsia="宋体" w:cs="宋体"/>
          <w:color w:val="auto"/>
          <w:szCs w:val="21"/>
          <w:highlight w:val="none"/>
        </w:rPr>
      </w:pPr>
    </w:p>
    <w:p w14:paraId="018B048B">
      <w:pPr>
        <w:spacing w:line="320" w:lineRule="exact"/>
        <w:rPr>
          <w:rFonts w:hint="eastAsia" w:ascii="宋体" w:hAnsi="宋体" w:eastAsia="宋体" w:cs="宋体"/>
          <w:color w:val="auto"/>
          <w:szCs w:val="21"/>
          <w:highlight w:val="none"/>
        </w:rPr>
      </w:pPr>
    </w:p>
    <w:p w14:paraId="2D578250">
      <w:pPr>
        <w:spacing w:line="320" w:lineRule="exact"/>
        <w:rPr>
          <w:rFonts w:hint="eastAsia" w:ascii="宋体" w:hAnsi="宋体" w:eastAsia="宋体" w:cs="宋体"/>
          <w:color w:val="auto"/>
          <w:szCs w:val="21"/>
          <w:highlight w:val="none"/>
        </w:rPr>
      </w:pPr>
    </w:p>
    <w:p w14:paraId="2CF3309F">
      <w:pPr>
        <w:spacing w:line="320" w:lineRule="exact"/>
        <w:rPr>
          <w:rFonts w:hint="eastAsia" w:ascii="宋体" w:hAnsi="宋体" w:eastAsia="宋体" w:cs="宋体"/>
          <w:color w:val="auto"/>
          <w:szCs w:val="21"/>
          <w:highlight w:val="none"/>
        </w:rPr>
      </w:pPr>
    </w:p>
    <w:p w14:paraId="11928803">
      <w:pPr>
        <w:spacing w:line="320" w:lineRule="exact"/>
        <w:rPr>
          <w:rFonts w:hint="eastAsia" w:ascii="宋体" w:hAnsi="宋体" w:eastAsia="宋体" w:cs="宋体"/>
          <w:color w:val="auto"/>
          <w:szCs w:val="21"/>
          <w:highlight w:val="none"/>
        </w:rPr>
      </w:pPr>
    </w:p>
    <w:p w14:paraId="23458D0F">
      <w:pPr>
        <w:spacing w:line="320" w:lineRule="exact"/>
        <w:rPr>
          <w:rFonts w:hint="eastAsia" w:ascii="宋体" w:hAnsi="宋体" w:eastAsia="宋体" w:cs="宋体"/>
          <w:color w:val="auto"/>
          <w:szCs w:val="21"/>
          <w:highlight w:val="none"/>
        </w:rPr>
      </w:pPr>
    </w:p>
    <w:p w14:paraId="7E94F07F">
      <w:pPr>
        <w:spacing w:line="320" w:lineRule="exact"/>
        <w:rPr>
          <w:rFonts w:hint="eastAsia" w:ascii="宋体" w:hAnsi="宋体" w:eastAsia="宋体" w:cs="宋体"/>
          <w:color w:val="auto"/>
          <w:szCs w:val="21"/>
          <w:highlight w:val="none"/>
        </w:rPr>
      </w:pPr>
    </w:p>
    <w:p w14:paraId="772CC3AF">
      <w:pPr>
        <w:spacing w:line="320" w:lineRule="exact"/>
        <w:rPr>
          <w:rFonts w:hint="eastAsia" w:ascii="宋体" w:hAnsi="宋体" w:eastAsia="宋体" w:cs="宋体"/>
          <w:color w:val="auto"/>
          <w:szCs w:val="21"/>
          <w:highlight w:val="none"/>
        </w:rPr>
      </w:pPr>
    </w:p>
    <w:p w14:paraId="64A8E52F">
      <w:pPr>
        <w:spacing w:line="320" w:lineRule="exact"/>
        <w:rPr>
          <w:rFonts w:hint="eastAsia" w:ascii="宋体" w:hAnsi="宋体" w:eastAsia="宋体" w:cs="宋体"/>
          <w:color w:val="auto"/>
          <w:szCs w:val="21"/>
          <w:highlight w:val="none"/>
        </w:rPr>
      </w:pPr>
    </w:p>
    <w:p w14:paraId="3E953B43">
      <w:pPr>
        <w:spacing w:line="320" w:lineRule="exact"/>
        <w:rPr>
          <w:rFonts w:hint="eastAsia" w:ascii="宋体" w:hAnsi="宋体" w:eastAsia="宋体" w:cs="宋体"/>
          <w:color w:val="auto"/>
          <w:szCs w:val="21"/>
          <w:highlight w:val="none"/>
        </w:rPr>
      </w:pPr>
    </w:p>
    <w:p w14:paraId="1D409E68">
      <w:pPr>
        <w:spacing w:line="320" w:lineRule="exact"/>
        <w:rPr>
          <w:rFonts w:hint="eastAsia" w:ascii="宋体" w:hAnsi="宋体" w:eastAsia="宋体" w:cs="宋体"/>
          <w:color w:val="auto"/>
          <w:szCs w:val="21"/>
          <w:highlight w:val="none"/>
        </w:rPr>
      </w:pPr>
    </w:p>
    <w:p w14:paraId="08932A47">
      <w:pPr>
        <w:spacing w:line="320" w:lineRule="exact"/>
        <w:rPr>
          <w:rFonts w:hint="eastAsia" w:ascii="宋体" w:hAnsi="宋体" w:eastAsia="宋体" w:cs="宋体"/>
          <w:color w:val="auto"/>
          <w:szCs w:val="21"/>
          <w:highlight w:val="none"/>
        </w:rPr>
      </w:pPr>
    </w:p>
    <w:p w14:paraId="424FB534">
      <w:pPr>
        <w:spacing w:line="320" w:lineRule="exact"/>
        <w:rPr>
          <w:rFonts w:hint="eastAsia" w:ascii="宋体" w:hAnsi="宋体" w:eastAsia="宋体" w:cs="宋体"/>
          <w:color w:val="auto"/>
          <w:szCs w:val="21"/>
          <w:highlight w:val="none"/>
        </w:rPr>
      </w:pPr>
    </w:p>
    <w:p w14:paraId="3341B6E6">
      <w:pPr>
        <w:spacing w:line="320" w:lineRule="exact"/>
        <w:rPr>
          <w:rFonts w:hint="eastAsia" w:ascii="宋体" w:hAnsi="宋体" w:eastAsia="宋体" w:cs="宋体"/>
          <w:color w:val="auto"/>
          <w:szCs w:val="21"/>
          <w:highlight w:val="none"/>
        </w:rPr>
      </w:pPr>
    </w:p>
    <w:p w14:paraId="1C3CC361">
      <w:pPr>
        <w:spacing w:line="320" w:lineRule="exact"/>
        <w:rPr>
          <w:rFonts w:hint="eastAsia" w:ascii="宋体" w:hAnsi="宋体" w:eastAsia="宋体" w:cs="宋体"/>
          <w:color w:val="auto"/>
          <w:szCs w:val="21"/>
          <w:highlight w:val="none"/>
        </w:rPr>
      </w:pPr>
    </w:p>
    <w:p w14:paraId="24C99F23">
      <w:pPr>
        <w:spacing w:line="320" w:lineRule="exact"/>
        <w:rPr>
          <w:rFonts w:hint="eastAsia" w:ascii="宋体" w:hAnsi="宋体" w:eastAsia="宋体" w:cs="宋体"/>
          <w:color w:val="auto"/>
          <w:szCs w:val="21"/>
          <w:highlight w:val="none"/>
        </w:rPr>
      </w:pPr>
    </w:p>
    <w:p w14:paraId="43E06E06">
      <w:pPr>
        <w:spacing w:line="320" w:lineRule="exact"/>
        <w:rPr>
          <w:rFonts w:hint="eastAsia" w:ascii="宋体" w:hAnsi="宋体" w:eastAsia="宋体" w:cs="宋体"/>
          <w:color w:val="auto"/>
          <w:szCs w:val="21"/>
          <w:highlight w:val="none"/>
        </w:rPr>
      </w:pPr>
    </w:p>
    <w:p w14:paraId="11C8F342">
      <w:pPr>
        <w:spacing w:line="320" w:lineRule="exact"/>
        <w:rPr>
          <w:rFonts w:hint="eastAsia" w:ascii="宋体" w:hAnsi="宋体" w:eastAsia="宋体" w:cs="宋体"/>
          <w:color w:val="auto"/>
          <w:szCs w:val="21"/>
          <w:highlight w:val="none"/>
        </w:rPr>
      </w:pPr>
    </w:p>
    <w:p w14:paraId="4043E8CC">
      <w:pPr>
        <w:spacing w:line="320" w:lineRule="exact"/>
        <w:rPr>
          <w:rFonts w:hint="eastAsia" w:ascii="宋体" w:hAnsi="宋体" w:eastAsia="宋体" w:cs="宋体"/>
          <w:color w:val="auto"/>
          <w:szCs w:val="21"/>
          <w:highlight w:val="none"/>
        </w:rPr>
      </w:pPr>
    </w:p>
    <w:p w14:paraId="4E8B7305">
      <w:pPr>
        <w:spacing w:line="320" w:lineRule="exact"/>
        <w:rPr>
          <w:rFonts w:hint="eastAsia" w:ascii="宋体" w:hAnsi="宋体" w:eastAsia="宋体" w:cs="宋体"/>
          <w:color w:val="auto"/>
          <w:szCs w:val="21"/>
          <w:highlight w:val="none"/>
        </w:rPr>
      </w:pPr>
    </w:p>
    <w:p w14:paraId="50DF26FF">
      <w:pPr>
        <w:spacing w:line="320" w:lineRule="exact"/>
        <w:rPr>
          <w:rFonts w:hint="eastAsia" w:ascii="宋体" w:hAnsi="宋体" w:eastAsia="宋体" w:cs="宋体"/>
          <w:color w:val="auto"/>
          <w:szCs w:val="21"/>
          <w:highlight w:val="none"/>
        </w:rPr>
      </w:pPr>
    </w:p>
    <w:p w14:paraId="41DB4974">
      <w:pPr>
        <w:spacing w:line="320" w:lineRule="exact"/>
        <w:rPr>
          <w:rFonts w:hint="eastAsia" w:ascii="宋体" w:hAnsi="宋体" w:eastAsia="宋体" w:cs="宋体"/>
          <w:color w:val="auto"/>
          <w:szCs w:val="21"/>
          <w:highlight w:val="none"/>
        </w:rPr>
      </w:pPr>
    </w:p>
    <w:p w14:paraId="65429BC5">
      <w:pPr>
        <w:spacing w:line="320" w:lineRule="exact"/>
        <w:rPr>
          <w:rFonts w:hint="eastAsia" w:ascii="宋体" w:hAnsi="宋体" w:eastAsia="宋体" w:cs="宋体"/>
          <w:color w:val="auto"/>
          <w:szCs w:val="21"/>
          <w:highlight w:val="none"/>
        </w:rPr>
      </w:pPr>
    </w:p>
    <w:p w14:paraId="423F314F">
      <w:pPr>
        <w:spacing w:line="320" w:lineRule="exact"/>
        <w:rPr>
          <w:rFonts w:hint="eastAsia" w:ascii="宋体" w:hAnsi="宋体" w:eastAsia="宋体" w:cs="宋体"/>
          <w:color w:val="auto"/>
          <w:szCs w:val="21"/>
          <w:highlight w:val="none"/>
        </w:rPr>
      </w:pPr>
    </w:p>
    <w:p w14:paraId="0826687E">
      <w:pPr>
        <w:spacing w:line="320" w:lineRule="exact"/>
        <w:rPr>
          <w:rFonts w:hint="eastAsia" w:ascii="宋体" w:hAnsi="宋体" w:eastAsia="宋体" w:cs="宋体"/>
          <w:color w:val="auto"/>
          <w:szCs w:val="21"/>
          <w:highlight w:val="none"/>
        </w:rPr>
      </w:pPr>
    </w:p>
    <w:p w14:paraId="7406B764">
      <w:pPr>
        <w:spacing w:line="320" w:lineRule="exact"/>
        <w:rPr>
          <w:rFonts w:hint="eastAsia" w:ascii="宋体" w:hAnsi="宋体" w:eastAsia="宋体" w:cs="宋体"/>
          <w:color w:val="auto"/>
          <w:szCs w:val="21"/>
          <w:highlight w:val="none"/>
        </w:rPr>
      </w:pPr>
    </w:p>
    <w:p w14:paraId="2DF364DF">
      <w:pPr>
        <w:spacing w:line="320" w:lineRule="exact"/>
        <w:rPr>
          <w:rFonts w:hint="eastAsia" w:ascii="宋体" w:hAnsi="宋体" w:eastAsia="宋体" w:cs="宋体"/>
          <w:color w:val="auto"/>
          <w:szCs w:val="21"/>
          <w:highlight w:val="none"/>
        </w:rPr>
      </w:pPr>
    </w:p>
    <w:p w14:paraId="71E34EBE">
      <w:pPr>
        <w:spacing w:line="320" w:lineRule="exact"/>
        <w:rPr>
          <w:rFonts w:hint="eastAsia" w:ascii="宋体" w:hAnsi="宋体" w:eastAsia="宋体" w:cs="宋体"/>
          <w:color w:val="auto"/>
          <w:szCs w:val="21"/>
          <w:highlight w:val="none"/>
        </w:rPr>
      </w:pPr>
    </w:p>
    <w:p w14:paraId="3F605C91">
      <w:pPr>
        <w:rPr>
          <w:rFonts w:hint="eastAsia" w:ascii="宋体" w:hAnsi="宋体" w:eastAsia="宋体" w:cs="宋体"/>
          <w:b/>
          <w:color w:val="auto"/>
          <w:szCs w:val="21"/>
          <w:highlight w:val="none"/>
        </w:rPr>
      </w:pPr>
    </w:p>
    <w:p w14:paraId="7971131D">
      <w:pPr>
        <w:tabs>
          <w:tab w:val="left" w:pos="262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一、法定代表人身份证明书格式</w:t>
      </w:r>
    </w:p>
    <w:p w14:paraId="45D625E4">
      <w:pPr>
        <w:pStyle w:val="27"/>
        <w:ind w:left="-10" w:firstLine="10" w:firstLineChars="3"/>
        <w:jc w:val="center"/>
        <w:rPr>
          <w:rFonts w:hint="eastAsia" w:ascii="宋体" w:hAnsi="宋体" w:eastAsia="宋体" w:cs="宋体"/>
          <w:b/>
          <w:color w:val="auto"/>
          <w:sz w:val="32"/>
          <w:highlight w:val="none"/>
        </w:rPr>
      </w:pPr>
    </w:p>
    <w:p w14:paraId="40EF9B3A">
      <w:pPr>
        <w:pStyle w:val="27"/>
        <w:ind w:left="-10" w:firstLine="10" w:firstLineChars="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法定代表人身份证明书</w:t>
      </w:r>
    </w:p>
    <w:p w14:paraId="0017A592">
      <w:pPr>
        <w:pStyle w:val="27"/>
        <w:ind w:left="-10" w:firstLine="13" w:firstLineChars="3"/>
        <w:jc w:val="center"/>
        <w:rPr>
          <w:rFonts w:hint="eastAsia" w:ascii="宋体" w:hAnsi="宋体" w:eastAsia="宋体" w:cs="宋体"/>
          <w:b/>
          <w:color w:val="auto"/>
          <w:sz w:val="44"/>
          <w:highlight w:val="none"/>
        </w:rPr>
      </w:pPr>
    </w:p>
    <w:p w14:paraId="2EC1A5BB">
      <w:pPr>
        <w:pStyle w:val="27"/>
        <w:ind w:firstLine="277"/>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单位名称：</w:t>
      </w:r>
      <w:r>
        <w:rPr>
          <w:rFonts w:hint="eastAsia" w:ascii="宋体" w:hAnsi="宋体" w:eastAsia="宋体" w:cs="宋体"/>
          <w:color w:val="auto"/>
          <w:sz w:val="21"/>
          <w:highlight w:val="none"/>
          <w:u w:val="single"/>
        </w:rPr>
        <w:t xml:space="preserve">                         </w:t>
      </w:r>
    </w:p>
    <w:p w14:paraId="7A3F9A54">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单位性质：</w:t>
      </w:r>
      <w:r>
        <w:rPr>
          <w:rFonts w:hint="eastAsia" w:ascii="宋体" w:hAnsi="宋体" w:eastAsia="宋体" w:cs="宋体"/>
          <w:color w:val="auto"/>
          <w:sz w:val="21"/>
          <w:highlight w:val="none"/>
          <w:u w:val="single"/>
        </w:rPr>
        <w:t xml:space="preserve">                         </w:t>
      </w:r>
    </w:p>
    <w:p w14:paraId="62640198">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地    址：</w:t>
      </w:r>
      <w:r>
        <w:rPr>
          <w:rFonts w:hint="eastAsia" w:ascii="宋体" w:hAnsi="宋体" w:eastAsia="宋体" w:cs="宋体"/>
          <w:color w:val="auto"/>
          <w:sz w:val="21"/>
          <w:highlight w:val="none"/>
          <w:u w:val="single"/>
        </w:rPr>
        <w:t xml:space="preserve">                         </w:t>
      </w:r>
    </w:p>
    <w:p w14:paraId="43D503B3">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w:t>
      </w:r>
    </w:p>
    <w:p w14:paraId="291F594B">
      <w:pPr>
        <w:pStyle w:val="27"/>
        <w:ind w:firstLine="277"/>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经营期限：</w:t>
      </w:r>
      <w:r>
        <w:rPr>
          <w:rFonts w:hint="eastAsia" w:ascii="宋体" w:hAnsi="宋体" w:eastAsia="宋体" w:cs="宋体"/>
          <w:color w:val="auto"/>
          <w:sz w:val="21"/>
          <w:highlight w:val="none"/>
          <w:u w:val="single"/>
        </w:rPr>
        <w:t xml:space="preserve">                          </w:t>
      </w:r>
    </w:p>
    <w:p w14:paraId="1534AE6F">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性别：</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年龄：</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职务：</w:t>
      </w:r>
      <w:r>
        <w:rPr>
          <w:rFonts w:hint="eastAsia" w:ascii="宋体" w:hAnsi="宋体" w:eastAsia="宋体" w:cs="宋体"/>
          <w:color w:val="auto"/>
          <w:sz w:val="21"/>
          <w:highlight w:val="none"/>
          <w:u w:val="single"/>
        </w:rPr>
        <w:t xml:space="preserve">       </w:t>
      </w:r>
    </w:p>
    <w:p w14:paraId="7F43E785">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系</w:t>
      </w:r>
      <w:r>
        <w:rPr>
          <w:rFonts w:hint="eastAsia" w:ascii="宋体" w:hAnsi="宋体" w:eastAsia="宋体" w:cs="宋体"/>
          <w:color w:val="auto"/>
          <w:sz w:val="21"/>
          <w:highlight w:val="none"/>
          <w:u w:val="single"/>
        </w:rPr>
        <w:t xml:space="preserve">     （供应商单位名称）  </w:t>
      </w:r>
      <w:r>
        <w:rPr>
          <w:rFonts w:hint="eastAsia" w:ascii="宋体" w:hAnsi="宋体" w:eastAsia="宋体" w:cs="宋体"/>
          <w:color w:val="auto"/>
          <w:sz w:val="21"/>
          <w:highlight w:val="none"/>
        </w:rPr>
        <w:t>的法定代表人。</w:t>
      </w:r>
    </w:p>
    <w:p w14:paraId="5DEEA890">
      <w:pPr>
        <w:pStyle w:val="27"/>
        <w:ind w:firstLine="277"/>
        <w:rPr>
          <w:rFonts w:hint="eastAsia" w:ascii="宋体" w:hAnsi="宋体" w:eastAsia="宋体" w:cs="宋体"/>
          <w:color w:val="auto"/>
          <w:sz w:val="21"/>
          <w:highlight w:val="none"/>
        </w:rPr>
      </w:pPr>
      <w:r>
        <w:rPr>
          <w:rFonts w:hint="eastAsia" w:ascii="宋体" w:hAnsi="宋体" w:eastAsia="宋体" w:cs="宋体"/>
          <w:color w:val="auto"/>
          <w:sz w:val="21"/>
          <w:highlight w:val="none"/>
        </w:rPr>
        <w:t>特此证明。</w:t>
      </w:r>
    </w:p>
    <w:p w14:paraId="39EC3B17">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C9CDC23">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59DF144">
      <w:pPr>
        <w:pStyle w:val="27"/>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A57C2D9">
      <w:pPr>
        <w:pStyle w:val="27"/>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0945D2"/>
                          <w:p w14:paraId="0D47C07B"/>
                          <w:p w14:paraId="07D20F2A"/>
                          <w:p w14:paraId="22E65364"/>
                          <w:p w14:paraId="4C56FC68">
                            <w:pPr>
                              <w:jc w:val="center"/>
                            </w:pPr>
                            <w:r>
                              <w:rPr>
                                <w:rFonts w:hint="eastAsia"/>
                              </w:rPr>
                              <w:t>法定代表人第二代居民身份证复印件</w:t>
                            </w:r>
                          </w:p>
                          <w:p w14:paraId="6ADAAB89">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4384;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HJ5ntYAAAAIAQAADwAAAAAAAAABACAAAAAiAAAAZHJz&#10;L2Rvd25yZXYueG1sUEsBAhQAFAAAAAgAh07iQMXvabYGAgAAKwQAAA4AAAAAAAAAAQAgAAAAJQEA&#10;AGRycy9lMm9Eb2MueG1sUEsFBgAAAAAGAAYAWQEAAJ0FAAAAAA==&#10;">
                <v:fill on="t" focussize="0,0"/>
                <v:stroke color="#000000" joinstyle="miter"/>
                <v:imagedata o:title=""/>
                <o:lock v:ext="edit" aspectratio="f"/>
                <v:textbox>
                  <w:txbxContent>
                    <w:p w14:paraId="200945D2"/>
                    <w:p w14:paraId="0D47C07B"/>
                    <w:p w14:paraId="07D20F2A"/>
                    <w:p w14:paraId="22E65364"/>
                    <w:p w14:paraId="4C56FC68">
                      <w:pPr>
                        <w:jc w:val="center"/>
                      </w:pPr>
                      <w:r>
                        <w:rPr>
                          <w:rFonts w:hint="eastAsia"/>
                        </w:rPr>
                        <w:t>法定代表人第二代居民身份证复印件</w:t>
                      </w:r>
                    </w:p>
                    <w:p w14:paraId="6ADAAB89">
                      <w:pPr>
                        <w:jc w:val="center"/>
                        <w:rPr>
                          <w:b/>
                        </w:rPr>
                      </w:pPr>
                      <w:r>
                        <w:rPr>
                          <w:rFonts w:hint="eastAsia"/>
                          <w:b/>
                        </w:rPr>
                        <w:t>（正面）</w:t>
                      </w: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CyIQZz6QEA&#10;ANwDAAAOAAAAAAAAAAEAIAAAAB8BAABkcnMvZTJvRG9jLnhtbFBLBQYAAAAABgAGAFkBAAB6BQAA&#10;AAA=&#10;">
                <v:fill on="f" focussize="0,0"/>
                <v:stroke color="#000000" joinstyle="round"/>
                <v:imagedata o:title=""/>
                <o:lock v:ext="edit" aspectratio="f"/>
                <w10:wrap type="topAndBottom"/>
              </v:line>
            </w:pict>
          </mc:Fallback>
        </mc:AlternateContent>
      </w:r>
      <w:r>
        <w:rPr>
          <w:rFonts w:hint="eastAsia" w:ascii="宋体" w:hAnsi="宋体" w:eastAsia="宋体" w:cs="宋体"/>
          <w:color w:val="auto"/>
          <w:highlight w:val="none"/>
        </w:rPr>
        <w:t xml:space="preserve">  </w:t>
      </w:r>
    </w:p>
    <w:p w14:paraId="5461A765">
      <w:pPr>
        <w:pStyle w:val="27"/>
        <w:spacing w:line="480" w:lineRule="exact"/>
        <w:rPr>
          <w:rFonts w:hint="eastAsia" w:ascii="宋体" w:hAnsi="宋体" w:eastAsia="宋体" w:cs="宋体"/>
          <w:color w:val="auto"/>
          <w:highlight w:val="none"/>
        </w:rPr>
      </w:pPr>
    </w:p>
    <w:p w14:paraId="5E9E315D">
      <w:pPr>
        <w:pStyle w:val="27"/>
        <w:spacing w:line="480" w:lineRule="exact"/>
        <w:rPr>
          <w:rFonts w:hint="eastAsia" w:ascii="宋体" w:hAnsi="宋体" w:eastAsia="宋体" w:cs="宋体"/>
          <w:color w:val="auto"/>
          <w:highlight w:val="none"/>
        </w:rPr>
      </w:pPr>
    </w:p>
    <w:p w14:paraId="4792968D">
      <w:pPr>
        <w:pStyle w:val="27"/>
        <w:spacing w:line="480" w:lineRule="exact"/>
        <w:rPr>
          <w:rFonts w:hint="eastAsia" w:ascii="宋体" w:hAnsi="宋体" w:eastAsia="宋体" w:cs="宋体"/>
          <w:color w:val="auto"/>
          <w:highlight w:val="none"/>
        </w:rPr>
      </w:pPr>
    </w:p>
    <w:p w14:paraId="47159D3F">
      <w:pPr>
        <w:pStyle w:val="27"/>
        <w:spacing w:line="480" w:lineRule="exact"/>
        <w:rPr>
          <w:rFonts w:hint="eastAsia" w:ascii="宋体" w:hAnsi="宋体" w:eastAsia="宋体" w:cs="宋体"/>
          <w:color w:val="auto"/>
          <w:highlight w:val="none"/>
        </w:rPr>
      </w:pPr>
    </w:p>
    <w:p w14:paraId="1D768D30">
      <w:pPr>
        <w:pStyle w:val="27"/>
        <w:spacing w:line="240" w:lineRule="atLeast"/>
        <w:ind w:firstLine="6000" w:firstLineChars="3000"/>
        <w:rPr>
          <w:rFonts w:hint="eastAsia" w:ascii="宋体" w:hAnsi="宋体" w:eastAsia="宋体" w:cs="宋体"/>
          <w:color w:val="auto"/>
          <w:highlight w:val="none"/>
        </w:rPr>
      </w:pPr>
    </w:p>
    <w:p w14:paraId="40390D2F">
      <w:pPr>
        <w:pStyle w:val="27"/>
        <w:spacing w:line="480" w:lineRule="exact"/>
        <w:rPr>
          <w:rFonts w:hint="eastAsia" w:ascii="宋体" w:hAnsi="宋体" w:eastAsia="宋体" w:cs="宋体"/>
          <w:color w:val="auto"/>
          <w:highlight w:val="none"/>
        </w:rPr>
      </w:pPr>
    </w:p>
    <w:p w14:paraId="7FC9F8DE">
      <w:pPr>
        <w:pStyle w:val="27"/>
        <w:spacing w:line="240" w:lineRule="exact"/>
        <w:rPr>
          <w:rFonts w:hint="eastAsia" w:ascii="宋体" w:hAnsi="宋体" w:eastAsia="宋体" w:cs="宋体"/>
          <w:color w:val="auto"/>
          <w:highlight w:val="none"/>
        </w:rPr>
      </w:pPr>
    </w:p>
    <w:p w14:paraId="2A2DBACE">
      <w:pPr>
        <w:pStyle w:val="27"/>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B0131"/>
                          <w:p w14:paraId="6675130B"/>
                          <w:p w14:paraId="01BCFE29"/>
                          <w:p w14:paraId="28018169"/>
                          <w:p w14:paraId="591C60F9">
                            <w:pPr>
                              <w:jc w:val="center"/>
                            </w:pPr>
                            <w:r>
                              <w:rPr>
                                <w:rFonts w:hint="eastAsia"/>
                              </w:rPr>
                              <w:t>法定代表人第二代居民身份证复印件</w:t>
                            </w:r>
                          </w:p>
                          <w:p w14:paraId="55CF60DC">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438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5a9cAAAAJAQAADwAAAAAAAAABACAAAAAiAAAAZHJzL2Rv&#10;d25yZXYueG1sUEsBAhQAFAAAAAgAh07iQCXRcrsCAgAAKwQAAA4AAAAAAAAAAQAgAAAAJgEAAGRy&#10;cy9lMm9Eb2MueG1sUEsFBgAAAAAGAAYAWQEAAJoFAAAAAA==&#10;">
                <v:fill on="t" focussize="0,0"/>
                <v:stroke color="#000000" joinstyle="miter"/>
                <v:imagedata o:title=""/>
                <o:lock v:ext="edit" aspectratio="f"/>
                <v:textbox>
                  <w:txbxContent>
                    <w:p w14:paraId="6F1B0131"/>
                    <w:p w14:paraId="6675130B"/>
                    <w:p w14:paraId="01BCFE29"/>
                    <w:p w14:paraId="28018169"/>
                    <w:p w14:paraId="591C60F9">
                      <w:pPr>
                        <w:jc w:val="center"/>
                      </w:pPr>
                      <w:r>
                        <w:rPr>
                          <w:rFonts w:hint="eastAsia"/>
                        </w:rPr>
                        <w:t>法定代表人第二代居民身份证复印件</w:t>
                      </w:r>
                    </w:p>
                    <w:p w14:paraId="55CF60DC">
                      <w:pPr>
                        <w:jc w:val="center"/>
                        <w:rPr>
                          <w:b/>
                        </w:rPr>
                      </w:pPr>
                      <w:r>
                        <w:rPr>
                          <w:rFonts w:hint="eastAsia"/>
                          <w:b/>
                        </w:rPr>
                        <w:t>（背面）</w:t>
                      </w:r>
                    </w:p>
                  </w:txbxContent>
                </v:textbox>
              </v:rect>
            </w:pict>
          </mc:Fallback>
        </mc:AlternateContent>
      </w:r>
    </w:p>
    <w:p w14:paraId="2B23DC52">
      <w:pPr>
        <w:pStyle w:val="27"/>
        <w:spacing w:line="240" w:lineRule="exact"/>
        <w:rPr>
          <w:rFonts w:hint="eastAsia" w:ascii="宋体" w:hAnsi="宋体" w:eastAsia="宋体" w:cs="宋体"/>
          <w:color w:val="auto"/>
          <w:highlight w:val="none"/>
        </w:rPr>
      </w:pPr>
    </w:p>
    <w:p w14:paraId="69A6185E">
      <w:pPr>
        <w:pStyle w:val="27"/>
        <w:spacing w:line="240" w:lineRule="exact"/>
        <w:rPr>
          <w:rFonts w:hint="eastAsia" w:ascii="宋体" w:hAnsi="宋体" w:eastAsia="宋体" w:cs="宋体"/>
          <w:color w:val="auto"/>
          <w:highlight w:val="none"/>
        </w:rPr>
      </w:pPr>
    </w:p>
    <w:p w14:paraId="440CB066">
      <w:pPr>
        <w:pStyle w:val="27"/>
        <w:spacing w:line="240" w:lineRule="exact"/>
        <w:rPr>
          <w:rFonts w:hint="eastAsia" w:ascii="宋体" w:hAnsi="宋体" w:eastAsia="宋体" w:cs="宋体"/>
          <w:color w:val="auto"/>
          <w:sz w:val="44"/>
          <w:highlight w:val="none"/>
        </w:rPr>
      </w:pPr>
    </w:p>
    <w:p w14:paraId="483E692B">
      <w:pPr>
        <w:pStyle w:val="27"/>
        <w:spacing w:line="240" w:lineRule="exact"/>
        <w:rPr>
          <w:rFonts w:hint="eastAsia" w:ascii="宋体" w:hAnsi="宋体" w:eastAsia="宋体" w:cs="宋体"/>
          <w:color w:val="auto"/>
          <w:sz w:val="44"/>
          <w:highlight w:val="none"/>
        </w:rPr>
      </w:pPr>
    </w:p>
    <w:p w14:paraId="15E5EACD">
      <w:pPr>
        <w:pStyle w:val="27"/>
        <w:spacing w:line="240" w:lineRule="exact"/>
        <w:rPr>
          <w:rFonts w:hint="eastAsia" w:ascii="宋体" w:hAnsi="宋体" w:eastAsia="宋体" w:cs="宋体"/>
          <w:color w:val="auto"/>
          <w:sz w:val="44"/>
          <w:highlight w:val="none"/>
        </w:rPr>
      </w:pPr>
    </w:p>
    <w:p w14:paraId="172E487D">
      <w:pPr>
        <w:pStyle w:val="27"/>
        <w:spacing w:line="240" w:lineRule="exact"/>
        <w:rPr>
          <w:rFonts w:hint="eastAsia" w:ascii="宋体" w:hAnsi="宋体" w:eastAsia="宋体" w:cs="宋体"/>
          <w:color w:val="auto"/>
          <w:sz w:val="44"/>
          <w:highlight w:val="none"/>
        </w:rPr>
      </w:pPr>
    </w:p>
    <w:p w14:paraId="4181C4B8">
      <w:pPr>
        <w:jc w:val="center"/>
        <w:rPr>
          <w:rFonts w:hint="eastAsia" w:ascii="宋体" w:hAnsi="宋体" w:eastAsia="宋体" w:cs="宋体"/>
          <w:color w:val="auto"/>
          <w:highlight w:val="none"/>
        </w:rPr>
      </w:pPr>
    </w:p>
    <w:p w14:paraId="0A08DD3A">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B427B8">
      <w:pPr>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7DFAB713">
      <w:pPr>
        <w:pStyle w:val="27"/>
        <w:spacing w:line="240" w:lineRule="exact"/>
        <w:rPr>
          <w:rFonts w:hint="eastAsia" w:ascii="宋体" w:hAnsi="宋体" w:eastAsia="宋体" w:cs="宋体"/>
          <w:color w:val="auto"/>
          <w:sz w:val="44"/>
          <w:highlight w:val="none"/>
        </w:rPr>
      </w:pPr>
    </w:p>
    <w:p w14:paraId="03D937C4">
      <w:pPr>
        <w:pStyle w:val="27"/>
        <w:spacing w:line="240" w:lineRule="atLeast"/>
        <w:ind w:firstLine="5500" w:firstLineChars="2750"/>
        <w:rPr>
          <w:rFonts w:hint="eastAsia" w:ascii="宋体" w:hAnsi="宋体" w:eastAsia="宋体" w:cs="宋体"/>
          <w:color w:val="auto"/>
          <w:highlight w:val="none"/>
        </w:rPr>
      </w:pPr>
    </w:p>
    <w:p w14:paraId="498C8569">
      <w:pPr>
        <w:pStyle w:val="27"/>
        <w:spacing w:line="240" w:lineRule="atLeast"/>
        <w:ind w:firstLine="5500" w:firstLineChars="2750"/>
        <w:rPr>
          <w:rFonts w:hint="eastAsia" w:ascii="宋体" w:hAnsi="宋体" w:eastAsia="宋体" w:cs="宋体"/>
          <w:color w:val="auto"/>
          <w:highlight w:val="none"/>
        </w:rPr>
      </w:pPr>
    </w:p>
    <w:p w14:paraId="1776ED4C">
      <w:pPr>
        <w:pStyle w:val="27"/>
        <w:spacing w:line="240" w:lineRule="atLeast"/>
        <w:ind w:firstLine="5500" w:firstLineChars="2750"/>
        <w:rPr>
          <w:rFonts w:hint="eastAsia" w:ascii="宋体" w:hAnsi="宋体" w:eastAsia="宋体" w:cs="宋体"/>
          <w:color w:val="auto"/>
          <w:highlight w:val="none"/>
        </w:rPr>
      </w:pPr>
    </w:p>
    <w:p w14:paraId="2C8974FB">
      <w:pPr>
        <w:pStyle w:val="27"/>
        <w:spacing w:line="240" w:lineRule="atLeast"/>
        <w:ind w:firstLine="5500" w:firstLineChars="2750"/>
        <w:rPr>
          <w:rFonts w:hint="eastAsia" w:ascii="宋体" w:hAnsi="宋体" w:eastAsia="宋体" w:cs="宋体"/>
          <w:color w:val="auto"/>
          <w:highlight w:val="none"/>
        </w:rPr>
      </w:pPr>
    </w:p>
    <w:p w14:paraId="1E882DD8">
      <w:pPr>
        <w:pStyle w:val="27"/>
        <w:spacing w:line="240" w:lineRule="atLeast"/>
        <w:ind w:firstLine="5500" w:firstLineChars="2750"/>
        <w:rPr>
          <w:rFonts w:hint="eastAsia" w:ascii="宋体" w:hAnsi="宋体" w:eastAsia="宋体" w:cs="宋体"/>
          <w:color w:val="auto"/>
          <w:highlight w:val="none"/>
        </w:rPr>
      </w:pPr>
    </w:p>
    <w:p w14:paraId="567C2677">
      <w:pPr>
        <w:pStyle w:val="27"/>
        <w:spacing w:line="240" w:lineRule="atLeast"/>
        <w:ind w:firstLine="5500" w:firstLineChars="2750"/>
        <w:rPr>
          <w:rFonts w:hint="eastAsia" w:ascii="宋体" w:hAnsi="宋体" w:eastAsia="宋体" w:cs="宋体"/>
          <w:color w:val="auto"/>
          <w:highlight w:val="none"/>
        </w:rPr>
      </w:pPr>
    </w:p>
    <w:p w14:paraId="1B5A30D6">
      <w:pPr>
        <w:pStyle w:val="27"/>
        <w:spacing w:line="240" w:lineRule="atLeast"/>
        <w:ind w:firstLine="5500" w:firstLineChars="275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b/>
          <w:bCs/>
          <w:color w:val="auto"/>
          <w:highlight w:val="none"/>
        </w:rPr>
        <w:t>签名</w:t>
      </w:r>
      <w:r>
        <w:rPr>
          <w:rFonts w:hint="eastAsia" w:ascii="宋体" w:hAnsi="宋体" w:eastAsia="宋体" w:cs="宋体"/>
          <w:b/>
          <w:bCs/>
          <w:color w:val="auto"/>
          <w:highlight w:val="none"/>
          <w:lang w:eastAsia="zh-CN"/>
        </w:rPr>
        <w:t>或盖章</w:t>
      </w:r>
      <w:r>
        <w:rPr>
          <w:rFonts w:hint="eastAsia" w:ascii="宋体" w:hAnsi="宋体" w:eastAsia="宋体" w:cs="宋体"/>
          <w:b/>
          <w:bCs/>
          <w:color w:val="auto"/>
          <w:highlight w:val="none"/>
        </w:rPr>
        <w:t>：</w:t>
      </w:r>
      <w:r>
        <w:rPr>
          <w:rFonts w:hint="eastAsia" w:ascii="宋体" w:hAnsi="宋体" w:eastAsia="宋体" w:cs="宋体"/>
          <w:color w:val="auto"/>
          <w:highlight w:val="none"/>
          <w:u w:val="single"/>
        </w:rPr>
        <w:t xml:space="preserve">                   </w:t>
      </w:r>
    </w:p>
    <w:p w14:paraId="7F391FFF">
      <w:pPr>
        <w:pStyle w:val="27"/>
        <w:spacing w:line="240" w:lineRule="atLeast"/>
        <w:ind w:firstLine="5200" w:firstLineChars="2600"/>
        <w:rPr>
          <w:rFonts w:hint="eastAsia" w:ascii="宋体" w:hAnsi="宋体" w:eastAsia="宋体" w:cs="宋体"/>
          <w:color w:val="auto"/>
          <w:highlight w:val="none"/>
          <w:u w:val="single"/>
        </w:rPr>
      </w:pPr>
    </w:p>
    <w:p w14:paraId="09A5C5F3">
      <w:pPr>
        <w:pStyle w:val="27"/>
        <w:spacing w:line="240" w:lineRule="exact"/>
        <w:rPr>
          <w:rFonts w:hint="eastAsia" w:ascii="宋体" w:hAnsi="宋体" w:eastAsia="宋体" w:cs="宋体"/>
          <w:color w:val="auto"/>
          <w:sz w:val="44"/>
          <w:highlight w:val="none"/>
        </w:rPr>
      </w:pPr>
    </w:p>
    <w:p w14:paraId="746D4D0B">
      <w:pPr>
        <w:spacing w:line="30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二、法定代表人授权委托书格式</w:t>
      </w:r>
    </w:p>
    <w:p w14:paraId="0BE1B07C">
      <w:pPr>
        <w:pStyle w:val="27"/>
        <w:jc w:val="center"/>
        <w:rPr>
          <w:rFonts w:hint="eastAsia" w:ascii="宋体" w:hAnsi="宋体" w:eastAsia="宋体" w:cs="宋体"/>
          <w:b/>
          <w:color w:val="auto"/>
          <w:sz w:val="32"/>
          <w:highlight w:val="none"/>
        </w:rPr>
      </w:pPr>
    </w:p>
    <w:p w14:paraId="15DB468D">
      <w:pPr>
        <w:pStyle w:val="2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14:paraId="6E7CA4F2">
      <w:pPr>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广西德元工程项目管理有限责任公司</w:t>
      </w:r>
      <w:r>
        <w:rPr>
          <w:rFonts w:hint="eastAsia" w:ascii="宋体" w:hAnsi="宋体" w:eastAsia="宋体" w:cs="宋体"/>
          <w:color w:val="auto"/>
          <w:szCs w:val="21"/>
          <w:highlight w:val="none"/>
        </w:rPr>
        <w:t>：</w:t>
      </w:r>
    </w:p>
    <w:p w14:paraId="029B03BC">
      <w:pPr>
        <w:snapToGrid w:val="0"/>
        <w:spacing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（供应商名称）的法定代表人，现授权委托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项目的磋商采购活动，并代表我方全权办理针对上述磋商采购项目的磋商、开标、评标、签约等具体事务和签署相关文件。</w:t>
      </w:r>
    </w:p>
    <w:p w14:paraId="01CB36C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我方对被授权人的签名事项负全部责任。代理期限从   年  月  日至   年  月  日止。</w:t>
      </w:r>
    </w:p>
    <w:p w14:paraId="12D62136">
      <w:pPr>
        <w:snapToGrid w:val="0"/>
        <w:spacing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6E0E260C">
      <w:pPr>
        <w:snapToGrid w:val="0"/>
        <w:spacing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5466F6FB">
      <w:pPr>
        <w:snapToGrid w:val="0"/>
        <w:spacing w:line="360" w:lineRule="exact"/>
        <w:rPr>
          <w:rFonts w:hint="eastAsia" w:ascii="宋体" w:hAnsi="宋体" w:eastAsia="宋体" w:cs="宋体"/>
          <w:color w:val="auto"/>
          <w:szCs w:val="21"/>
          <w:highlight w:val="none"/>
        </w:rPr>
      </w:pPr>
    </w:p>
    <w:p w14:paraId="490B7C73">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r>
        <w:rPr>
          <w:rFonts w:hint="eastAsia" w:ascii="宋体" w:hAnsi="宋体" w:eastAsia="宋体" w:cs="宋体"/>
          <w:b/>
          <w:color w:val="auto"/>
          <w:szCs w:val="21"/>
          <w:highlight w:val="none"/>
        </w:rPr>
        <w:t>签名</w:t>
      </w:r>
      <w:r>
        <w:rPr>
          <w:rFonts w:hint="eastAsia" w:ascii="宋体" w:hAnsi="宋体" w:eastAsia="宋体" w:cs="宋体"/>
          <w:b/>
          <w:color w:val="auto"/>
          <w:szCs w:val="21"/>
          <w:highlight w:val="none"/>
          <w:lang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
          <w:color w:val="auto"/>
          <w:szCs w:val="21"/>
          <w:highlight w:val="none"/>
        </w:rPr>
        <w:t>签名</w:t>
      </w:r>
      <w:r>
        <w:rPr>
          <w:rFonts w:hint="eastAsia" w:ascii="宋体" w:hAnsi="宋体" w:eastAsia="宋体" w:cs="宋体"/>
          <w:b/>
          <w:color w:val="auto"/>
          <w:szCs w:val="21"/>
          <w:highlight w:val="none"/>
          <w:lang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DD459C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36FBF65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77AFC1E">
      <w:pPr>
        <w:spacing w:line="360" w:lineRule="exact"/>
        <w:ind w:firstLine="6090" w:firstLineChars="29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供应商名称(电子签章)：</w:t>
      </w:r>
    </w:p>
    <w:p w14:paraId="3BA0BFAA">
      <w:pPr>
        <w:spacing w:line="360" w:lineRule="exact"/>
        <w:ind w:firstLine="6300" w:firstLineChars="3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9578199">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2D02719">
      <w:pPr>
        <w:pStyle w:val="27"/>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22"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73262"/>
                          <w:p w14:paraId="6EDB5B4F"/>
                          <w:p w14:paraId="32F01EC7"/>
                          <w:p w14:paraId="4B00669C"/>
                          <w:p w14:paraId="6CBB5E90"/>
                          <w:p w14:paraId="2254B2D8">
                            <w:pPr>
                              <w:jc w:val="center"/>
                            </w:pPr>
                            <w:r>
                              <w:rPr>
                                <w:rFonts w:hint="eastAsia"/>
                              </w:rPr>
                              <w:t>委托代理人第二代居民身份证复印件</w:t>
                            </w:r>
                          </w:p>
                          <w:p w14:paraId="69F0262E">
                            <w:pPr>
                              <w:jc w:val="center"/>
                            </w:pPr>
                            <w:r>
                              <w:rPr>
                                <w:rFonts w:hint="eastAsia"/>
                                <w:b/>
                              </w:rPr>
                              <w:t>（正面）</w:t>
                            </w:r>
                          </w:p>
                          <w:p w14:paraId="1F0CAECC">
                            <w:pPr>
                              <w:jc w:val="center"/>
                            </w:pPr>
                          </w:p>
                        </w:txbxContent>
                      </wps:txbx>
                      <wps:bodyPr upright="1"/>
                    </wps:wsp>
                  </a:graphicData>
                </a:graphic>
              </wp:anchor>
            </w:drawing>
          </mc:Choice>
          <mc:Fallback>
            <w:pict>
              <v:rect id="矩形 11" o:spid="_x0000_s1026" o:spt="1" style="position:absolute;left:0pt;margin-left:9pt;margin-top:1pt;height:170.1pt;width:255.1pt;z-index:251667456;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4Uu1gAAAAgBAAAPAAAAAAAAAAEAIAAAACIAAABkcnMvZG93&#10;bnJldi54bWxQSwECFAAUAAAACACHTuJAjaU+5AICAAAsBAAADgAAAAAAAAABACAAAAAlAQAAZHJz&#10;L2Uyb0RvYy54bWxQSwUGAAAAAAYABgBZAQAAmQUAAAAA&#10;">
                <v:fill on="t" focussize="0,0"/>
                <v:stroke color="#000000" joinstyle="miter"/>
                <v:imagedata o:title=""/>
                <o:lock v:ext="edit" aspectratio="f"/>
                <v:textbox>
                  <w:txbxContent>
                    <w:p w14:paraId="49573262"/>
                    <w:p w14:paraId="6EDB5B4F"/>
                    <w:p w14:paraId="32F01EC7"/>
                    <w:p w14:paraId="4B00669C"/>
                    <w:p w14:paraId="6CBB5E90"/>
                    <w:p w14:paraId="2254B2D8">
                      <w:pPr>
                        <w:jc w:val="center"/>
                      </w:pPr>
                      <w:r>
                        <w:rPr>
                          <w:rFonts w:hint="eastAsia"/>
                        </w:rPr>
                        <w:t>委托代理人第二代居民身份证复印件</w:t>
                      </w:r>
                    </w:p>
                    <w:p w14:paraId="69F0262E">
                      <w:pPr>
                        <w:jc w:val="center"/>
                      </w:pPr>
                      <w:r>
                        <w:rPr>
                          <w:rFonts w:hint="eastAsia"/>
                          <w:b/>
                        </w:rPr>
                        <w:t>（正面）</w:t>
                      </w:r>
                    </w:p>
                    <w:p w14:paraId="1F0CAECC">
                      <w:pPr>
                        <w:jc w:val="center"/>
                      </w:pP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pt;height:0pt;width:483pt;mso-wrap-distance-bottom:0pt;mso-wrap-distance-top:14.2pt;z-index:25166540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B02KD86QEA&#10;ANwDAAAOAAAAAAAAAAEAIAAAAB8BAABkcnMvZTJvRG9jLnhtbFBLBQYAAAAABgAGAFkBAAB6BQAA&#10;AAA=&#10;">
                <v:fill on="f" focussize="0,0"/>
                <v:stroke color="#000000" joinstyle="round"/>
                <v:imagedata o:title=""/>
                <o:lock v:ext="edit" aspectratio="f"/>
                <w10:wrap type="topAndBottom"/>
              </v:line>
            </w:pict>
          </mc:Fallback>
        </mc:AlternateContent>
      </w:r>
      <w:r>
        <w:rPr>
          <w:rFonts w:hint="eastAsia" w:ascii="宋体" w:hAnsi="宋体" w:eastAsia="宋体" w:cs="宋体"/>
          <w:color w:val="auto"/>
          <w:highlight w:val="none"/>
        </w:rPr>
        <w:t xml:space="preserve">  </w:t>
      </w:r>
    </w:p>
    <w:p w14:paraId="3A48DC6D">
      <w:pPr>
        <w:pStyle w:val="27"/>
        <w:spacing w:line="480" w:lineRule="exact"/>
        <w:rPr>
          <w:rFonts w:hint="eastAsia" w:ascii="宋体" w:hAnsi="宋体" w:eastAsia="宋体" w:cs="宋体"/>
          <w:color w:val="auto"/>
          <w:highlight w:val="none"/>
        </w:rPr>
      </w:pPr>
    </w:p>
    <w:p w14:paraId="3325E474">
      <w:pPr>
        <w:pStyle w:val="27"/>
        <w:spacing w:line="480" w:lineRule="exact"/>
        <w:rPr>
          <w:rFonts w:hint="eastAsia" w:ascii="宋体" w:hAnsi="宋体" w:eastAsia="宋体" w:cs="宋体"/>
          <w:color w:val="auto"/>
          <w:highlight w:val="none"/>
        </w:rPr>
      </w:pPr>
    </w:p>
    <w:p w14:paraId="61E7D664">
      <w:pPr>
        <w:pStyle w:val="27"/>
        <w:spacing w:line="480" w:lineRule="exact"/>
        <w:rPr>
          <w:rFonts w:hint="eastAsia" w:ascii="宋体" w:hAnsi="宋体" w:eastAsia="宋体" w:cs="宋体"/>
          <w:color w:val="auto"/>
          <w:highlight w:val="none"/>
        </w:rPr>
      </w:pPr>
    </w:p>
    <w:p w14:paraId="699EEA53">
      <w:pPr>
        <w:pStyle w:val="27"/>
        <w:spacing w:line="480" w:lineRule="exact"/>
        <w:rPr>
          <w:rFonts w:hint="eastAsia" w:ascii="宋体" w:hAnsi="宋体" w:eastAsia="宋体" w:cs="宋体"/>
          <w:color w:val="auto"/>
          <w:highlight w:val="none"/>
        </w:rPr>
      </w:pPr>
    </w:p>
    <w:p w14:paraId="1FAF1566">
      <w:pPr>
        <w:pStyle w:val="27"/>
        <w:spacing w:line="240" w:lineRule="atLeast"/>
        <w:ind w:firstLine="5200" w:firstLineChars="2600"/>
        <w:rPr>
          <w:rFonts w:hint="eastAsia" w:ascii="宋体" w:hAnsi="宋体" w:eastAsia="宋体" w:cs="宋体"/>
          <w:color w:val="auto"/>
          <w:highlight w:val="none"/>
          <w:u w:val="single"/>
        </w:rPr>
      </w:pPr>
    </w:p>
    <w:p w14:paraId="1E77DCC1">
      <w:pPr>
        <w:pStyle w:val="27"/>
        <w:spacing w:line="240" w:lineRule="atLeast"/>
        <w:ind w:firstLine="5200" w:firstLineChars="2600"/>
        <w:rPr>
          <w:rFonts w:hint="eastAsia" w:ascii="宋体" w:hAnsi="宋体" w:eastAsia="宋体" w:cs="宋体"/>
          <w:color w:val="auto"/>
          <w:highlight w:val="none"/>
          <w:u w:val="single"/>
        </w:rPr>
      </w:pPr>
    </w:p>
    <w:p w14:paraId="136BD0A4">
      <w:pPr>
        <w:pStyle w:val="27"/>
        <w:spacing w:line="240" w:lineRule="atLeast"/>
        <w:ind w:firstLine="6000" w:firstLineChars="3000"/>
        <w:rPr>
          <w:rFonts w:hint="eastAsia" w:ascii="宋体" w:hAnsi="宋体" w:eastAsia="宋体" w:cs="宋体"/>
          <w:color w:val="auto"/>
          <w:highlight w:val="none"/>
        </w:rPr>
      </w:pPr>
    </w:p>
    <w:p w14:paraId="66B10D7B">
      <w:pPr>
        <w:pStyle w:val="27"/>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21"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3444A6"/>
                          <w:p w14:paraId="7DB7486F"/>
                          <w:p w14:paraId="0FE0CB69"/>
                          <w:p w14:paraId="37273144"/>
                          <w:p w14:paraId="528A835C"/>
                          <w:p w14:paraId="536E6989">
                            <w:pPr>
                              <w:jc w:val="center"/>
                            </w:pPr>
                            <w:r>
                              <w:rPr>
                                <w:rFonts w:hint="eastAsia"/>
                              </w:rPr>
                              <w:t>委托代理人第二代居民身份证复印件</w:t>
                            </w:r>
                          </w:p>
                          <w:p w14:paraId="52A41BC4">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6432;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A6O33lAgIAACwEAAAOAAAAZHJzL2Uyb0RvYy54bWytU0tu&#10;2zAQ3RfoHQjua32CJI1gOYu47qZoAyQ9AE1SEgH+wKEt+TQFuushepyi1+iQdu0k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aV5RYZrDjv7/9&#10;+PXzO6myOqOHBoMe/H1ArZIHaCaqUxdM+iMJMmVFd0dF5RQJx82L+uLm+hrF5nhWV1dljQ7iFKfr&#10;PkD8KJ0hyWhpwJZlJdn2E8R96N+QlA2cVmKltM5O6Nd3OpAtw/au8ndAfxamLRlbenNZX2IhDGe2&#10;w1lB03jkDbbP+Z7dgKfAZf7+B5wKWzIY9gVkhBTGGqOiDNkaJBMfrCBx51Fai0+KpmKMFJRoiS8w&#10;WTkyMqXPiUTttEUJT71IVpzWE8Ikc+3EDpu68UH1A0pa5dLTCQ5R1v4w8GlKn/oZ9PTI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RKsNcAAAAJAQAADwAAAAAAAAABACAAAAAiAAAAZHJzL2Rv&#10;d25yZXYueG1sUEsBAhQAFAAAAAgAh07iQDo7feUCAgAALAQAAA4AAAAAAAAAAQAgAAAAJgEAAGRy&#10;cy9lMm9Eb2MueG1sUEsFBgAAAAAGAAYAWQEAAJoFAAAAAA==&#10;">
                <v:fill on="t" focussize="0,0"/>
                <v:stroke color="#000000" joinstyle="miter"/>
                <v:imagedata o:title=""/>
                <o:lock v:ext="edit" aspectratio="f"/>
                <v:textbox>
                  <w:txbxContent>
                    <w:p w14:paraId="713444A6"/>
                    <w:p w14:paraId="7DB7486F"/>
                    <w:p w14:paraId="0FE0CB69"/>
                    <w:p w14:paraId="37273144"/>
                    <w:p w14:paraId="528A835C"/>
                    <w:p w14:paraId="536E6989">
                      <w:pPr>
                        <w:jc w:val="center"/>
                      </w:pPr>
                      <w:r>
                        <w:rPr>
                          <w:rFonts w:hint="eastAsia"/>
                        </w:rPr>
                        <w:t>委托代理人第二代居民身份证复印件</w:t>
                      </w:r>
                    </w:p>
                    <w:p w14:paraId="52A41BC4">
                      <w:pPr>
                        <w:jc w:val="center"/>
                      </w:pPr>
                      <w:r>
                        <w:rPr>
                          <w:rFonts w:hint="eastAsia"/>
                          <w:b/>
                        </w:rPr>
                        <w:t>（背面）</w:t>
                      </w:r>
                    </w:p>
                  </w:txbxContent>
                </v:textbox>
              </v:rect>
            </w:pict>
          </mc:Fallback>
        </mc:AlternateContent>
      </w:r>
    </w:p>
    <w:p w14:paraId="0196F4F7">
      <w:pPr>
        <w:pStyle w:val="27"/>
        <w:spacing w:line="240" w:lineRule="exact"/>
        <w:rPr>
          <w:rFonts w:hint="eastAsia" w:ascii="宋体" w:hAnsi="宋体" w:eastAsia="宋体" w:cs="宋体"/>
          <w:color w:val="auto"/>
          <w:highlight w:val="none"/>
        </w:rPr>
      </w:pPr>
    </w:p>
    <w:p w14:paraId="76624B09">
      <w:pPr>
        <w:pStyle w:val="27"/>
        <w:spacing w:line="240" w:lineRule="exact"/>
        <w:rPr>
          <w:rFonts w:hint="eastAsia" w:ascii="宋体" w:hAnsi="宋体" w:eastAsia="宋体" w:cs="宋体"/>
          <w:color w:val="auto"/>
          <w:highlight w:val="none"/>
        </w:rPr>
      </w:pPr>
    </w:p>
    <w:p w14:paraId="3B59C26C">
      <w:pPr>
        <w:pStyle w:val="27"/>
        <w:spacing w:line="240" w:lineRule="exact"/>
        <w:rPr>
          <w:rFonts w:hint="eastAsia" w:ascii="宋体" w:hAnsi="宋体" w:eastAsia="宋体" w:cs="宋体"/>
          <w:color w:val="auto"/>
          <w:highlight w:val="none"/>
        </w:rPr>
      </w:pPr>
    </w:p>
    <w:p w14:paraId="49A2B6A0">
      <w:pPr>
        <w:pStyle w:val="27"/>
        <w:spacing w:line="240" w:lineRule="exact"/>
        <w:rPr>
          <w:rFonts w:hint="eastAsia" w:ascii="宋体" w:hAnsi="宋体" w:eastAsia="宋体" w:cs="宋体"/>
          <w:color w:val="auto"/>
          <w:sz w:val="44"/>
          <w:highlight w:val="none"/>
        </w:rPr>
      </w:pPr>
    </w:p>
    <w:p w14:paraId="685C2E7C">
      <w:pPr>
        <w:pStyle w:val="27"/>
        <w:spacing w:line="240" w:lineRule="exact"/>
        <w:rPr>
          <w:rFonts w:hint="eastAsia" w:ascii="宋体" w:hAnsi="宋体" w:eastAsia="宋体" w:cs="宋体"/>
          <w:color w:val="auto"/>
          <w:sz w:val="44"/>
          <w:highlight w:val="none"/>
        </w:rPr>
      </w:pPr>
    </w:p>
    <w:p w14:paraId="5FE701DF">
      <w:pPr>
        <w:pStyle w:val="27"/>
        <w:spacing w:line="240" w:lineRule="exact"/>
        <w:rPr>
          <w:rFonts w:hint="eastAsia" w:ascii="宋体" w:hAnsi="宋体" w:eastAsia="宋体" w:cs="宋体"/>
          <w:color w:val="auto"/>
          <w:sz w:val="44"/>
          <w:highlight w:val="none"/>
        </w:rPr>
      </w:pPr>
    </w:p>
    <w:p w14:paraId="638D892A">
      <w:pPr>
        <w:pStyle w:val="27"/>
        <w:spacing w:line="240" w:lineRule="exact"/>
        <w:rPr>
          <w:rFonts w:hint="eastAsia" w:ascii="宋体" w:hAnsi="宋体" w:eastAsia="宋体" w:cs="宋体"/>
          <w:color w:val="auto"/>
          <w:sz w:val="44"/>
          <w:highlight w:val="none"/>
        </w:rPr>
      </w:pPr>
    </w:p>
    <w:p w14:paraId="1226E29D">
      <w:pPr>
        <w:pStyle w:val="27"/>
        <w:spacing w:line="240" w:lineRule="exact"/>
        <w:rPr>
          <w:rFonts w:hint="eastAsia" w:ascii="宋体" w:hAnsi="宋体" w:eastAsia="宋体" w:cs="宋体"/>
          <w:color w:val="auto"/>
          <w:sz w:val="44"/>
          <w:highlight w:val="none"/>
        </w:rPr>
      </w:pPr>
    </w:p>
    <w:p w14:paraId="1C076CD7">
      <w:pPr>
        <w:pStyle w:val="27"/>
        <w:spacing w:line="240" w:lineRule="exact"/>
        <w:rPr>
          <w:rFonts w:hint="eastAsia" w:ascii="宋体" w:hAnsi="宋体" w:eastAsia="宋体" w:cs="宋体"/>
          <w:color w:val="auto"/>
          <w:sz w:val="44"/>
          <w:highlight w:val="none"/>
        </w:rPr>
      </w:pPr>
    </w:p>
    <w:p w14:paraId="48CD8B20">
      <w:pPr>
        <w:pStyle w:val="27"/>
        <w:spacing w:line="240" w:lineRule="exact"/>
        <w:rPr>
          <w:rFonts w:hint="eastAsia" w:ascii="宋体" w:hAnsi="宋体" w:eastAsia="宋体" w:cs="宋体"/>
          <w:color w:val="auto"/>
          <w:sz w:val="44"/>
          <w:highlight w:val="none"/>
        </w:rPr>
      </w:pPr>
    </w:p>
    <w:p w14:paraId="7E7ECE81">
      <w:pPr>
        <w:pStyle w:val="27"/>
        <w:spacing w:line="240" w:lineRule="exact"/>
        <w:rPr>
          <w:rFonts w:hint="eastAsia" w:ascii="宋体" w:hAnsi="宋体" w:eastAsia="宋体" w:cs="宋体"/>
          <w:color w:val="auto"/>
          <w:sz w:val="44"/>
          <w:highlight w:val="none"/>
        </w:rPr>
      </w:pPr>
    </w:p>
    <w:p w14:paraId="1D1A5D65">
      <w:pPr>
        <w:pStyle w:val="27"/>
        <w:spacing w:line="240" w:lineRule="exact"/>
        <w:rPr>
          <w:rFonts w:hint="eastAsia" w:ascii="宋体" w:hAnsi="宋体" w:eastAsia="宋体" w:cs="宋体"/>
          <w:color w:val="auto"/>
          <w:sz w:val="44"/>
          <w:highlight w:val="none"/>
        </w:rPr>
      </w:pPr>
    </w:p>
    <w:p w14:paraId="5ED0639A">
      <w:pPr>
        <w:jc w:val="center"/>
        <w:rPr>
          <w:rFonts w:hint="eastAsia" w:ascii="宋体" w:hAnsi="宋体" w:eastAsia="宋体" w:cs="宋体"/>
          <w:color w:val="auto"/>
          <w:highlight w:val="none"/>
        </w:rPr>
      </w:pPr>
    </w:p>
    <w:p w14:paraId="5B5A977F">
      <w:pPr>
        <w:spacing w:line="320" w:lineRule="exact"/>
        <w:rPr>
          <w:rFonts w:hint="eastAsia" w:ascii="宋体" w:hAnsi="宋体" w:eastAsia="宋体" w:cs="宋体"/>
          <w:b/>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三、保证金证明格式</w:t>
      </w:r>
    </w:p>
    <w:p w14:paraId="3505E1EA">
      <w:pPr>
        <w:spacing w:line="360" w:lineRule="exact"/>
        <w:rPr>
          <w:rFonts w:hint="eastAsia" w:ascii="宋体" w:hAnsi="宋体" w:eastAsia="宋体" w:cs="宋体"/>
          <w:color w:val="auto"/>
          <w:szCs w:val="21"/>
          <w:highlight w:val="none"/>
        </w:rPr>
      </w:pPr>
    </w:p>
    <w:p w14:paraId="2DE67AA6">
      <w:pPr>
        <w:spacing w:line="360" w:lineRule="exact"/>
        <w:rPr>
          <w:rFonts w:hint="eastAsia" w:ascii="宋体" w:hAnsi="宋体" w:eastAsia="宋体" w:cs="宋体"/>
          <w:color w:val="auto"/>
          <w:szCs w:val="21"/>
          <w:highlight w:val="none"/>
        </w:rPr>
      </w:pPr>
    </w:p>
    <w:p w14:paraId="527DE6A6">
      <w:pPr>
        <w:pStyle w:val="27"/>
        <w:spacing w:line="440" w:lineRule="exact"/>
        <w:ind w:firstLine="420"/>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磋商保证金缴纳证明材料复印件</w:t>
      </w:r>
    </w:p>
    <w:p w14:paraId="0A752E2E">
      <w:pPr>
        <w:pStyle w:val="27"/>
        <w:spacing w:line="360" w:lineRule="exact"/>
        <w:rPr>
          <w:rFonts w:hint="eastAsia" w:ascii="宋体" w:hAnsi="宋体" w:eastAsia="宋体" w:cs="宋体"/>
          <w:color w:val="auto"/>
          <w:highlight w:val="none"/>
        </w:rPr>
      </w:pPr>
    </w:p>
    <w:p w14:paraId="26AC316F">
      <w:pPr>
        <w:pStyle w:val="27"/>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23"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960EA9">
                            <w:pPr>
                              <w:jc w:val="center"/>
                              <w:rPr>
                                <w:color w:val="000000"/>
                              </w:rPr>
                            </w:pPr>
                          </w:p>
                          <w:p w14:paraId="0DC47063">
                            <w:pPr>
                              <w:jc w:val="center"/>
                              <w:rPr>
                                <w:color w:val="000000"/>
                              </w:rPr>
                            </w:pPr>
                          </w:p>
                          <w:p w14:paraId="294BEC2E">
                            <w:pPr>
                              <w:jc w:val="center"/>
                              <w:rPr>
                                <w:color w:val="000000"/>
                              </w:rPr>
                            </w:pPr>
                          </w:p>
                          <w:p w14:paraId="5E04B515">
                            <w:pPr>
                              <w:jc w:val="center"/>
                              <w:rPr>
                                <w:color w:val="000000"/>
                              </w:rPr>
                            </w:pPr>
                          </w:p>
                          <w:p w14:paraId="12CB4396">
                            <w:pPr>
                              <w:jc w:val="center"/>
                              <w:rPr>
                                <w:color w:val="000000"/>
                              </w:rPr>
                            </w:pPr>
                          </w:p>
                          <w:p w14:paraId="52A26BB4">
                            <w:pPr>
                              <w:jc w:val="center"/>
                            </w:pPr>
                          </w:p>
                          <w:p w14:paraId="57C582B3">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848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BJ2d1gAAAAcBAAAPAAAAAAAAAAEAIAAAACIAAABkcnMvZG93bnJldi54bWxQSwEC&#10;FAAUAAAACACHTuJAFKO5TvYBAAAvBAAADgAAAAAAAAABACAAAAAlAQAAZHJzL2Uyb0RvYy54bWxQ&#10;SwUGAAAAAAYABgBZAQAAjQUAAAAA&#10;">
                <v:fill on="t" focussize="0,0"/>
                <v:stroke color="#000000" joinstyle="miter"/>
                <v:imagedata o:title=""/>
                <o:lock v:ext="edit" aspectratio="f"/>
                <v:textbox>
                  <w:txbxContent>
                    <w:p w14:paraId="31960EA9">
                      <w:pPr>
                        <w:jc w:val="center"/>
                        <w:rPr>
                          <w:color w:val="000000"/>
                        </w:rPr>
                      </w:pPr>
                    </w:p>
                    <w:p w14:paraId="0DC47063">
                      <w:pPr>
                        <w:jc w:val="center"/>
                        <w:rPr>
                          <w:color w:val="000000"/>
                        </w:rPr>
                      </w:pPr>
                    </w:p>
                    <w:p w14:paraId="294BEC2E">
                      <w:pPr>
                        <w:jc w:val="center"/>
                        <w:rPr>
                          <w:color w:val="000000"/>
                        </w:rPr>
                      </w:pPr>
                    </w:p>
                    <w:p w14:paraId="5E04B515">
                      <w:pPr>
                        <w:jc w:val="center"/>
                        <w:rPr>
                          <w:color w:val="000000"/>
                        </w:rPr>
                      </w:pPr>
                    </w:p>
                    <w:p w14:paraId="12CB4396">
                      <w:pPr>
                        <w:jc w:val="center"/>
                        <w:rPr>
                          <w:color w:val="000000"/>
                        </w:rPr>
                      </w:pPr>
                    </w:p>
                    <w:p w14:paraId="52A26BB4">
                      <w:pPr>
                        <w:jc w:val="center"/>
                      </w:pPr>
                    </w:p>
                    <w:p w14:paraId="57C582B3">
                      <w:pPr>
                        <w:jc w:val="center"/>
                        <w:rPr>
                          <w:szCs w:val="21"/>
                        </w:rPr>
                      </w:pPr>
                      <w:r>
                        <w:rPr>
                          <w:rFonts w:hint="eastAsia" w:hAnsi="宋体"/>
                        </w:rPr>
                        <w:t>转账底单、电汇单、支票、汇票、本票或银行、保险机构出具的保函复印件</w:t>
                      </w:r>
                    </w:p>
                  </w:txbxContent>
                </v:textbox>
              </v:rect>
            </w:pict>
          </mc:Fallback>
        </mc:AlternateContent>
      </w:r>
    </w:p>
    <w:p w14:paraId="1C1361E6">
      <w:pPr>
        <w:pStyle w:val="27"/>
        <w:spacing w:line="360" w:lineRule="exact"/>
        <w:rPr>
          <w:rFonts w:hint="eastAsia" w:ascii="宋体" w:hAnsi="宋体" w:eastAsia="宋体" w:cs="宋体"/>
          <w:color w:val="auto"/>
          <w:highlight w:val="none"/>
        </w:rPr>
      </w:pPr>
    </w:p>
    <w:p w14:paraId="2609AF79">
      <w:pPr>
        <w:pStyle w:val="27"/>
        <w:spacing w:line="360" w:lineRule="exact"/>
        <w:rPr>
          <w:rFonts w:hint="eastAsia" w:ascii="宋体" w:hAnsi="宋体" w:eastAsia="宋体" w:cs="宋体"/>
          <w:color w:val="auto"/>
          <w:highlight w:val="none"/>
        </w:rPr>
      </w:pPr>
    </w:p>
    <w:p w14:paraId="69D21257">
      <w:pPr>
        <w:pStyle w:val="27"/>
        <w:spacing w:line="360" w:lineRule="exact"/>
        <w:rPr>
          <w:rFonts w:hint="eastAsia" w:ascii="宋体" w:hAnsi="宋体" w:eastAsia="宋体" w:cs="宋体"/>
          <w:color w:val="auto"/>
          <w:sz w:val="44"/>
          <w:highlight w:val="none"/>
        </w:rPr>
      </w:pPr>
    </w:p>
    <w:p w14:paraId="1AD41B1E">
      <w:pPr>
        <w:pStyle w:val="27"/>
        <w:spacing w:line="360" w:lineRule="exact"/>
        <w:rPr>
          <w:rFonts w:hint="eastAsia" w:ascii="宋体" w:hAnsi="宋体" w:eastAsia="宋体" w:cs="宋体"/>
          <w:color w:val="auto"/>
          <w:sz w:val="44"/>
          <w:highlight w:val="none"/>
        </w:rPr>
      </w:pPr>
    </w:p>
    <w:p w14:paraId="00FE99F1">
      <w:pPr>
        <w:pStyle w:val="27"/>
        <w:spacing w:line="360" w:lineRule="exact"/>
        <w:rPr>
          <w:rFonts w:hint="eastAsia" w:ascii="宋体" w:hAnsi="宋体" w:eastAsia="宋体" w:cs="宋体"/>
          <w:color w:val="auto"/>
          <w:sz w:val="44"/>
          <w:highlight w:val="none"/>
        </w:rPr>
      </w:pPr>
    </w:p>
    <w:p w14:paraId="555BD53E">
      <w:pPr>
        <w:pStyle w:val="27"/>
        <w:spacing w:line="360" w:lineRule="exact"/>
        <w:rPr>
          <w:rFonts w:hint="eastAsia" w:ascii="宋体" w:hAnsi="宋体" w:eastAsia="宋体" w:cs="宋体"/>
          <w:color w:val="auto"/>
          <w:sz w:val="44"/>
          <w:highlight w:val="none"/>
        </w:rPr>
      </w:pPr>
    </w:p>
    <w:p w14:paraId="0749557E">
      <w:pPr>
        <w:pStyle w:val="27"/>
        <w:spacing w:line="360" w:lineRule="exact"/>
        <w:rPr>
          <w:rFonts w:hint="eastAsia" w:ascii="宋体" w:hAnsi="宋体" w:eastAsia="宋体" w:cs="宋体"/>
          <w:color w:val="auto"/>
          <w:sz w:val="44"/>
          <w:highlight w:val="none"/>
        </w:rPr>
      </w:pPr>
    </w:p>
    <w:p w14:paraId="3786C2CA">
      <w:pPr>
        <w:pStyle w:val="27"/>
        <w:spacing w:line="360" w:lineRule="exact"/>
        <w:ind w:firstLine="4600" w:firstLineChars="2300"/>
        <w:rPr>
          <w:rFonts w:hint="eastAsia" w:ascii="宋体" w:hAnsi="宋体" w:eastAsia="宋体" w:cs="宋体"/>
          <w:color w:val="auto"/>
          <w:highlight w:val="none"/>
        </w:rPr>
      </w:pPr>
    </w:p>
    <w:p w14:paraId="70D550AD">
      <w:pPr>
        <w:pStyle w:val="27"/>
        <w:spacing w:line="360" w:lineRule="exact"/>
        <w:ind w:firstLine="4600" w:firstLineChars="2300"/>
        <w:rPr>
          <w:rFonts w:hint="eastAsia" w:ascii="宋体" w:hAnsi="宋体" w:eastAsia="宋体" w:cs="宋体"/>
          <w:color w:val="auto"/>
          <w:highlight w:val="none"/>
        </w:rPr>
      </w:pPr>
    </w:p>
    <w:p w14:paraId="07F312A6">
      <w:pPr>
        <w:pStyle w:val="27"/>
        <w:spacing w:line="360" w:lineRule="exact"/>
        <w:ind w:firstLine="4600" w:firstLineChars="2300"/>
        <w:rPr>
          <w:rFonts w:hint="eastAsia" w:ascii="宋体" w:hAnsi="宋体" w:eastAsia="宋体" w:cs="宋体"/>
          <w:color w:val="auto"/>
          <w:highlight w:val="none"/>
        </w:rPr>
      </w:pPr>
    </w:p>
    <w:p w14:paraId="54D6BB04">
      <w:pPr>
        <w:pStyle w:val="27"/>
        <w:spacing w:line="360" w:lineRule="exact"/>
        <w:ind w:firstLine="4600" w:firstLineChars="2300"/>
        <w:rPr>
          <w:rFonts w:hint="eastAsia" w:ascii="宋体" w:hAnsi="宋体" w:eastAsia="宋体" w:cs="宋体"/>
          <w:color w:val="auto"/>
          <w:highlight w:val="none"/>
        </w:rPr>
      </w:pPr>
    </w:p>
    <w:p w14:paraId="71313A48">
      <w:pPr>
        <w:pStyle w:val="27"/>
        <w:spacing w:line="360" w:lineRule="exact"/>
        <w:ind w:firstLine="4600" w:firstLineChars="2300"/>
        <w:rPr>
          <w:rFonts w:hint="eastAsia" w:ascii="宋体" w:hAnsi="宋体" w:eastAsia="宋体" w:cs="宋体"/>
          <w:color w:val="auto"/>
          <w:highlight w:val="none"/>
        </w:rPr>
      </w:pPr>
    </w:p>
    <w:p w14:paraId="74EF7B2B">
      <w:pPr>
        <w:pStyle w:val="27"/>
        <w:spacing w:line="360" w:lineRule="exact"/>
        <w:ind w:firstLine="4600" w:firstLineChars="2300"/>
        <w:rPr>
          <w:rFonts w:hint="eastAsia" w:ascii="宋体" w:hAnsi="宋体" w:eastAsia="宋体" w:cs="宋体"/>
          <w:color w:val="auto"/>
          <w:highlight w:val="none"/>
        </w:rPr>
      </w:pPr>
    </w:p>
    <w:p w14:paraId="6F2FA595">
      <w:pPr>
        <w:pStyle w:val="27"/>
        <w:spacing w:line="360" w:lineRule="exact"/>
        <w:ind w:firstLine="4600" w:firstLineChars="2300"/>
        <w:rPr>
          <w:rFonts w:hint="eastAsia" w:ascii="宋体" w:hAnsi="宋体" w:eastAsia="宋体" w:cs="宋体"/>
          <w:color w:val="auto"/>
          <w:highlight w:val="none"/>
        </w:rPr>
      </w:pPr>
    </w:p>
    <w:p w14:paraId="463928F7">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90BFF1E">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3B95BF7">
      <w:pPr>
        <w:pStyle w:val="27"/>
        <w:spacing w:line="240" w:lineRule="exact"/>
        <w:rPr>
          <w:rFonts w:hint="eastAsia" w:ascii="宋体" w:hAnsi="宋体" w:eastAsia="宋体" w:cs="宋体"/>
          <w:color w:val="auto"/>
          <w:highlight w:val="none"/>
          <w:u w:val="single"/>
        </w:rPr>
      </w:pPr>
    </w:p>
    <w:p w14:paraId="516776E0">
      <w:pPr>
        <w:pStyle w:val="27"/>
        <w:spacing w:line="240" w:lineRule="exact"/>
        <w:rPr>
          <w:rFonts w:hint="eastAsia" w:ascii="宋体" w:hAnsi="宋体" w:eastAsia="宋体" w:cs="宋体"/>
          <w:color w:val="auto"/>
          <w:highlight w:val="none"/>
          <w:u w:val="single"/>
        </w:rPr>
      </w:pPr>
    </w:p>
    <w:p w14:paraId="68E2A11E">
      <w:pPr>
        <w:pStyle w:val="27"/>
        <w:spacing w:line="240" w:lineRule="exact"/>
        <w:rPr>
          <w:rFonts w:hint="eastAsia" w:ascii="宋体" w:hAnsi="宋体" w:eastAsia="宋体" w:cs="宋体"/>
          <w:color w:val="auto"/>
          <w:highlight w:val="none"/>
          <w:u w:val="single"/>
        </w:rPr>
      </w:pPr>
    </w:p>
    <w:p w14:paraId="1069011D">
      <w:pPr>
        <w:pStyle w:val="27"/>
        <w:spacing w:line="240" w:lineRule="exact"/>
        <w:rPr>
          <w:rFonts w:hint="eastAsia" w:ascii="宋体" w:hAnsi="宋体" w:eastAsia="宋体" w:cs="宋体"/>
          <w:color w:val="auto"/>
          <w:highlight w:val="none"/>
          <w:u w:val="single"/>
        </w:rPr>
      </w:pPr>
    </w:p>
    <w:p w14:paraId="578710C1">
      <w:pPr>
        <w:pStyle w:val="27"/>
        <w:spacing w:line="240" w:lineRule="exact"/>
        <w:rPr>
          <w:rFonts w:hint="eastAsia" w:ascii="宋体" w:hAnsi="宋体" w:eastAsia="宋体" w:cs="宋体"/>
          <w:color w:val="auto"/>
          <w:highlight w:val="none"/>
          <w:u w:val="single"/>
        </w:rPr>
      </w:pPr>
    </w:p>
    <w:p w14:paraId="1BC60DC7">
      <w:pPr>
        <w:pStyle w:val="27"/>
        <w:spacing w:line="240" w:lineRule="exact"/>
        <w:rPr>
          <w:rFonts w:hint="eastAsia" w:ascii="宋体" w:hAnsi="宋体" w:eastAsia="宋体" w:cs="宋体"/>
          <w:color w:val="auto"/>
          <w:highlight w:val="none"/>
          <w:u w:val="single"/>
        </w:rPr>
      </w:pPr>
    </w:p>
    <w:p w14:paraId="03A4DC6C">
      <w:pPr>
        <w:pStyle w:val="27"/>
        <w:spacing w:line="240" w:lineRule="exact"/>
        <w:rPr>
          <w:rFonts w:hint="eastAsia" w:ascii="宋体" w:hAnsi="宋体" w:eastAsia="宋体" w:cs="宋体"/>
          <w:color w:val="auto"/>
          <w:sz w:val="44"/>
          <w:highlight w:val="none"/>
        </w:rPr>
      </w:pPr>
    </w:p>
    <w:p w14:paraId="67DD3B17">
      <w:pPr>
        <w:rPr>
          <w:rFonts w:hint="eastAsia" w:ascii="宋体" w:hAnsi="宋体" w:eastAsia="宋体" w:cs="宋体"/>
          <w:b/>
          <w:color w:val="auto"/>
          <w:szCs w:val="21"/>
          <w:highlight w:val="none"/>
        </w:rPr>
      </w:pPr>
    </w:p>
    <w:p w14:paraId="2D75DF28">
      <w:pPr>
        <w:rPr>
          <w:rFonts w:hint="eastAsia" w:ascii="宋体" w:hAnsi="宋体" w:eastAsia="宋体" w:cs="宋体"/>
          <w:b/>
          <w:color w:val="auto"/>
          <w:szCs w:val="21"/>
          <w:highlight w:val="none"/>
        </w:rPr>
      </w:pPr>
    </w:p>
    <w:p w14:paraId="52FE1D05">
      <w:pPr>
        <w:rPr>
          <w:rFonts w:hint="eastAsia" w:ascii="宋体" w:hAnsi="宋体" w:eastAsia="宋体" w:cs="宋体"/>
          <w:b/>
          <w:color w:val="auto"/>
          <w:szCs w:val="21"/>
          <w:highlight w:val="none"/>
        </w:rPr>
      </w:pPr>
    </w:p>
    <w:p w14:paraId="749C07BD">
      <w:pPr>
        <w:rPr>
          <w:rFonts w:hint="eastAsia" w:ascii="宋体" w:hAnsi="宋体" w:eastAsia="宋体" w:cs="宋体"/>
          <w:b/>
          <w:color w:val="auto"/>
          <w:szCs w:val="21"/>
          <w:highlight w:val="none"/>
        </w:rPr>
      </w:pPr>
    </w:p>
    <w:p w14:paraId="62488A15">
      <w:pPr>
        <w:rPr>
          <w:rFonts w:hint="eastAsia" w:ascii="宋体" w:hAnsi="宋体" w:eastAsia="宋体" w:cs="宋体"/>
          <w:b/>
          <w:color w:val="auto"/>
          <w:szCs w:val="21"/>
          <w:highlight w:val="none"/>
        </w:rPr>
      </w:pPr>
    </w:p>
    <w:p w14:paraId="1215D432">
      <w:pPr>
        <w:rPr>
          <w:rFonts w:hint="eastAsia" w:ascii="宋体" w:hAnsi="宋体" w:eastAsia="宋体" w:cs="宋体"/>
          <w:b/>
          <w:color w:val="auto"/>
          <w:szCs w:val="21"/>
          <w:highlight w:val="none"/>
        </w:rPr>
      </w:pPr>
    </w:p>
    <w:p w14:paraId="250C1EE1">
      <w:pPr>
        <w:rPr>
          <w:rFonts w:hint="eastAsia" w:ascii="宋体" w:hAnsi="宋体" w:eastAsia="宋体" w:cs="宋体"/>
          <w:b/>
          <w:color w:val="auto"/>
          <w:szCs w:val="21"/>
          <w:highlight w:val="none"/>
        </w:rPr>
      </w:pPr>
    </w:p>
    <w:p w14:paraId="30230B70">
      <w:pPr>
        <w:rPr>
          <w:rFonts w:hint="eastAsia" w:ascii="宋体" w:hAnsi="宋体" w:eastAsia="宋体" w:cs="宋体"/>
          <w:b/>
          <w:color w:val="auto"/>
          <w:szCs w:val="21"/>
          <w:highlight w:val="none"/>
        </w:rPr>
      </w:pPr>
    </w:p>
    <w:p w14:paraId="41F474CD">
      <w:pPr>
        <w:rPr>
          <w:rFonts w:hint="eastAsia" w:ascii="宋体" w:hAnsi="宋体" w:eastAsia="宋体" w:cs="宋体"/>
          <w:b/>
          <w:color w:val="auto"/>
          <w:szCs w:val="21"/>
          <w:highlight w:val="none"/>
        </w:rPr>
      </w:pPr>
    </w:p>
    <w:p w14:paraId="248DF861">
      <w:pPr>
        <w:rPr>
          <w:rFonts w:hint="eastAsia" w:ascii="宋体" w:hAnsi="宋体" w:eastAsia="宋体" w:cs="宋体"/>
          <w:b/>
          <w:color w:val="auto"/>
          <w:szCs w:val="21"/>
          <w:highlight w:val="none"/>
        </w:rPr>
      </w:pPr>
    </w:p>
    <w:p w14:paraId="31F47740">
      <w:pPr>
        <w:rPr>
          <w:rFonts w:hint="eastAsia" w:ascii="宋体" w:hAnsi="宋体" w:eastAsia="宋体" w:cs="宋体"/>
          <w:b/>
          <w:color w:val="auto"/>
          <w:szCs w:val="21"/>
          <w:highlight w:val="none"/>
        </w:rPr>
      </w:pPr>
    </w:p>
    <w:p w14:paraId="62817AD6">
      <w:pPr>
        <w:rPr>
          <w:rFonts w:hint="eastAsia" w:ascii="宋体" w:hAnsi="宋体" w:eastAsia="宋体" w:cs="宋体"/>
          <w:b/>
          <w:color w:val="auto"/>
          <w:szCs w:val="21"/>
          <w:highlight w:val="none"/>
        </w:rPr>
      </w:pPr>
    </w:p>
    <w:p w14:paraId="4186EF0B">
      <w:pPr>
        <w:spacing w:line="320" w:lineRule="exact"/>
        <w:rPr>
          <w:rFonts w:hint="eastAsia" w:ascii="宋体" w:hAnsi="宋体" w:eastAsia="宋体" w:cs="宋体"/>
          <w:color w:val="auto"/>
          <w:szCs w:val="21"/>
          <w:highlight w:val="none"/>
        </w:rPr>
      </w:pPr>
    </w:p>
    <w:p w14:paraId="4F4C3873">
      <w:pPr>
        <w:spacing w:line="320" w:lineRule="exact"/>
        <w:rPr>
          <w:rFonts w:hint="eastAsia" w:ascii="宋体" w:hAnsi="宋体" w:eastAsia="宋体" w:cs="宋体"/>
          <w:color w:val="auto"/>
          <w:szCs w:val="21"/>
          <w:highlight w:val="none"/>
        </w:rPr>
      </w:pPr>
    </w:p>
    <w:p w14:paraId="00C648AC">
      <w:pPr>
        <w:spacing w:line="320" w:lineRule="exact"/>
        <w:rPr>
          <w:rFonts w:hint="eastAsia" w:ascii="宋体" w:hAnsi="宋体" w:eastAsia="宋体" w:cs="宋体"/>
          <w:color w:val="auto"/>
          <w:szCs w:val="21"/>
          <w:highlight w:val="none"/>
        </w:rPr>
      </w:pPr>
    </w:p>
    <w:p w14:paraId="26C14806">
      <w:pPr>
        <w:spacing w:line="320" w:lineRule="exact"/>
        <w:rPr>
          <w:rFonts w:hint="eastAsia" w:ascii="宋体" w:hAnsi="宋体" w:eastAsia="宋体" w:cs="宋体"/>
          <w:color w:val="auto"/>
          <w:szCs w:val="21"/>
          <w:highlight w:val="none"/>
        </w:rPr>
      </w:pPr>
    </w:p>
    <w:p w14:paraId="32B60115">
      <w:pPr>
        <w:spacing w:line="320" w:lineRule="exact"/>
        <w:rPr>
          <w:rFonts w:hint="eastAsia" w:ascii="宋体" w:hAnsi="宋体" w:eastAsia="宋体" w:cs="宋体"/>
          <w:color w:val="auto"/>
          <w:szCs w:val="21"/>
          <w:highlight w:val="none"/>
        </w:rPr>
      </w:pPr>
    </w:p>
    <w:p w14:paraId="60C98FAF">
      <w:pPr>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四、商务响应表格式</w:t>
      </w:r>
    </w:p>
    <w:p w14:paraId="06170AF4">
      <w:pPr>
        <w:jc w:val="center"/>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商务响应表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4664"/>
        <w:gridCol w:w="736"/>
        <w:gridCol w:w="2735"/>
      </w:tblGrid>
      <w:tr w14:paraId="117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7534C5D">
            <w:pPr>
              <w:pStyle w:val="2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4664" w:type="dxa"/>
            <w:tcBorders>
              <w:top w:val="single" w:color="auto" w:sz="4" w:space="0"/>
              <w:left w:val="single" w:color="auto" w:sz="4" w:space="0"/>
              <w:bottom w:val="single" w:color="auto" w:sz="4" w:space="0"/>
              <w:right w:val="single" w:color="auto" w:sz="4" w:space="0"/>
            </w:tcBorders>
            <w:vAlign w:val="center"/>
          </w:tcPr>
          <w:p w14:paraId="74F76E94">
            <w:pPr>
              <w:pStyle w:val="2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磋商文件的商务条款</w:t>
            </w:r>
          </w:p>
        </w:tc>
        <w:tc>
          <w:tcPr>
            <w:tcW w:w="736" w:type="dxa"/>
            <w:tcBorders>
              <w:top w:val="single" w:color="auto" w:sz="4" w:space="0"/>
              <w:left w:val="single" w:color="auto" w:sz="4" w:space="0"/>
              <w:bottom w:val="single" w:color="auto" w:sz="4" w:space="0"/>
              <w:right w:val="single" w:color="auto" w:sz="4" w:space="0"/>
            </w:tcBorders>
            <w:vAlign w:val="center"/>
          </w:tcPr>
          <w:p w14:paraId="64181FDC">
            <w:pPr>
              <w:pStyle w:val="2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c>
          <w:tcPr>
            <w:tcW w:w="2735" w:type="dxa"/>
            <w:tcBorders>
              <w:top w:val="single" w:color="auto" w:sz="4" w:space="0"/>
              <w:left w:val="single" w:color="auto" w:sz="4" w:space="0"/>
              <w:bottom w:val="single" w:color="auto" w:sz="4" w:space="0"/>
              <w:right w:val="single" w:color="auto" w:sz="4" w:space="0"/>
            </w:tcBorders>
            <w:vAlign w:val="center"/>
          </w:tcPr>
          <w:p w14:paraId="00765D6E">
            <w:pPr>
              <w:pStyle w:val="2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响应文件的承诺或说明</w:t>
            </w:r>
          </w:p>
        </w:tc>
      </w:tr>
      <w:tr w14:paraId="3AC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2D44BF8">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发包方式</w:t>
            </w:r>
          </w:p>
        </w:tc>
        <w:tc>
          <w:tcPr>
            <w:tcW w:w="4664" w:type="dxa"/>
            <w:tcBorders>
              <w:top w:val="single" w:color="auto" w:sz="4" w:space="0"/>
              <w:left w:val="single" w:color="auto" w:sz="4" w:space="0"/>
              <w:bottom w:val="single" w:color="auto" w:sz="4" w:space="0"/>
              <w:right w:val="single" w:color="auto" w:sz="4" w:space="0"/>
            </w:tcBorders>
            <w:vAlign w:val="center"/>
          </w:tcPr>
          <w:p w14:paraId="491AF048">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color w:val="auto"/>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308C4B6">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14:paraId="66609A80">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14:paraId="2711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30528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工期</w:t>
            </w:r>
          </w:p>
        </w:tc>
        <w:tc>
          <w:tcPr>
            <w:tcW w:w="4664" w:type="dxa"/>
            <w:tcBorders>
              <w:top w:val="single" w:color="auto" w:sz="4" w:space="0"/>
              <w:left w:val="single" w:color="auto" w:sz="4" w:space="0"/>
              <w:bottom w:val="single" w:color="auto" w:sz="4" w:space="0"/>
              <w:right w:val="single" w:color="auto" w:sz="4" w:space="0"/>
            </w:tcBorders>
            <w:vAlign w:val="center"/>
          </w:tcPr>
          <w:p w14:paraId="48AFDC26">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color w:val="auto"/>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3B3D6A8C">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14:paraId="509C6146">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14:paraId="091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63358DF0">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4664" w:type="dxa"/>
            <w:tcBorders>
              <w:top w:val="single" w:color="auto" w:sz="4" w:space="0"/>
              <w:left w:val="single" w:color="auto" w:sz="4" w:space="0"/>
              <w:bottom w:val="single" w:color="auto" w:sz="4" w:space="0"/>
              <w:right w:val="single" w:color="auto" w:sz="4" w:space="0"/>
            </w:tcBorders>
            <w:vAlign w:val="center"/>
          </w:tcPr>
          <w:p w14:paraId="2BCABC99">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color w:val="auto"/>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6611AFBA">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14:paraId="50F9CE84">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14:paraId="1A80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1F19DB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w:t>
            </w:r>
          </w:p>
        </w:tc>
        <w:tc>
          <w:tcPr>
            <w:tcW w:w="4664" w:type="dxa"/>
            <w:tcBorders>
              <w:top w:val="single" w:color="auto" w:sz="4" w:space="0"/>
              <w:left w:val="single" w:color="auto" w:sz="4" w:space="0"/>
              <w:bottom w:val="single" w:color="auto" w:sz="4" w:space="0"/>
              <w:right w:val="single" w:color="auto" w:sz="4" w:space="0"/>
            </w:tcBorders>
            <w:vAlign w:val="center"/>
          </w:tcPr>
          <w:p w14:paraId="17F1D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36A90721">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14:paraId="4252D1CB">
            <w:pPr>
              <w:pStyle w:val="2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bl>
    <w:p w14:paraId="572CF4B9">
      <w:pPr>
        <w:rPr>
          <w:rFonts w:hint="eastAsia" w:ascii="宋体" w:hAnsi="宋体" w:eastAsia="宋体" w:cs="宋体"/>
          <w:b/>
          <w:color w:val="auto"/>
          <w:szCs w:val="21"/>
          <w:highlight w:val="none"/>
        </w:rPr>
      </w:pPr>
    </w:p>
    <w:p w14:paraId="10C4D14B">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9A1FFD5">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711327B">
      <w:pPr>
        <w:rPr>
          <w:rFonts w:hint="eastAsia" w:ascii="宋体" w:hAnsi="宋体" w:eastAsia="宋体" w:cs="宋体"/>
          <w:b/>
          <w:color w:val="auto"/>
          <w:szCs w:val="21"/>
          <w:highlight w:val="none"/>
        </w:rPr>
      </w:pPr>
    </w:p>
    <w:p w14:paraId="17F5E6D0">
      <w:pPr>
        <w:rPr>
          <w:rFonts w:hint="eastAsia" w:ascii="宋体" w:hAnsi="宋体" w:eastAsia="宋体" w:cs="宋体"/>
          <w:b/>
          <w:color w:val="auto"/>
          <w:szCs w:val="21"/>
          <w:highlight w:val="none"/>
        </w:rPr>
      </w:pPr>
    </w:p>
    <w:p w14:paraId="71DCE845">
      <w:pPr>
        <w:rPr>
          <w:rFonts w:hint="eastAsia" w:ascii="宋体" w:hAnsi="宋体" w:eastAsia="宋体" w:cs="宋体"/>
          <w:b/>
          <w:color w:val="auto"/>
          <w:szCs w:val="21"/>
          <w:highlight w:val="none"/>
        </w:rPr>
      </w:pPr>
    </w:p>
    <w:p w14:paraId="13106567">
      <w:pPr>
        <w:spacing w:line="32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项目管理机构配备表</w:t>
      </w:r>
      <w:r>
        <w:rPr>
          <w:rFonts w:hint="eastAsia" w:ascii="宋体" w:hAnsi="宋体" w:eastAsia="宋体" w:cs="宋体"/>
          <w:b/>
          <w:color w:val="auto"/>
          <w:sz w:val="24"/>
          <w:szCs w:val="24"/>
          <w:highlight w:val="none"/>
        </w:rPr>
        <w:t>格式</w:t>
      </w:r>
    </w:p>
    <w:p w14:paraId="1B514116">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项目管理机构配备表</w:t>
      </w:r>
    </w:p>
    <w:tbl>
      <w:tblPr>
        <w:tblStyle w:val="4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354"/>
        <w:gridCol w:w="1547"/>
        <w:gridCol w:w="1547"/>
        <w:gridCol w:w="1547"/>
        <w:gridCol w:w="1547"/>
      </w:tblGrid>
      <w:tr w14:paraId="6218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964" w:type="dxa"/>
            <w:noWrap w:val="0"/>
            <w:vAlign w:val="center"/>
          </w:tcPr>
          <w:p w14:paraId="60760880">
            <w:pPr>
              <w:ind w:left="223" w:hanging="222" w:hangingChars="106"/>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岗位</w:t>
            </w:r>
          </w:p>
        </w:tc>
        <w:tc>
          <w:tcPr>
            <w:tcW w:w="1354" w:type="dxa"/>
            <w:noWrap w:val="0"/>
            <w:vAlign w:val="center"/>
          </w:tcPr>
          <w:p w14:paraId="38FE069D">
            <w:pPr>
              <w:ind w:left="223" w:hanging="222" w:hangingChars="106"/>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p>
        </w:tc>
        <w:tc>
          <w:tcPr>
            <w:tcW w:w="1547" w:type="dxa"/>
            <w:noWrap w:val="0"/>
            <w:vAlign w:val="center"/>
          </w:tcPr>
          <w:p w14:paraId="3E0D801D">
            <w:pPr>
              <w:ind w:left="223" w:hanging="222" w:hangingChars="106"/>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职称</w:t>
            </w:r>
          </w:p>
        </w:tc>
        <w:tc>
          <w:tcPr>
            <w:tcW w:w="1547" w:type="dxa"/>
            <w:noWrap w:val="0"/>
            <w:vAlign w:val="center"/>
          </w:tcPr>
          <w:p w14:paraId="48D1413E">
            <w:pPr>
              <w:ind w:left="223" w:hanging="222" w:hangingChars="106"/>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专业</w:t>
            </w:r>
          </w:p>
        </w:tc>
        <w:tc>
          <w:tcPr>
            <w:tcW w:w="1547" w:type="dxa"/>
            <w:noWrap w:val="0"/>
            <w:vAlign w:val="center"/>
          </w:tcPr>
          <w:p w14:paraId="47636BB3">
            <w:pPr>
              <w:ind w:left="223" w:hanging="222" w:hangingChars="106"/>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资格证书名称</w:t>
            </w:r>
          </w:p>
        </w:tc>
        <w:tc>
          <w:tcPr>
            <w:tcW w:w="1547" w:type="dxa"/>
            <w:noWrap w:val="0"/>
            <w:vAlign w:val="center"/>
          </w:tcPr>
          <w:p w14:paraId="468DB3D4">
            <w:pPr>
              <w:ind w:left="223" w:hanging="222" w:hangingChars="106"/>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其他</w:t>
            </w:r>
          </w:p>
        </w:tc>
      </w:tr>
      <w:tr w14:paraId="317B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64" w:type="dxa"/>
            <w:noWrap w:val="0"/>
            <w:vAlign w:val="center"/>
          </w:tcPr>
          <w:p w14:paraId="400F45E3">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6FBE96B4">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062AF2E6">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25F3A9F9">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62A181A6">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486FAAA6">
            <w:pPr>
              <w:ind w:left="223" w:hanging="222" w:hangingChars="106"/>
              <w:jc w:val="center"/>
              <w:rPr>
                <w:rFonts w:hint="eastAsia" w:ascii="宋体" w:hAnsi="宋体" w:eastAsia="宋体" w:cs="宋体"/>
                <w:color w:val="auto"/>
                <w:kern w:val="0"/>
                <w:szCs w:val="20"/>
                <w:highlight w:val="none"/>
              </w:rPr>
            </w:pPr>
          </w:p>
        </w:tc>
      </w:tr>
      <w:tr w14:paraId="782D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64" w:type="dxa"/>
            <w:noWrap w:val="0"/>
            <w:vAlign w:val="center"/>
          </w:tcPr>
          <w:p w14:paraId="54E0BD82">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026FC73E">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2452FD02">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0747282E">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455B20EB">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5AAFD152">
            <w:pPr>
              <w:ind w:left="223" w:hanging="222" w:hangingChars="106"/>
              <w:jc w:val="center"/>
              <w:rPr>
                <w:rFonts w:hint="eastAsia" w:ascii="宋体" w:hAnsi="宋体" w:eastAsia="宋体" w:cs="宋体"/>
                <w:color w:val="auto"/>
                <w:kern w:val="0"/>
                <w:szCs w:val="20"/>
                <w:highlight w:val="none"/>
              </w:rPr>
            </w:pPr>
          </w:p>
        </w:tc>
      </w:tr>
      <w:tr w14:paraId="7357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64" w:type="dxa"/>
            <w:noWrap w:val="0"/>
            <w:vAlign w:val="center"/>
          </w:tcPr>
          <w:p w14:paraId="6363D77A">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3D5E3DBA">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2A02FB4E">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087845D5">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10975DDE">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3E2DE1F3">
            <w:pPr>
              <w:ind w:left="223" w:hanging="222" w:hangingChars="106"/>
              <w:jc w:val="center"/>
              <w:rPr>
                <w:rFonts w:hint="eastAsia" w:ascii="宋体" w:hAnsi="宋体" w:eastAsia="宋体" w:cs="宋体"/>
                <w:color w:val="auto"/>
                <w:kern w:val="0"/>
                <w:szCs w:val="20"/>
                <w:highlight w:val="none"/>
              </w:rPr>
            </w:pPr>
          </w:p>
        </w:tc>
      </w:tr>
      <w:tr w14:paraId="7E96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64" w:type="dxa"/>
            <w:noWrap w:val="0"/>
            <w:vAlign w:val="center"/>
          </w:tcPr>
          <w:p w14:paraId="0EC1CB93">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30A063EC">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6A916814">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36F76F23">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2A587F34">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3173ECF2">
            <w:pPr>
              <w:ind w:left="223" w:hanging="222" w:hangingChars="106"/>
              <w:jc w:val="center"/>
              <w:rPr>
                <w:rFonts w:hint="eastAsia" w:ascii="宋体" w:hAnsi="宋体" w:eastAsia="宋体" w:cs="宋体"/>
                <w:color w:val="auto"/>
                <w:kern w:val="0"/>
                <w:szCs w:val="20"/>
                <w:highlight w:val="none"/>
              </w:rPr>
            </w:pPr>
          </w:p>
        </w:tc>
      </w:tr>
      <w:tr w14:paraId="7347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64" w:type="dxa"/>
            <w:noWrap w:val="0"/>
            <w:vAlign w:val="center"/>
          </w:tcPr>
          <w:p w14:paraId="4BD62334">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5C340C36">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0F246F12">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218FC36D">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4C802A56">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65A9A9A7">
            <w:pPr>
              <w:ind w:left="223" w:hanging="222" w:hangingChars="106"/>
              <w:jc w:val="center"/>
              <w:rPr>
                <w:rFonts w:hint="eastAsia" w:ascii="宋体" w:hAnsi="宋体" w:eastAsia="宋体" w:cs="宋体"/>
                <w:color w:val="auto"/>
                <w:kern w:val="0"/>
                <w:szCs w:val="20"/>
                <w:highlight w:val="none"/>
              </w:rPr>
            </w:pPr>
          </w:p>
        </w:tc>
      </w:tr>
      <w:tr w14:paraId="2253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64" w:type="dxa"/>
            <w:noWrap w:val="0"/>
            <w:vAlign w:val="center"/>
          </w:tcPr>
          <w:p w14:paraId="2510C764">
            <w:pPr>
              <w:ind w:left="223" w:hanging="222" w:hangingChars="106"/>
              <w:jc w:val="center"/>
              <w:rPr>
                <w:rFonts w:hint="eastAsia" w:ascii="宋体" w:hAnsi="宋体" w:eastAsia="宋体" w:cs="宋体"/>
                <w:color w:val="auto"/>
                <w:kern w:val="0"/>
                <w:szCs w:val="21"/>
                <w:highlight w:val="none"/>
              </w:rPr>
            </w:pPr>
          </w:p>
        </w:tc>
        <w:tc>
          <w:tcPr>
            <w:tcW w:w="1354" w:type="dxa"/>
            <w:noWrap w:val="0"/>
            <w:vAlign w:val="center"/>
          </w:tcPr>
          <w:p w14:paraId="291129BD">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1668A99C">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66B1FC00">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56786365">
            <w:pPr>
              <w:ind w:left="223" w:hanging="222" w:hangingChars="106"/>
              <w:jc w:val="center"/>
              <w:rPr>
                <w:rFonts w:hint="eastAsia" w:ascii="宋体" w:hAnsi="宋体" w:eastAsia="宋体" w:cs="宋体"/>
                <w:color w:val="auto"/>
                <w:kern w:val="0"/>
                <w:szCs w:val="20"/>
                <w:highlight w:val="none"/>
              </w:rPr>
            </w:pPr>
          </w:p>
        </w:tc>
        <w:tc>
          <w:tcPr>
            <w:tcW w:w="1547" w:type="dxa"/>
            <w:noWrap w:val="0"/>
            <w:vAlign w:val="center"/>
          </w:tcPr>
          <w:p w14:paraId="362D948C">
            <w:pPr>
              <w:ind w:left="223" w:hanging="222" w:hangingChars="106"/>
              <w:jc w:val="center"/>
              <w:rPr>
                <w:rFonts w:hint="eastAsia" w:ascii="宋体" w:hAnsi="宋体" w:eastAsia="宋体" w:cs="宋体"/>
                <w:color w:val="auto"/>
                <w:kern w:val="0"/>
                <w:szCs w:val="20"/>
                <w:highlight w:val="none"/>
              </w:rPr>
            </w:pPr>
          </w:p>
        </w:tc>
      </w:tr>
    </w:tbl>
    <w:p w14:paraId="1E1513A1">
      <w:pPr>
        <w:tabs>
          <w:tab w:val="left" w:pos="0"/>
        </w:tabs>
        <w:spacing w:line="360" w:lineRule="auto"/>
        <w:ind w:right="-210"/>
        <w:rPr>
          <w:rFonts w:hint="eastAsia" w:ascii="宋体" w:hAnsi="宋体" w:eastAsia="宋体" w:cs="宋体"/>
          <w:color w:val="auto"/>
          <w:kern w:val="0"/>
          <w:szCs w:val="20"/>
          <w:highlight w:val="none"/>
        </w:rPr>
      </w:pPr>
    </w:p>
    <w:p w14:paraId="6A111E16">
      <w:pPr>
        <w:spacing w:line="360" w:lineRule="auto"/>
        <w:ind w:firstLine="422" w:firstLineChars="200"/>
        <w:rPr>
          <w:rFonts w:hint="eastAsia" w:ascii="宋体" w:hAnsi="宋体" w:eastAsia="宋体" w:cs="宋体"/>
          <w:color w:val="auto"/>
          <w:kern w:val="0"/>
          <w:szCs w:val="20"/>
          <w:highlight w:val="none"/>
        </w:rPr>
      </w:pPr>
      <w:r>
        <w:rPr>
          <w:rFonts w:hint="eastAsia" w:ascii="宋体" w:hAnsi="宋体" w:eastAsia="宋体" w:cs="宋体"/>
          <w:b/>
          <w:color w:val="auto"/>
          <w:kern w:val="0"/>
          <w:szCs w:val="21"/>
          <w:highlight w:val="none"/>
        </w:rPr>
        <w:t>备注：</w:t>
      </w:r>
      <w:r>
        <w:rPr>
          <w:rFonts w:hint="eastAsia" w:ascii="宋体" w:hAnsi="宋体" w:eastAsia="宋体" w:cs="宋体"/>
          <w:color w:val="auto"/>
          <w:kern w:val="0"/>
          <w:szCs w:val="20"/>
          <w:highlight w:val="none"/>
        </w:rPr>
        <w:t>竞标人应如实填写，并对所填信息及提供材料的真实性负责。附相关证件（如有）</w:t>
      </w:r>
    </w:p>
    <w:p w14:paraId="29219C73">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51F5B1A1">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9980FF7">
      <w:pPr>
        <w:spacing w:line="500" w:lineRule="exact"/>
        <w:jc w:val="center"/>
        <w:rPr>
          <w:rFonts w:hint="eastAsia" w:ascii="宋体" w:hAnsi="宋体" w:eastAsia="宋体" w:cs="宋体"/>
          <w:b/>
          <w:color w:val="auto"/>
          <w:sz w:val="32"/>
          <w:szCs w:val="32"/>
          <w:highlight w:val="none"/>
          <w:lang w:eastAsia="zh-CN"/>
        </w:rPr>
      </w:pPr>
    </w:p>
    <w:p w14:paraId="67F8312A">
      <w:pPr>
        <w:rPr>
          <w:rFonts w:hint="eastAsia" w:ascii="宋体" w:hAnsi="宋体" w:eastAsia="宋体" w:cs="宋体"/>
          <w:b/>
          <w:color w:val="auto"/>
          <w:szCs w:val="21"/>
          <w:highlight w:val="none"/>
          <w:lang w:val="en-US" w:eastAsia="zh-CN"/>
        </w:rPr>
      </w:pPr>
    </w:p>
    <w:p w14:paraId="6E3A53F0">
      <w:pPr>
        <w:rPr>
          <w:rFonts w:hint="eastAsia" w:ascii="宋体" w:hAnsi="宋体" w:eastAsia="宋体" w:cs="宋体"/>
          <w:b/>
          <w:color w:val="auto"/>
          <w:szCs w:val="21"/>
          <w:highlight w:val="none"/>
          <w:lang w:val="en-US" w:eastAsia="zh-CN"/>
        </w:rPr>
      </w:pPr>
    </w:p>
    <w:p w14:paraId="0E418AF5">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六、项目经理简历表格式</w:t>
      </w:r>
    </w:p>
    <w:p w14:paraId="17608BA1">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项目经理简历表</w:t>
      </w:r>
    </w:p>
    <w:tbl>
      <w:tblPr>
        <w:tblStyle w:val="44"/>
        <w:tblW w:w="0" w:type="auto"/>
        <w:jc w:val="center"/>
        <w:tblLayout w:type="fixed"/>
        <w:tblCellMar>
          <w:top w:w="0" w:type="dxa"/>
          <w:left w:w="0" w:type="dxa"/>
          <w:bottom w:w="0" w:type="dxa"/>
          <w:right w:w="0" w:type="dxa"/>
        </w:tblCellMar>
      </w:tblPr>
      <w:tblGrid>
        <w:gridCol w:w="560"/>
        <w:gridCol w:w="553"/>
        <w:gridCol w:w="710"/>
        <w:gridCol w:w="731"/>
        <w:gridCol w:w="140"/>
        <w:gridCol w:w="259"/>
        <w:gridCol w:w="303"/>
        <w:gridCol w:w="402"/>
        <w:gridCol w:w="146"/>
        <w:gridCol w:w="145"/>
        <w:gridCol w:w="564"/>
        <w:gridCol w:w="210"/>
        <w:gridCol w:w="74"/>
        <w:gridCol w:w="429"/>
        <w:gridCol w:w="279"/>
        <w:gridCol w:w="586"/>
        <w:gridCol w:w="410"/>
        <w:gridCol w:w="279"/>
        <w:gridCol w:w="97"/>
        <w:gridCol w:w="151"/>
        <w:gridCol w:w="481"/>
        <w:gridCol w:w="705"/>
        <w:gridCol w:w="123"/>
        <w:gridCol w:w="878"/>
      </w:tblGrid>
      <w:tr w14:paraId="688337EE">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19330D5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名</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13025D6">
            <w:pPr>
              <w:jc w:val="center"/>
              <w:rPr>
                <w:rFonts w:hint="eastAsia" w:ascii="宋体" w:hAnsi="宋体" w:eastAsia="宋体" w:cs="宋体"/>
                <w:color w:val="auto"/>
                <w:kern w:val="0"/>
                <w:sz w:val="21"/>
                <w:szCs w:val="21"/>
                <w:highlight w:val="none"/>
              </w:rPr>
            </w:pPr>
          </w:p>
        </w:tc>
        <w:tc>
          <w:tcPr>
            <w:tcW w:w="1104" w:type="dxa"/>
            <w:gridSpan w:val="4"/>
            <w:tcBorders>
              <w:top w:val="single" w:color="000000" w:sz="4" w:space="0"/>
              <w:left w:val="single" w:color="000000" w:sz="4" w:space="0"/>
              <w:bottom w:val="single" w:color="000000" w:sz="4" w:space="0"/>
              <w:right w:val="single" w:color="000000" w:sz="4" w:space="0"/>
            </w:tcBorders>
            <w:noWrap w:val="0"/>
            <w:vAlign w:val="center"/>
          </w:tcPr>
          <w:p w14:paraId="4E83131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龄</w:t>
            </w:r>
          </w:p>
        </w:tc>
        <w:tc>
          <w:tcPr>
            <w:tcW w:w="1065" w:type="dxa"/>
            <w:gridSpan w:val="4"/>
            <w:tcBorders>
              <w:top w:val="single" w:color="000000" w:sz="4" w:space="0"/>
              <w:left w:val="single" w:color="000000" w:sz="4" w:space="0"/>
              <w:bottom w:val="single" w:color="000000" w:sz="4" w:space="0"/>
              <w:right w:val="single" w:color="000000" w:sz="4" w:space="0"/>
            </w:tcBorders>
            <w:noWrap w:val="0"/>
            <w:vAlign w:val="center"/>
          </w:tcPr>
          <w:p w14:paraId="35AC95E3">
            <w:pPr>
              <w:jc w:val="center"/>
              <w:rPr>
                <w:rFonts w:hint="eastAsia" w:ascii="宋体" w:hAnsi="宋体" w:eastAsia="宋体" w:cs="宋体"/>
                <w:color w:val="auto"/>
                <w:kern w:val="0"/>
                <w:sz w:val="21"/>
                <w:szCs w:val="21"/>
                <w:highlight w:val="none"/>
              </w:rPr>
            </w:pPr>
          </w:p>
        </w:tc>
        <w:tc>
          <w:tcPr>
            <w:tcW w:w="2154" w:type="dxa"/>
            <w:gridSpan w:val="7"/>
            <w:tcBorders>
              <w:top w:val="single" w:color="000000" w:sz="4" w:space="0"/>
              <w:left w:val="single" w:color="000000" w:sz="4" w:space="0"/>
              <w:bottom w:val="single" w:color="000000" w:sz="4" w:space="0"/>
              <w:right w:val="single" w:color="000000" w:sz="4" w:space="0"/>
            </w:tcBorders>
            <w:noWrap w:val="0"/>
            <w:vAlign w:val="center"/>
          </w:tcPr>
          <w:p w14:paraId="20A46C9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2338" w:type="dxa"/>
            <w:gridSpan w:val="5"/>
            <w:tcBorders>
              <w:top w:val="single" w:color="000000" w:sz="4" w:space="0"/>
              <w:left w:val="single" w:color="000000" w:sz="4" w:space="0"/>
              <w:bottom w:val="single" w:color="000000" w:sz="4" w:space="0"/>
              <w:right w:val="single" w:color="000000" w:sz="4" w:space="0"/>
            </w:tcBorders>
            <w:noWrap w:val="0"/>
            <w:vAlign w:val="center"/>
          </w:tcPr>
          <w:p w14:paraId="0A45AFDB">
            <w:pPr>
              <w:jc w:val="center"/>
              <w:rPr>
                <w:rFonts w:hint="eastAsia" w:ascii="宋体" w:hAnsi="宋体" w:eastAsia="宋体" w:cs="宋体"/>
                <w:color w:val="auto"/>
                <w:kern w:val="0"/>
                <w:sz w:val="21"/>
                <w:szCs w:val="21"/>
                <w:highlight w:val="none"/>
              </w:rPr>
            </w:pPr>
          </w:p>
        </w:tc>
      </w:tr>
      <w:tr w14:paraId="4DCB42BB">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4D5DC75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称</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4BEDF4A">
            <w:pPr>
              <w:jc w:val="center"/>
              <w:rPr>
                <w:rFonts w:hint="eastAsia" w:ascii="宋体" w:hAnsi="宋体" w:eastAsia="宋体" w:cs="宋体"/>
                <w:color w:val="auto"/>
                <w:kern w:val="0"/>
                <w:sz w:val="21"/>
                <w:szCs w:val="21"/>
                <w:highlight w:val="none"/>
              </w:rPr>
            </w:pPr>
          </w:p>
        </w:tc>
        <w:tc>
          <w:tcPr>
            <w:tcW w:w="1104" w:type="dxa"/>
            <w:gridSpan w:val="4"/>
            <w:tcBorders>
              <w:top w:val="single" w:color="000000" w:sz="4" w:space="0"/>
              <w:left w:val="single" w:color="000000" w:sz="4" w:space="0"/>
              <w:bottom w:val="single" w:color="000000" w:sz="4" w:space="0"/>
              <w:right w:val="single" w:color="000000" w:sz="4" w:space="0"/>
            </w:tcBorders>
            <w:noWrap w:val="0"/>
            <w:vAlign w:val="center"/>
          </w:tcPr>
          <w:p w14:paraId="5B83573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p>
        </w:tc>
        <w:tc>
          <w:tcPr>
            <w:tcW w:w="1065" w:type="dxa"/>
            <w:gridSpan w:val="4"/>
            <w:tcBorders>
              <w:top w:val="single" w:color="000000" w:sz="4" w:space="0"/>
              <w:left w:val="single" w:color="000000" w:sz="4" w:space="0"/>
              <w:bottom w:val="single" w:color="000000" w:sz="4" w:space="0"/>
              <w:right w:val="single" w:color="000000" w:sz="4" w:space="0"/>
            </w:tcBorders>
            <w:noWrap w:val="0"/>
            <w:vAlign w:val="center"/>
          </w:tcPr>
          <w:p w14:paraId="2F493008">
            <w:pPr>
              <w:jc w:val="center"/>
              <w:rPr>
                <w:rFonts w:hint="eastAsia" w:ascii="宋体" w:hAnsi="宋体" w:eastAsia="宋体" w:cs="宋体"/>
                <w:color w:val="auto"/>
                <w:kern w:val="0"/>
                <w:sz w:val="21"/>
                <w:szCs w:val="21"/>
                <w:highlight w:val="none"/>
              </w:rPr>
            </w:pPr>
          </w:p>
        </w:tc>
        <w:tc>
          <w:tcPr>
            <w:tcW w:w="2154" w:type="dxa"/>
            <w:gridSpan w:val="7"/>
            <w:tcBorders>
              <w:top w:val="single" w:color="000000" w:sz="4" w:space="0"/>
              <w:left w:val="single" w:color="000000" w:sz="4" w:space="0"/>
              <w:bottom w:val="single" w:color="000000" w:sz="4" w:space="0"/>
              <w:right w:val="single" w:color="000000" w:sz="4" w:space="0"/>
            </w:tcBorders>
            <w:noWrap w:val="0"/>
            <w:vAlign w:val="center"/>
          </w:tcPr>
          <w:p w14:paraId="51E55D6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拟在本合同任职</w:t>
            </w:r>
          </w:p>
        </w:tc>
        <w:tc>
          <w:tcPr>
            <w:tcW w:w="2338" w:type="dxa"/>
            <w:gridSpan w:val="5"/>
            <w:tcBorders>
              <w:top w:val="single" w:color="000000" w:sz="4" w:space="0"/>
              <w:left w:val="single" w:color="000000" w:sz="4" w:space="0"/>
              <w:bottom w:val="single" w:color="000000" w:sz="4" w:space="0"/>
              <w:right w:val="single" w:color="000000" w:sz="4" w:space="0"/>
            </w:tcBorders>
            <w:noWrap w:val="0"/>
            <w:vAlign w:val="center"/>
          </w:tcPr>
          <w:p w14:paraId="10F080F7">
            <w:pPr>
              <w:jc w:val="center"/>
              <w:rPr>
                <w:rFonts w:hint="eastAsia" w:ascii="宋体" w:hAnsi="宋体" w:eastAsia="宋体" w:cs="宋体"/>
                <w:color w:val="auto"/>
                <w:kern w:val="0"/>
                <w:sz w:val="21"/>
                <w:szCs w:val="21"/>
                <w:highlight w:val="none"/>
              </w:rPr>
            </w:pPr>
          </w:p>
        </w:tc>
      </w:tr>
      <w:tr w14:paraId="4719942A">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14:paraId="77C1FBA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毕业学校</w:t>
            </w:r>
          </w:p>
        </w:tc>
        <w:tc>
          <w:tcPr>
            <w:tcW w:w="8102" w:type="dxa"/>
            <w:gridSpan w:val="22"/>
            <w:tcBorders>
              <w:top w:val="single" w:color="000000" w:sz="4" w:space="0"/>
              <w:left w:val="single" w:color="000000" w:sz="4" w:space="0"/>
              <w:bottom w:val="single" w:color="000000" w:sz="4" w:space="0"/>
              <w:right w:val="single" w:color="000000" w:sz="4" w:space="0"/>
            </w:tcBorders>
            <w:noWrap w:val="0"/>
            <w:vAlign w:val="center"/>
          </w:tcPr>
          <w:p w14:paraId="061937B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年毕业于</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学校</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专业</w:t>
            </w:r>
          </w:p>
        </w:tc>
      </w:tr>
      <w:tr w14:paraId="67187E26">
        <w:tblPrEx>
          <w:tblCellMar>
            <w:top w:w="0" w:type="dxa"/>
            <w:left w:w="0" w:type="dxa"/>
            <w:bottom w:w="0" w:type="dxa"/>
            <w:right w:w="0" w:type="dxa"/>
          </w:tblCellMar>
        </w:tblPrEx>
        <w:trPr>
          <w:trHeight w:val="411" w:hRule="exact"/>
          <w:jc w:val="center"/>
        </w:trPr>
        <w:tc>
          <w:tcPr>
            <w:tcW w:w="2694" w:type="dxa"/>
            <w:gridSpan w:val="5"/>
            <w:tcBorders>
              <w:top w:val="single" w:color="000000" w:sz="4" w:space="0"/>
              <w:left w:val="single" w:color="000000" w:sz="4" w:space="0"/>
              <w:bottom w:val="single" w:color="000000" w:sz="4" w:space="0"/>
              <w:right w:val="single" w:color="auto" w:sz="4" w:space="0"/>
            </w:tcBorders>
            <w:noWrap w:val="0"/>
            <w:vAlign w:val="center"/>
          </w:tcPr>
          <w:p w14:paraId="55DBC64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注册建造师执业资格等级</w:t>
            </w:r>
          </w:p>
        </w:tc>
        <w:tc>
          <w:tcPr>
            <w:tcW w:w="2103" w:type="dxa"/>
            <w:gridSpan w:val="8"/>
            <w:tcBorders>
              <w:top w:val="single" w:color="000000" w:sz="4" w:space="0"/>
              <w:left w:val="single" w:color="000000" w:sz="4" w:space="0"/>
              <w:bottom w:val="single" w:color="000000" w:sz="4" w:space="0"/>
              <w:right w:val="single" w:color="auto" w:sz="4" w:space="0"/>
            </w:tcBorders>
            <w:noWrap w:val="0"/>
            <w:vAlign w:val="center"/>
          </w:tcPr>
          <w:p w14:paraId="3F1657A2">
            <w:pPr>
              <w:jc w:val="center"/>
              <w:rPr>
                <w:rFonts w:hint="eastAsia" w:ascii="宋体" w:hAnsi="宋体" w:eastAsia="宋体" w:cs="宋体"/>
                <w:color w:val="auto"/>
                <w:kern w:val="0"/>
                <w:sz w:val="21"/>
                <w:szCs w:val="21"/>
                <w:highlight w:val="none"/>
              </w:rPr>
            </w:pPr>
          </w:p>
        </w:tc>
        <w:tc>
          <w:tcPr>
            <w:tcW w:w="2231" w:type="dxa"/>
            <w:gridSpan w:val="7"/>
            <w:tcBorders>
              <w:top w:val="single" w:color="000000" w:sz="4" w:space="0"/>
              <w:left w:val="single" w:color="000000" w:sz="4" w:space="0"/>
              <w:bottom w:val="single" w:color="000000" w:sz="4" w:space="0"/>
              <w:right w:val="single" w:color="auto" w:sz="4" w:space="0"/>
            </w:tcBorders>
            <w:noWrap w:val="0"/>
            <w:vAlign w:val="center"/>
          </w:tcPr>
          <w:p w14:paraId="4E4E776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建造师注册专业</w:t>
            </w:r>
          </w:p>
        </w:tc>
        <w:tc>
          <w:tcPr>
            <w:tcW w:w="2187" w:type="dxa"/>
            <w:gridSpan w:val="4"/>
            <w:tcBorders>
              <w:top w:val="single" w:color="000000" w:sz="4" w:space="0"/>
              <w:left w:val="single" w:color="000000" w:sz="4" w:space="0"/>
              <w:bottom w:val="single" w:color="000000" w:sz="4" w:space="0"/>
              <w:right w:val="single" w:color="auto" w:sz="4" w:space="0"/>
            </w:tcBorders>
            <w:noWrap w:val="0"/>
            <w:vAlign w:val="center"/>
          </w:tcPr>
          <w:p w14:paraId="38BBEF4C">
            <w:pPr>
              <w:jc w:val="center"/>
              <w:rPr>
                <w:rFonts w:hint="eastAsia" w:ascii="宋体" w:hAnsi="宋体" w:eastAsia="宋体" w:cs="宋体"/>
                <w:color w:val="auto"/>
                <w:kern w:val="0"/>
                <w:sz w:val="21"/>
                <w:szCs w:val="21"/>
                <w:highlight w:val="none"/>
              </w:rPr>
            </w:pPr>
          </w:p>
        </w:tc>
      </w:tr>
      <w:tr w14:paraId="369D5ED6">
        <w:tblPrEx>
          <w:tblCellMar>
            <w:top w:w="0" w:type="dxa"/>
            <w:left w:w="0" w:type="dxa"/>
            <w:bottom w:w="0" w:type="dxa"/>
            <w:right w:w="0" w:type="dxa"/>
          </w:tblCellMar>
        </w:tblPrEx>
        <w:trPr>
          <w:trHeight w:val="411" w:hRule="exact"/>
          <w:jc w:val="center"/>
        </w:trPr>
        <w:tc>
          <w:tcPr>
            <w:tcW w:w="4797" w:type="dxa"/>
            <w:gridSpan w:val="13"/>
            <w:tcBorders>
              <w:top w:val="single" w:color="000000" w:sz="4" w:space="0"/>
              <w:left w:val="single" w:color="000000" w:sz="4" w:space="0"/>
              <w:bottom w:val="single" w:color="000000" w:sz="4" w:space="0"/>
              <w:right w:val="single" w:color="auto" w:sz="4" w:space="0"/>
            </w:tcBorders>
            <w:noWrap w:val="0"/>
            <w:vAlign w:val="center"/>
          </w:tcPr>
          <w:p w14:paraId="553EE99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安全生产考核合格证证号</w:t>
            </w:r>
          </w:p>
        </w:tc>
        <w:tc>
          <w:tcPr>
            <w:tcW w:w="4418" w:type="dxa"/>
            <w:gridSpan w:val="11"/>
            <w:tcBorders>
              <w:top w:val="single" w:color="000000" w:sz="4" w:space="0"/>
              <w:left w:val="single" w:color="000000" w:sz="4" w:space="0"/>
              <w:bottom w:val="single" w:color="000000" w:sz="4" w:space="0"/>
              <w:right w:val="single" w:color="auto" w:sz="4" w:space="0"/>
            </w:tcBorders>
            <w:noWrap w:val="0"/>
            <w:vAlign w:val="center"/>
          </w:tcPr>
          <w:p w14:paraId="60A73370">
            <w:pPr>
              <w:jc w:val="center"/>
              <w:rPr>
                <w:rFonts w:hint="eastAsia" w:ascii="宋体" w:hAnsi="宋体" w:eastAsia="宋体" w:cs="宋体"/>
                <w:color w:val="auto"/>
                <w:kern w:val="0"/>
                <w:sz w:val="21"/>
                <w:szCs w:val="21"/>
                <w:highlight w:val="none"/>
              </w:rPr>
            </w:pPr>
          </w:p>
        </w:tc>
      </w:tr>
      <w:tr w14:paraId="25DB7ED7">
        <w:tblPrEx>
          <w:tblCellMar>
            <w:top w:w="0" w:type="dxa"/>
            <w:left w:w="0" w:type="dxa"/>
            <w:bottom w:w="0" w:type="dxa"/>
            <w:right w:w="0" w:type="dxa"/>
          </w:tblCellMar>
        </w:tblPrEx>
        <w:trPr>
          <w:trHeight w:val="411" w:hRule="exact"/>
          <w:jc w:val="center"/>
        </w:trPr>
        <w:tc>
          <w:tcPr>
            <w:tcW w:w="4797" w:type="dxa"/>
            <w:gridSpan w:val="13"/>
            <w:tcBorders>
              <w:top w:val="single" w:color="000000" w:sz="4" w:space="0"/>
              <w:left w:val="single" w:color="000000" w:sz="4" w:space="0"/>
              <w:bottom w:val="single" w:color="000000" w:sz="4" w:space="0"/>
              <w:right w:val="single" w:color="auto" w:sz="4" w:space="0"/>
            </w:tcBorders>
            <w:noWrap w:val="0"/>
            <w:vAlign w:val="center"/>
          </w:tcPr>
          <w:p w14:paraId="394A0E1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身份证号码</w:t>
            </w:r>
          </w:p>
        </w:tc>
        <w:tc>
          <w:tcPr>
            <w:tcW w:w="4418" w:type="dxa"/>
            <w:gridSpan w:val="11"/>
            <w:tcBorders>
              <w:top w:val="single" w:color="000000" w:sz="4" w:space="0"/>
              <w:left w:val="single" w:color="000000" w:sz="4" w:space="0"/>
              <w:bottom w:val="single" w:color="000000" w:sz="4" w:space="0"/>
              <w:right w:val="single" w:color="auto" w:sz="4" w:space="0"/>
            </w:tcBorders>
            <w:noWrap w:val="0"/>
            <w:vAlign w:val="center"/>
          </w:tcPr>
          <w:p w14:paraId="6C7530E6">
            <w:pPr>
              <w:jc w:val="center"/>
              <w:rPr>
                <w:rFonts w:hint="eastAsia" w:ascii="宋体" w:hAnsi="宋体" w:eastAsia="宋体" w:cs="宋体"/>
                <w:color w:val="auto"/>
                <w:kern w:val="0"/>
                <w:sz w:val="21"/>
                <w:szCs w:val="21"/>
                <w:highlight w:val="none"/>
              </w:rPr>
            </w:pPr>
          </w:p>
        </w:tc>
      </w:tr>
      <w:tr w14:paraId="74AF0707">
        <w:tblPrEx>
          <w:tblCellMar>
            <w:top w:w="0" w:type="dxa"/>
            <w:left w:w="0" w:type="dxa"/>
            <w:bottom w:w="0" w:type="dxa"/>
            <w:right w:w="0" w:type="dxa"/>
          </w:tblCellMar>
        </w:tblPrEx>
        <w:trPr>
          <w:trHeight w:val="411" w:hRule="exact"/>
          <w:jc w:val="center"/>
        </w:trPr>
        <w:tc>
          <w:tcPr>
            <w:tcW w:w="9215" w:type="dxa"/>
            <w:gridSpan w:val="24"/>
            <w:tcBorders>
              <w:top w:val="single" w:color="000000" w:sz="4" w:space="0"/>
              <w:left w:val="single" w:color="000000" w:sz="4" w:space="0"/>
              <w:bottom w:val="single" w:color="000000" w:sz="4" w:space="0"/>
              <w:right w:val="single" w:color="auto" w:sz="4" w:space="0"/>
            </w:tcBorders>
            <w:noWrap w:val="0"/>
            <w:vAlign w:val="center"/>
          </w:tcPr>
          <w:p w14:paraId="0471CF0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施工现场管理</w:t>
            </w:r>
          </w:p>
        </w:tc>
      </w:tr>
      <w:tr w14:paraId="7C04F43F">
        <w:tblPrEx>
          <w:tblCellMar>
            <w:top w:w="0" w:type="dxa"/>
            <w:left w:w="0" w:type="dxa"/>
            <w:bottom w:w="0" w:type="dxa"/>
            <w:right w:w="0" w:type="dxa"/>
          </w:tblCellMar>
        </w:tblPrEx>
        <w:trPr>
          <w:trHeight w:val="417"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6AEABDD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14:paraId="3495584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878" w:type="dxa"/>
            <w:tcBorders>
              <w:top w:val="single" w:color="auto" w:sz="4" w:space="0"/>
              <w:left w:val="single" w:color="000000" w:sz="4" w:space="0"/>
              <w:bottom w:val="single" w:color="auto" w:sz="4" w:space="0"/>
              <w:right w:val="single" w:color="auto" w:sz="4" w:space="0"/>
            </w:tcBorders>
            <w:noWrap w:val="0"/>
            <w:vAlign w:val="center"/>
          </w:tcPr>
          <w:p w14:paraId="6CCBD00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有或无</w:t>
            </w:r>
          </w:p>
        </w:tc>
      </w:tr>
      <w:tr w14:paraId="4143FF5B">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418E3D5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14:paraId="617A63F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近三年任职项目经理的工程发生质量事故或安全生产重大事故</w:t>
            </w:r>
          </w:p>
        </w:tc>
        <w:tc>
          <w:tcPr>
            <w:tcW w:w="878" w:type="dxa"/>
            <w:tcBorders>
              <w:top w:val="single" w:color="auto" w:sz="4" w:space="0"/>
              <w:left w:val="single" w:color="000000" w:sz="4" w:space="0"/>
              <w:bottom w:val="single" w:color="auto" w:sz="4" w:space="0"/>
              <w:right w:val="single" w:color="auto" w:sz="4" w:space="0"/>
            </w:tcBorders>
            <w:noWrap w:val="0"/>
            <w:vAlign w:val="center"/>
          </w:tcPr>
          <w:p w14:paraId="16FD50F5">
            <w:pPr>
              <w:rPr>
                <w:rFonts w:hint="eastAsia" w:ascii="宋体" w:hAnsi="宋体" w:eastAsia="宋体" w:cs="宋体"/>
                <w:color w:val="auto"/>
                <w:kern w:val="0"/>
                <w:sz w:val="21"/>
                <w:szCs w:val="21"/>
                <w:highlight w:val="none"/>
              </w:rPr>
            </w:pPr>
          </w:p>
        </w:tc>
      </w:tr>
      <w:tr w14:paraId="2BE6252E">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77042A2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14:paraId="34603192">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在建工程情况</w:t>
            </w:r>
          </w:p>
        </w:tc>
        <w:tc>
          <w:tcPr>
            <w:tcW w:w="878" w:type="dxa"/>
            <w:tcBorders>
              <w:top w:val="single" w:color="auto" w:sz="4" w:space="0"/>
              <w:left w:val="single" w:color="000000" w:sz="4" w:space="0"/>
              <w:bottom w:val="single" w:color="auto" w:sz="4" w:space="0"/>
              <w:right w:val="single" w:color="auto" w:sz="4" w:space="0"/>
            </w:tcBorders>
            <w:noWrap w:val="0"/>
            <w:vAlign w:val="center"/>
          </w:tcPr>
          <w:p w14:paraId="6734AE96">
            <w:pPr>
              <w:rPr>
                <w:rFonts w:hint="eastAsia" w:ascii="宋体" w:hAnsi="宋体" w:eastAsia="宋体" w:cs="宋体"/>
                <w:color w:val="auto"/>
                <w:kern w:val="0"/>
                <w:sz w:val="21"/>
                <w:szCs w:val="21"/>
                <w:highlight w:val="none"/>
              </w:rPr>
            </w:pPr>
          </w:p>
        </w:tc>
      </w:tr>
      <w:tr w14:paraId="60B2F36A">
        <w:tblPrEx>
          <w:tblCellMar>
            <w:top w:w="0" w:type="dxa"/>
            <w:left w:w="0" w:type="dxa"/>
            <w:bottom w:w="0" w:type="dxa"/>
            <w:right w:w="0" w:type="dxa"/>
          </w:tblCellMar>
        </w:tblPrEx>
        <w:trPr>
          <w:trHeight w:val="454" w:hRule="exact"/>
          <w:jc w:val="center"/>
        </w:trPr>
        <w:tc>
          <w:tcPr>
            <w:tcW w:w="9215" w:type="dxa"/>
            <w:gridSpan w:val="24"/>
            <w:tcBorders>
              <w:top w:val="single" w:color="000000" w:sz="4" w:space="0"/>
              <w:left w:val="single" w:color="000000" w:sz="4" w:space="0"/>
              <w:bottom w:val="single" w:color="000000" w:sz="4" w:space="0"/>
              <w:right w:val="single" w:color="000000" w:sz="4" w:space="0"/>
            </w:tcBorders>
            <w:noWrap w:val="0"/>
            <w:vAlign w:val="center"/>
          </w:tcPr>
          <w:p w14:paraId="124CC50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目前任职项目情况</w:t>
            </w:r>
          </w:p>
        </w:tc>
      </w:tr>
      <w:tr w14:paraId="6D8728B1">
        <w:tblPrEx>
          <w:tblCellMar>
            <w:top w:w="0" w:type="dxa"/>
            <w:left w:w="0" w:type="dxa"/>
            <w:bottom w:w="0" w:type="dxa"/>
            <w:right w:w="0" w:type="dxa"/>
          </w:tblCellMar>
        </w:tblPrEx>
        <w:trPr>
          <w:trHeight w:val="539"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5E3C400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696" w:type="dxa"/>
            <w:gridSpan w:val="6"/>
            <w:tcBorders>
              <w:top w:val="single" w:color="000000" w:sz="4" w:space="0"/>
              <w:left w:val="single" w:color="000000" w:sz="4" w:space="0"/>
              <w:bottom w:val="single" w:color="000000" w:sz="4" w:space="0"/>
              <w:right w:val="single" w:color="000000" w:sz="4" w:space="0"/>
            </w:tcBorders>
            <w:noWrap w:val="0"/>
            <w:vAlign w:val="center"/>
          </w:tcPr>
          <w:p w14:paraId="0D12389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发包人名称</w:t>
            </w:r>
          </w:p>
        </w:tc>
        <w:tc>
          <w:tcPr>
            <w:tcW w:w="2835" w:type="dxa"/>
            <w:gridSpan w:val="9"/>
            <w:tcBorders>
              <w:top w:val="single" w:color="000000" w:sz="4" w:space="0"/>
              <w:left w:val="single" w:color="000000" w:sz="4" w:space="0"/>
              <w:bottom w:val="single" w:color="000000" w:sz="4" w:space="0"/>
              <w:right w:val="single" w:color="000000" w:sz="4" w:space="0"/>
            </w:tcBorders>
            <w:noWrap w:val="0"/>
            <w:vAlign w:val="center"/>
          </w:tcPr>
          <w:p w14:paraId="2165776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p>
        </w:tc>
        <w:tc>
          <w:tcPr>
            <w:tcW w:w="1418" w:type="dxa"/>
            <w:gridSpan w:val="5"/>
            <w:tcBorders>
              <w:top w:val="single" w:color="000000" w:sz="4" w:space="0"/>
              <w:left w:val="single" w:color="000000" w:sz="4" w:space="0"/>
              <w:bottom w:val="single" w:color="000000" w:sz="4" w:space="0"/>
              <w:right w:val="single" w:color="000000" w:sz="4" w:space="0"/>
            </w:tcBorders>
            <w:noWrap w:val="0"/>
            <w:vAlign w:val="center"/>
          </w:tcPr>
          <w:p w14:paraId="49786B4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担任职务</w:t>
            </w:r>
          </w:p>
        </w:tc>
        <w:tc>
          <w:tcPr>
            <w:tcW w:w="1706" w:type="dxa"/>
            <w:gridSpan w:val="3"/>
            <w:tcBorders>
              <w:top w:val="single" w:color="000000" w:sz="4" w:space="0"/>
              <w:left w:val="single" w:color="000000" w:sz="4" w:space="0"/>
              <w:bottom w:val="single" w:color="000000" w:sz="4" w:space="0"/>
              <w:right w:val="single" w:color="000000" w:sz="4" w:space="0"/>
            </w:tcBorders>
            <w:noWrap w:val="0"/>
            <w:vAlign w:val="center"/>
          </w:tcPr>
          <w:p w14:paraId="5A755D8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可以调离日期</w:t>
            </w:r>
          </w:p>
        </w:tc>
      </w:tr>
      <w:tr w14:paraId="1C014B01">
        <w:tblPrEx>
          <w:tblCellMar>
            <w:top w:w="0" w:type="dxa"/>
            <w:left w:w="0" w:type="dxa"/>
            <w:bottom w:w="0" w:type="dxa"/>
            <w:right w:w="0" w:type="dxa"/>
          </w:tblCellMar>
        </w:tblPrEx>
        <w:trPr>
          <w:trHeight w:val="539"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13A5DFB6">
            <w:pPr>
              <w:jc w:val="center"/>
              <w:rPr>
                <w:rFonts w:hint="eastAsia" w:ascii="宋体" w:hAnsi="宋体" w:eastAsia="宋体" w:cs="宋体"/>
                <w:color w:val="auto"/>
                <w:kern w:val="0"/>
                <w:sz w:val="21"/>
                <w:szCs w:val="21"/>
                <w:highlight w:val="none"/>
              </w:rPr>
            </w:pPr>
          </w:p>
        </w:tc>
        <w:tc>
          <w:tcPr>
            <w:tcW w:w="2696" w:type="dxa"/>
            <w:gridSpan w:val="6"/>
            <w:tcBorders>
              <w:top w:val="single" w:color="000000" w:sz="4" w:space="0"/>
              <w:left w:val="single" w:color="000000" w:sz="4" w:space="0"/>
              <w:bottom w:val="single" w:color="000000" w:sz="4" w:space="0"/>
              <w:right w:val="single" w:color="000000" w:sz="4" w:space="0"/>
            </w:tcBorders>
            <w:noWrap w:val="0"/>
            <w:vAlign w:val="center"/>
          </w:tcPr>
          <w:p w14:paraId="7AEDB2E6">
            <w:pPr>
              <w:jc w:val="center"/>
              <w:rPr>
                <w:rFonts w:hint="eastAsia" w:ascii="宋体" w:hAnsi="宋体" w:eastAsia="宋体" w:cs="宋体"/>
                <w:color w:val="auto"/>
                <w:kern w:val="0"/>
                <w:sz w:val="21"/>
                <w:szCs w:val="21"/>
                <w:highlight w:val="none"/>
              </w:rPr>
            </w:pPr>
          </w:p>
        </w:tc>
        <w:tc>
          <w:tcPr>
            <w:tcW w:w="2835" w:type="dxa"/>
            <w:gridSpan w:val="9"/>
            <w:tcBorders>
              <w:top w:val="single" w:color="000000" w:sz="4" w:space="0"/>
              <w:left w:val="single" w:color="000000" w:sz="4" w:space="0"/>
              <w:bottom w:val="single" w:color="000000" w:sz="4" w:space="0"/>
              <w:right w:val="single" w:color="000000" w:sz="4" w:space="0"/>
            </w:tcBorders>
            <w:noWrap w:val="0"/>
            <w:vAlign w:val="center"/>
          </w:tcPr>
          <w:p w14:paraId="45F68B5B">
            <w:pPr>
              <w:jc w:val="center"/>
              <w:rPr>
                <w:rFonts w:hint="eastAsia" w:ascii="宋体" w:hAnsi="宋体" w:eastAsia="宋体" w:cs="宋体"/>
                <w:color w:val="auto"/>
                <w:kern w:val="0"/>
                <w:sz w:val="21"/>
                <w:szCs w:val="21"/>
                <w:highlight w:val="none"/>
              </w:rPr>
            </w:pPr>
          </w:p>
        </w:tc>
        <w:tc>
          <w:tcPr>
            <w:tcW w:w="1418" w:type="dxa"/>
            <w:gridSpan w:val="5"/>
            <w:tcBorders>
              <w:top w:val="single" w:color="000000" w:sz="4" w:space="0"/>
              <w:left w:val="single" w:color="000000" w:sz="4" w:space="0"/>
              <w:bottom w:val="single" w:color="000000" w:sz="4" w:space="0"/>
              <w:right w:val="single" w:color="000000" w:sz="4" w:space="0"/>
            </w:tcBorders>
            <w:noWrap w:val="0"/>
            <w:vAlign w:val="center"/>
          </w:tcPr>
          <w:p w14:paraId="6E665678">
            <w:pPr>
              <w:jc w:val="center"/>
              <w:rPr>
                <w:rFonts w:hint="eastAsia" w:ascii="宋体" w:hAnsi="宋体" w:eastAsia="宋体" w:cs="宋体"/>
                <w:color w:val="auto"/>
                <w:kern w:val="0"/>
                <w:sz w:val="21"/>
                <w:szCs w:val="21"/>
                <w:highlight w:val="none"/>
              </w:rPr>
            </w:pPr>
          </w:p>
        </w:tc>
        <w:tc>
          <w:tcPr>
            <w:tcW w:w="1706" w:type="dxa"/>
            <w:gridSpan w:val="3"/>
            <w:tcBorders>
              <w:top w:val="single" w:color="000000" w:sz="4" w:space="0"/>
              <w:left w:val="single" w:color="000000" w:sz="4" w:space="0"/>
              <w:bottom w:val="single" w:color="000000" w:sz="4" w:space="0"/>
              <w:right w:val="single" w:color="000000" w:sz="4" w:space="0"/>
            </w:tcBorders>
            <w:noWrap w:val="0"/>
            <w:vAlign w:val="center"/>
          </w:tcPr>
          <w:p w14:paraId="04776273">
            <w:pPr>
              <w:jc w:val="center"/>
              <w:rPr>
                <w:rFonts w:hint="eastAsia" w:ascii="宋体" w:hAnsi="宋体" w:eastAsia="宋体" w:cs="宋体"/>
                <w:color w:val="auto"/>
                <w:kern w:val="0"/>
                <w:sz w:val="21"/>
                <w:szCs w:val="21"/>
                <w:highlight w:val="none"/>
              </w:rPr>
            </w:pPr>
          </w:p>
        </w:tc>
      </w:tr>
      <w:tr w14:paraId="7E65658D">
        <w:tblPrEx>
          <w:tblCellMar>
            <w:top w:w="0" w:type="dxa"/>
            <w:left w:w="0" w:type="dxa"/>
            <w:bottom w:w="0" w:type="dxa"/>
            <w:right w:w="0" w:type="dxa"/>
          </w:tblCellMar>
        </w:tblPrEx>
        <w:trPr>
          <w:trHeight w:val="392" w:hRule="exact"/>
          <w:jc w:val="center"/>
        </w:trPr>
        <w:tc>
          <w:tcPr>
            <w:tcW w:w="9215" w:type="dxa"/>
            <w:gridSpan w:val="24"/>
            <w:tcBorders>
              <w:top w:val="single" w:color="000000" w:sz="4" w:space="0"/>
              <w:left w:val="single" w:color="000000" w:sz="4" w:space="0"/>
              <w:bottom w:val="single" w:color="000000" w:sz="4" w:space="0"/>
              <w:right w:val="single" w:color="000000" w:sz="4" w:space="0"/>
            </w:tcBorders>
            <w:noWrap w:val="0"/>
            <w:vAlign w:val="center"/>
          </w:tcPr>
          <w:p w14:paraId="384FF32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考核期内已完成类似工程</w:t>
            </w:r>
          </w:p>
        </w:tc>
      </w:tr>
      <w:tr w14:paraId="305990A8">
        <w:tblPrEx>
          <w:tblCellMar>
            <w:top w:w="0" w:type="dxa"/>
            <w:left w:w="0" w:type="dxa"/>
            <w:bottom w:w="0" w:type="dxa"/>
            <w:right w:w="0" w:type="dxa"/>
          </w:tblCellMar>
        </w:tblPrEx>
        <w:trPr>
          <w:trHeight w:val="861"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29E17D5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14:paraId="53DF17C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发包人名称</w:t>
            </w: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14:paraId="6427987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p>
        </w:tc>
        <w:tc>
          <w:tcPr>
            <w:tcW w:w="851" w:type="dxa"/>
            <w:gridSpan w:val="3"/>
            <w:tcBorders>
              <w:top w:val="single" w:color="000000" w:sz="4" w:space="0"/>
              <w:left w:val="single" w:color="000000" w:sz="4" w:space="0"/>
              <w:bottom w:val="single" w:color="000000" w:sz="4" w:space="0"/>
              <w:right w:val="single" w:color="000000" w:sz="4" w:space="0"/>
            </w:tcBorders>
            <w:noWrap w:val="0"/>
            <w:vAlign w:val="center"/>
          </w:tcPr>
          <w:p w14:paraId="21724B0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所任</w:t>
            </w:r>
          </w:p>
          <w:p w14:paraId="5B98BB7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14:paraId="337CF46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w:t>
            </w:r>
          </w:p>
          <w:p w14:paraId="4EB613F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类型</w:t>
            </w:r>
          </w:p>
        </w:tc>
        <w:tc>
          <w:tcPr>
            <w:tcW w:w="992" w:type="dxa"/>
            <w:gridSpan w:val="4"/>
            <w:tcBorders>
              <w:top w:val="single" w:color="000000" w:sz="4" w:space="0"/>
              <w:left w:val="single" w:color="000000" w:sz="4" w:space="0"/>
              <w:bottom w:val="single" w:color="000000" w:sz="4" w:space="0"/>
              <w:right w:val="single" w:color="auto" w:sz="4" w:space="0"/>
            </w:tcBorders>
            <w:noWrap w:val="0"/>
            <w:vAlign w:val="center"/>
          </w:tcPr>
          <w:p w14:paraId="229C3A1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w:t>
            </w:r>
          </w:p>
          <w:p w14:paraId="3C6A731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规模</w:t>
            </w:r>
          </w:p>
        </w:tc>
        <w:tc>
          <w:tcPr>
            <w:tcW w:w="1275" w:type="dxa"/>
            <w:gridSpan w:val="3"/>
            <w:tcBorders>
              <w:top w:val="single" w:color="000000" w:sz="4" w:space="0"/>
              <w:left w:val="single" w:color="auto" w:sz="4" w:space="0"/>
              <w:bottom w:val="single" w:color="000000" w:sz="4" w:space="0"/>
              <w:right w:val="single" w:color="000000" w:sz="4" w:space="0"/>
            </w:tcBorders>
            <w:noWrap w:val="0"/>
            <w:vAlign w:val="center"/>
          </w:tcPr>
          <w:p w14:paraId="2228E6E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合同金额</w:t>
            </w:r>
          </w:p>
          <w:p w14:paraId="173F1DD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434" w:type="dxa"/>
            <w:gridSpan w:val="4"/>
            <w:tcBorders>
              <w:top w:val="single" w:color="000000" w:sz="4" w:space="0"/>
              <w:left w:val="single" w:color="000000" w:sz="4" w:space="0"/>
              <w:bottom w:val="single" w:color="000000" w:sz="4" w:space="0"/>
              <w:right w:val="single" w:color="auto" w:sz="4" w:space="0"/>
            </w:tcBorders>
            <w:noWrap w:val="0"/>
            <w:vAlign w:val="center"/>
          </w:tcPr>
          <w:p w14:paraId="17490DA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竣工达到</w:t>
            </w:r>
          </w:p>
          <w:p w14:paraId="44BE385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1001" w:type="dxa"/>
            <w:gridSpan w:val="2"/>
            <w:tcBorders>
              <w:top w:val="single" w:color="000000" w:sz="4" w:space="0"/>
              <w:left w:val="single" w:color="000000" w:sz="4" w:space="0"/>
              <w:bottom w:val="single" w:color="000000" w:sz="4" w:space="0"/>
              <w:right w:val="single" w:color="auto" w:sz="4" w:space="0"/>
            </w:tcBorders>
            <w:noWrap w:val="0"/>
            <w:vAlign w:val="center"/>
          </w:tcPr>
          <w:p w14:paraId="0812206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开竣工</w:t>
            </w:r>
          </w:p>
          <w:p w14:paraId="429517E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  期</w:t>
            </w:r>
          </w:p>
        </w:tc>
      </w:tr>
      <w:tr w14:paraId="4D7728D6">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253539FC">
            <w:pPr>
              <w:jc w:val="center"/>
              <w:rPr>
                <w:rFonts w:hint="eastAsia" w:ascii="宋体" w:hAnsi="宋体" w:eastAsia="宋体" w:cs="宋体"/>
                <w:color w:val="auto"/>
                <w:kern w:val="0"/>
                <w:sz w:val="21"/>
                <w:szCs w:val="21"/>
                <w:highlight w:val="none"/>
              </w:rPr>
            </w:pP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14:paraId="32E88757">
            <w:pPr>
              <w:jc w:val="center"/>
              <w:rPr>
                <w:rFonts w:hint="eastAsia" w:ascii="宋体" w:hAnsi="宋体" w:eastAsia="宋体" w:cs="宋体"/>
                <w:color w:val="auto"/>
                <w:kern w:val="0"/>
                <w:sz w:val="21"/>
                <w:szCs w:val="21"/>
                <w:highlight w:val="none"/>
              </w:rPr>
            </w:pP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14:paraId="2CE2AB83">
            <w:pPr>
              <w:widowControl/>
              <w:jc w:val="center"/>
              <w:rPr>
                <w:rFonts w:hint="eastAsia" w:ascii="宋体" w:hAnsi="宋体" w:eastAsia="宋体" w:cs="宋体"/>
                <w:color w:val="auto"/>
                <w:kern w:val="0"/>
                <w:sz w:val="21"/>
                <w:szCs w:val="21"/>
                <w:highlight w:val="none"/>
              </w:rPr>
            </w:pPr>
          </w:p>
        </w:tc>
        <w:tc>
          <w:tcPr>
            <w:tcW w:w="851" w:type="dxa"/>
            <w:gridSpan w:val="3"/>
            <w:tcBorders>
              <w:top w:val="single" w:color="000000" w:sz="4" w:space="0"/>
              <w:left w:val="single" w:color="000000" w:sz="4" w:space="0"/>
              <w:bottom w:val="single" w:color="000000" w:sz="4" w:space="0"/>
              <w:right w:val="single" w:color="000000" w:sz="4" w:space="0"/>
            </w:tcBorders>
            <w:noWrap w:val="0"/>
            <w:vAlign w:val="center"/>
          </w:tcPr>
          <w:p w14:paraId="115767F6">
            <w:pPr>
              <w:jc w:val="center"/>
              <w:rPr>
                <w:rFonts w:hint="eastAsia" w:ascii="宋体" w:hAnsi="宋体" w:eastAsia="宋体" w:cs="宋体"/>
                <w:color w:val="auto"/>
                <w:kern w:val="0"/>
                <w:sz w:val="21"/>
                <w:szCs w:val="21"/>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14:paraId="43FAD0A9">
            <w:pPr>
              <w:jc w:val="center"/>
              <w:rPr>
                <w:rFonts w:hint="eastAsia" w:ascii="宋体" w:hAnsi="宋体" w:eastAsia="宋体" w:cs="宋体"/>
                <w:color w:val="auto"/>
                <w:kern w:val="0"/>
                <w:sz w:val="21"/>
                <w:szCs w:val="21"/>
                <w:highlight w:val="none"/>
              </w:rPr>
            </w:pPr>
          </w:p>
        </w:tc>
        <w:tc>
          <w:tcPr>
            <w:tcW w:w="992" w:type="dxa"/>
            <w:gridSpan w:val="4"/>
            <w:tcBorders>
              <w:top w:val="single" w:color="000000" w:sz="4" w:space="0"/>
              <w:left w:val="single" w:color="000000" w:sz="4" w:space="0"/>
              <w:bottom w:val="single" w:color="000000" w:sz="4" w:space="0"/>
              <w:right w:val="single" w:color="auto" w:sz="4" w:space="0"/>
            </w:tcBorders>
            <w:noWrap w:val="0"/>
            <w:vAlign w:val="top"/>
          </w:tcPr>
          <w:p w14:paraId="57495213">
            <w:pPr>
              <w:spacing w:before="120" w:beforeLines="50" w:after="120" w:afterLines="50"/>
              <w:jc w:val="center"/>
              <w:rPr>
                <w:rFonts w:hint="eastAsia" w:ascii="宋体" w:hAnsi="宋体" w:eastAsia="宋体" w:cs="宋体"/>
                <w:color w:val="auto"/>
                <w:kern w:val="0"/>
                <w:sz w:val="21"/>
                <w:szCs w:val="21"/>
                <w:highlight w:val="none"/>
              </w:rPr>
            </w:pPr>
          </w:p>
        </w:tc>
        <w:tc>
          <w:tcPr>
            <w:tcW w:w="1275" w:type="dxa"/>
            <w:gridSpan w:val="3"/>
            <w:tcBorders>
              <w:top w:val="single" w:color="000000" w:sz="4" w:space="0"/>
              <w:left w:val="single" w:color="auto" w:sz="4" w:space="0"/>
              <w:bottom w:val="single" w:color="000000" w:sz="4" w:space="0"/>
              <w:right w:val="single" w:color="000000" w:sz="4" w:space="0"/>
            </w:tcBorders>
            <w:noWrap w:val="0"/>
            <w:vAlign w:val="top"/>
          </w:tcPr>
          <w:p w14:paraId="3F05184E">
            <w:pPr>
              <w:jc w:val="center"/>
              <w:rPr>
                <w:rFonts w:hint="eastAsia" w:ascii="宋体" w:hAnsi="宋体" w:eastAsia="宋体" w:cs="宋体"/>
                <w:color w:val="auto"/>
                <w:kern w:val="0"/>
                <w:sz w:val="21"/>
                <w:szCs w:val="21"/>
                <w:highlight w:val="none"/>
              </w:rPr>
            </w:pPr>
          </w:p>
        </w:tc>
        <w:tc>
          <w:tcPr>
            <w:tcW w:w="1434" w:type="dxa"/>
            <w:gridSpan w:val="4"/>
            <w:tcBorders>
              <w:top w:val="single" w:color="000000" w:sz="4" w:space="0"/>
              <w:left w:val="single" w:color="000000" w:sz="4" w:space="0"/>
              <w:bottom w:val="single" w:color="000000" w:sz="4" w:space="0"/>
              <w:right w:val="single" w:color="auto" w:sz="4" w:space="0"/>
            </w:tcBorders>
            <w:noWrap w:val="0"/>
            <w:vAlign w:val="center"/>
          </w:tcPr>
          <w:p w14:paraId="76611862">
            <w:pPr>
              <w:jc w:val="center"/>
              <w:rPr>
                <w:rFonts w:hint="eastAsia" w:ascii="宋体" w:hAnsi="宋体" w:eastAsia="宋体" w:cs="宋体"/>
                <w:color w:val="auto"/>
                <w:kern w:val="0"/>
                <w:sz w:val="21"/>
                <w:szCs w:val="21"/>
                <w:highlight w:val="none"/>
              </w:rPr>
            </w:pPr>
          </w:p>
        </w:tc>
        <w:tc>
          <w:tcPr>
            <w:tcW w:w="1001" w:type="dxa"/>
            <w:gridSpan w:val="2"/>
            <w:tcBorders>
              <w:top w:val="single" w:color="000000" w:sz="4" w:space="0"/>
              <w:left w:val="single" w:color="000000" w:sz="4" w:space="0"/>
              <w:bottom w:val="single" w:color="000000" w:sz="4" w:space="0"/>
              <w:right w:val="single" w:color="auto" w:sz="4" w:space="0"/>
            </w:tcBorders>
            <w:noWrap w:val="0"/>
            <w:vAlign w:val="center"/>
          </w:tcPr>
          <w:p w14:paraId="50301CA3">
            <w:pPr>
              <w:jc w:val="center"/>
              <w:rPr>
                <w:rFonts w:hint="eastAsia" w:ascii="宋体" w:hAnsi="宋体" w:eastAsia="宋体" w:cs="宋体"/>
                <w:color w:val="auto"/>
                <w:kern w:val="0"/>
                <w:sz w:val="21"/>
                <w:szCs w:val="21"/>
                <w:highlight w:val="none"/>
              </w:rPr>
            </w:pPr>
          </w:p>
        </w:tc>
      </w:tr>
      <w:tr w14:paraId="3BFDF6F0">
        <w:tblPrEx>
          <w:tblCellMar>
            <w:top w:w="0" w:type="dxa"/>
            <w:left w:w="0" w:type="dxa"/>
            <w:bottom w:w="0" w:type="dxa"/>
            <w:right w:w="0" w:type="dxa"/>
          </w:tblCellMar>
        </w:tblPrEx>
        <w:trPr>
          <w:trHeight w:val="436" w:hRule="exact"/>
          <w:jc w:val="center"/>
        </w:trPr>
        <w:tc>
          <w:tcPr>
            <w:tcW w:w="9215" w:type="dxa"/>
            <w:gridSpan w:val="24"/>
            <w:tcBorders>
              <w:top w:val="single" w:color="000000" w:sz="4" w:space="0"/>
              <w:left w:val="single" w:color="000000" w:sz="4" w:space="0"/>
              <w:bottom w:val="single" w:color="000000" w:sz="4" w:space="0"/>
              <w:right w:val="single" w:color="auto" w:sz="4" w:space="0"/>
            </w:tcBorders>
            <w:noWrap w:val="0"/>
            <w:vAlign w:val="center"/>
          </w:tcPr>
          <w:p w14:paraId="12FBCF5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考核期内获奖项目</w:t>
            </w:r>
          </w:p>
        </w:tc>
      </w:tr>
      <w:tr w14:paraId="45C13A84">
        <w:tblPrEx>
          <w:tblCellMar>
            <w:top w:w="0" w:type="dxa"/>
            <w:left w:w="0" w:type="dxa"/>
            <w:bottom w:w="0" w:type="dxa"/>
            <w:right w:w="0" w:type="dxa"/>
          </w:tblCellMar>
        </w:tblPrEx>
        <w:trPr>
          <w:trHeight w:val="556"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1A8D315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14:paraId="59A0F97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14:paraId="451473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奖项名称</w:t>
            </w:r>
          </w:p>
        </w:tc>
        <w:tc>
          <w:tcPr>
            <w:tcW w:w="996" w:type="dxa"/>
            <w:gridSpan w:val="4"/>
            <w:tcBorders>
              <w:top w:val="single" w:color="000000" w:sz="4" w:space="0"/>
              <w:left w:val="single" w:color="000000" w:sz="4" w:space="0"/>
              <w:bottom w:val="single" w:color="000000" w:sz="4" w:space="0"/>
              <w:right w:val="single" w:color="000000" w:sz="4" w:space="0"/>
            </w:tcBorders>
            <w:noWrap w:val="0"/>
            <w:vAlign w:val="center"/>
          </w:tcPr>
          <w:p w14:paraId="7631B65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所任职务</w:t>
            </w:r>
          </w:p>
        </w:tc>
        <w:tc>
          <w:tcPr>
            <w:tcW w:w="1277" w:type="dxa"/>
            <w:gridSpan w:val="4"/>
            <w:tcBorders>
              <w:top w:val="single" w:color="auto" w:sz="4" w:space="0"/>
              <w:left w:val="single" w:color="000000" w:sz="4" w:space="0"/>
              <w:bottom w:val="single" w:color="auto" w:sz="4" w:space="0"/>
              <w:right w:val="single" w:color="auto" w:sz="4" w:space="0"/>
            </w:tcBorders>
            <w:noWrap w:val="0"/>
            <w:vAlign w:val="top"/>
          </w:tcPr>
          <w:p w14:paraId="2AE657C8">
            <w:pPr>
              <w:spacing w:before="120" w:beforeLines="50" w:after="120" w:afterLine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发文机关</w:t>
            </w:r>
          </w:p>
        </w:tc>
        <w:tc>
          <w:tcPr>
            <w:tcW w:w="1275" w:type="dxa"/>
            <w:gridSpan w:val="3"/>
            <w:tcBorders>
              <w:top w:val="single" w:color="auto" w:sz="4" w:space="0"/>
              <w:left w:val="single" w:color="auto" w:sz="4" w:space="0"/>
              <w:bottom w:val="single" w:color="auto" w:sz="4" w:space="0"/>
              <w:right w:val="single" w:color="000000" w:sz="4" w:space="0"/>
            </w:tcBorders>
            <w:noWrap w:val="0"/>
            <w:vAlign w:val="top"/>
          </w:tcPr>
          <w:p w14:paraId="0990BA66">
            <w:pPr>
              <w:spacing w:before="120" w:beforeLines="50" w:after="120" w:afterLines="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文号</w:t>
            </w:r>
          </w:p>
          <w:p w14:paraId="37EC9A16">
            <w:pPr>
              <w:jc w:val="center"/>
              <w:rPr>
                <w:rFonts w:hint="eastAsia" w:ascii="宋体" w:hAnsi="宋体" w:eastAsia="宋体" w:cs="宋体"/>
                <w:color w:val="auto"/>
                <w:kern w:val="0"/>
                <w:sz w:val="21"/>
                <w:szCs w:val="21"/>
                <w:highlight w:val="none"/>
              </w:rPr>
            </w:pPr>
          </w:p>
        </w:tc>
        <w:tc>
          <w:tcPr>
            <w:tcW w:w="1713" w:type="dxa"/>
            <w:gridSpan w:val="5"/>
            <w:tcBorders>
              <w:top w:val="single" w:color="auto" w:sz="4" w:space="0"/>
              <w:left w:val="single" w:color="000000" w:sz="4" w:space="0"/>
              <w:bottom w:val="single" w:color="auto" w:sz="4" w:space="0"/>
              <w:right w:val="single" w:color="auto" w:sz="4" w:space="0"/>
            </w:tcBorders>
            <w:noWrap w:val="0"/>
            <w:vAlign w:val="center"/>
          </w:tcPr>
          <w:p w14:paraId="0087ECF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发文日期</w:t>
            </w:r>
          </w:p>
        </w:tc>
        <w:tc>
          <w:tcPr>
            <w:tcW w:w="1001" w:type="dxa"/>
            <w:gridSpan w:val="2"/>
            <w:tcBorders>
              <w:top w:val="single" w:color="auto" w:sz="4" w:space="0"/>
              <w:left w:val="single" w:color="000000" w:sz="4" w:space="0"/>
              <w:bottom w:val="single" w:color="auto" w:sz="4" w:space="0"/>
              <w:right w:val="single" w:color="auto" w:sz="4" w:space="0"/>
            </w:tcBorders>
            <w:noWrap w:val="0"/>
            <w:vAlign w:val="center"/>
          </w:tcPr>
          <w:p w14:paraId="0BB760D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级别（国家/省级/市级）</w:t>
            </w:r>
          </w:p>
        </w:tc>
      </w:tr>
      <w:tr w14:paraId="07D058FD">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14:paraId="507EE28A">
            <w:pPr>
              <w:rPr>
                <w:rFonts w:hint="eastAsia" w:ascii="宋体" w:hAnsi="宋体" w:eastAsia="宋体" w:cs="宋体"/>
                <w:color w:val="auto"/>
                <w:kern w:val="0"/>
                <w:sz w:val="21"/>
                <w:szCs w:val="21"/>
                <w:highlight w:val="none"/>
              </w:rPr>
            </w:pP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14:paraId="718A0C9D">
            <w:pPr>
              <w:rPr>
                <w:rFonts w:hint="eastAsia" w:ascii="宋体" w:hAnsi="宋体" w:eastAsia="宋体" w:cs="宋体"/>
                <w:color w:val="auto"/>
                <w:kern w:val="0"/>
                <w:sz w:val="21"/>
                <w:szCs w:val="21"/>
                <w:highlight w:val="none"/>
              </w:rPr>
            </w:pP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14:paraId="368ACA7C">
            <w:pPr>
              <w:rPr>
                <w:rFonts w:hint="eastAsia" w:ascii="宋体" w:hAnsi="宋体" w:eastAsia="宋体" w:cs="宋体"/>
                <w:color w:val="auto"/>
                <w:kern w:val="0"/>
                <w:sz w:val="21"/>
                <w:szCs w:val="21"/>
                <w:highlight w:val="none"/>
              </w:rPr>
            </w:pPr>
          </w:p>
        </w:tc>
        <w:tc>
          <w:tcPr>
            <w:tcW w:w="996" w:type="dxa"/>
            <w:gridSpan w:val="4"/>
            <w:tcBorders>
              <w:top w:val="single" w:color="000000" w:sz="4" w:space="0"/>
              <w:left w:val="single" w:color="000000" w:sz="4" w:space="0"/>
              <w:bottom w:val="single" w:color="000000" w:sz="4" w:space="0"/>
              <w:right w:val="single" w:color="000000" w:sz="4" w:space="0"/>
            </w:tcBorders>
            <w:noWrap w:val="0"/>
            <w:vAlign w:val="center"/>
          </w:tcPr>
          <w:p w14:paraId="7A539FD4">
            <w:pPr>
              <w:rPr>
                <w:rFonts w:hint="eastAsia" w:ascii="宋体" w:hAnsi="宋体" w:eastAsia="宋体" w:cs="宋体"/>
                <w:color w:val="auto"/>
                <w:kern w:val="0"/>
                <w:sz w:val="21"/>
                <w:szCs w:val="21"/>
                <w:highlight w:val="none"/>
              </w:rPr>
            </w:pPr>
          </w:p>
        </w:tc>
        <w:tc>
          <w:tcPr>
            <w:tcW w:w="1277" w:type="dxa"/>
            <w:gridSpan w:val="4"/>
            <w:tcBorders>
              <w:top w:val="single" w:color="auto" w:sz="4" w:space="0"/>
              <w:left w:val="single" w:color="000000" w:sz="4" w:space="0"/>
              <w:bottom w:val="single" w:color="auto" w:sz="4" w:space="0"/>
              <w:right w:val="single" w:color="auto" w:sz="4" w:space="0"/>
            </w:tcBorders>
            <w:noWrap w:val="0"/>
            <w:vAlign w:val="center"/>
          </w:tcPr>
          <w:p w14:paraId="3D587C35">
            <w:pPr>
              <w:rPr>
                <w:rFonts w:hint="eastAsia" w:ascii="宋体" w:hAnsi="宋体" w:eastAsia="宋体" w:cs="宋体"/>
                <w:color w:val="auto"/>
                <w:kern w:val="0"/>
                <w:sz w:val="21"/>
                <w:szCs w:val="21"/>
                <w:highlight w:val="none"/>
              </w:rPr>
            </w:pPr>
          </w:p>
        </w:tc>
        <w:tc>
          <w:tcPr>
            <w:tcW w:w="1275" w:type="dxa"/>
            <w:gridSpan w:val="3"/>
            <w:tcBorders>
              <w:top w:val="single" w:color="auto" w:sz="4" w:space="0"/>
              <w:left w:val="single" w:color="auto" w:sz="4" w:space="0"/>
              <w:bottom w:val="single" w:color="auto" w:sz="4" w:space="0"/>
              <w:right w:val="single" w:color="000000" w:sz="4" w:space="0"/>
            </w:tcBorders>
            <w:noWrap w:val="0"/>
            <w:vAlign w:val="center"/>
          </w:tcPr>
          <w:p w14:paraId="41EAEC54">
            <w:pPr>
              <w:rPr>
                <w:rFonts w:hint="eastAsia" w:ascii="宋体" w:hAnsi="宋体" w:eastAsia="宋体" w:cs="宋体"/>
                <w:color w:val="auto"/>
                <w:kern w:val="0"/>
                <w:sz w:val="21"/>
                <w:szCs w:val="21"/>
                <w:highlight w:val="none"/>
              </w:rPr>
            </w:pPr>
          </w:p>
        </w:tc>
        <w:tc>
          <w:tcPr>
            <w:tcW w:w="1713" w:type="dxa"/>
            <w:gridSpan w:val="5"/>
            <w:tcBorders>
              <w:top w:val="single" w:color="auto" w:sz="4" w:space="0"/>
              <w:left w:val="single" w:color="000000" w:sz="4" w:space="0"/>
              <w:bottom w:val="single" w:color="auto" w:sz="4" w:space="0"/>
              <w:right w:val="single" w:color="auto" w:sz="4" w:space="0"/>
            </w:tcBorders>
            <w:noWrap w:val="0"/>
            <w:vAlign w:val="center"/>
          </w:tcPr>
          <w:p w14:paraId="59205D17">
            <w:pPr>
              <w:rPr>
                <w:rFonts w:hint="eastAsia" w:ascii="宋体" w:hAnsi="宋体" w:eastAsia="宋体" w:cs="宋体"/>
                <w:color w:val="auto"/>
                <w:kern w:val="0"/>
                <w:sz w:val="21"/>
                <w:szCs w:val="21"/>
                <w:highlight w:val="none"/>
              </w:rPr>
            </w:pPr>
          </w:p>
        </w:tc>
        <w:tc>
          <w:tcPr>
            <w:tcW w:w="1001" w:type="dxa"/>
            <w:gridSpan w:val="2"/>
            <w:tcBorders>
              <w:top w:val="single" w:color="auto" w:sz="4" w:space="0"/>
              <w:left w:val="single" w:color="000000" w:sz="4" w:space="0"/>
              <w:bottom w:val="single" w:color="auto" w:sz="4" w:space="0"/>
              <w:right w:val="single" w:color="auto" w:sz="4" w:space="0"/>
            </w:tcBorders>
            <w:noWrap w:val="0"/>
            <w:vAlign w:val="center"/>
          </w:tcPr>
          <w:p w14:paraId="2FEBF2F9">
            <w:pPr>
              <w:rPr>
                <w:rFonts w:hint="eastAsia" w:ascii="宋体" w:hAnsi="宋体" w:eastAsia="宋体" w:cs="宋体"/>
                <w:color w:val="auto"/>
                <w:kern w:val="0"/>
                <w:sz w:val="21"/>
                <w:szCs w:val="21"/>
                <w:highlight w:val="none"/>
              </w:rPr>
            </w:pPr>
          </w:p>
        </w:tc>
      </w:tr>
    </w:tbl>
    <w:p w14:paraId="6FF1612F">
      <w:pPr>
        <w:spacing w:line="360" w:lineRule="auto"/>
        <w:ind w:firstLine="420" w:firstLineChars="200"/>
        <w:rPr>
          <w:rFonts w:hint="eastAsia" w:ascii="宋体" w:hAnsi="宋体" w:eastAsia="宋体" w:cs="宋体"/>
          <w:color w:val="auto"/>
          <w:kern w:val="0"/>
          <w:szCs w:val="21"/>
          <w:highlight w:val="none"/>
        </w:rPr>
      </w:pPr>
    </w:p>
    <w:p w14:paraId="2EEF22C6">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备注： </w:t>
      </w:r>
    </w:p>
    <w:p w14:paraId="34989F19">
      <w:pPr>
        <w:numPr>
          <w:ilvl w:val="0"/>
          <w:numId w:val="1"/>
        </w:numPr>
        <w:spacing w:line="400" w:lineRule="exac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竞</w:t>
      </w:r>
      <w:r>
        <w:rPr>
          <w:rFonts w:hint="eastAsia" w:ascii="宋体" w:hAnsi="宋体" w:eastAsia="宋体" w:cs="宋体"/>
          <w:color w:val="auto"/>
          <w:kern w:val="0"/>
          <w:szCs w:val="21"/>
          <w:highlight w:val="none"/>
        </w:rPr>
        <w:t>标人应如实填写，并对所填信息及提供材料的真实性负责。</w:t>
      </w:r>
    </w:p>
    <w:p w14:paraId="26E7BAF4">
      <w:pPr>
        <w:spacing w:line="50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本表所需项目经理身份证、职称证（如有需要提供）、学历证（如有需要提供）、建造师注册证、安全生产考核合格证（B类）、类似工程相关证明材料（如有需要提供）需保证扫描件清晰可辩，否则，在评审时不予承认。</w:t>
      </w:r>
    </w:p>
    <w:p w14:paraId="18387467">
      <w:pPr>
        <w:spacing w:line="500" w:lineRule="exact"/>
        <w:jc w:val="left"/>
        <w:rPr>
          <w:rFonts w:hint="eastAsia" w:ascii="宋体" w:hAnsi="宋体" w:eastAsia="宋体" w:cs="宋体"/>
          <w:b/>
          <w:color w:val="auto"/>
          <w:szCs w:val="21"/>
          <w:highlight w:val="none"/>
          <w:lang w:val="en-US" w:eastAsia="zh-CN"/>
        </w:rPr>
      </w:pPr>
    </w:p>
    <w:p w14:paraId="3C83829B">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E58B1DF">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620B51F">
      <w:pPr>
        <w:spacing w:line="320" w:lineRule="exact"/>
        <w:rPr>
          <w:rFonts w:hint="eastAsia" w:ascii="宋体" w:hAnsi="宋体" w:eastAsia="宋体" w:cs="宋体"/>
          <w:b/>
          <w:color w:val="auto"/>
          <w:sz w:val="24"/>
          <w:szCs w:val="24"/>
          <w:highlight w:val="none"/>
          <w:lang w:val="en-US" w:eastAsia="zh-CN"/>
        </w:rPr>
      </w:pPr>
    </w:p>
    <w:p w14:paraId="5B80E855">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七、专职安全员简历表格式</w:t>
      </w:r>
    </w:p>
    <w:p w14:paraId="5B887040">
      <w:pPr>
        <w:jc w:val="center"/>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专职安全员简历表</w:t>
      </w:r>
    </w:p>
    <w:tbl>
      <w:tblPr>
        <w:tblStyle w:val="44"/>
        <w:tblW w:w="0" w:type="auto"/>
        <w:jc w:val="center"/>
        <w:tblLayout w:type="fixed"/>
        <w:tblCellMar>
          <w:top w:w="0" w:type="dxa"/>
          <w:left w:w="0" w:type="dxa"/>
          <w:bottom w:w="0" w:type="dxa"/>
          <w:right w:w="0" w:type="dxa"/>
        </w:tblCellMar>
      </w:tblPr>
      <w:tblGrid>
        <w:gridCol w:w="575"/>
        <w:gridCol w:w="575"/>
        <w:gridCol w:w="1469"/>
        <w:gridCol w:w="259"/>
        <w:gridCol w:w="863"/>
        <w:gridCol w:w="935"/>
        <w:gridCol w:w="146"/>
        <w:gridCol w:w="934"/>
        <w:gridCol w:w="1253"/>
        <w:gridCol w:w="329"/>
        <w:gridCol w:w="2159"/>
      </w:tblGrid>
      <w:tr w14:paraId="5F1F477B">
        <w:tblPrEx>
          <w:tblCellMar>
            <w:top w:w="0" w:type="dxa"/>
            <w:left w:w="0" w:type="dxa"/>
            <w:bottom w:w="0" w:type="dxa"/>
            <w:right w:w="0" w:type="dxa"/>
          </w:tblCellMar>
        </w:tblPrEx>
        <w:trPr>
          <w:trHeight w:val="541"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14:paraId="2F6494B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名</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61D2C678">
            <w:pPr>
              <w:jc w:val="center"/>
              <w:rPr>
                <w:rFonts w:hint="eastAsia" w:ascii="宋体" w:hAnsi="宋体" w:eastAsia="宋体" w:cs="宋体"/>
                <w:color w:val="auto"/>
                <w:kern w:val="0"/>
                <w:sz w:val="24"/>
                <w:szCs w:val="24"/>
                <w:highlight w:val="none"/>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14:paraId="30C5C39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龄</w:t>
            </w:r>
          </w:p>
        </w:tc>
        <w:tc>
          <w:tcPr>
            <w:tcW w:w="1081" w:type="dxa"/>
            <w:gridSpan w:val="2"/>
            <w:tcBorders>
              <w:top w:val="single" w:color="000000" w:sz="4" w:space="0"/>
              <w:left w:val="single" w:color="000000" w:sz="4" w:space="0"/>
              <w:bottom w:val="single" w:color="000000" w:sz="4" w:space="0"/>
              <w:right w:val="single" w:color="000000" w:sz="4" w:space="0"/>
            </w:tcBorders>
            <w:noWrap w:val="0"/>
            <w:vAlign w:val="center"/>
          </w:tcPr>
          <w:p w14:paraId="2187F78E">
            <w:pPr>
              <w:jc w:val="center"/>
              <w:rPr>
                <w:rFonts w:hint="eastAsia" w:ascii="宋体" w:hAnsi="宋体" w:eastAsia="宋体" w:cs="宋体"/>
                <w:color w:val="auto"/>
                <w:kern w:val="0"/>
                <w:sz w:val="24"/>
                <w:szCs w:val="24"/>
                <w:highlight w:val="none"/>
              </w:rPr>
            </w:pPr>
          </w:p>
        </w:tc>
        <w:tc>
          <w:tcPr>
            <w:tcW w:w="2187" w:type="dxa"/>
            <w:gridSpan w:val="2"/>
            <w:tcBorders>
              <w:top w:val="single" w:color="000000" w:sz="4" w:space="0"/>
              <w:left w:val="single" w:color="000000" w:sz="4" w:space="0"/>
              <w:bottom w:val="single" w:color="000000" w:sz="4" w:space="0"/>
              <w:right w:val="single" w:color="000000" w:sz="4" w:space="0"/>
            </w:tcBorders>
            <w:noWrap w:val="0"/>
            <w:vAlign w:val="center"/>
          </w:tcPr>
          <w:p w14:paraId="4B084EB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学历</w:t>
            </w:r>
          </w:p>
        </w:tc>
        <w:tc>
          <w:tcPr>
            <w:tcW w:w="2488" w:type="dxa"/>
            <w:gridSpan w:val="2"/>
            <w:tcBorders>
              <w:top w:val="single" w:color="000000" w:sz="4" w:space="0"/>
              <w:left w:val="single" w:color="000000" w:sz="4" w:space="0"/>
              <w:bottom w:val="single" w:color="000000" w:sz="4" w:space="0"/>
              <w:right w:val="single" w:color="000000" w:sz="4" w:space="0"/>
            </w:tcBorders>
            <w:noWrap w:val="0"/>
            <w:vAlign w:val="center"/>
          </w:tcPr>
          <w:p w14:paraId="717DF62E">
            <w:pPr>
              <w:jc w:val="center"/>
              <w:rPr>
                <w:rFonts w:hint="eastAsia" w:ascii="宋体" w:hAnsi="宋体" w:eastAsia="宋体" w:cs="宋体"/>
                <w:color w:val="auto"/>
                <w:kern w:val="0"/>
                <w:sz w:val="24"/>
                <w:szCs w:val="24"/>
                <w:highlight w:val="none"/>
              </w:rPr>
            </w:pPr>
          </w:p>
        </w:tc>
      </w:tr>
      <w:tr w14:paraId="1C417F37">
        <w:tblPrEx>
          <w:tblCellMar>
            <w:top w:w="0" w:type="dxa"/>
            <w:left w:w="0" w:type="dxa"/>
            <w:bottom w:w="0" w:type="dxa"/>
            <w:right w:w="0" w:type="dxa"/>
          </w:tblCellMar>
        </w:tblPrEx>
        <w:trPr>
          <w:trHeight w:val="665"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14:paraId="56CA245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称</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745F55A6">
            <w:pPr>
              <w:jc w:val="center"/>
              <w:rPr>
                <w:rFonts w:hint="eastAsia" w:ascii="宋体" w:hAnsi="宋体" w:eastAsia="宋体" w:cs="宋体"/>
                <w:color w:val="auto"/>
                <w:kern w:val="0"/>
                <w:sz w:val="24"/>
                <w:szCs w:val="24"/>
                <w:highlight w:val="none"/>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14:paraId="3AE825F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  务</w:t>
            </w:r>
          </w:p>
        </w:tc>
        <w:tc>
          <w:tcPr>
            <w:tcW w:w="1081" w:type="dxa"/>
            <w:gridSpan w:val="2"/>
            <w:tcBorders>
              <w:top w:val="single" w:color="000000" w:sz="4" w:space="0"/>
              <w:left w:val="single" w:color="000000" w:sz="4" w:space="0"/>
              <w:bottom w:val="single" w:color="000000" w:sz="4" w:space="0"/>
              <w:right w:val="single" w:color="000000" w:sz="4" w:space="0"/>
            </w:tcBorders>
            <w:noWrap w:val="0"/>
            <w:vAlign w:val="center"/>
          </w:tcPr>
          <w:p w14:paraId="15E35BD9">
            <w:pPr>
              <w:jc w:val="center"/>
              <w:rPr>
                <w:rFonts w:hint="eastAsia" w:ascii="宋体" w:hAnsi="宋体" w:eastAsia="宋体" w:cs="宋体"/>
                <w:color w:val="auto"/>
                <w:kern w:val="0"/>
                <w:sz w:val="24"/>
                <w:szCs w:val="24"/>
                <w:highlight w:val="none"/>
              </w:rPr>
            </w:pPr>
          </w:p>
        </w:tc>
        <w:tc>
          <w:tcPr>
            <w:tcW w:w="2187" w:type="dxa"/>
            <w:gridSpan w:val="2"/>
            <w:tcBorders>
              <w:top w:val="single" w:color="000000" w:sz="4" w:space="0"/>
              <w:left w:val="single" w:color="000000" w:sz="4" w:space="0"/>
              <w:bottom w:val="single" w:color="000000" w:sz="4" w:space="0"/>
              <w:right w:val="single" w:color="000000" w:sz="4" w:space="0"/>
            </w:tcBorders>
            <w:noWrap w:val="0"/>
            <w:vAlign w:val="center"/>
          </w:tcPr>
          <w:p w14:paraId="364B51C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拟在本合同任职</w:t>
            </w:r>
          </w:p>
        </w:tc>
        <w:tc>
          <w:tcPr>
            <w:tcW w:w="2488" w:type="dxa"/>
            <w:gridSpan w:val="2"/>
            <w:tcBorders>
              <w:top w:val="single" w:color="000000" w:sz="4" w:space="0"/>
              <w:left w:val="single" w:color="000000" w:sz="4" w:space="0"/>
              <w:bottom w:val="single" w:color="000000" w:sz="4" w:space="0"/>
              <w:right w:val="single" w:color="000000" w:sz="4" w:space="0"/>
            </w:tcBorders>
            <w:noWrap w:val="0"/>
            <w:vAlign w:val="center"/>
          </w:tcPr>
          <w:p w14:paraId="271F4B11">
            <w:pPr>
              <w:jc w:val="center"/>
              <w:rPr>
                <w:rFonts w:hint="eastAsia" w:ascii="宋体" w:hAnsi="宋体" w:eastAsia="宋体" w:cs="宋体"/>
                <w:color w:val="auto"/>
                <w:kern w:val="0"/>
                <w:sz w:val="24"/>
                <w:szCs w:val="24"/>
                <w:highlight w:val="none"/>
              </w:rPr>
            </w:pPr>
          </w:p>
        </w:tc>
      </w:tr>
      <w:tr w14:paraId="6D46F95E">
        <w:tblPrEx>
          <w:tblCellMar>
            <w:top w:w="0" w:type="dxa"/>
            <w:left w:w="0" w:type="dxa"/>
            <w:bottom w:w="0" w:type="dxa"/>
            <w:right w:w="0" w:type="dxa"/>
          </w:tblCellMar>
        </w:tblPrEx>
        <w:trPr>
          <w:trHeight w:val="677"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14:paraId="130F8F8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毕业学校</w:t>
            </w:r>
          </w:p>
        </w:tc>
        <w:tc>
          <w:tcPr>
            <w:tcW w:w="8347" w:type="dxa"/>
            <w:gridSpan w:val="9"/>
            <w:tcBorders>
              <w:top w:val="single" w:color="000000" w:sz="4" w:space="0"/>
              <w:left w:val="single" w:color="000000" w:sz="4" w:space="0"/>
              <w:bottom w:val="single" w:color="000000" w:sz="4" w:space="0"/>
              <w:right w:val="single" w:color="000000" w:sz="4" w:space="0"/>
            </w:tcBorders>
            <w:noWrap w:val="0"/>
            <w:vAlign w:val="center"/>
          </w:tcPr>
          <w:p w14:paraId="3F4AEE9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年毕业于</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学校</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专业</w:t>
            </w:r>
          </w:p>
        </w:tc>
      </w:tr>
      <w:tr w14:paraId="490F4C08">
        <w:tblPrEx>
          <w:tblCellMar>
            <w:top w:w="0" w:type="dxa"/>
            <w:left w:w="0" w:type="dxa"/>
            <w:bottom w:w="0" w:type="dxa"/>
            <w:right w:w="0" w:type="dxa"/>
          </w:tblCellMar>
        </w:tblPrEx>
        <w:trPr>
          <w:trHeight w:val="706"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14:paraId="3FEAAA3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安全生产考核合格证证号</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14:paraId="33441828">
            <w:pPr>
              <w:jc w:val="center"/>
              <w:rPr>
                <w:rFonts w:hint="eastAsia" w:ascii="宋体" w:hAnsi="宋体" w:eastAsia="宋体" w:cs="宋体"/>
                <w:color w:val="auto"/>
                <w:kern w:val="0"/>
                <w:sz w:val="24"/>
                <w:szCs w:val="24"/>
                <w:highlight w:val="none"/>
              </w:rPr>
            </w:pPr>
          </w:p>
        </w:tc>
      </w:tr>
      <w:tr w14:paraId="630FCD72">
        <w:tblPrEx>
          <w:tblCellMar>
            <w:top w:w="0" w:type="dxa"/>
            <w:left w:w="0" w:type="dxa"/>
            <w:bottom w:w="0" w:type="dxa"/>
            <w:right w:w="0" w:type="dxa"/>
          </w:tblCellMar>
        </w:tblPrEx>
        <w:trPr>
          <w:trHeight w:val="706"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14:paraId="5D595F8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14:paraId="58267513">
            <w:pPr>
              <w:jc w:val="center"/>
              <w:rPr>
                <w:rFonts w:hint="eastAsia" w:ascii="宋体" w:hAnsi="宋体" w:eastAsia="宋体" w:cs="宋体"/>
                <w:color w:val="auto"/>
                <w:kern w:val="0"/>
                <w:sz w:val="24"/>
                <w:szCs w:val="24"/>
                <w:highlight w:val="none"/>
              </w:rPr>
            </w:pPr>
          </w:p>
        </w:tc>
      </w:tr>
      <w:tr w14:paraId="321C57C7">
        <w:tblPrEx>
          <w:tblCellMar>
            <w:top w:w="0" w:type="dxa"/>
            <w:left w:w="0" w:type="dxa"/>
            <w:bottom w:w="0" w:type="dxa"/>
            <w:right w:w="0" w:type="dxa"/>
          </w:tblCellMar>
        </w:tblPrEx>
        <w:trPr>
          <w:trHeight w:val="693"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14:paraId="3B5FBE7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是否有在建工程</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14:paraId="699DD96A">
            <w:pPr>
              <w:jc w:val="center"/>
              <w:rPr>
                <w:rFonts w:hint="eastAsia" w:ascii="宋体" w:hAnsi="宋体" w:eastAsia="宋体" w:cs="宋体"/>
                <w:color w:val="auto"/>
                <w:kern w:val="0"/>
                <w:sz w:val="24"/>
                <w:szCs w:val="24"/>
                <w:highlight w:val="none"/>
              </w:rPr>
            </w:pPr>
          </w:p>
        </w:tc>
      </w:tr>
      <w:tr w14:paraId="4C4E86B4">
        <w:tblPrEx>
          <w:tblCellMar>
            <w:top w:w="0" w:type="dxa"/>
            <w:left w:w="0" w:type="dxa"/>
            <w:bottom w:w="0" w:type="dxa"/>
            <w:right w:w="0" w:type="dxa"/>
          </w:tblCellMar>
        </w:tblPrEx>
        <w:trPr>
          <w:trHeight w:val="680" w:hRule="exact"/>
          <w:jc w:val="center"/>
        </w:trPr>
        <w:tc>
          <w:tcPr>
            <w:tcW w:w="9497" w:type="dxa"/>
            <w:gridSpan w:val="11"/>
            <w:tcBorders>
              <w:top w:val="single" w:color="000000" w:sz="4" w:space="0"/>
              <w:left w:val="single" w:color="000000" w:sz="4" w:space="0"/>
              <w:bottom w:val="single" w:color="000000" w:sz="4" w:space="0"/>
              <w:right w:val="single" w:color="000000" w:sz="4" w:space="0"/>
            </w:tcBorders>
            <w:noWrap w:val="0"/>
            <w:vAlign w:val="center"/>
          </w:tcPr>
          <w:p w14:paraId="6F47BC0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目前任职项目情况</w:t>
            </w:r>
          </w:p>
        </w:tc>
      </w:tr>
      <w:tr w14:paraId="302B002C">
        <w:tblPrEx>
          <w:tblCellMar>
            <w:top w:w="0" w:type="dxa"/>
            <w:left w:w="0" w:type="dxa"/>
            <w:bottom w:w="0" w:type="dxa"/>
            <w:right w:w="0" w:type="dxa"/>
          </w:tblCellMar>
        </w:tblPrEx>
        <w:trPr>
          <w:trHeight w:val="711"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8BBDF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14:paraId="4D304EB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发包人名称</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1CEA3CE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6ADB37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担任职务</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23E4BB3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可调离日期</w:t>
            </w:r>
          </w:p>
        </w:tc>
      </w:tr>
      <w:tr w14:paraId="2CF71D25">
        <w:tblPrEx>
          <w:tblCellMar>
            <w:top w:w="0" w:type="dxa"/>
            <w:left w:w="0" w:type="dxa"/>
            <w:bottom w:w="0" w:type="dxa"/>
            <w:right w:w="0" w:type="dxa"/>
          </w:tblCellMar>
        </w:tblPrEx>
        <w:trPr>
          <w:trHeight w:val="716"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558A11">
            <w:pPr>
              <w:jc w:val="center"/>
              <w:rPr>
                <w:rFonts w:hint="eastAsia" w:ascii="宋体" w:hAnsi="宋体" w:eastAsia="宋体" w:cs="宋体"/>
                <w:color w:val="auto"/>
                <w:kern w:val="0"/>
                <w:sz w:val="24"/>
                <w:szCs w:val="24"/>
                <w:highlight w:val="none"/>
              </w:rPr>
            </w:pP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14:paraId="57E60FD2">
            <w:pPr>
              <w:jc w:val="center"/>
              <w:rPr>
                <w:rFonts w:hint="eastAsia" w:ascii="宋体" w:hAnsi="宋体" w:eastAsia="宋体" w:cs="宋体"/>
                <w:color w:val="auto"/>
                <w:kern w:val="0"/>
                <w:sz w:val="24"/>
                <w:szCs w:val="24"/>
                <w:highlight w:val="none"/>
              </w:rPr>
            </w:pP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0B8C3CD9">
            <w:pPr>
              <w:jc w:val="center"/>
              <w:rPr>
                <w:rFonts w:hint="eastAsia" w:ascii="宋体" w:hAnsi="宋体" w:eastAsia="宋体" w:cs="宋体"/>
                <w:color w:val="auto"/>
                <w:kern w:val="0"/>
                <w:sz w:val="24"/>
                <w:szCs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3CD0989">
            <w:pPr>
              <w:jc w:val="center"/>
              <w:rPr>
                <w:rFonts w:hint="eastAsia" w:ascii="宋体" w:hAnsi="宋体" w:eastAsia="宋体" w:cs="宋体"/>
                <w:color w:val="auto"/>
                <w:kern w:val="0"/>
                <w:sz w:val="24"/>
                <w:szCs w:val="24"/>
                <w:highlight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14:paraId="054F4287">
            <w:pPr>
              <w:jc w:val="center"/>
              <w:rPr>
                <w:rFonts w:hint="eastAsia" w:ascii="宋体" w:hAnsi="宋体" w:eastAsia="宋体" w:cs="宋体"/>
                <w:color w:val="auto"/>
                <w:kern w:val="0"/>
                <w:sz w:val="24"/>
                <w:szCs w:val="24"/>
                <w:highlight w:val="none"/>
              </w:rPr>
            </w:pPr>
          </w:p>
        </w:tc>
      </w:tr>
    </w:tbl>
    <w:p w14:paraId="488C6B72">
      <w:pPr>
        <w:jc w:val="center"/>
        <w:rPr>
          <w:rFonts w:hint="eastAsia" w:ascii="宋体" w:hAnsi="宋体" w:eastAsia="宋体" w:cs="宋体"/>
          <w:b/>
          <w:color w:val="auto"/>
          <w:kern w:val="0"/>
          <w:sz w:val="28"/>
          <w:szCs w:val="28"/>
          <w:highlight w:val="none"/>
        </w:rPr>
      </w:pPr>
    </w:p>
    <w:p w14:paraId="42D9986D">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0461B98">
      <w:pPr>
        <w:numPr>
          <w:ilvl w:val="0"/>
          <w:numId w:val="2"/>
        </w:num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竞标人应如实填写，并对所填信息及提供材料的真实性负责。</w:t>
      </w:r>
    </w:p>
    <w:p w14:paraId="3350E91E">
      <w:pPr>
        <w:widowControl/>
        <w:spacing w:line="440" w:lineRule="exac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2、本表所需专职安全员身份证、学历证（如有要求需提供）、职称证（如有要求需提供）、安全生产考核合格证</w:t>
      </w:r>
      <w:r>
        <w:rPr>
          <w:rFonts w:hint="eastAsia" w:ascii="宋体" w:hAnsi="宋体" w:eastAsia="宋体" w:cs="宋体"/>
          <w:color w:val="auto"/>
          <w:szCs w:val="21"/>
          <w:highlight w:val="none"/>
          <w:lang w:val="zh-CN"/>
        </w:rPr>
        <w:t>（C类）</w:t>
      </w:r>
      <w:r>
        <w:rPr>
          <w:rFonts w:hint="eastAsia" w:ascii="宋体" w:hAnsi="宋体" w:eastAsia="宋体" w:cs="宋体"/>
          <w:color w:val="auto"/>
          <w:szCs w:val="21"/>
          <w:highlight w:val="none"/>
        </w:rPr>
        <w:t>等材料的扫描件需保证扫描件清晰可辩，否则，在评审时不予承认。</w:t>
      </w:r>
    </w:p>
    <w:p w14:paraId="1757C531">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1EFA4C1">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718027B">
      <w:pPr>
        <w:spacing w:line="500" w:lineRule="exact"/>
        <w:jc w:val="center"/>
        <w:rPr>
          <w:rFonts w:hint="eastAsia" w:ascii="宋体" w:hAnsi="宋体" w:eastAsia="宋体" w:cs="宋体"/>
          <w:b/>
          <w:color w:val="auto"/>
          <w:szCs w:val="21"/>
          <w:highlight w:val="none"/>
          <w:lang w:val="en-US" w:eastAsia="zh-CN"/>
        </w:rPr>
      </w:pPr>
    </w:p>
    <w:p w14:paraId="2228CC5E">
      <w:pPr>
        <w:spacing w:line="500" w:lineRule="exact"/>
        <w:jc w:val="both"/>
        <w:rPr>
          <w:rFonts w:hint="eastAsia" w:ascii="宋体" w:hAnsi="宋体" w:eastAsia="宋体" w:cs="宋体"/>
          <w:b/>
          <w:color w:val="auto"/>
          <w:szCs w:val="21"/>
          <w:highlight w:val="none"/>
          <w:lang w:val="en-US" w:eastAsia="zh-CN"/>
        </w:rPr>
      </w:pPr>
    </w:p>
    <w:p w14:paraId="5CCA7DDC">
      <w:pPr>
        <w:spacing w:line="500" w:lineRule="exact"/>
        <w:jc w:val="both"/>
        <w:rPr>
          <w:rFonts w:hint="eastAsia" w:ascii="宋体" w:hAnsi="宋体" w:eastAsia="宋体" w:cs="宋体"/>
          <w:b/>
          <w:color w:val="auto"/>
          <w:szCs w:val="21"/>
          <w:highlight w:val="none"/>
          <w:lang w:val="en-US" w:eastAsia="zh-CN"/>
        </w:rPr>
      </w:pPr>
    </w:p>
    <w:p w14:paraId="716F4A9D">
      <w:pPr>
        <w:spacing w:line="500" w:lineRule="exact"/>
        <w:jc w:val="both"/>
        <w:rPr>
          <w:rFonts w:hint="eastAsia" w:ascii="宋体" w:hAnsi="宋体" w:eastAsia="宋体" w:cs="宋体"/>
          <w:b/>
          <w:color w:val="auto"/>
          <w:szCs w:val="21"/>
          <w:highlight w:val="none"/>
          <w:lang w:val="en-US" w:eastAsia="zh-CN"/>
        </w:rPr>
      </w:pPr>
    </w:p>
    <w:p w14:paraId="6C0FF948">
      <w:pPr>
        <w:spacing w:line="500" w:lineRule="exact"/>
        <w:jc w:val="both"/>
        <w:rPr>
          <w:rFonts w:hint="eastAsia" w:ascii="宋体" w:hAnsi="宋体" w:eastAsia="宋体" w:cs="宋体"/>
          <w:b/>
          <w:color w:val="auto"/>
          <w:szCs w:val="21"/>
          <w:highlight w:val="none"/>
          <w:lang w:val="en-US" w:eastAsia="zh-CN"/>
        </w:rPr>
      </w:pPr>
    </w:p>
    <w:p w14:paraId="4259B4F5">
      <w:pPr>
        <w:spacing w:line="500" w:lineRule="exact"/>
        <w:jc w:val="both"/>
        <w:rPr>
          <w:rFonts w:hint="eastAsia" w:ascii="宋体" w:hAnsi="宋体" w:eastAsia="宋体" w:cs="宋体"/>
          <w:b/>
          <w:color w:val="auto"/>
          <w:szCs w:val="21"/>
          <w:highlight w:val="none"/>
          <w:lang w:val="en-US" w:eastAsia="zh-CN"/>
        </w:rPr>
      </w:pPr>
    </w:p>
    <w:p w14:paraId="725F0307">
      <w:pPr>
        <w:spacing w:line="500" w:lineRule="exact"/>
        <w:jc w:val="both"/>
        <w:rPr>
          <w:rFonts w:hint="eastAsia" w:ascii="宋体" w:hAnsi="宋体" w:eastAsia="宋体" w:cs="宋体"/>
          <w:b/>
          <w:color w:val="auto"/>
          <w:szCs w:val="21"/>
          <w:highlight w:val="none"/>
          <w:lang w:val="en-US" w:eastAsia="zh-CN"/>
        </w:rPr>
      </w:pPr>
    </w:p>
    <w:p w14:paraId="6E8FFFBE">
      <w:pPr>
        <w:spacing w:line="500" w:lineRule="exact"/>
        <w:jc w:val="both"/>
        <w:rPr>
          <w:rFonts w:hint="eastAsia" w:ascii="宋体" w:hAnsi="宋体" w:eastAsia="宋体" w:cs="宋体"/>
          <w:b/>
          <w:color w:val="auto"/>
          <w:szCs w:val="21"/>
          <w:highlight w:val="none"/>
          <w:lang w:val="en-US" w:eastAsia="zh-CN"/>
        </w:rPr>
      </w:pPr>
    </w:p>
    <w:p w14:paraId="5571E0DB">
      <w:pPr>
        <w:spacing w:line="500" w:lineRule="exact"/>
        <w:jc w:val="both"/>
        <w:rPr>
          <w:rFonts w:hint="eastAsia" w:ascii="宋体" w:hAnsi="宋体" w:eastAsia="宋体" w:cs="宋体"/>
          <w:b/>
          <w:color w:val="auto"/>
          <w:szCs w:val="21"/>
          <w:highlight w:val="none"/>
          <w:lang w:val="en-US" w:eastAsia="zh-CN"/>
        </w:rPr>
      </w:pPr>
    </w:p>
    <w:p w14:paraId="31E538A0">
      <w:pPr>
        <w:spacing w:line="320" w:lineRule="exact"/>
        <w:rPr>
          <w:rFonts w:hint="eastAsia" w:ascii="宋体" w:hAnsi="宋体" w:eastAsia="宋体" w:cs="宋体"/>
          <w:b/>
          <w:color w:val="auto"/>
          <w:szCs w:val="21"/>
          <w:highlight w:val="none"/>
          <w:lang w:val="en-US" w:eastAsia="zh-CN"/>
        </w:rPr>
      </w:pPr>
    </w:p>
    <w:p w14:paraId="7F11382C">
      <w:pPr>
        <w:spacing w:line="320" w:lineRule="exact"/>
        <w:rPr>
          <w:rFonts w:hint="eastAsia" w:ascii="宋体" w:hAnsi="宋体" w:eastAsia="宋体" w:cs="宋体"/>
          <w:b/>
          <w:color w:val="auto"/>
          <w:szCs w:val="21"/>
          <w:highlight w:val="none"/>
          <w:lang w:val="en-US" w:eastAsia="zh-CN"/>
        </w:rPr>
      </w:pPr>
    </w:p>
    <w:p w14:paraId="4FB76197">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八、农民工工资保证金承诺书格式</w:t>
      </w:r>
    </w:p>
    <w:p w14:paraId="0720CE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bookmarkStart w:id="30" w:name="_Toc509307405"/>
      <w:r>
        <w:rPr>
          <w:rFonts w:hint="eastAsia" w:ascii="宋体" w:hAnsi="宋体" w:eastAsia="宋体" w:cs="宋体"/>
          <w:b/>
          <w:color w:val="auto"/>
          <w:kern w:val="0"/>
          <w:sz w:val="24"/>
          <w:szCs w:val="24"/>
          <w:highlight w:val="none"/>
        </w:rPr>
        <w:t>农民工工资保证金承诺书</w:t>
      </w:r>
      <w:bookmarkEnd w:id="30"/>
    </w:p>
    <w:p w14:paraId="69F3B76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1C8D10B4">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w:t>
      </w:r>
      <w:r>
        <w:rPr>
          <w:rFonts w:hint="eastAsia" w:ascii="宋体" w:hAnsi="宋体" w:eastAsia="宋体" w:cs="宋体"/>
          <w:bCs/>
          <w:color w:val="auto"/>
          <w:sz w:val="21"/>
          <w:szCs w:val="21"/>
          <w:highlight w:val="none"/>
        </w:rPr>
        <w:t>关于建立交通行业农民工工资保证金制度的通知》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桂劳社发﹝2007﹞147号</w:t>
      </w:r>
      <w:r>
        <w:rPr>
          <w:rFonts w:hint="eastAsia" w:ascii="宋体" w:hAnsi="宋体" w:eastAsia="宋体" w:cs="宋体"/>
          <w:color w:val="auto"/>
          <w:sz w:val="21"/>
          <w:szCs w:val="21"/>
          <w:highlight w:val="none"/>
        </w:rPr>
        <w:t>）、《关于明确农民工工资保证金制度有关问题的通知》（桂薪联发﹝</w:t>
      </w:r>
      <w:r>
        <w:rPr>
          <w:rFonts w:hint="eastAsia" w:ascii="宋体" w:hAnsi="宋体" w:eastAsia="宋体" w:cs="宋体"/>
          <w:bCs/>
          <w:color w:val="auto"/>
          <w:sz w:val="21"/>
          <w:szCs w:val="21"/>
          <w:highlight w:val="none"/>
        </w:rPr>
        <w:t>2016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2号</w:t>
      </w:r>
      <w:r>
        <w:rPr>
          <w:rFonts w:hint="eastAsia" w:ascii="宋体" w:hAnsi="宋体" w:eastAsia="宋体" w:cs="宋体"/>
          <w:color w:val="auto"/>
          <w:sz w:val="21"/>
          <w:szCs w:val="21"/>
          <w:highlight w:val="none"/>
        </w:rPr>
        <w:t>）规定，在</w:t>
      </w:r>
      <w:r>
        <w:rPr>
          <w:rFonts w:hint="eastAsia" w:ascii="宋体" w:hAnsi="宋体" w:eastAsia="宋体" w:cs="宋体"/>
          <w:color w:val="auto"/>
          <w:sz w:val="21"/>
          <w:szCs w:val="21"/>
          <w:highlight w:val="none"/>
          <w:u w:val="single"/>
        </w:rPr>
        <w:t xml:space="preserve">                        </w:t>
      </w:r>
    </w:p>
    <w:p w14:paraId="45298984">
      <w:pPr>
        <w:keepNext w:val="0"/>
        <w:keepLines w:val="0"/>
        <w:pageBreakBefore w:val="0"/>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施工招标的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中，我单位对农民工工资的支付作出以下郑重承诺：</w:t>
      </w:r>
    </w:p>
    <w:p w14:paraId="09F0FFAA">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（一）我单位在本招标项目递交响应文件截止时间</w:t>
      </w:r>
      <w:r>
        <w:rPr>
          <w:rFonts w:hint="eastAsia" w:ascii="宋体" w:hAnsi="宋体" w:eastAsia="宋体" w:cs="宋体"/>
          <w:color w:val="auto"/>
          <w:sz w:val="21"/>
          <w:szCs w:val="21"/>
          <w:highlight w:val="none"/>
          <w:u w:val="single"/>
        </w:rPr>
        <w:t xml:space="preserve">         （开标日）</w:t>
      </w:r>
      <w:r>
        <w:rPr>
          <w:rFonts w:hint="eastAsia" w:ascii="宋体" w:hAnsi="宋体" w:eastAsia="宋体" w:cs="宋体"/>
          <w:color w:val="auto"/>
          <w:sz w:val="21"/>
          <w:szCs w:val="21"/>
          <w:highlight w:val="none"/>
        </w:rPr>
        <w:t>前所承建的工程项目，不存在拖欠或克扣农民工工资的行为。</w:t>
      </w:r>
    </w:p>
    <w:p w14:paraId="5F909E56">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成交后，我单位同意在签订合同后在工程项目所在地商业银行开设农民工工资保证金专用账户，并按</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D01212D">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（三）在项目实施过程中，若出现结算价与中标价不一致时，以实际结算金额按</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规定的计算额度存入农民工工资保证金。</w:t>
      </w:r>
    </w:p>
    <w:p w14:paraId="2837DF0C">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施工招标出现拖欠农民工工资情况的，可由劳动保障、交通主管部门（或授权机构）及建设单位根据相关规定从其农民工工资保证金中先予支取。</w:t>
      </w:r>
    </w:p>
    <w:p w14:paraId="1EFDBABB">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w:t>
      </w:r>
      <w:r>
        <w:rPr>
          <w:rFonts w:hint="eastAsia" w:ascii="宋体" w:hAnsi="宋体" w:eastAsia="宋体" w:cs="宋体"/>
          <w:bCs/>
          <w:color w:val="auto"/>
          <w:sz w:val="21"/>
          <w:szCs w:val="21"/>
          <w:highlight w:val="none"/>
        </w:rPr>
        <w:t>关于建立交通行业农民工工资保证金制度的通知》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桂劳社发﹝2007﹞147号</w:t>
      </w:r>
      <w:r>
        <w:rPr>
          <w:rFonts w:hint="eastAsia" w:ascii="宋体" w:hAnsi="宋体" w:eastAsia="宋体" w:cs="宋体"/>
          <w:color w:val="auto"/>
          <w:sz w:val="21"/>
          <w:szCs w:val="21"/>
          <w:highlight w:val="none"/>
        </w:rPr>
        <w:t>）、《关于明确农民工工资保证金制度有关问题的通知》（桂薪联发﹝</w:t>
      </w:r>
      <w:r>
        <w:rPr>
          <w:rFonts w:hint="eastAsia" w:ascii="宋体" w:hAnsi="宋体" w:eastAsia="宋体" w:cs="宋体"/>
          <w:bCs/>
          <w:color w:val="auto"/>
          <w:sz w:val="21"/>
          <w:szCs w:val="21"/>
          <w:highlight w:val="none"/>
        </w:rPr>
        <w:t>2016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2号</w:t>
      </w:r>
      <w:r>
        <w:rPr>
          <w:rFonts w:hint="eastAsia" w:ascii="宋体" w:hAnsi="宋体" w:eastAsia="宋体" w:cs="宋体"/>
          <w:color w:val="auto"/>
          <w:sz w:val="21"/>
          <w:szCs w:val="21"/>
          <w:highlight w:val="none"/>
        </w:rPr>
        <w:t>）。</w:t>
      </w:r>
    </w:p>
    <w:p w14:paraId="70DAD449">
      <w:pPr>
        <w:keepNext w:val="0"/>
        <w:keepLines w:val="0"/>
        <w:pageBreakBefore w:val="0"/>
        <w:kinsoku/>
        <w:wordWrap/>
        <w:overflowPunct/>
        <w:topLinePunct w:val="0"/>
        <w:autoSpaceDE/>
        <w:autoSpaceDN/>
        <w:bidi w:val="0"/>
        <w:adjustRightInd/>
        <w:snapToGrid/>
        <w:spacing w:line="360" w:lineRule="exact"/>
        <w:ind w:firstLine="6090" w:firstLineChars="2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供应商名称(电子签章)：</w:t>
      </w:r>
    </w:p>
    <w:p w14:paraId="243FFAF9">
      <w:pPr>
        <w:keepNext w:val="0"/>
        <w:keepLines w:val="0"/>
        <w:pageBreakBefore w:val="0"/>
        <w:kinsoku/>
        <w:wordWrap/>
        <w:overflowPunct/>
        <w:topLinePunct w:val="0"/>
        <w:autoSpaceDE/>
        <w:autoSpaceDN/>
        <w:bidi w:val="0"/>
        <w:adjustRightInd/>
        <w:snapToGrid/>
        <w:spacing w:line="360" w:lineRule="exact"/>
        <w:ind w:firstLine="6300" w:firstLineChars="3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CCAE84D">
      <w:pPr>
        <w:keepNext w:val="0"/>
        <w:keepLines w:val="0"/>
        <w:pageBreakBefore w:val="0"/>
        <w:kinsoku/>
        <w:wordWrap/>
        <w:overflowPunct/>
        <w:topLinePunct w:val="0"/>
        <w:autoSpaceDE/>
        <w:autoSpaceDN/>
        <w:bidi w:val="0"/>
        <w:adjustRightInd/>
        <w:snapToGrid/>
        <w:spacing w:line="360" w:lineRule="exact"/>
        <w:ind w:firstLine="4200" w:firstLineChars="2000"/>
        <w:textAlignment w:val="auto"/>
        <w:rPr>
          <w:rFonts w:hint="eastAsia" w:ascii="宋体" w:hAnsi="宋体" w:eastAsia="宋体" w:cs="宋体"/>
          <w:color w:val="auto"/>
          <w:sz w:val="21"/>
          <w:szCs w:val="21"/>
          <w:highlight w:val="none"/>
        </w:rPr>
      </w:pPr>
    </w:p>
    <w:p w14:paraId="293CE494">
      <w:pPr>
        <w:keepNext w:val="0"/>
        <w:keepLines w:val="0"/>
        <w:pageBreakBefore w:val="0"/>
        <w:kinsoku/>
        <w:wordWrap/>
        <w:overflowPunct/>
        <w:topLinePunct w:val="0"/>
        <w:autoSpaceDE/>
        <w:autoSpaceDN/>
        <w:bidi w:val="0"/>
        <w:adjustRightInd/>
        <w:snapToGrid/>
        <w:spacing w:line="360" w:lineRule="exact"/>
        <w:ind w:left="42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（注：农民工工资保证金额度按中标价（A）金额计算：小于5000万元（含5000万元）的，按A×2%存入； 5000万元以上的，按5000×2%+（A-5000）×1.5%存入。）</w:t>
      </w:r>
    </w:p>
    <w:p w14:paraId="4C112A1F">
      <w:pPr>
        <w:spacing w:line="320" w:lineRule="exact"/>
        <w:rPr>
          <w:rFonts w:hint="eastAsia" w:ascii="宋体" w:hAnsi="宋体" w:eastAsia="宋体" w:cs="宋体"/>
          <w:color w:val="auto"/>
          <w:szCs w:val="21"/>
          <w:highlight w:val="none"/>
        </w:rPr>
      </w:pPr>
    </w:p>
    <w:p w14:paraId="2F95B224">
      <w:pPr>
        <w:spacing w:line="320" w:lineRule="exact"/>
        <w:rPr>
          <w:rFonts w:hint="eastAsia" w:ascii="宋体" w:hAnsi="宋体" w:eastAsia="宋体" w:cs="宋体"/>
          <w:color w:val="auto"/>
          <w:szCs w:val="21"/>
          <w:highlight w:val="none"/>
        </w:rPr>
      </w:pPr>
    </w:p>
    <w:p w14:paraId="5062B5F4">
      <w:pPr>
        <w:spacing w:line="320" w:lineRule="exact"/>
        <w:rPr>
          <w:rFonts w:hint="eastAsia" w:ascii="宋体" w:hAnsi="宋体" w:eastAsia="宋体" w:cs="宋体"/>
          <w:color w:val="auto"/>
          <w:szCs w:val="21"/>
          <w:highlight w:val="none"/>
        </w:rPr>
      </w:pPr>
    </w:p>
    <w:p w14:paraId="1C51F604">
      <w:pPr>
        <w:spacing w:line="320" w:lineRule="exact"/>
        <w:rPr>
          <w:rFonts w:hint="eastAsia" w:ascii="宋体" w:hAnsi="宋体" w:eastAsia="宋体" w:cs="宋体"/>
          <w:color w:val="auto"/>
          <w:szCs w:val="21"/>
          <w:highlight w:val="none"/>
        </w:rPr>
      </w:pPr>
    </w:p>
    <w:p w14:paraId="687A1DE2">
      <w:pPr>
        <w:spacing w:line="320" w:lineRule="exact"/>
        <w:rPr>
          <w:rFonts w:hint="eastAsia" w:ascii="宋体" w:hAnsi="宋体" w:eastAsia="宋体" w:cs="宋体"/>
          <w:color w:val="auto"/>
          <w:szCs w:val="21"/>
          <w:highlight w:val="none"/>
        </w:rPr>
      </w:pPr>
    </w:p>
    <w:p w14:paraId="6602C400">
      <w:pPr>
        <w:spacing w:line="320" w:lineRule="exact"/>
        <w:rPr>
          <w:rFonts w:hint="eastAsia" w:ascii="宋体" w:hAnsi="宋体" w:eastAsia="宋体" w:cs="宋体"/>
          <w:color w:val="auto"/>
          <w:szCs w:val="21"/>
          <w:highlight w:val="none"/>
        </w:rPr>
      </w:pPr>
    </w:p>
    <w:p w14:paraId="42F0659A">
      <w:pPr>
        <w:spacing w:line="320" w:lineRule="exact"/>
        <w:rPr>
          <w:rFonts w:hint="eastAsia" w:ascii="宋体" w:hAnsi="宋体" w:eastAsia="宋体" w:cs="宋体"/>
          <w:color w:val="auto"/>
          <w:szCs w:val="21"/>
          <w:highlight w:val="none"/>
        </w:rPr>
      </w:pPr>
    </w:p>
    <w:p w14:paraId="2973F5C0">
      <w:pPr>
        <w:spacing w:line="320" w:lineRule="exact"/>
        <w:rPr>
          <w:rFonts w:hint="eastAsia" w:ascii="宋体" w:hAnsi="宋体" w:eastAsia="宋体" w:cs="宋体"/>
          <w:color w:val="auto"/>
          <w:szCs w:val="21"/>
          <w:highlight w:val="none"/>
        </w:rPr>
      </w:pPr>
    </w:p>
    <w:p w14:paraId="132C6E8F">
      <w:pPr>
        <w:spacing w:line="320" w:lineRule="exact"/>
        <w:rPr>
          <w:rFonts w:hint="eastAsia" w:ascii="宋体" w:hAnsi="宋体" w:eastAsia="宋体" w:cs="宋体"/>
          <w:color w:val="auto"/>
          <w:szCs w:val="21"/>
          <w:highlight w:val="none"/>
        </w:rPr>
      </w:pPr>
    </w:p>
    <w:p w14:paraId="69672837">
      <w:pPr>
        <w:spacing w:line="320" w:lineRule="exact"/>
        <w:rPr>
          <w:rFonts w:hint="eastAsia" w:ascii="宋体" w:hAnsi="宋体" w:eastAsia="宋体" w:cs="宋体"/>
          <w:color w:val="auto"/>
          <w:szCs w:val="21"/>
          <w:highlight w:val="none"/>
        </w:rPr>
      </w:pPr>
    </w:p>
    <w:p w14:paraId="6D3FC29E">
      <w:pPr>
        <w:spacing w:line="320" w:lineRule="exact"/>
        <w:rPr>
          <w:rFonts w:hint="eastAsia" w:ascii="宋体" w:hAnsi="宋体" w:eastAsia="宋体" w:cs="宋体"/>
          <w:color w:val="auto"/>
          <w:szCs w:val="21"/>
          <w:highlight w:val="none"/>
        </w:rPr>
      </w:pPr>
    </w:p>
    <w:p w14:paraId="6AADE9BC">
      <w:pPr>
        <w:spacing w:line="320" w:lineRule="exact"/>
        <w:rPr>
          <w:rFonts w:hint="eastAsia" w:ascii="宋体" w:hAnsi="宋体" w:eastAsia="宋体" w:cs="宋体"/>
          <w:color w:val="auto"/>
          <w:szCs w:val="21"/>
          <w:highlight w:val="none"/>
        </w:rPr>
      </w:pPr>
    </w:p>
    <w:p w14:paraId="230ECACA">
      <w:pPr>
        <w:spacing w:line="320" w:lineRule="exact"/>
        <w:rPr>
          <w:rFonts w:hint="eastAsia" w:ascii="宋体" w:hAnsi="宋体" w:eastAsia="宋体" w:cs="宋体"/>
          <w:color w:val="auto"/>
          <w:szCs w:val="21"/>
          <w:highlight w:val="none"/>
        </w:rPr>
      </w:pPr>
    </w:p>
    <w:p w14:paraId="23E5583A">
      <w:pPr>
        <w:spacing w:line="320" w:lineRule="exact"/>
        <w:rPr>
          <w:rFonts w:hint="eastAsia" w:ascii="宋体" w:hAnsi="宋体" w:eastAsia="宋体" w:cs="宋体"/>
          <w:color w:val="auto"/>
          <w:szCs w:val="21"/>
          <w:highlight w:val="none"/>
        </w:rPr>
      </w:pPr>
    </w:p>
    <w:p w14:paraId="3B638B7F">
      <w:pPr>
        <w:spacing w:line="320" w:lineRule="exact"/>
        <w:rPr>
          <w:rFonts w:hint="eastAsia" w:ascii="宋体" w:hAnsi="宋体" w:eastAsia="宋体" w:cs="宋体"/>
          <w:color w:val="auto"/>
          <w:szCs w:val="21"/>
          <w:highlight w:val="none"/>
        </w:rPr>
      </w:pPr>
    </w:p>
    <w:p w14:paraId="3B9A2421">
      <w:pPr>
        <w:spacing w:line="320" w:lineRule="exact"/>
        <w:rPr>
          <w:rFonts w:hint="eastAsia" w:ascii="宋体" w:hAnsi="宋体" w:eastAsia="宋体" w:cs="宋体"/>
          <w:color w:val="auto"/>
          <w:szCs w:val="21"/>
          <w:highlight w:val="none"/>
        </w:rPr>
      </w:pPr>
    </w:p>
    <w:p w14:paraId="5A7D32A3">
      <w:pPr>
        <w:spacing w:line="320" w:lineRule="exact"/>
        <w:rPr>
          <w:rFonts w:hint="eastAsia" w:ascii="宋体" w:hAnsi="宋体" w:eastAsia="宋体" w:cs="宋体"/>
          <w:color w:val="auto"/>
          <w:szCs w:val="21"/>
          <w:highlight w:val="none"/>
        </w:rPr>
      </w:pPr>
    </w:p>
    <w:p w14:paraId="1663E3E2">
      <w:pPr>
        <w:spacing w:line="320" w:lineRule="exact"/>
        <w:rPr>
          <w:rFonts w:hint="eastAsia" w:ascii="宋体" w:hAnsi="宋体" w:eastAsia="宋体" w:cs="宋体"/>
          <w:color w:val="auto"/>
          <w:szCs w:val="21"/>
          <w:highlight w:val="none"/>
        </w:rPr>
      </w:pPr>
    </w:p>
    <w:p w14:paraId="615E5D1D">
      <w:pPr>
        <w:spacing w:line="320" w:lineRule="exact"/>
        <w:rPr>
          <w:rFonts w:hint="eastAsia" w:ascii="宋体" w:hAnsi="宋体" w:eastAsia="宋体" w:cs="宋体"/>
          <w:color w:val="auto"/>
          <w:szCs w:val="21"/>
          <w:highlight w:val="none"/>
        </w:rPr>
      </w:pPr>
    </w:p>
    <w:p w14:paraId="200C8DF6">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九、建设工程项目管理承诺书格式</w:t>
      </w:r>
    </w:p>
    <w:p w14:paraId="6785A0D9">
      <w:pPr>
        <w:spacing w:line="360" w:lineRule="auto"/>
        <w:jc w:val="center"/>
        <w:rPr>
          <w:rFonts w:hint="eastAsia" w:ascii="宋体" w:hAnsi="宋体" w:eastAsia="宋体" w:cs="宋体"/>
          <w:b/>
          <w:color w:val="auto"/>
          <w:kern w:val="0"/>
          <w:sz w:val="28"/>
          <w:szCs w:val="28"/>
          <w:highlight w:val="none"/>
        </w:rPr>
      </w:pPr>
    </w:p>
    <w:p w14:paraId="58BA3ACE">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建设工程项目管理承诺书</w:t>
      </w:r>
    </w:p>
    <w:p w14:paraId="2B55FF43">
      <w:pPr>
        <w:spacing w:line="360" w:lineRule="auto"/>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致</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（采购人名称）：</w:t>
      </w:r>
    </w:p>
    <w:p w14:paraId="37E41A77">
      <w:pPr>
        <w:pStyle w:val="2"/>
        <w:rPr>
          <w:rFonts w:hint="eastAsia" w:ascii="宋体" w:hAnsi="宋体" w:eastAsia="宋体" w:cs="宋体"/>
          <w:color w:val="auto"/>
          <w:highlight w:val="none"/>
        </w:rPr>
      </w:pPr>
    </w:p>
    <w:p w14:paraId="4D76ADF4">
      <w:pPr>
        <w:pStyle w:val="220"/>
        <w:spacing w:line="360" w:lineRule="auto"/>
        <w:ind w:left="-10" w:firstLine="455" w:firstLineChars="21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作为参与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名称）项目的竞标方，根据国家、自治区相关文件规定，我方在此向采购人承诺：</w:t>
      </w:r>
    </w:p>
    <w:p w14:paraId="098A5E60">
      <w:pPr>
        <w:pStyle w:val="220"/>
        <w:spacing w:line="360" w:lineRule="auto"/>
        <w:ind w:left="-10" w:firstLine="455" w:firstLineChars="21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1、一旦中标，我方保证按照政府相关部门的规定，在中标后7个工作日内，按照《保障农民工工资支付条例》规定及广西壮族自治区有关规定开设农民工工资专用账户，并按</w:t>
      </w:r>
      <w:r>
        <w:rPr>
          <w:rFonts w:hint="eastAsia" w:ascii="宋体" w:hAnsi="宋体" w:eastAsia="宋体" w:cs="宋体"/>
          <w:color w:val="auto"/>
          <w:szCs w:val="21"/>
          <w:highlight w:val="none"/>
          <w:u w:val="single"/>
        </w:rPr>
        <w:t>要求</w:t>
      </w:r>
      <w:r>
        <w:rPr>
          <w:rFonts w:hint="eastAsia" w:ascii="宋体" w:hAnsi="宋体" w:eastAsia="宋体" w:cs="宋体"/>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5D08177E">
      <w:pPr>
        <w:pStyle w:val="220"/>
        <w:spacing w:line="360" w:lineRule="auto"/>
        <w:ind w:left="-10" w:firstLine="455" w:firstLineChars="21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C635610">
      <w:pPr>
        <w:pStyle w:val="220"/>
        <w:spacing w:line="360" w:lineRule="auto"/>
        <w:ind w:left="-2" w:leftChars="-1" w:firstLine="449" w:firstLineChars="21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B7FAED4">
      <w:pPr>
        <w:pStyle w:val="220"/>
        <w:spacing w:line="360" w:lineRule="auto"/>
        <w:ind w:left="-10" w:firstLine="455" w:firstLineChars="21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28033A4">
      <w:pPr>
        <w:pStyle w:val="220"/>
        <w:spacing w:line="360" w:lineRule="auto"/>
        <w:ind w:left="-10" w:firstLine="455" w:firstLineChars="21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316B23FD">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D45C1CF">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5BBC74F">
      <w:pPr>
        <w:spacing w:line="320" w:lineRule="exact"/>
        <w:rPr>
          <w:rFonts w:hint="eastAsia" w:ascii="宋体" w:hAnsi="宋体" w:eastAsia="宋体" w:cs="宋体"/>
          <w:color w:val="auto"/>
          <w:szCs w:val="21"/>
          <w:highlight w:val="none"/>
        </w:rPr>
      </w:pPr>
    </w:p>
    <w:p w14:paraId="55449DD1">
      <w:pPr>
        <w:snapToGrid w:val="0"/>
        <w:spacing w:before="50" w:line="360" w:lineRule="exact"/>
        <w:jc w:val="left"/>
        <w:rPr>
          <w:rFonts w:hint="eastAsia" w:ascii="宋体" w:hAnsi="宋体" w:eastAsia="宋体" w:cs="宋体"/>
          <w:b/>
          <w:color w:val="auto"/>
          <w:sz w:val="24"/>
          <w:highlight w:val="none"/>
          <w:lang w:val="en-US" w:eastAsia="zh-CN"/>
        </w:rPr>
      </w:pPr>
    </w:p>
    <w:p w14:paraId="045BEE52">
      <w:pPr>
        <w:snapToGrid w:val="0"/>
        <w:spacing w:before="50" w:line="360" w:lineRule="exact"/>
        <w:jc w:val="left"/>
        <w:rPr>
          <w:rFonts w:hint="eastAsia" w:ascii="宋体" w:hAnsi="宋体" w:eastAsia="宋体" w:cs="宋体"/>
          <w:b/>
          <w:color w:val="auto"/>
          <w:sz w:val="24"/>
          <w:highlight w:val="none"/>
          <w:lang w:val="en-US" w:eastAsia="zh-CN"/>
        </w:rPr>
      </w:pPr>
    </w:p>
    <w:p w14:paraId="18875455">
      <w:pPr>
        <w:snapToGrid w:val="0"/>
        <w:spacing w:before="50" w:line="360" w:lineRule="exact"/>
        <w:jc w:val="left"/>
        <w:rPr>
          <w:rFonts w:hint="eastAsia" w:ascii="宋体" w:hAnsi="宋体" w:eastAsia="宋体" w:cs="宋体"/>
          <w:b/>
          <w:color w:val="auto"/>
          <w:sz w:val="24"/>
          <w:highlight w:val="none"/>
          <w:lang w:val="en-US" w:eastAsia="zh-CN"/>
        </w:rPr>
      </w:pPr>
    </w:p>
    <w:p w14:paraId="6906FB5F">
      <w:pPr>
        <w:snapToGrid w:val="0"/>
        <w:spacing w:before="50" w:line="360" w:lineRule="exact"/>
        <w:jc w:val="left"/>
        <w:rPr>
          <w:rFonts w:hint="eastAsia" w:ascii="宋体" w:hAnsi="宋体" w:eastAsia="宋体" w:cs="宋体"/>
          <w:b/>
          <w:color w:val="auto"/>
          <w:sz w:val="24"/>
          <w:highlight w:val="none"/>
          <w:lang w:val="en-US" w:eastAsia="zh-CN"/>
        </w:rPr>
      </w:pPr>
    </w:p>
    <w:p w14:paraId="0BC81845">
      <w:pPr>
        <w:snapToGrid w:val="0"/>
        <w:spacing w:before="50" w:line="360" w:lineRule="exact"/>
        <w:jc w:val="left"/>
        <w:rPr>
          <w:rFonts w:hint="eastAsia" w:ascii="宋体" w:hAnsi="宋体" w:eastAsia="宋体" w:cs="宋体"/>
          <w:b/>
          <w:color w:val="auto"/>
          <w:sz w:val="24"/>
          <w:highlight w:val="none"/>
          <w:lang w:val="en-US" w:eastAsia="zh-CN"/>
        </w:rPr>
      </w:pPr>
    </w:p>
    <w:p w14:paraId="2C0675C1">
      <w:pPr>
        <w:snapToGrid w:val="0"/>
        <w:spacing w:before="50" w:line="360" w:lineRule="exact"/>
        <w:jc w:val="left"/>
        <w:rPr>
          <w:rFonts w:hint="eastAsia" w:ascii="宋体" w:hAnsi="宋体" w:eastAsia="宋体" w:cs="宋体"/>
          <w:b/>
          <w:color w:val="auto"/>
          <w:sz w:val="24"/>
          <w:highlight w:val="none"/>
          <w:lang w:val="en-US" w:eastAsia="zh-CN"/>
        </w:rPr>
      </w:pPr>
    </w:p>
    <w:p w14:paraId="49B4C40C">
      <w:pPr>
        <w:snapToGrid w:val="0"/>
        <w:spacing w:before="50" w:line="360" w:lineRule="exact"/>
        <w:jc w:val="left"/>
        <w:rPr>
          <w:rFonts w:hint="eastAsia" w:ascii="宋体" w:hAnsi="宋体" w:eastAsia="宋体" w:cs="宋体"/>
          <w:b/>
          <w:color w:val="auto"/>
          <w:sz w:val="24"/>
          <w:highlight w:val="none"/>
          <w:lang w:val="en-US" w:eastAsia="zh-CN"/>
        </w:rPr>
      </w:pPr>
    </w:p>
    <w:p w14:paraId="04676E2D">
      <w:pPr>
        <w:snapToGrid w:val="0"/>
        <w:spacing w:before="50" w:line="360" w:lineRule="exact"/>
        <w:jc w:val="left"/>
        <w:rPr>
          <w:rFonts w:hint="eastAsia" w:ascii="宋体" w:hAnsi="宋体" w:eastAsia="宋体" w:cs="宋体"/>
          <w:b/>
          <w:color w:val="auto"/>
          <w:sz w:val="24"/>
          <w:highlight w:val="none"/>
          <w:lang w:val="en-US" w:eastAsia="zh-CN"/>
        </w:rPr>
      </w:pPr>
    </w:p>
    <w:p w14:paraId="6F2D27AF">
      <w:pPr>
        <w:snapToGrid w:val="0"/>
        <w:spacing w:before="50" w:line="360" w:lineRule="exact"/>
        <w:jc w:val="left"/>
        <w:rPr>
          <w:rFonts w:hint="eastAsia" w:ascii="宋体" w:hAnsi="宋体" w:eastAsia="宋体" w:cs="宋体"/>
          <w:b/>
          <w:color w:val="auto"/>
          <w:sz w:val="24"/>
          <w:highlight w:val="none"/>
          <w:lang w:val="en-US" w:eastAsia="zh-CN"/>
        </w:rPr>
      </w:pPr>
    </w:p>
    <w:p w14:paraId="5096121F">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 代理服务费承诺书格式</w:t>
      </w:r>
    </w:p>
    <w:p w14:paraId="57A8F991">
      <w:pPr>
        <w:snapToGrid w:val="0"/>
        <w:spacing w:beforeLines="50" w:after="50" w:line="36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代理服务费承诺书</w:t>
      </w:r>
    </w:p>
    <w:p w14:paraId="5FA4A9F9">
      <w:pPr>
        <w:snapToGrid w:val="0"/>
        <w:spacing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致：广西德元工程项目管理有限责任公司</w:t>
      </w:r>
    </w:p>
    <w:p w14:paraId="202557EF">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我单位参加了贵方组织的采购项目编号为（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）的磋商，并递交了磋商保证金（¥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），在此我方说明如下：</w:t>
      </w:r>
    </w:p>
    <w:p w14:paraId="3235FB1D">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14:paraId="680B0A61">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种方式缴纳代理服务费。</w:t>
      </w:r>
    </w:p>
    <w:p w14:paraId="2003012F">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第一种方式：一次性足额缴纳代理服务费。</w:t>
      </w:r>
    </w:p>
    <w:p w14:paraId="040D112C">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第二种方式：从响应保证金中抵扣代理服务费，不足部分补交。</w:t>
      </w:r>
    </w:p>
    <w:p w14:paraId="39BB0ADD">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2.如我单位磋商保证金无法原路返回，请按下表账户信息无息退还。</w:t>
      </w:r>
    </w:p>
    <w:tbl>
      <w:tblPr>
        <w:tblStyle w:val="4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14:paraId="57E30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01881C">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ACE202C">
            <w:pPr>
              <w:snapToGrid w:val="0"/>
              <w:spacing w:before="50" w:afterLines="50" w:line="360" w:lineRule="exact"/>
              <w:jc w:val="left"/>
              <w:rPr>
                <w:rFonts w:hint="eastAsia" w:ascii="宋体" w:hAnsi="宋体" w:eastAsia="宋体" w:cs="宋体"/>
                <w:b/>
                <w:color w:val="auto"/>
                <w:szCs w:val="21"/>
                <w:highlight w:val="none"/>
              </w:rPr>
            </w:pPr>
          </w:p>
        </w:tc>
      </w:tr>
      <w:tr w14:paraId="7B5714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130012">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4367A9">
            <w:pPr>
              <w:snapToGrid w:val="0"/>
              <w:spacing w:before="50" w:afterLines="50" w:line="360" w:lineRule="exact"/>
              <w:jc w:val="left"/>
              <w:rPr>
                <w:rFonts w:hint="eastAsia" w:ascii="宋体" w:hAnsi="宋体" w:eastAsia="宋体" w:cs="宋体"/>
                <w:b/>
                <w:color w:val="auto"/>
                <w:szCs w:val="21"/>
                <w:highlight w:val="none"/>
              </w:rPr>
            </w:pPr>
          </w:p>
        </w:tc>
      </w:tr>
      <w:tr w14:paraId="1DBC9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100641">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97BE7A">
            <w:pPr>
              <w:snapToGrid w:val="0"/>
              <w:spacing w:before="50" w:afterLines="50" w:line="360" w:lineRule="exact"/>
              <w:jc w:val="left"/>
              <w:rPr>
                <w:rFonts w:hint="eastAsia" w:ascii="宋体" w:hAnsi="宋体" w:eastAsia="宋体" w:cs="宋体"/>
                <w:b/>
                <w:color w:val="auto"/>
                <w:szCs w:val="21"/>
                <w:highlight w:val="none"/>
              </w:rPr>
            </w:pPr>
          </w:p>
        </w:tc>
      </w:tr>
      <w:tr w14:paraId="2B1ED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E2FF1A">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E62CBA">
            <w:pPr>
              <w:snapToGrid w:val="0"/>
              <w:spacing w:before="50" w:afterLines="50" w:line="360" w:lineRule="exact"/>
              <w:jc w:val="left"/>
              <w:rPr>
                <w:rFonts w:hint="eastAsia" w:ascii="宋体" w:hAnsi="宋体" w:eastAsia="宋体" w:cs="宋体"/>
                <w:b/>
                <w:color w:val="auto"/>
                <w:szCs w:val="21"/>
                <w:highlight w:val="none"/>
              </w:rPr>
            </w:pPr>
          </w:p>
        </w:tc>
      </w:tr>
    </w:tbl>
    <w:p w14:paraId="7563E0A9">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3．如果我单位未遵守有关</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关于磋商保证金的规定，贵方可以没收我单位磋商保证金。</w:t>
      </w:r>
    </w:p>
    <w:p w14:paraId="32949A91">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我单位选择第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种方式作为代理服务费开票类型：</w:t>
      </w:r>
    </w:p>
    <w:p w14:paraId="0AAF2AA9">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第一种方式：开具收据。</w:t>
      </w:r>
    </w:p>
    <w:p w14:paraId="2AD96D4F">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第二种方式：开具增值税普通发票。开票信息如下：1.公司名称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77DF95C">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第三种方式：开具增值税专用发票，开票信息如下：1.公司名称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；3.税局登记地址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；4.税局登记电话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；5.开户银行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；6.银行账户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32224B">
      <w:pPr>
        <w:snapToGrid w:val="0"/>
        <w:spacing w:before="50" w:afterLines="50" w:line="360" w:lineRule="exact"/>
        <w:jc w:val="left"/>
        <w:rPr>
          <w:rFonts w:hint="eastAsia" w:ascii="宋体" w:hAnsi="宋体" w:eastAsia="宋体" w:cs="宋体"/>
          <w:b/>
          <w:color w:val="auto"/>
          <w:sz w:val="24"/>
          <w:highlight w:val="none"/>
        </w:rPr>
      </w:pPr>
    </w:p>
    <w:p w14:paraId="71F2FE8A">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2174A11">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C59BFB4">
      <w:pPr>
        <w:spacing w:line="320" w:lineRule="exact"/>
        <w:rPr>
          <w:rFonts w:hint="eastAsia" w:ascii="宋体" w:hAnsi="宋体" w:eastAsia="宋体" w:cs="宋体"/>
          <w:color w:val="auto"/>
          <w:szCs w:val="21"/>
          <w:highlight w:val="none"/>
        </w:rPr>
      </w:pPr>
    </w:p>
    <w:p w14:paraId="162C4741">
      <w:pPr>
        <w:spacing w:line="320" w:lineRule="exact"/>
        <w:rPr>
          <w:rFonts w:hint="eastAsia" w:ascii="宋体" w:hAnsi="宋体" w:eastAsia="宋体" w:cs="宋体"/>
          <w:color w:val="auto"/>
          <w:szCs w:val="21"/>
          <w:highlight w:val="none"/>
        </w:rPr>
      </w:pPr>
    </w:p>
    <w:p w14:paraId="1F4782A1">
      <w:pPr>
        <w:spacing w:line="320" w:lineRule="exact"/>
        <w:rPr>
          <w:rFonts w:hint="eastAsia" w:ascii="宋体" w:hAnsi="宋体" w:eastAsia="宋体" w:cs="宋体"/>
          <w:color w:val="auto"/>
          <w:szCs w:val="21"/>
          <w:highlight w:val="none"/>
        </w:rPr>
      </w:pPr>
    </w:p>
    <w:p w14:paraId="48B1BC5F">
      <w:pPr>
        <w:spacing w:line="320" w:lineRule="exact"/>
        <w:rPr>
          <w:rFonts w:hint="eastAsia" w:ascii="宋体" w:hAnsi="宋体" w:eastAsia="宋体" w:cs="宋体"/>
          <w:color w:val="auto"/>
          <w:szCs w:val="21"/>
          <w:highlight w:val="none"/>
        </w:rPr>
      </w:pPr>
    </w:p>
    <w:p w14:paraId="0D486995">
      <w:pPr>
        <w:spacing w:line="320" w:lineRule="exact"/>
        <w:rPr>
          <w:rFonts w:hint="eastAsia" w:ascii="宋体" w:hAnsi="宋体" w:eastAsia="宋体" w:cs="宋体"/>
          <w:color w:val="auto"/>
          <w:szCs w:val="21"/>
          <w:highlight w:val="none"/>
        </w:rPr>
      </w:pPr>
    </w:p>
    <w:p w14:paraId="1310093E">
      <w:pPr>
        <w:spacing w:line="320" w:lineRule="exact"/>
        <w:rPr>
          <w:rFonts w:hint="eastAsia" w:ascii="宋体" w:hAnsi="宋体" w:eastAsia="宋体" w:cs="宋体"/>
          <w:b/>
          <w:color w:val="auto"/>
          <w:sz w:val="24"/>
          <w:szCs w:val="24"/>
          <w:highlight w:val="none"/>
          <w:lang w:val="en-US" w:eastAsia="zh-CN"/>
        </w:rPr>
      </w:pPr>
    </w:p>
    <w:p w14:paraId="6B431B41">
      <w:pPr>
        <w:spacing w:line="320" w:lineRule="exact"/>
        <w:rPr>
          <w:rFonts w:hint="eastAsia" w:ascii="宋体" w:hAnsi="宋体" w:eastAsia="宋体" w:cs="宋体"/>
          <w:b/>
          <w:color w:val="auto"/>
          <w:sz w:val="24"/>
          <w:szCs w:val="24"/>
          <w:highlight w:val="none"/>
          <w:lang w:val="en-US" w:eastAsia="zh-CN"/>
        </w:rPr>
      </w:pPr>
    </w:p>
    <w:p w14:paraId="12A8EA04">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3、报价文件格式</w:t>
      </w:r>
    </w:p>
    <w:p w14:paraId="0B760C2F">
      <w:pPr>
        <w:spacing w:line="240" w:lineRule="atLeast"/>
        <w:jc w:val="center"/>
        <w:rPr>
          <w:rFonts w:hint="eastAsia" w:ascii="宋体" w:hAnsi="宋体" w:eastAsia="宋体" w:cs="宋体"/>
          <w:b/>
          <w:color w:val="auto"/>
          <w:sz w:val="32"/>
          <w:szCs w:val="32"/>
          <w:highlight w:val="none"/>
        </w:rPr>
      </w:pPr>
    </w:p>
    <w:p w14:paraId="5606018E">
      <w:pPr>
        <w:spacing w:line="320" w:lineRule="exact"/>
        <w:rPr>
          <w:rFonts w:hint="eastAsia" w:ascii="宋体" w:hAnsi="宋体" w:eastAsia="宋体" w:cs="宋体"/>
          <w:b/>
          <w:color w:val="auto"/>
          <w:sz w:val="32"/>
          <w:szCs w:val="32"/>
          <w:highlight w:val="none"/>
        </w:rPr>
      </w:pPr>
    </w:p>
    <w:p w14:paraId="7445FC22">
      <w:pPr>
        <w:snapToGrid w:val="0"/>
        <w:spacing w:beforeLines="50" w:after="50" w:line="280" w:lineRule="exact"/>
        <w:ind w:firstLine="8" w:firstLineChars="3"/>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电子响应文件</w:t>
      </w:r>
    </w:p>
    <w:p w14:paraId="6A92BBE3">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530A10FD">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40ADF78B">
      <w:pPr>
        <w:snapToGrid w:val="0"/>
        <w:spacing w:beforeLines="50" w:after="50" w:line="280" w:lineRule="exact"/>
        <w:ind w:firstLine="9" w:firstLineChars="3"/>
        <w:jc w:val="center"/>
        <w:rPr>
          <w:rFonts w:hint="eastAsia" w:ascii="宋体" w:hAnsi="宋体" w:eastAsia="宋体" w:cs="宋体"/>
          <w:bCs/>
          <w:color w:val="auto"/>
          <w:sz w:val="32"/>
          <w:szCs w:val="32"/>
          <w:highlight w:val="none"/>
        </w:rPr>
      </w:pPr>
    </w:p>
    <w:p w14:paraId="7ED6E01B">
      <w:pPr>
        <w:snapToGrid w:val="0"/>
        <w:spacing w:beforeLines="50" w:after="50"/>
        <w:ind w:firstLine="13" w:firstLineChars="3"/>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响应文件</w:t>
      </w:r>
    </w:p>
    <w:p w14:paraId="52F02652">
      <w:pPr>
        <w:snapToGrid w:val="0"/>
        <w:spacing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（报价文件）</w:t>
      </w:r>
    </w:p>
    <w:p w14:paraId="5A9DA7AE">
      <w:pPr>
        <w:snapToGrid w:val="0"/>
        <w:spacing w:beforeLines="50" w:after="50"/>
        <w:rPr>
          <w:rFonts w:hint="eastAsia" w:ascii="宋体" w:hAnsi="宋体" w:eastAsia="宋体" w:cs="宋体"/>
          <w:bCs/>
          <w:color w:val="auto"/>
          <w:szCs w:val="21"/>
          <w:highlight w:val="none"/>
        </w:rPr>
      </w:pPr>
    </w:p>
    <w:p w14:paraId="3C765F75">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p w14:paraId="63258BE8">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709EC6D0">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131F5D42">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 </w:t>
      </w:r>
    </w:p>
    <w:p w14:paraId="3A0C35B5">
      <w:pPr>
        <w:snapToGrid w:val="0"/>
        <w:spacing w:beforeLines="50" w:after="50"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标    项：（如有则填写，无分标时填写“无”或者留空）</w:t>
      </w:r>
    </w:p>
    <w:p w14:paraId="5DFD2E76">
      <w:pPr>
        <w:snapToGrid w:val="0"/>
        <w:spacing w:beforeLines="50" w:after="50" w:line="280" w:lineRule="exact"/>
        <w:ind w:firstLine="675" w:firstLineChars="225"/>
        <w:rPr>
          <w:rFonts w:hint="eastAsia" w:ascii="宋体" w:hAnsi="宋体" w:eastAsia="宋体" w:cs="宋体"/>
          <w:bCs/>
          <w:color w:val="auto"/>
          <w:sz w:val="30"/>
          <w:szCs w:val="30"/>
          <w:highlight w:val="none"/>
        </w:rPr>
      </w:pPr>
    </w:p>
    <w:p w14:paraId="75D01562">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30"/>
          <w:szCs w:val="30"/>
          <w:highlight w:val="none"/>
        </w:rPr>
        <w:t>（加盖单位电子公章）</w:t>
      </w:r>
    </w:p>
    <w:p w14:paraId="24104E40">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p>
    <w:p w14:paraId="615020C1">
      <w:pPr>
        <w:pStyle w:val="11"/>
        <w:snapToGrid w:val="0"/>
        <w:spacing w:before="100" w:beforeAutospacing="1" w:after="100" w:afterAutospacing="1" w:line="280" w:lineRule="exact"/>
        <w:ind w:firstLine="675" w:firstLineChars="225"/>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14:paraId="2A7EAE3E">
      <w:pPr>
        <w:pStyle w:val="11"/>
        <w:snapToGrid w:val="0"/>
        <w:spacing w:before="50" w:after="50" w:line="280" w:lineRule="exact"/>
        <w:ind w:firstLine="675" w:firstLineChars="225"/>
        <w:rPr>
          <w:rFonts w:hint="eastAsia" w:ascii="宋体" w:hAnsi="宋体" w:eastAsia="宋体" w:cs="宋体"/>
          <w:bCs/>
          <w:color w:val="auto"/>
          <w:sz w:val="30"/>
          <w:szCs w:val="30"/>
          <w:highlight w:val="none"/>
        </w:rPr>
      </w:pPr>
    </w:p>
    <w:p w14:paraId="502012F4">
      <w:pPr>
        <w:snapToGrid w:val="0"/>
        <w:spacing w:beforeLines="50" w:after="50"/>
        <w:ind w:firstLine="10"/>
        <w:jc w:val="center"/>
        <w:rPr>
          <w:rFonts w:hint="eastAsia" w:ascii="宋体" w:hAnsi="宋体" w:eastAsia="宋体" w:cs="宋体"/>
          <w:color w:val="auto"/>
          <w:sz w:val="30"/>
          <w:szCs w:val="30"/>
          <w:highlight w:val="none"/>
        </w:rPr>
      </w:pPr>
    </w:p>
    <w:p w14:paraId="0018688E">
      <w:pPr>
        <w:snapToGrid w:val="0"/>
        <w:spacing w:beforeLines="50" w:after="50"/>
        <w:ind w:firstLine="10"/>
        <w:jc w:val="center"/>
        <w:rPr>
          <w:rFonts w:hint="eastAsia" w:ascii="宋体" w:hAnsi="宋体" w:eastAsia="宋体" w:cs="宋体"/>
          <w:color w:val="auto"/>
          <w:sz w:val="30"/>
          <w:szCs w:val="30"/>
          <w:highlight w:val="none"/>
        </w:rPr>
      </w:pPr>
    </w:p>
    <w:p w14:paraId="417BA510">
      <w:pPr>
        <w:snapToGrid w:val="0"/>
        <w:spacing w:beforeLines="50" w:after="50"/>
        <w:ind w:firstLine="10"/>
        <w:jc w:val="center"/>
        <w:rPr>
          <w:rFonts w:hint="eastAsia" w:ascii="宋体" w:hAnsi="宋体" w:eastAsia="宋体" w:cs="宋体"/>
          <w:color w:val="auto"/>
          <w:sz w:val="30"/>
          <w:szCs w:val="30"/>
          <w:highlight w:val="none"/>
        </w:rPr>
      </w:pPr>
    </w:p>
    <w:p w14:paraId="0A2765D4">
      <w:pPr>
        <w:snapToGrid w:val="0"/>
        <w:spacing w:beforeLines="50" w:after="50"/>
        <w:ind w:firstLine="10"/>
        <w:jc w:val="center"/>
        <w:rPr>
          <w:rFonts w:hint="eastAsia" w:ascii="宋体" w:hAnsi="宋体" w:eastAsia="宋体" w:cs="宋体"/>
          <w:color w:val="auto"/>
          <w:sz w:val="30"/>
          <w:szCs w:val="30"/>
          <w:highlight w:val="none"/>
        </w:rPr>
      </w:pPr>
    </w:p>
    <w:p w14:paraId="1E99131E">
      <w:pPr>
        <w:snapToGrid w:val="0"/>
        <w:spacing w:beforeLines="50" w:after="50"/>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7E2E280A">
      <w:pPr>
        <w:spacing w:line="320" w:lineRule="exact"/>
        <w:rPr>
          <w:rFonts w:hint="eastAsia" w:ascii="宋体" w:hAnsi="宋体" w:eastAsia="宋体" w:cs="宋体"/>
          <w:b/>
          <w:color w:val="auto"/>
          <w:szCs w:val="21"/>
          <w:highlight w:val="none"/>
        </w:rPr>
      </w:pPr>
    </w:p>
    <w:p w14:paraId="76F0AC12">
      <w:pPr>
        <w:spacing w:line="320" w:lineRule="exact"/>
        <w:rPr>
          <w:rFonts w:hint="eastAsia" w:ascii="宋体" w:hAnsi="宋体" w:eastAsia="宋体" w:cs="宋体"/>
          <w:b/>
          <w:color w:val="auto"/>
          <w:szCs w:val="21"/>
          <w:highlight w:val="none"/>
        </w:rPr>
      </w:pPr>
    </w:p>
    <w:p w14:paraId="1EDA9D6E">
      <w:pPr>
        <w:spacing w:line="320" w:lineRule="exact"/>
        <w:rPr>
          <w:rFonts w:hint="eastAsia" w:ascii="宋体" w:hAnsi="宋体" w:eastAsia="宋体" w:cs="宋体"/>
          <w:b/>
          <w:color w:val="auto"/>
          <w:szCs w:val="21"/>
          <w:highlight w:val="none"/>
        </w:rPr>
      </w:pPr>
    </w:p>
    <w:p w14:paraId="377BA1F0">
      <w:pPr>
        <w:spacing w:line="320" w:lineRule="exact"/>
        <w:rPr>
          <w:rFonts w:hint="eastAsia" w:ascii="宋体" w:hAnsi="宋体" w:eastAsia="宋体" w:cs="宋体"/>
          <w:b/>
          <w:color w:val="auto"/>
          <w:szCs w:val="21"/>
          <w:highlight w:val="none"/>
        </w:rPr>
      </w:pPr>
    </w:p>
    <w:p w14:paraId="31CE69A1">
      <w:pPr>
        <w:spacing w:line="320" w:lineRule="exact"/>
        <w:rPr>
          <w:rFonts w:hint="eastAsia" w:ascii="宋体" w:hAnsi="宋体" w:eastAsia="宋体" w:cs="宋体"/>
          <w:b/>
          <w:color w:val="auto"/>
          <w:szCs w:val="21"/>
          <w:highlight w:val="none"/>
        </w:rPr>
      </w:pPr>
    </w:p>
    <w:p w14:paraId="6EBFBBBB">
      <w:pPr>
        <w:spacing w:line="320" w:lineRule="exact"/>
        <w:rPr>
          <w:rFonts w:hint="eastAsia" w:ascii="宋体" w:hAnsi="宋体" w:eastAsia="宋体" w:cs="宋体"/>
          <w:b/>
          <w:color w:val="auto"/>
          <w:szCs w:val="21"/>
          <w:highlight w:val="none"/>
        </w:rPr>
      </w:pPr>
    </w:p>
    <w:p w14:paraId="5F12F2BE">
      <w:pPr>
        <w:spacing w:line="320" w:lineRule="exact"/>
        <w:rPr>
          <w:rFonts w:hint="eastAsia" w:ascii="宋体" w:hAnsi="宋体" w:eastAsia="宋体" w:cs="宋体"/>
          <w:b/>
          <w:color w:val="auto"/>
          <w:szCs w:val="21"/>
          <w:highlight w:val="none"/>
        </w:rPr>
      </w:pPr>
    </w:p>
    <w:p w14:paraId="712F66E3">
      <w:pPr>
        <w:spacing w:line="320" w:lineRule="exact"/>
        <w:rPr>
          <w:rFonts w:hint="eastAsia" w:ascii="宋体" w:hAnsi="宋体" w:eastAsia="宋体" w:cs="宋体"/>
          <w:b/>
          <w:color w:val="auto"/>
          <w:szCs w:val="21"/>
          <w:highlight w:val="none"/>
        </w:rPr>
      </w:pPr>
    </w:p>
    <w:p w14:paraId="70D0E5D3">
      <w:pPr>
        <w:tabs>
          <w:tab w:val="left" w:pos="1418"/>
        </w:tabs>
        <w:snapToGrid w:val="0"/>
        <w:spacing w:before="50" w:after="50" w:line="320" w:lineRule="exact"/>
        <w:jc w:val="center"/>
        <w:rPr>
          <w:rFonts w:hint="eastAsia" w:ascii="宋体" w:hAnsi="宋体" w:eastAsia="宋体" w:cs="宋体"/>
          <w:bCs/>
          <w:color w:val="auto"/>
          <w:szCs w:val="21"/>
          <w:highlight w:val="none"/>
        </w:rPr>
      </w:pPr>
    </w:p>
    <w:p w14:paraId="2053465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6ACA93E6">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(供应商需根据响应文件自行编制目录及页码)</w:t>
      </w:r>
    </w:p>
    <w:p w14:paraId="4025974B">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9FADB41">
      <w:pPr>
        <w:spacing w:line="320" w:lineRule="exact"/>
        <w:rPr>
          <w:rFonts w:hint="eastAsia" w:ascii="宋体" w:hAnsi="宋体" w:eastAsia="宋体" w:cs="宋体"/>
          <w:bCs/>
          <w:color w:val="auto"/>
          <w:szCs w:val="21"/>
          <w:highlight w:val="none"/>
        </w:rPr>
      </w:pPr>
    </w:p>
    <w:p w14:paraId="2DD39A72">
      <w:pPr>
        <w:spacing w:line="320" w:lineRule="exact"/>
        <w:rPr>
          <w:rFonts w:hint="eastAsia" w:ascii="宋体" w:hAnsi="宋体" w:eastAsia="宋体" w:cs="宋体"/>
          <w:bCs/>
          <w:color w:val="auto"/>
          <w:szCs w:val="21"/>
          <w:highlight w:val="none"/>
        </w:rPr>
      </w:pPr>
    </w:p>
    <w:p w14:paraId="320D75B9">
      <w:pPr>
        <w:spacing w:line="320" w:lineRule="exact"/>
        <w:rPr>
          <w:rFonts w:hint="eastAsia" w:ascii="宋体" w:hAnsi="宋体" w:eastAsia="宋体" w:cs="宋体"/>
          <w:bCs/>
          <w:color w:val="auto"/>
          <w:szCs w:val="21"/>
          <w:highlight w:val="none"/>
        </w:rPr>
      </w:pPr>
    </w:p>
    <w:p w14:paraId="0F0F10BE">
      <w:pPr>
        <w:spacing w:line="320" w:lineRule="exact"/>
        <w:rPr>
          <w:rFonts w:hint="eastAsia" w:ascii="宋体" w:hAnsi="宋体" w:eastAsia="宋体" w:cs="宋体"/>
          <w:bCs/>
          <w:color w:val="auto"/>
          <w:szCs w:val="21"/>
          <w:highlight w:val="none"/>
        </w:rPr>
      </w:pPr>
    </w:p>
    <w:p w14:paraId="52844446">
      <w:pPr>
        <w:spacing w:line="320" w:lineRule="exact"/>
        <w:rPr>
          <w:rFonts w:hint="eastAsia" w:ascii="宋体" w:hAnsi="宋体" w:eastAsia="宋体" w:cs="宋体"/>
          <w:bCs/>
          <w:color w:val="auto"/>
          <w:szCs w:val="21"/>
          <w:highlight w:val="none"/>
        </w:rPr>
      </w:pPr>
    </w:p>
    <w:p w14:paraId="43E8874F">
      <w:pPr>
        <w:spacing w:line="320" w:lineRule="exact"/>
        <w:rPr>
          <w:rFonts w:hint="eastAsia" w:ascii="宋体" w:hAnsi="宋体" w:eastAsia="宋体" w:cs="宋体"/>
          <w:bCs/>
          <w:color w:val="auto"/>
          <w:szCs w:val="21"/>
          <w:highlight w:val="none"/>
        </w:rPr>
      </w:pPr>
    </w:p>
    <w:p w14:paraId="21FFB4BB">
      <w:pPr>
        <w:spacing w:line="320" w:lineRule="exact"/>
        <w:rPr>
          <w:rFonts w:hint="eastAsia" w:ascii="宋体" w:hAnsi="宋体" w:eastAsia="宋体" w:cs="宋体"/>
          <w:bCs/>
          <w:color w:val="auto"/>
          <w:szCs w:val="21"/>
          <w:highlight w:val="none"/>
        </w:rPr>
      </w:pPr>
    </w:p>
    <w:p w14:paraId="48BD8595">
      <w:pPr>
        <w:spacing w:line="320" w:lineRule="exact"/>
        <w:rPr>
          <w:rFonts w:hint="eastAsia" w:ascii="宋体" w:hAnsi="宋体" w:eastAsia="宋体" w:cs="宋体"/>
          <w:bCs/>
          <w:color w:val="auto"/>
          <w:szCs w:val="21"/>
          <w:highlight w:val="none"/>
        </w:rPr>
      </w:pPr>
    </w:p>
    <w:p w14:paraId="68CD10DB">
      <w:pPr>
        <w:spacing w:line="320" w:lineRule="exact"/>
        <w:rPr>
          <w:rFonts w:hint="eastAsia" w:ascii="宋体" w:hAnsi="宋体" w:eastAsia="宋体" w:cs="宋体"/>
          <w:bCs/>
          <w:color w:val="auto"/>
          <w:szCs w:val="21"/>
          <w:highlight w:val="none"/>
        </w:rPr>
      </w:pPr>
    </w:p>
    <w:p w14:paraId="49E069A6">
      <w:pPr>
        <w:spacing w:line="320" w:lineRule="exact"/>
        <w:rPr>
          <w:rFonts w:hint="eastAsia" w:ascii="宋体" w:hAnsi="宋体" w:eastAsia="宋体" w:cs="宋体"/>
          <w:bCs/>
          <w:color w:val="auto"/>
          <w:szCs w:val="21"/>
          <w:highlight w:val="none"/>
        </w:rPr>
      </w:pPr>
    </w:p>
    <w:p w14:paraId="6EDBC99B">
      <w:pPr>
        <w:spacing w:line="320" w:lineRule="exact"/>
        <w:rPr>
          <w:rFonts w:hint="eastAsia" w:ascii="宋体" w:hAnsi="宋体" w:eastAsia="宋体" w:cs="宋体"/>
          <w:bCs/>
          <w:color w:val="auto"/>
          <w:szCs w:val="21"/>
          <w:highlight w:val="none"/>
        </w:rPr>
      </w:pPr>
    </w:p>
    <w:p w14:paraId="06395700">
      <w:pPr>
        <w:spacing w:line="320" w:lineRule="exact"/>
        <w:rPr>
          <w:rFonts w:hint="eastAsia" w:ascii="宋体" w:hAnsi="宋体" w:eastAsia="宋体" w:cs="宋体"/>
          <w:bCs/>
          <w:color w:val="auto"/>
          <w:szCs w:val="21"/>
          <w:highlight w:val="none"/>
        </w:rPr>
      </w:pPr>
    </w:p>
    <w:p w14:paraId="5E54615F">
      <w:pPr>
        <w:spacing w:line="320" w:lineRule="exact"/>
        <w:rPr>
          <w:rFonts w:hint="eastAsia" w:ascii="宋体" w:hAnsi="宋体" w:eastAsia="宋体" w:cs="宋体"/>
          <w:bCs/>
          <w:color w:val="auto"/>
          <w:szCs w:val="21"/>
          <w:highlight w:val="none"/>
        </w:rPr>
      </w:pPr>
    </w:p>
    <w:p w14:paraId="320BC1D1">
      <w:pPr>
        <w:spacing w:line="320" w:lineRule="exact"/>
        <w:rPr>
          <w:rFonts w:hint="eastAsia" w:ascii="宋体" w:hAnsi="宋体" w:eastAsia="宋体" w:cs="宋体"/>
          <w:bCs/>
          <w:color w:val="auto"/>
          <w:szCs w:val="21"/>
          <w:highlight w:val="none"/>
        </w:rPr>
      </w:pPr>
    </w:p>
    <w:p w14:paraId="54849122">
      <w:pPr>
        <w:spacing w:line="320" w:lineRule="exact"/>
        <w:rPr>
          <w:rFonts w:hint="eastAsia" w:ascii="宋体" w:hAnsi="宋体" w:eastAsia="宋体" w:cs="宋体"/>
          <w:bCs/>
          <w:color w:val="auto"/>
          <w:szCs w:val="21"/>
          <w:highlight w:val="none"/>
        </w:rPr>
      </w:pPr>
    </w:p>
    <w:p w14:paraId="0460F54B">
      <w:pPr>
        <w:spacing w:line="320" w:lineRule="exact"/>
        <w:rPr>
          <w:rFonts w:hint="eastAsia" w:ascii="宋体" w:hAnsi="宋体" w:eastAsia="宋体" w:cs="宋体"/>
          <w:bCs/>
          <w:color w:val="auto"/>
          <w:szCs w:val="21"/>
          <w:highlight w:val="none"/>
        </w:rPr>
      </w:pPr>
    </w:p>
    <w:p w14:paraId="01892C39">
      <w:pPr>
        <w:spacing w:line="320" w:lineRule="exact"/>
        <w:rPr>
          <w:rFonts w:hint="eastAsia" w:ascii="宋体" w:hAnsi="宋体" w:eastAsia="宋体" w:cs="宋体"/>
          <w:bCs/>
          <w:color w:val="auto"/>
          <w:szCs w:val="21"/>
          <w:highlight w:val="none"/>
        </w:rPr>
      </w:pPr>
    </w:p>
    <w:p w14:paraId="1F56DDFF">
      <w:pPr>
        <w:spacing w:line="320" w:lineRule="exact"/>
        <w:rPr>
          <w:rFonts w:hint="eastAsia" w:ascii="宋体" w:hAnsi="宋体" w:eastAsia="宋体" w:cs="宋体"/>
          <w:bCs/>
          <w:color w:val="auto"/>
          <w:szCs w:val="21"/>
          <w:highlight w:val="none"/>
        </w:rPr>
      </w:pPr>
    </w:p>
    <w:p w14:paraId="0625D186">
      <w:pPr>
        <w:spacing w:line="320" w:lineRule="exact"/>
        <w:rPr>
          <w:rFonts w:hint="eastAsia" w:ascii="宋体" w:hAnsi="宋体" w:eastAsia="宋体" w:cs="宋体"/>
          <w:bCs/>
          <w:color w:val="auto"/>
          <w:szCs w:val="21"/>
          <w:highlight w:val="none"/>
        </w:rPr>
      </w:pPr>
    </w:p>
    <w:p w14:paraId="5931CD50">
      <w:pPr>
        <w:spacing w:line="320" w:lineRule="exact"/>
        <w:rPr>
          <w:rFonts w:hint="eastAsia" w:ascii="宋体" w:hAnsi="宋体" w:eastAsia="宋体" w:cs="宋体"/>
          <w:bCs/>
          <w:color w:val="auto"/>
          <w:szCs w:val="21"/>
          <w:highlight w:val="none"/>
        </w:rPr>
      </w:pPr>
    </w:p>
    <w:p w14:paraId="7007944B">
      <w:pPr>
        <w:spacing w:line="320" w:lineRule="exact"/>
        <w:rPr>
          <w:rFonts w:hint="eastAsia" w:ascii="宋体" w:hAnsi="宋体" w:eastAsia="宋体" w:cs="宋体"/>
          <w:bCs/>
          <w:color w:val="auto"/>
          <w:szCs w:val="21"/>
          <w:highlight w:val="none"/>
        </w:rPr>
      </w:pPr>
    </w:p>
    <w:p w14:paraId="6DD2EBB2">
      <w:pPr>
        <w:spacing w:line="320" w:lineRule="exact"/>
        <w:rPr>
          <w:rFonts w:hint="eastAsia" w:ascii="宋体" w:hAnsi="宋体" w:eastAsia="宋体" w:cs="宋体"/>
          <w:bCs/>
          <w:color w:val="auto"/>
          <w:szCs w:val="21"/>
          <w:highlight w:val="none"/>
        </w:rPr>
      </w:pPr>
    </w:p>
    <w:p w14:paraId="775E50FB">
      <w:pPr>
        <w:spacing w:line="320" w:lineRule="exact"/>
        <w:rPr>
          <w:rFonts w:hint="eastAsia" w:ascii="宋体" w:hAnsi="宋体" w:eastAsia="宋体" w:cs="宋体"/>
          <w:bCs/>
          <w:color w:val="auto"/>
          <w:szCs w:val="21"/>
          <w:highlight w:val="none"/>
        </w:rPr>
      </w:pPr>
    </w:p>
    <w:p w14:paraId="7510065D">
      <w:pPr>
        <w:spacing w:line="320" w:lineRule="exact"/>
        <w:rPr>
          <w:rFonts w:hint="eastAsia" w:ascii="宋体" w:hAnsi="宋体" w:eastAsia="宋体" w:cs="宋体"/>
          <w:bCs/>
          <w:color w:val="auto"/>
          <w:szCs w:val="21"/>
          <w:highlight w:val="none"/>
        </w:rPr>
      </w:pPr>
    </w:p>
    <w:p w14:paraId="361C4CE0">
      <w:pPr>
        <w:spacing w:line="320" w:lineRule="exact"/>
        <w:rPr>
          <w:rFonts w:hint="eastAsia" w:ascii="宋体" w:hAnsi="宋体" w:eastAsia="宋体" w:cs="宋体"/>
          <w:bCs/>
          <w:color w:val="auto"/>
          <w:szCs w:val="21"/>
          <w:highlight w:val="none"/>
        </w:rPr>
      </w:pPr>
    </w:p>
    <w:p w14:paraId="5D92116C">
      <w:pPr>
        <w:spacing w:line="320" w:lineRule="exact"/>
        <w:rPr>
          <w:rFonts w:hint="eastAsia" w:ascii="宋体" w:hAnsi="宋体" w:eastAsia="宋体" w:cs="宋体"/>
          <w:bCs/>
          <w:color w:val="auto"/>
          <w:szCs w:val="21"/>
          <w:highlight w:val="none"/>
        </w:rPr>
      </w:pPr>
    </w:p>
    <w:p w14:paraId="21E7A7C6">
      <w:pPr>
        <w:spacing w:line="320" w:lineRule="exact"/>
        <w:rPr>
          <w:rFonts w:hint="eastAsia" w:ascii="宋体" w:hAnsi="宋体" w:eastAsia="宋体" w:cs="宋体"/>
          <w:bCs/>
          <w:color w:val="auto"/>
          <w:szCs w:val="21"/>
          <w:highlight w:val="none"/>
        </w:rPr>
      </w:pPr>
    </w:p>
    <w:p w14:paraId="6C8C4701">
      <w:pPr>
        <w:spacing w:line="320" w:lineRule="exact"/>
        <w:rPr>
          <w:rFonts w:hint="eastAsia" w:ascii="宋体" w:hAnsi="宋体" w:eastAsia="宋体" w:cs="宋体"/>
          <w:bCs/>
          <w:color w:val="auto"/>
          <w:szCs w:val="21"/>
          <w:highlight w:val="none"/>
        </w:rPr>
      </w:pPr>
    </w:p>
    <w:p w14:paraId="6A6FBC7B">
      <w:pPr>
        <w:spacing w:line="320" w:lineRule="exact"/>
        <w:rPr>
          <w:rFonts w:hint="eastAsia" w:ascii="宋体" w:hAnsi="宋体" w:eastAsia="宋体" w:cs="宋体"/>
          <w:bCs/>
          <w:color w:val="auto"/>
          <w:szCs w:val="21"/>
          <w:highlight w:val="none"/>
        </w:rPr>
      </w:pPr>
    </w:p>
    <w:p w14:paraId="122F459A">
      <w:pPr>
        <w:spacing w:line="320" w:lineRule="exact"/>
        <w:rPr>
          <w:rFonts w:hint="eastAsia" w:ascii="宋体" w:hAnsi="宋体" w:eastAsia="宋体" w:cs="宋体"/>
          <w:bCs/>
          <w:color w:val="auto"/>
          <w:szCs w:val="21"/>
          <w:highlight w:val="none"/>
        </w:rPr>
      </w:pPr>
    </w:p>
    <w:p w14:paraId="51F47888">
      <w:pPr>
        <w:spacing w:line="320" w:lineRule="exact"/>
        <w:rPr>
          <w:rFonts w:hint="eastAsia" w:ascii="宋体" w:hAnsi="宋体" w:eastAsia="宋体" w:cs="宋体"/>
          <w:bCs/>
          <w:color w:val="auto"/>
          <w:szCs w:val="21"/>
          <w:highlight w:val="none"/>
        </w:rPr>
      </w:pPr>
    </w:p>
    <w:p w14:paraId="61120FF7">
      <w:pPr>
        <w:spacing w:line="320" w:lineRule="exact"/>
        <w:rPr>
          <w:rFonts w:hint="eastAsia" w:ascii="宋体" w:hAnsi="宋体" w:eastAsia="宋体" w:cs="宋体"/>
          <w:bCs/>
          <w:color w:val="auto"/>
          <w:szCs w:val="21"/>
          <w:highlight w:val="none"/>
        </w:rPr>
      </w:pPr>
    </w:p>
    <w:p w14:paraId="766E1581">
      <w:pPr>
        <w:spacing w:line="320" w:lineRule="exact"/>
        <w:rPr>
          <w:rFonts w:hint="eastAsia" w:ascii="宋体" w:hAnsi="宋体" w:eastAsia="宋体" w:cs="宋体"/>
          <w:bCs/>
          <w:color w:val="auto"/>
          <w:szCs w:val="21"/>
          <w:highlight w:val="none"/>
        </w:rPr>
      </w:pPr>
    </w:p>
    <w:p w14:paraId="6692895B">
      <w:pPr>
        <w:spacing w:line="320" w:lineRule="exact"/>
        <w:rPr>
          <w:rFonts w:hint="eastAsia" w:ascii="宋体" w:hAnsi="宋体" w:eastAsia="宋体" w:cs="宋体"/>
          <w:bCs/>
          <w:color w:val="auto"/>
          <w:szCs w:val="21"/>
          <w:highlight w:val="none"/>
        </w:rPr>
      </w:pPr>
    </w:p>
    <w:p w14:paraId="14A6CA77">
      <w:pPr>
        <w:spacing w:line="320" w:lineRule="exact"/>
        <w:rPr>
          <w:rFonts w:hint="eastAsia" w:ascii="宋体" w:hAnsi="宋体" w:eastAsia="宋体" w:cs="宋体"/>
          <w:bCs/>
          <w:color w:val="auto"/>
          <w:szCs w:val="21"/>
          <w:highlight w:val="none"/>
        </w:rPr>
      </w:pPr>
    </w:p>
    <w:p w14:paraId="0A491771">
      <w:pPr>
        <w:spacing w:line="320" w:lineRule="exact"/>
        <w:rPr>
          <w:rFonts w:hint="eastAsia" w:ascii="宋体" w:hAnsi="宋体" w:eastAsia="宋体" w:cs="宋体"/>
          <w:bCs/>
          <w:color w:val="auto"/>
          <w:szCs w:val="21"/>
          <w:highlight w:val="none"/>
        </w:rPr>
      </w:pPr>
    </w:p>
    <w:p w14:paraId="4E0CFB0C">
      <w:pPr>
        <w:spacing w:line="320" w:lineRule="exact"/>
        <w:rPr>
          <w:rFonts w:hint="eastAsia" w:ascii="宋体" w:hAnsi="宋体" w:eastAsia="宋体" w:cs="宋体"/>
          <w:bCs/>
          <w:color w:val="auto"/>
          <w:szCs w:val="21"/>
          <w:highlight w:val="none"/>
        </w:rPr>
      </w:pPr>
    </w:p>
    <w:p w14:paraId="6F38DC7C">
      <w:pPr>
        <w:spacing w:line="320" w:lineRule="exact"/>
        <w:rPr>
          <w:rFonts w:hint="eastAsia" w:ascii="宋体" w:hAnsi="宋体" w:eastAsia="宋体" w:cs="宋体"/>
          <w:bCs/>
          <w:color w:val="auto"/>
          <w:szCs w:val="21"/>
          <w:highlight w:val="none"/>
        </w:rPr>
      </w:pPr>
    </w:p>
    <w:p w14:paraId="46C12C2E">
      <w:pPr>
        <w:spacing w:line="320" w:lineRule="exact"/>
        <w:rPr>
          <w:rFonts w:hint="eastAsia" w:ascii="宋体" w:hAnsi="宋体" w:eastAsia="宋体" w:cs="宋体"/>
          <w:b/>
          <w:color w:val="auto"/>
          <w:szCs w:val="21"/>
          <w:highlight w:val="none"/>
        </w:rPr>
      </w:pPr>
    </w:p>
    <w:p w14:paraId="2870F18C">
      <w:pPr>
        <w:spacing w:line="320" w:lineRule="exact"/>
        <w:rPr>
          <w:rFonts w:hint="eastAsia" w:ascii="宋体" w:hAnsi="宋体" w:eastAsia="宋体" w:cs="宋体"/>
          <w:b/>
          <w:color w:val="auto"/>
          <w:szCs w:val="21"/>
          <w:highlight w:val="none"/>
        </w:rPr>
      </w:pPr>
    </w:p>
    <w:p w14:paraId="11FD2F23">
      <w:pPr>
        <w:spacing w:line="320" w:lineRule="exact"/>
        <w:rPr>
          <w:rFonts w:hint="eastAsia" w:ascii="宋体" w:hAnsi="宋体" w:eastAsia="宋体" w:cs="宋体"/>
          <w:b/>
          <w:color w:val="auto"/>
          <w:szCs w:val="21"/>
          <w:highlight w:val="none"/>
        </w:rPr>
      </w:pPr>
    </w:p>
    <w:p w14:paraId="375FE35F">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一、竞标函格式</w:t>
      </w:r>
    </w:p>
    <w:p w14:paraId="64E354D1">
      <w:pPr>
        <w:snapToGrid w:val="0"/>
        <w:spacing w:beforeLines="50" w:after="50"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 标 函</w:t>
      </w:r>
    </w:p>
    <w:p w14:paraId="23870D79">
      <w:pPr>
        <w:snapToGrid w:val="0"/>
        <w:spacing w:beforeLines="50" w:after="50" w:line="360" w:lineRule="exact"/>
        <w:jc w:val="center"/>
        <w:rPr>
          <w:rFonts w:hint="eastAsia" w:ascii="宋体" w:hAnsi="宋体" w:eastAsia="宋体" w:cs="宋体"/>
          <w:b/>
          <w:color w:val="auto"/>
          <w:sz w:val="24"/>
          <w:szCs w:val="20"/>
          <w:highlight w:val="none"/>
        </w:rPr>
      </w:pPr>
    </w:p>
    <w:p w14:paraId="37802E6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14:paraId="5371680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（全名）</w:t>
      </w:r>
      <w:r>
        <w:rPr>
          <w:rFonts w:hint="eastAsia" w:ascii="宋体" w:hAnsi="宋体" w:eastAsia="宋体" w:cs="宋体"/>
          <w:color w:val="auto"/>
          <w:szCs w:val="21"/>
          <w:highlight w:val="none"/>
        </w:rPr>
        <w:t>经正式授权并代表供应商</w:t>
      </w:r>
      <w:r>
        <w:rPr>
          <w:rFonts w:hint="eastAsia" w:ascii="宋体" w:hAnsi="宋体" w:eastAsia="宋体" w:cs="宋体"/>
          <w:color w:val="auto"/>
          <w:szCs w:val="21"/>
          <w:highlight w:val="none"/>
          <w:u w:val="single"/>
        </w:rPr>
        <w:t xml:space="preserve">                    （供应商名称）</w:t>
      </w:r>
      <w:r>
        <w:rPr>
          <w:rFonts w:hint="eastAsia" w:ascii="宋体" w:hAnsi="宋体" w:eastAsia="宋体" w:cs="宋体"/>
          <w:color w:val="auto"/>
          <w:szCs w:val="21"/>
          <w:highlight w:val="none"/>
        </w:rPr>
        <w:t>现正式递交下述文件参加贵方组织的本次政府采购活动：</w:t>
      </w:r>
    </w:p>
    <w:p w14:paraId="411D982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一、报价文件电子版一份；</w:t>
      </w:r>
    </w:p>
    <w:p w14:paraId="5437D30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二、资格文件电子版一份；</w:t>
      </w:r>
    </w:p>
    <w:p w14:paraId="611A318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三、商务和技术文件电子版一份；</w:t>
      </w:r>
    </w:p>
    <w:p w14:paraId="2E0E203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6A7D1707">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14:paraId="45FF46C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2.我方在投标之前已经与贵方进行了充分的沟通，完全理解并接受</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的各项规定和要求，对</w:t>
      </w:r>
      <w:r>
        <w:rPr>
          <w:rFonts w:hint="eastAsia" w:ascii="宋体" w:hAnsi="宋体" w:eastAsia="宋体" w:cs="宋体"/>
          <w:color w:val="auto"/>
          <w:szCs w:val="21"/>
          <w:highlight w:val="none"/>
          <w:lang w:eastAsia="zh-CN"/>
        </w:rPr>
        <w:t>磋商采购文件</w:t>
      </w:r>
      <w:r>
        <w:rPr>
          <w:rFonts w:hint="eastAsia" w:ascii="宋体" w:hAnsi="宋体" w:eastAsia="宋体" w:cs="宋体"/>
          <w:color w:val="auto"/>
          <w:szCs w:val="21"/>
          <w:highlight w:val="none"/>
        </w:rPr>
        <w:t>的合理性、合法性不再有异议。</w:t>
      </w:r>
    </w:p>
    <w:p w14:paraId="0E24818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个</w:t>
      </w:r>
      <w:r>
        <w:rPr>
          <w:rFonts w:hint="eastAsia" w:ascii="宋体" w:hAnsi="宋体" w:eastAsia="宋体" w:cs="宋体"/>
          <w:color w:val="auto"/>
          <w:szCs w:val="21"/>
          <w:highlight w:val="none"/>
          <w:u w:val="single"/>
        </w:rPr>
        <w:t>自然</w:t>
      </w:r>
      <w:r>
        <w:rPr>
          <w:rFonts w:hint="eastAsia" w:ascii="宋体" w:hAnsi="宋体" w:eastAsia="宋体" w:cs="宋体"/>
          <w:color w:val="auto"/>
          <w:szCs w:val="21"/>
          <w:highlight w:val="none"/>
        </w:rPr>
        <w:t>日。</w:t>
      </w:r>
    </w:p>
    <w:p w14:paraId="7ED7E8B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4.如中标，本响应文件至本项目合同履行完毕止均保持有效，我方将按“竞争性磋商文件”及政府采购法律、法规的规定履行合同责任和义务。</w:t>
      </w:r>
    </w:p>
    <w:p w14:paraId="6006B04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5.我方同意按照贵方要求提供与投标有关的一切数据或资料。</w:t>
      </w:r>
    </w:p>
    <w:p w14:paraId="43A868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442B6CE9">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77614FC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8855DC1">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7D25ADB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w:t>
      </w:r>
      <w:r>
        <w:rPr>
          <w:rFonts w:hint="eastAsia" w:ascii="宋体" w:hAnsi="宋体" w:eastAsia="宋体" w:cs="宋体"/>
          <w:color w:val="auto"/>
          <w:szCs w:val="21"/>
          <w:highlight w:val="none"/>
          <w:lang w:eastAsia="zh-CN"/>
        </w:rPr>
        <w:t>账号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B7A404B">
      <w:pPr>
        <w:snapToGrid w:val="0"/>
        <w:spacing w:line="360" w:lineRule="exact"/>
        <w:rPr>
          <w:rFonts w:hint="eastAsia" w:ascii="宋体" w:hAnsi="宋体" w:eastAsia="宋体" w:cs="宋体"/>
          <w:color w:val="auto"/>
          <w:szCs w:val="21"/>
          <w:highlight w:val="none"/>
        </w:rPr>
      </w:pPr>
    </w:p>
    <w:p w14:paraId="58012C91">
      <w:pPr>
        <w:snapToGrid w:val="0"/>
        <w:spacing w:line="360" w:lineRule="exact"/>
        <w:rPr>
          <w:rFonts w:hint="eastAsia" w:ascii="宋体" w:hAnsi="宋体" w:eastAsia="宋体" w:cs="宋体"/>
          <w:color w:val="auto"/>
          <w:szCs w:val="21"/>
          <w:highlight w:val="none"/>
        </w:rPr>
      </w:pPr>
    </w:p>
    <w:p w14:paraId="0CA71199">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BCA7A12">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4C2D395">
      <w:pPr>
        <w:pStyle w:val="27"/>
        <w:spacing w:line="360" w:lineRule="exact"/>
        <w:rPr>
          <w:rFonts w:hint="eastAsia" w:ascii="宋体" w:hAnsi="宋体" w:eastAsia="宋体" w:cs="宋体"/>
          <w:color w:val="auto"/>
          <w:sz w:val="44"/>
          <w:highlight w:val="none"/>
        </w:rPr>
      </w:pPr>
    </w:p>
    <w:p w14:paraId="53FC50E4">
      <w:pPr>
        <w:pStyle w:val="27"/>
        <w:spacing w:line="360" w:lineRule="exact"/>
        <w:rPr>
          <w:rFonts w:hint="eastAsia" w:ascii="宋体" w:hAnsi="宋体" w:eastAsia="宋体" w:cs="宋体"/>
          <w:color w:val="auto"/>
          <w:sz w:val="44"/>
          <w:highlight w:val="none"/>
        </w:rPr>
      </w:pPr>
    </w:p>
    <w:p w14:paraId="35263575">
      <w:pPr>
        <w:pStyle w:val="27"/>
        <w:spacing w:line="360" w:lineRule="exact"/>
        <w:rPr>
          <w:rFonts w:hint="eastAsia" w:ascii="宋体" w:hAnsi="宋体" w:eastAsia="宋体" w:cs="宋体"/>
          <w:color w:val="auto"/>
          <w:sz w:val="44"/>
          <w:highlight w:val="none"/>
        </w:rPr>
      </w:pPr>
    </w:p>
    <w:p w14:paraId="107540A3">
      <w:pPr>
        <w:pStyle w:val="27"/>
        <w:spacing w:line="360" w:lineRule="exact"/>
        <w:rPr>
          <w:rFonts w:hint="eastAsia" w:ascii="宋体" w:hAnsi="宋体" w:eastAsia="宋体" w:cs="宋体"/>
          <w:color w:val="auto"/>
          <w:sz w:val="44"/>
          <w:highlight w:val="none"/>
        </w:rPr>
      </w:pPr>
    </w:p>
    <w:p w14:paraId="5B8AC18B">
      <w:pPr>
        <w:pStyle w:val="27"/>
        <w:spacing w:line="360" w:lineRule="exact"/>
        <w:rPr>
          <w:rFonts w:hint="eastAsia" w:ascii="宋体" w:hAnsi="宋体" w:eastAsia="宋体" w:cs="宋体"/>
          <w:color w:val="auto"/>
          <w:sz w:val="44"/>
          <w:highlight w:val="none"/>
        </w:rPr>
      </w:pPr>
    </w:p>
    <w:p w14:paraId="4260F4AE">
      <w:pPr>
        <w:pStyle w:val="27"/>
        <w:spacing w:line="360" w:lineRule="exact"/>
        <w:rPr>
          <w:rFonts w:hint="eastAsia" w:ascii="宋体" w:hAnsi="宋体" w:eastAsia="宋体" w:cs="宋体"/>
          <w:color w:val="auto"/>
          <w:sz w:val="44"/>
          <w:highlight w:val="none"/>
        </w:rPr>
      </w:pPr>
    </w:p>
    <w:p w14:paraId="186E250A">
      <w:pPr>
        <w:pStyle w:val="27"/>
        <w:spacing w:line="360" w:lineRule="exact"/>
        <w:rPr>
          <w:rFonts w:hint="eastAsia" w:ascii="宋体" w:hAnsi="宋体" w:eastAsia="宋体" w:cs="宋体"/>
          <w:color w:val="auto"/>
          <w:sz w:val="44"/>
          <w:highlight w:val="none"/>
        </w:rPr>
      </w:pPr>
    </w:p>
    <w:p w14:paraId="7F4451A2">
      <w:pPr>
        <w:spacing w:line="320" w:lineRule="exact"/>
        <w:rPr>
          <w:rFonts w:hint="eastAsia" w:ascii="宋体" w:hAnsi="宋体" w:eastAsia="宋体" w:cs="宋体"/>
          <w:b/>
          <w:color w:val="auto"/>
          <w:szCs w:val="21"/>
          <w:highlight w:val="none"/>
        </w:rPr>
      </w:pPr>
    </w:p>
    <w:p w14:paraId="2F181CF6">
      <w:pPr>
        <w:spacing w:line="320" w:lineRule="exact"/>
        <w:rPr>
          <w:rFonts w:hint="eastAsia" w:ascii="宋体" w:hAnsi="宋体" w:eastAsia="宋体" w:cs="宋体"/>
          <w:b/>
          <w:color w:val="auto"/>
          <w:szCs w:val="21"/>
          <w:highlight w:val="none"/>
        </w:rPr>
      </w:pPr>
    </w:p>
    <w:p w14:paraId="234A18D2">
      <w:pPr>
        <w:spacing w:line="320" w:lineRule="exact"/>
        <w:rPr>
          <w:rFonts w:hint="eastAsia" w:ascii="宋体" w:hAnsi="宋体" w:eastAsia="宋体" w:cs="宋体"/>
          <w:b/>
          <w:color w:val="auto"/>
          <w:szCs w:val="21"/>
          <w:highlight w:val="none"/>
        </w:rPr>
      </w:pPr>
    </w:p>
    <w:p w14:paraId="0460D05B">
      <w:pPr>
        <w:spacing w:line="320" w:lineRule="exact"/>
        <w:rPr>
          <w:rFonts w:hint="eastAsia" w:ascii="宋体" w:hAnsi="宋体" w:eastAsia="宋体" w:cs="宋体"/>
          <w:b/>
          <w:color w:val="auto"/>
          <w:szCs w:val="21"/>
          <w:highlight w:val="none"/>
        </w:rPr>
      </w:pPr>
    </w:p>
    <w:p w14:paraId="3666D788">
      <w:pPr>
        <w:spacing w:line="32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二、报价表和最后报价明细表格式</w:t>
      </w:r>
    </w:p>
    <w:p w14:paraId="6D8D7DE8">
      <w:pPr>
        <w:spacing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  价  表</w:t>
      </w:r>
    </w:p>
    <w:tbl>
      <w:tblPr>
        <w:tblStyle w:val="4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14:paraId="02F6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14:paraId="78CC16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7260B2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tc>
      </w:tr>
      <w:tr w14:paraId="11DA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14:paraId="43B3AD8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竞标报价</w:t>
            </w:r>
          </w:p>
        </w:tc>
        <w:tc>
          <w:tcPr>
            <w:tcW w:w="7590" w:type="dxa"/>
            <w:noWrap w:val="0"/>
            <w:vAlign w:val="center"/>
          </w:tcPr>
          <w:p w14:paraId="19B2A230">
            <w:pPr>
              <w:spacing w:line="360" w:lineRule="auto"/>
              <w:rPr>
                <w:rFonts w:hint="eastAsia" w:ascii="宋体" w:hAnsi="宋体" w:eastAsia="宋体" w:cs="宋体"/>
                <w:color w:val="auto"/>
                <w:szCs w:val="21"/>
                <w:highlight w:val="none"/>
              </w:rPr>
            </w:pPr>
          </w:p>
          <w:p w14:paraId="668D4D33">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签约合同价：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元（RMB</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元）（注：含暂列金额、材料和工程设备暂估价、专业工程暂估价</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安全生产责任保险费暂估价</w:t>
            </w:r>
            <w:r>
              <w:rPr>
                <w:rFonts w:hint="eastAsia" w:ascii="宋体" w:hAnsi="宋体" w:eastAsia="宋体" w:cs="宋体"/>
                <w:color w:val="auto"/>
                <w:highlight w:val="none"/>
              </w:rPr>
              <w:t>）</w:t>
            </w:r>
          </w:p>
        </w:tc>
      </w:tr>
      <w:tr w14:paraId="31A2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14:paraId="64204460">
            <w:pPr>
              <w:spacing w:line="360" w:lineRule="auto"/>
              <w:rPr>
                <w:rFonts w:hint="eastAsia" w:ascii="宋体" w:hAnsi="宋体" w:eastAsia="宋体" w:cs="宋体"/>
                <w:color w:val="auto"/>
                <w:szCs w:val="21"/>
                <w:highlight w:val="none"/>
              </w:rPr>
            </w:pPr>
          </w:p>
        </w:tc>
        <w:tc>
          <w:tcPr>
            <w:tcW w:w="7590" w:type="dxa"/>
            <w:noWrap w:val="0"/>
            <w:vAlign w:val="center"/>
          </w:tcPr>
          <w:p w14:paraId="27A69C79">
            <w:pPr>
              <w:spacing w:line="360" w:lineRule="auto"/>
              <w:rPr>
                <w:rFonts w:hint="eastAsia" w:ascii="宋体" w:hAnsi="宋体" w:eastAsia="宋体" w:cs="宋体"/>
                <w:color w:val="auto"/>
                <w:szCs w:val="21"/>
                <w:highlight w:val="none"/>
              </w:rPr>
            </w:pPr>
          </w:p>
          <w:p w14:paraId="348B53FD">
            <w:pPr>
              <w:pStyle w:val="7"/>
              <w:rPr>
                <w:rFonts w:hint="eastAsia" w:ascii="宋体" w:hAnsi="宋体" w:eastAsia="宋体" w:cs="宋体"/>
                <w:b w:val="0"/>
                <w:color w:val="auto"/>
                <w:highlight w:val="none"/>
              </w:rPr>
            </w:pPr>
            <w:r>
              <w:rPr>
                <w:rFonts w:hint="eastAsia" w:ascii="宋体" w:hAnsi="宋体" w:eastAsia="宋体" w:cs="宋体"/>
                <w:b w:val="0"/>
                <w:bCs w:val="0"/>
                <w:color w:val="auto"/>
                <w:kern w:val="2"/>
                <w:sz w:val="21"/>
                <w:szCs w:val="21"/>
                <w:highlight w:val="none"/>
                <w:lang w:val="en-US" w:eastAsia="zh-CN" w:bidi="ar-SA"/>
              </w:rPr>
              <w:t>合同价：</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元（RMB￥</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元）（注：不含暂列金额、材料和工程设备暂估价、专业工程暂估价、安全生产责任保险费暂估价）</w:t>
            </w:r>
          </w:p>
        </w:tc>
      </w:tr>
      <w:tr w14:paraId="6CC9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5FA0DC36">
            <w:pPr>
              <w:rPr>
                <w:rFonts w:hint="eastAsia" w:ascii="宋体" w:hAnsi="宋体" w:eastAsia="宋体" w:cs="宋体"/>
                <w:b/>
                <w:bCs/>
                <w:color w:val="auto"/>
                <w:spacing w:val="-6"/>
                <w:highlight w:val="none"/>
              </w:rPr>
            </w:pPr>
            <w:r>
              <w:rPr>
                <w:rFonts w:hint="eastAsia" w:ascii="宋体" w:hAnsi="宋体" w:eastAsia="宋体" w:cs="宋体"/>
                <w:b/>
                <w:color w:val="auto"/>
                <w:spacing w:val="-6"/>
                <w:highlight w:val="none"/>
              </w:rPr>
              <w:t>工期</w:t>
            </w:r>
            <w:r>
              <w:rPr>
                <w:rFonts w:hint="eastAsia" w:ascii="宋体" w:hAnsi="宋体" w:eastAsia="宋体" w:cs="宋体"/>
                <w:color w:val="auto"/>
                <w:spacing w:val="-6"/>
                <w:highlight w:val="none"/>
              </w:rPr>
              <w:t>：</w:t>
            </w:r>
          </w:p>
        </w:tc>
      </w:tr>
      <w:tr w14:paraId="1672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46C67B47">
            <w:pP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项目经理：                                        注册证号：</w:t>
            </w:r>
          </w:p>
        </w:tc>
      </w:tr>
      <w:tr w14:paraId="7FAB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7A2C51C4">
            <w:pP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质量承诺</w:t>
            </w:r>
            <w:r>
              <w:rPr>
                <w:rFonts w:hint="eastAsia" w:ascii="宋体" w:hAnsi="宋体" w:eastAsia="宋体" w:cs="宋体"/>
                <w:b/>
                <w:color w:val="auto"/>
                <w:spacing w:val="-6"/>
                <w:highlight w:val="none"/>
              </w:rPr>
              <w:t>：</w:t>
            </w:r>
          </w:p>
        </w:tc>
      </w:tr>
    </w:tbl>
    <w:p w14:paraId="4D286003">
      <w:pPr>
        <w:snapToGrid w:val="0"/>
        <w:spacing w:before="50" w:after="50"/>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1、报价一经涂改，应在涂改处加盖供应商单位公章或者由供应商法定代表人或授权委托人签字，否则其响应文件作响应无效处理。</w:t>
      </w:r>
    </w:p>
    <w:p w14:paraId="683B55A9">
      <w:pPr>
        <w:snapToGrid w:val="0"/>
        <w:spacing w:before="50" w:after="50"/>
        <w:jc w:val="left"/>
        <w:rPr>
          <w:rFonts w:hint="eastAsia" w:ascii="宋体" w:hAnsi="宋体" w:eastAsia="宋体" w:cs="宋体"/>
          <w:color w:val="auto"/>
          <w:szCs w:val="21"/>
          <w:highlight w:val="none"/>
        </w:rPr>
      </w:pPr>
    </w:p>
    <w:p w14:paraId="3F3427D2">
      <w:pPr>
        <w:snapToGrid w:val="0"/>
        <w:spacing w:before="50" w:after="50"/>
        <w:ind w:firstLine="420" w:firstLineChars="200"/>
        <w:rPr>
          <w:rFonts w:hint="eastAsia" w:ascii="宋体" w:hAnsi="宋体" w:eastAsia="宋体" w:cs="宋体"/>
          <w:color w:val="auto"/>
          <w:szCs w:val="21"/>
          <w:highlight w:val="none"/>
        </w:rPr>
      </w:pPr>
    </w:p>
    <w:p w14:paraId="3CEF9103">
      <w:pPr>
        <w:snapToGrid w:val="0"/>
        <w:spacing w:before="50" w:after="50"/>
        <w:ind w:firstLine="420" w:firstLineChars="200"/>
        <w:rPr>
          <w:rFonts w:hint="eastAsia" w:ascii="宋体" w:hAnsi="宋体" w:eastAsia="宋体" w:cs="宋体"/>
          <w:color w:val="auto"/>
          <w:szCs w:val="21"/>
          <w:highlight w:val="none"/>
        </w:rPr>
      </w:pPr>
    </w:p>
    <w:p w14:paraId="30414853">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FFBA670">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A1CEB84">
      <w:pPr>
        <w:spacing w:line="300" w:lineRule="auto"/>
        <w:jc w:val="left"/>
        <w:rPr>
          <w:rFonts w:hint="eastAsia" w:ascii="宋体" w:hAnsi="宋体" w:eastAsia="宋体" w:cs="宋体"/>
          <w:color w:val="auto"/>
          <w:szCs w:val="21"/>
          <w:highlight w:val="none"/>
        </w:rPr>
      </w:pPr>
    </w:p>
    <w:p w14:paraId="17DBFCCC">
      <w:pPr>
        <w:spacing w:line="300" w:lineRule="auto"/>
        <w:jc w:val="left"/>
        <w:rPr>
          <w:rFonts w:hint="eastAsia" w:ascii="宋体" w:hAnsi="宋体" w:eastAsia="宋体" w:cs="宋体"/>
          <w:color w:val="auto"/>
          <w:szCs w:val="21"/>
          <w:highlight w:val="none"/>
        </w:rPr>
      </w:pPr>
    </w:p>
    <w:p w14:paraId="305F280C">
      <w:pPr>
        <w:spacing w:line="300" w:lineRule="auto"/>
        <w:jc w:val="left"/>
        <w:rPr>
          <w:rFonts w:hint="eastAsia" w:ascii="宋体" w:hAnsi="宋体" w:eastAsia="宋体" w:cs="宋体"/>
          <w:color w:val="auto"/>
          <w:szCs w:val="21"/>
          <w:highlight w:val="none"/>
        </w:rPr>
      </w:pPr>
    </w:p>
    <w:p w14:paraId="439F1413">
      <w:pPr>
        <w:spacing w:line="300" w:lineRule="auto"/>
        <w:jc w:val="left"/>
        <w:rPr>
          <w:rFonts w:hint="eastAsia" w:ascii="宋体" w:hAnsi="宋体" w:eastAsia="宋体" w:cs="宋体"/>
          <w:color w:val="auto"/>
          <w:szCs w:val="21"/>
          <w:highlight w:val="none"/>
        </w:rPr>
      </w:pPr>
    </w:p>
    <w:p w14:paraId="21CEB3E0">
      <w:pPr>
        <w:spacing w:line="300" w:lineRule="auto"/>
        <w:jc w:val="left"/>
        <w:rPr>
          <w:rFonts w:hint="eastAsia" w:ascii="宋体" w:hAnsi="宋体" w:eastAsia="宋体" w:cs="宋体"/>
          <w:color w:val="auto"/>
          <w:szCs w:val="21"/>
          <w:highlight w:val="none"/>
        </w:rPr>
      </w:pPr>
    </w:p>
    <w:p w14:paraId="3D40A04F">
      <w:pPr>
        <w:spacing w:line="300" w:lineRule="auto"/>
        <w:jc w:val="left"/>
        <w:rPr>
          <w:rFonts w:hint="eastAsia" w:ascii="宋体" w:hAnsi="宋体" w:eastAsia="宋体" w:cs="宋体"/>
          <w:color w:val="auto"/>
          <w:szCs w:val="21"/>
          <w:highlight w:val="none"/>
        </w:rPr>
      </w:pPr>
    </w:p>
    <w:p w14:paraId="72149058">
      <w:pPr>
        <w:spacing w:line="300" w:lineRule="auto"/>
        <w:jc w:val="left"/>
        <w:rPr>
          <w:rFonts w:hint="eastAsia" w:ascii="宋体" w:hAnsi="宋体" w:eastAsia="宋体" w:cs="宋体"/>
          <w:color w:val="auto"/>
          <w:szCs w:val="21"/>
          <w:highlight w:val="none"/>
        </w:rPr>
      </w:pPr>
    </w:p>
    <w:p w14:paraId="2B8A0211">
      <w:pPr>
        <w:spacing w:line="500" w:lineRule="exact"/>
        <w:jc w:val="center"/>
        <w:rPr>
          <w:rFonts w:hint="eastAsia" w:ascii="宋体" w:hAnsi="宋体" w:eastAsia="宋体" w:cs="宋体"/>
          <w:color w:val="auto"/>
          <w:sz w:val="44"/>
          <w:szCs w:val="20"/>
          <w:highlight w:val="none"/>
        </w:rPr>
      </w:pPr>
    </w:p>
    <w:p w14:paraId="69397EF7">
      <w:pPr>
        <w:spacing w:line="500" w:lineRule="exact"/>
        <w:jc w:val="center"/>
        <w:rPr>
          <w:rFonts w:hint="eastAsia" w:ascii="宋体" w:hAnsi="宋体" w:eastAsia="宋体" w:cs="宋体"/>
          <w:color w:val="auto"/>
          <w:sz w:val="44"/>
          <w:szCs w:val="20"/>
          <w:highlight w:val="none"/>
        </w:rPr>
      </w:pPr>
    </w:p>
    <w:p w14:paraId="50F41521">
      <w:pPr>
        <w:spacing w:line="500" w:lineRule="exact"/>
        <w:jc w:val="center"/>
        <w:rPr>
          <w:rFonts w:hint="eastAsia" w:ascii="宋体" w:hAnsi="宋体" w:eastAsia="宋体" w:cs="宋体"/>
          <w:color w:val="auto"/>
          <w:sz w:val="44"/>
          <w:szCs w:val="20"/>
          <w:highlight w:val="none"/>
        </w:rPr>
      </w:pPr>
    </w:p>
    <w:p w14:paraId="157AAC1F">
      <w:pPr>
        <w:spacing w:line="500" w:lineRule="exact"/>
        <w:jc w:val="center"/>
        <w:rPr>
          <w:rFonts w:hint="eastAsia" w:ascii="宋体" w:hAnsi="宋体" w:eastAsia="宋体" w:cs="宋体"/>
          <w:color w:val="auto"/>
          <w:sz w:val="44"/>
          <w:szCs w:val="20"/>
          <w:highlight w:val="none"/>
        </w:rPr>
      </w:pPr>
    </w:p>
    <w:p w14:paraId="1434F1F8">
      <w:pPr>
        <w:spacing w:line="500" w:lineRule="exact"/>
        <w:jc w:val="center"/>
        <w:rPr>
          <w:rFonts w:hint="eastAsia" w:ascii="宋体" w:hAnsi="宋体" w:eastAsia="宋体" w:cs="宋体"/>
          <w:color w:val="auto"/>
          <w:sz w:val="44"/>
          <w:szCs w:val="20"/>
          <w:highlight w:val="none"/>
        </w:rPr>
      </w:pPr>
    </w:p>
    <w:p w14:paraId="02C14011">
      <w:pPr>
        <w:spacing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最后报价明细表</w:t>
      </w:r>
    </w:p>
    <w:tbl>
      <w:tblPr>
        <w:tblStyle w:val="4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14:paraId="23E5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14:paraId="1721C4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F49DF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tc>
      </w:tr>
      <w:tr w14:paraId="61F6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14:paraId="07D68FC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竞标报价</w:t>
            </w:r>
          </w:p>
        </w:tc>
        <w:tc>
          <w:tcPr>
            <w:tcW w:w="7590" w:type="dxa"/>
            <w:noWrap w:val="0"/>
            <w:vAlign w:val="center"/>
          </w:tcPr>
          <w:p w14:paraId="4B8794A4">
            <w:pPr>
              <w:spacing w:line="360" w:lineRule="auto"/>
              <w:rPr>
                <w:rFonts w:hint="eastAsia" w:ascii="宋体" w:hAnsi="宋体" w:eastAsia="宋体" w:cs="宋体"/>
                <w:color w:val="auto"/>
                <w:szCs w:val="21"/>
                <w:highlight w:val="none"/>
              </w:rPr>
            </w:pPr>
          </w:p>
          <w:p w14:paraId="4498D54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签约合同价：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元（RMB</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元）（注：含暂列金额、材料和工程设备暂估价、专业工程暂估价</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安全生产责任保险费暂估价</w:t>
            </w:r>
            <w:r>
              <w:rPr>
                <w:rFonts w:hint="eastAsia" w:ascii="宋体" w:hAnsi="宋体" w:eastAsia="宋体" w:cs="宋体"/>
                <w:color w:val="auto"/>
                <w:highlight w:val="none"/>
              </w:rPr>
              <w:t>）</w:t>
            </w:r>
          </w:p>
        </w:tc>
      </w:tr>
      <w:tr w14:paraId="5C14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14:paraId="4A8C76BF">
            <w:pPr>
              <w:spacing w:line="360" w:lineRule="auto"/>
              <w:rPr>
                <w:rFonts w:hint="eastAsia" w:ascii="宋体" w:hAnsi="宋体" w:eastAsia="宋体" w:cs="宋体"/>
                <w:color w:val="auto"/>
                <w:szCs w:val="21"/>
                <w:highlight w:val="none"/>
              </w:rPr>
            </w:pPr>
          </w:p>
        </w:tc>
        <w:tc>
          <w:tcPr>
            <w:tcW w:w="7590" w:type="dxa"/>
            <w:noWrap w:val="0"/>
            <w:vAlign w:val="center"/>
          </w:tcPr>
          <w:p w14:paraId="176BBA12">
            <w:pPr>
              <w:spacing w:line="360" w:lineRule="auto"/>
              <w:rPr>
                <w:rFonts w:hint="eastAsia" w:ascii="宋体" w:hAnsi="宋体" w:eastAsia="宋体" w:cs="宋体"/>
                <w:color w:val="auto"/>
                <w:szCs w:val="21"/>
                <w:highlight w:val="none"/>
              </w:rPr>
            </w:pPr>
          </w:p>
          <w:p w14:paraId="39ECA8B4">
            <w:pPr>
              <w:pStyle w:val="7"/>
              <w:rPr>
                <w:rFonts w:hint="eastAsia" w:ascii="宋体" w:hAnsi="宋体" w:eastAsia="宋体" w:cs="宋体"/>
                <w:b w:val="0"/>
                <w:color w:val="auto"/>
                <w:highlight w:val="none"/>
              </w:rPr>
            </w:pPr>
            <w:r>
              <w:rPr>
                <w:rFonts w:hint="eastAsia" w:ascii="宋体" w:hAnsi="宋体" w:eastAsia="宋体" w:cs="宋体"/>
                <w:b w:val="0"/>
                <w:bCs w:val="0"/>
                <w:color w:val="auto"/>
                <w:kern w:val="2"/>
                <w:sz w:val="21"/>
                <w:szCs w:val="21"/>
                <w:highlight w:val="none"/>
                <w:lang w:val="en-US" w:eastAsia="zh-CN" w:bidi="ar-SA"/>
              </w:rPr>
              <w:t>合同价：</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元（RMB￥</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元）（注：不含暂列金额、材料和工程设备暂估价、专业工程暂估价、安全生产责任保险费暂估价）</w:t>
            </w:r>
          </w:p>
        </w:tc>
      </w:tr>
    </w:tbl>
    <w:p w14:paraId="5E411430">
      <w:pPr>
        <w:spacing w:line="500" w:lineRule="exact"/>
        <w:rPr>
          <w:rFonts w:hint="eastAsia" w:ascii="宋体" w:hAnsi="宋体" w:eastAsia="宋体" w:cs="宋体"/>
          <w:color w:val="auto"/>
          <w:szCs w:val="21"/>
          <w:highlight w:val="none"/>
        </w:rPr>
      </w:pPr>
    </w:p>
    <w:p w14:paraId="0B57736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2D5701C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参加磋商的供应商在规定时间内提交最后报价时，须附相应的报价明细表（最后报价明细表应按以上格式要求提供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并附</w:t>
      </w:r>
      <w:r>
        <w:rPr>
          <w:rFonts w:hint="eastAsia" w:ascii="宋体" w:hAnsi="宋体" w:eastAsia="宋体" w:cs="宋体"/>
          <w:b/>
          <w:bCs/>
          <w:color w:val="auto"/>
          <w:szCs w:val="21"/>
          <w:highlight w:val="none"/>
        </w:rPr>
        <w:t>最后报价</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已标价工程量清单），并且最后报价</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已标价工程量清单金额须与最后报价明细表的金额相等，否则须在规定时间内按最后报价金额调整最后报价明细表的金额</w:t>
      </w:r>
      <w:r>
        <w:rPr>
          <w:rFonts w:hint="eastAsia" w:ascii="宋体" w:hAnsi="宋体" w:eastAsia="宋体" w:cs="宋体"/>
          <w:color w:val="auto"/>
          <w:szCs w:val="21"/>
          <w:highlight w:val="none"/>
        </w:rPr>
        <w:t>。</w:t>
      </w:r>
    </w:p>
    <w:p w14:paraId="7FA13BB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、所有价格均用人民币表示，单位为元，精确到百分位。</w:t>
      </w:r>
    </w:p>
    <w:p w14:paraId="1E956A6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、报价一经涂改，应在涂改处加盖单位公章或者由法定代表人或授权委托人签字，否则其报价无效。</w:t>
      </w:r>
    </w:p>
    <w:p w14:paraId="31923CAC">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本表为最后报价时作为最后报价格式提供，无须在首次响应文件中体现。</w:t>
      </w:r>
    </w:p>
    <w:p w14:paraId="5E5F29EA">
      <w:pPr>
        <w:ind w:firstLine="420" w:firstLineChars="200"/>
        <w:rPr>
          <w:rFonts w:hint="eastAsia" w:ascii="宋体" w:hAnsi="宋体" w:eastAsia="宋体" w:cs="宋体"/>
          <w:color w:val="auto"/>
          <w:szCs w:val="21"/>
          <w:highlight w:val="none"/>
          <w:lang w:val="en-US" w:eastAsia="zh-CN"/>
        </w:rPr>
      </w:pPr>
    </w:p>
    <w:p w14:paraId="44B0EDB2">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7FE241FC">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0687C96">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4"/>
          <w:szCs w:val="24"/>
          <w:highlight w:val="none"/>
          <w:lang w:val="en-US" w:eastAsia="zh-CN"/>
        </w:rPr>
        <w:t>三、已标价工程量清单格式</w:t>
      </w:r>
    </w:p>
    <w:p w14:paraId="3EA85018">
      <w:pPr>
        <w:rPr>
          <w:rFonts w:hint="eastAsia" w:ascii="宋体" w:hAnsi="宋体" w:eastAsia="宋体" w:cs="宋体"/>
          <w:color w:val="auto"/>
          <w:highlight w:val="none"/>
        </w:rPr>
      </w:pPr>
    </w:p>
    <w:p w14:paraId="792CF26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已标价工程量清单</w:t>
      </w:r>
    </w:p>
    <w:p w14:paraId="5FD1B516">
      <w:pPr>
        <w:rPr>
          <w:rFonts w:hint="eastAsia" w:ascii="宋体" w:hAnsi="宋体" w:eastAsia="宋体" w:cs="宋体"/>
          <w:color w:val="auto"/>
          <w:highlight w:val="none"/>
        </w:rPr>
      </w:pPr>
    </w:p>
    <w:p w14:paraId="07B3F869">
      <w:pPr>
        <w:rPr>
          <w:rFonts w:hint="eastAsia" w:ascii="宋体" w:hAnsi="宋体" w:eastAsia="宋体" w:cs="宋体"/>
          <w:color w:val="auto"/>
          <w:highlight w:val="none"/>
        </w:rPr>
      </w:pPr>
    </w:p>
    <w:p w14:paraId="4D80E553">
      <w:pPr>
        <w:rPr>
          <w:rFonts w:hint="eastAsia" w:ascii="宋体" w:hAnsi="宋体" w:eastAsia="宋体" w:cs="宋体"/>
          <w:color w:val="auto"/>
          <w:highlight w:val="none"/>
        </w:rPr>
      </w:pPr>
    </w:p>
    <w:p w14:paraId="25D16A5F">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7116389">
      <w:pPr>
        <w:spacing w:line="360" w:lineRule="exact"/>
        <w:ind w:firstLine="6090" w:firstLineChars="2900"/>
        <w:rPr>
          <w:rFonts w:hint="eastAsia" w:ascii="宋体" w:hAnsi="宋体" w:eastAsia="宋体" w:cs="宋体"/>
          <w:color w:val="auto"/>
          <w:szCs w:val="21"/>
          <w:highlight w:val="none"/>
        </w:rPr>
      </w:pPr>
    </w:p>
    <w:p w14:paraId="787DC3A9">
      <w:pPr>
        <w:spacing w:line="360" w:lineRule="exact"/>
        <w:ind w:firstLine="6090" w:firstLineChars="2900"/>
        <w:rPr>
          <w:rFonts w:hint="eastAsia" w:ascii="宋体" w:hAnsi="宋体" w:eastAsia="宋体" w:cs="宋体"/>
          <w:color w:val="auto"/>
          <w:szCs w:val="21"/>
          <w:highlight w:val="none"/>
        </w:rPr>
      </w:pPr>
    </w:p>
    <w:p w14:paraId="38A9C2C7">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04C35D00">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37242DA">
      <w:pPr>
        <w:pStyle w:val="4"/>
        <w:spacing w:line="360" w:lineRule="exact"/>
        <w:jc w:val="center"/>
        <w:rPr>
          <w:rFonts w:hint="eastAsia" w:ascii="宋体" w:hAnsi="宋体" w:eastAsia="宋体" w:cs="宋体"/>
          <w:color w:val="auto"/>
          <w:sz w:val="28"/>
          <w:szCs w:val="28"/>
          <w:highlight w:val="none"/>
        </w:rPr>
      </w:pPr>
    </w:p>
    <w:p w14:paraId="7CA59AD3">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注: 1.供应商的已标价工程量清单必须加盖供应商公</w:t>
      </w:r>
      <w:r>
        <w:rPr>
          <w:rFonts w:hint="eastAsia" w:ascii="宋体" w:hAnsi="宋体" w:eastAsia="宋体" w:cs="宋体"/>
          <w:b/>
          <w:bCs/>
          <w:color w:val="auto"/>
          <w:sz w:val="28"/>
          <w:szCs w:val="28"/>
          <w:highlight w:val="none"/>
          <w:lang w:eastAsia="zh-CN"/>
        </w:rPr>
        <w:t>章</w:t>
      </w:r>
    </w:p>
    <w:p w14:paraId="79FC9A69">
      <w:pPr>
        <w:pStyle w:val="27"/>
        <w:rPr>
          <w:rFonts w:hint="eastAsia" w:ascii="宋体" w:hAnsi="宋体" w:eastAsia="宋体" w:cs="宋体"/>
          <w:color w:val="auto"/>
          <w:sz w:val="28"/>
          <w:szCs w:val="28"/>
          <w:highlight w:val="none"/>
        </w:rPr>
      </w:pPr>
    </w:p>
    <w:p w14:paraId="0A090784">
      <w:pPr>
        <w:rPr>
          <w:rFonts w:hint="eastAsia" w:ascii="宋体" w:hAnsi="宋体" w:eastAsia="宋体" w:cs="宋体"/>
          <w:color w:val="auto"/>
          <w:sz w:val="28"/>
          <w:szCs w:val="28"/>
          <w:highlight w:val="none"/>
        </w:rPr>
      </w:pPr>
    </w:p>
    <w:p w14:paraId="511BB14E">
      <w:pPr>
        <w:pStyle w:val="27"/>
        <w:rPr>
          <w:rFonts w:hint="eastAsia" w:ascii="宋体" w:hAnsi="宋体" w:eastAsia="宋体" w:cs="宋体"/>
          <w:color w:val="auto"/>
          <w:sz w:val="28"/>
          <w:szCs w:val="28"/>
          <w:highlight w:val="none"/>
        </w:rPr>
      </w:pPr>
    </w:p>
    <w:p w14:paraId="5F0E12F2">
      <w:pPr>
        <w:rPr>
          <w:rFonts w:hint="eastAsia" w:ascii="宋体" w:hAnsi="宋体" w:eastAsia="宋体" w:cs="宋体"/>
          <w:color w:val="auto"/>
          <w:sz w:val="28"/>
          <w:szCs w:val="28"/>
          <w:highlight w:val="none"/>
        </w:rPr>
      </w:pPr>
    </w:p>
    <w:p w14:paraId="63D5A858">
      <w:pPr>
        <w:pStyle w:val="27"/>
        <w:rPr>
          <w:rFonts w:hint="eastAsia" w:ascii="宋体" w:hAnsi="宋体" w:eastAsia="宋体" w:cs="宋体"/>
          <w:color w:val="auto"/>
          <w:highlight w:val="none"/>
        </w:rPr>
      </w:pPr>
    </w:p>
    <w:p w14:paraId="1CAC1971">
      <w:pPr>
        <w:pStyle w:val="4"/>
        <w:spacing w:line="360" w:lineRule="exact"/>
        <w:jc w:val="center"/>
        <w:rPr>
          <w:rFonts w:hint="eastAsia" w:ascii="宋体" w:hAnsi="宋体" w:eastAsia="宋体" w:cs="宋体"/>
          <w:color w:val="auto"/>
          <w:sz w:val="28"/>
          <w:szCs w:val="28"/>
          <w:highlight w:val="none"/>
        </w:rPr>
      </w:pPr>
    </w:p>
    <w:p w14:paraId="3E3541CF">
      <w:pPr>
        <w:rPr>
          <w:rFonts w:hint="eastAsia" w:ascii="宋体" w:hAnsi="宋体" w:eastAsia="宋体" w:cs="宋体"/>
          <w:color w:val="auto"/>
          <w:sz w:val="28"/>
          <w:szCs w:val="28"/>
          <w:highlight w:val="none"/>
        </w:rPr>
      </w:pPr>
    </w:p>
    <w:p w14:paraId="3A990768">
      <w:pPr>
        <w:pStyle w:val="5"/>
        <w:rPr>
          <w:rFonts w:hint="eastAsia" w:ascii="宋体" w:hAnsi="宋体" w:eastAsia="宋体" w:cs="宋体"/>
          <w:color w:val="auto"/>
          <w:sz w:val="28"/>
          <w:szCs w:val="28"/>
          <w:highlight w:val="none"/>
        </w:rPr>
      </w:pPr>
    </w:p>
    <w:p w14:paraId="622F34C5">
      <w:pPr>
        <w:rPr>
          <w:rFonts w:hint="eastAsia" w:ascii="宋体" w:hAnsi="宋体" w:eastAsia="宋体" w:cs="宋体"/>
          <w:color w:val="auto"/>
          <w:sz w:val="28"/>
          <w:szCs w:val="28"/>
          <w:highlight w:val="none"/>
        </w:rPr>
      </w:pPr>
    </w:p>
    <w:p w14:paraId="6C311E96">
      <w:pPr>
        <w:pStyle w:val="5"/>
        <w:rPr>
          <w:rFonts w:hint="eastAsia" w:ascii="宋体" w:hAnsi="宋体" w:eastAsia="宋体" w:cs="宋体"/>
          <w:color w:val="auto"/>
          <w:sz w:val="28"/>
          <w:szCs w:val="28"/>
          <w:highlight w:val="none"/>
        </w:rPr>
      </w:pPr>
    </w:p>
    <w:p w14:paraId="3115BA63">
      <w:pPr>
        <w:rPr>
          <w:rFonts w:hint="eastAsia" w:ascii="宋体" w:hAnsi="宋体" w:eastAsia="宋体" w:cs="宋体"/>
          <w:color w:val="auto"/>
          <w:sz w:val="28"/>
          <w:szCs w:val="28"/>
          <w:highlight w:val="none"/>
        </w:rPr>
      </w:pPr>
    </w:p>
    <w:p w14:paraId="6A2638D3">
      <w:pPr>
        <w:pStyle w:val="5"/>
        <w:rPr>
          <w:rFonts w:hint="eastAsia" w:ascii="宋体" w:hAnsi="宋体" w:eastAsia="宋体" w:cs="宋体"/>
          <w:color w:val="auto"/>
          <w:sz w:val="28"/>
          <w:szCs w:val="28"/>
          <w:highlight w:val="none"/>
        </w:rPr>
      </w:pPr>
    </w:p>
    <w:p w14:paraId="53935B99">
      <w:pPr>
        <w:rPr>
          <w:rFonts w:hint="eastAsia" w:ascii="宋体" w:hAnsi="宋体" w:eastAsia="宋体" w:cs="宋体"/>
          <w:color w:val="auto"/>
          <w:sz w:val="28"/>
          <w:szCs w:val="28"/>
          <w:highlight w:val="none"/>
        </w:rPr>
      </w:pPr>
    </w:p>
    <w:p w14:paraId="4859795E">
      <w:pPr>
        <w:rPr>
          <w:rFonts w:hint="eastAsia" w:ascii="宋体" w:hAnsi="宋体" w:eastAsia="宋体" w:cs="宋体"/>
          <w:color w:val="auto"/>
          <w:highlight w:val="none"/>
        </w:rPr>
      </w:pPr>
    </w:p>
    <w:p w14:paraId="49D045CC">
      <w:pPr>
        <w:rPr>
          <w:rFonts w:hint="eastAsia" w:ascii="宋体" w:hAnsi="宋体" w:eastAsia="宋体" w:cs="宋体"/>
          <w:color w:val="auto"/>
          <w:highlight w:val="none"/>
        </w:rPr>
      </w:pPr>
    </w:p>
    <w:p w14:paraId="4FC90024">
      <w:pPr>
        <w:rPr>
          <w:rFonts w:hint="eastAsia" w:ascii="宋体" w:hAnsi="宋体" w:eastAsia="宋体" w:cs="宋体"/>
          <w:color w:val="auto"/>
          <w:highlight w:val="none"/>
        </w:rPr>
      </w:pPr>
    </w:p>
    <w:p w14:paraId="4648F11F">
      <w:pPr>
        <w:rPr>
          <w:rFonts w:hint="eastAsia" w:ascii="宋体" w:hAnsi="宋体" w:eastAsia="宋体" w:cs="宋体"/>
          <w:color w:val="auto"/>
          <w:highlight w:val="none"/>
        </w:rPr>
      </w:pPr>
    </w:p>
    <w:p w14:paraId="228B8965">
      <w:pPr>
        <w:rPr>
          <w:rFonts w:hint="eastAsia" w:ascii="宋体" w:hAnsi="宋体" w:eastAsia="宋体" w:cs="宋体"/>
          <w:color w:val="auto"/>
          <w:highlight w:val="none"/>
        </w:rPr>
      </w:pPr>
    </w:p>
    <w:p w14:paraId="7E5BBE07">
      <w:pPr>
        <w:rPr>
          <w:rFonts w:hint="eastAsia" w:ascii="宋体" w:hAnsi="宋体" w:eastAsia="宋体" w:cs="宋体"/>
          <w:color w:val="auto"/>
          <w:highlight w:val="none"/>
        </w:rPr>
      </w:pPr>
    </w:p>
    <w:p w14:paraId="6A13DE9C">
      <w:pPr>
        <w:pStyle w:val="2"/>
        <w:rPr>
          <w:rFonts w:hint="eastAsia" w:ascii="宋体" w:hAnsi="宋体" w:eastAsia="宋体" w:cs="宋体"/>
          <w:color w:val="auto"/>
          <w:highlight w:val="none"/>
        </w:rPr>
      </w:pPr>
    </w:p>
    <w:p w14:paraId="48829A71">
      <w:pPr>
        <w:pStyle w:val="4"/>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28"/>
          <w:szCs w:val="28"/>
          <w:highlight w:val="none"/>
        </w:rPr>
      </w:pPr>
      <w:bookmarkStart w:id="31" w:name="_Toc17835"/>
      <w:r>
        <w:rPr>
          <w:rFonts w:hint="eastAsia" w:ascii="宋体" w:hAnsi="宋体" w:eastAsia="宋体" w:cs="宋体"/>
          <w:color w:val="auto"/>
          <w:sz w:val="28"/>
          <w:szCs w:val="28"/>
          <w:highlight w:val="none"/>
        </w:rPr>
        <w:t>第五章 合同主要条款</w:t>
      </w:r>
      <w:bookmarkEnd w:id="31"/>
    </w:p>
    <w:p w14:paraId="02E2A700">
      <w:pPr>
        <w:pStyle w:val="4"/>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32"/>
          <w:szCs w:val="32"/>
          <w:highlight w:val="none"/>
        </w:rPr>
      </w:pPr>
      <w:bookmarkStart w:id="32" w:name="_Toc5827"/>
      <w:bookmarkStart w:id="33" w:name="_Toc22521"/>
      <w:bookmarkStart w:id="34" w:name="_Toc15386"/>
      <w:bookmarkStart w:id="35" w:name="_Toc18785"/>
      <w:bookmarkStart w:id="36" w:name="_Toc108515182"/>
    </w:p>
    <w:p w14:paraId="02901C0D">
      <w:pPr>
        <w:pStyle w:val="4"/>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32"/>
          <w:szCs w:val="32"/>
          <w:highlight w:val="none"/>
        </w:rPr>
      </w:pPr>
      <w:bookmarkStart w:id="37" w:name="_Toc23961"/>
      <w:r>
        <w:rPr>
          <w:rFonts w:hint="eastAsia" w:ascii="宋体" w:hAnsi="宋体" w:eastAsia="宋体" w:cs="宋体"/>
          <w:color w:val="auto"/>
          <w:sz w:val="32"/>
          <w:szCs w:val="32"/>
          <w:highlight w:val="none"/>
        </w:rPr>
        <w:t>施工合同</w:t>
      </w:r>
      <w:bookmarkEnd w:id="32"/>
      <w:bookmarkEnd w:id="33"/>
      <w:bookmarkEnd w:id="34"/>
      <w:bookmarkEnd w:id="35"/>
      <w:bookmarkEnd w:id="37"/>
    </w:p>
    <w:p w14:paraId="7EB62346">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柳州市第一职业技术学校</w:t>
      </w:r>
      <w:r>
        <w:rPr>
          <w:rFonts w:hint="eastAsia" w:ascii="宋体" w:hAnsi="宋体" w:eastAsia="宋体" w:cs="宋体"/>
          <w:color w:val="auto"/>
          <w:sz w:val="21"/>
          <w:szCs w:val="21"/>
          <w:highlight w:val="none"/>
          <w:u w:val="single"/>
          <w:lang w:val="en-US" w:eastAsia="zh-CN"/>
        </w:rPr>
        <w:t xml:space="preserve">         </w:t>
      </w:r>
    </w:p>
    <w:p w14:paraId="6F8625B4">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9EE302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该项目内容包括</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柳州市第一职业技术学校1-5#学生宿舍热水管更换改造项目</w:t>
      </w:r>
      <w:r>
        <w:rPr>
          <w:rFonts w:hint="eastAsia" w:ascii="宋体" w:hAnsi="宋体" w:eastAsia="宋体" w:cs="宋体"/>
          <w:color w:val="auto"/>
          <w:sz w:val="21"/>
          <w:szCs w:val="21"/>
          <w:highlight w:val="none"/>
          <w:u w:val="single"/>
          <w:lang w:eastAsia="zh-CN"/>
        </w:rPr>
        <w:t>，本项目涉及1-8#宿舍楼水管，主要内容为学生宿舍楼拆除旧水管，室外过路水管拆除混凝土，敷设PP-R给水管、内衬塑镀锌钢管、安装截止阀，楼板打孔、墙面打孔，室外过路水管浇筑混凝土等。</w:t>
      </w:r>
      <w:r>
        <w:rPr>
          <w:rFonts w:hint="eastAsia" w:ascii="宋体" w:hAnsi="宋体" w:eastAsia="宋体" w:cs="宋体"/>
          <w:color w:val="auto"/>
          <w:sz w:val="21"/>
          <w:szCs w:val="21"/>
          <w:highlight w:val="none"/>
          <w:u w:val="single"/>
        </w:rPr>
        <w:t>具体内容详见《施工图纸和工程量清单》。</w:t>
      </w:r>
    </w:p>
    <w:p w14:paraId="7D70DC2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依照《中华人民共和国民法典》、《中华人民共和国建筑法》及其他有关法律、行政法规，遵循平等、自愿、公平和诚实信用的原则，双方就本建设工程施工事项协商一致，订立本合同。</w:t>
      </w:r>
    </w:p>
    <w:p w14:paraId="7846E09C">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38" w:name="_Toc16872"/>
      <w:bookmarkStart w:id="39" w:name="_Toc22564"/>
      <w:bookmarkStart w:id="40" w:name="_Toc19099"/>
      <w:bookmarkStart w:id="41" w:name="_Toc9165"/>
      <w:bookmarkStart w:id="42" w:name="_Toc28298"/>
      <w:r>
        <w:rPr>
          <w:rFonts w:hint="eastAsia" w:ascii="宋体" w:hAnsi="宋体" w:eastAsia="宋体" w:cs="宋体"/>
          <w:color w:val="auto"/>
          <w:sz w:val="21"/>
          <w:szCs w:val="21"/>
          <w:highlight w:val="none"/>
        </w:rPr>
        <w:t>一、工程概况</w:t>
      </w:r>
      <w:bookmarkEnd w:id="38"/>
      <w:bookmarkEnd w:id="39"/>
      <w:bookmarkEnd w:id="40"/>
      <w:bookmarkEnd w:id="41"/>
      <w:bookmarkEnd w:id="42"/>
    </w:p>
    <w:p w14:paraId="3E6FD20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1、工程名称：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柳州市第一职业技术学校1-5#学生宿舍热水管更换改造项目</w:t>
      </w:r>
      <w:r>
        <w:rPr>
          <w:rFonts w:hint="eastAsia" w:ascii="宋体" w:hAnsi="宋体" w:eastAsia="宋体" w:cs="宋体"/>
          <w:b w:val="0"/>
          <w:bCs w:val="0"/>
          <w:color w:val="auto"/>
          <w:sz w:val="21"/>
          <w:szCs w:val="21"/>
          <w:highlight w:val="none"/>
          <w:u w:val="single"/>
          <w:lang w:val="en-US" w:eastAsia="zh-CN"/>
        </w:rPr>
        <w:t xml:space="preserve">  </w:t>
      </w:r>
    </w:p>
    <w:p w14:paraId="078BA42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eastAsia="zh-CN"/>
        </w:rPr>
        <w:t>广西柳州</w:t>
      </w:r>
    </w:p>
    <w:p w14:paraId="5760031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3、承包范围：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柳州市第一职业技术学校1-5#学生宿舍热水管更换改造项目</w:t>
      </w:r>
      <w:r>
        <w:rPr>
          <w:rFonts w:hint="eastAsia" w:ascii="宋体" w:hAnsi="宋体" w:eastAsia="宋体" w:cs="宋体"/>
          <w:color w:val="auto"/>
          <w:sz w:val="21"/>
          <w:szCs w:val="21"/>
          <w:highlight w:val="none"/>
          <w:u w:val="single"/>
          <w:lang w:eastAsia="zh-CN"/>
        </w:rPr>
        <w:t>，项目位于柳州市第一职业技术学校内，本项目涉及1-8#宿舍楼水管，主要内容为学生宿舍楼拆除旧水管，室外过路水管拆除混凝土，敷设PP-R给水管、内衬塑镀锌钢管、安装截止阀，楼板打孔、墙面打孔，室外过路水管浇筑混凝土等。</w:t>
      </w:r>
      <w:r>
        <w:rPr>
          <w:rFonts w:hint="eastAsia" w:ascii="宋体" w:hAnsi="宋体" w:eastAsia="宋体" w:cs="宋体"/>
          <w:color w:val="auto"/>
          <w:sz w:val="21"/>
          <w:szCs w:val="21"/>
          <w:highlight w:val="none"/>
          <w:u w:val="single"/>
        </w:rPr>
        <w:t>具体详见施工图纸和工程量清单。</w:t>
      </w:r>
      <w:r>
        <w:rPr>
          <w:rFonts w:hint="eastAsia" w:ascii="宋体" w:hAnsi="宋体" w:eastAsia="宋体" w:cs="宋体"/>
          <w:color w:val="auto"/>
          <w:sz w:val="21"/>
          <w:szCs w:val="21"/>
          <w:highlight w:val="none"/>
          <w:u w:val="single"/>
          <w:lang w:val="en-US" w:eastAsia="zh-CN"/>
        </w:rPr>
        <w:t xml:space="preserve">  </w:t>
      </w:r>
    </w:p>
    <w:p w14:paraId="533B52D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4、工程量：</w:t>
      </w:r>
      <w:r>
        <w:rPr>
          <w:rFonts w:hint="eastAsia" w:ascii="宋体" w:hAnsi="宋体" w:eastAsia="宋体" w:cs="宋体"/>
          <w:color w:val="auto"/>
          <w:sz w:val="21"/>
          <w:szCs w:val="21"/>
          <w:highlight w:val="none"/>
          <w:u w:val="single"/>
        </w:rPr>
        <w:t xml:space="preserve">具体详见施工图纸和工程量清单。 </w:t>
      </w:r>
    </w:p>
    <w:p w14:paraId="5975DBA3">
      <w:pPr>
        <w:pageBreakBefore w:val="0"/>
        <w:widowControl w:val="0"/>
        <w:kinsoku/>
        <w:wordWrap/>
        <w:overflowPunct/>
        <w:topLinePunct w:val="0"/>
        <w:autoSpaceDE/>
        <w:autoSpaceDN/>
        <w:bidi w:val="0"/>
        <w:adjustRightInd/>
        <w:snapToGrid/>
        <w:spacing w:line="360" w:lineRule="exact"/>
        <w:ind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5、实施要求：</w:t>
      </w:r>
      <w:r>
        <w:rPr>
          <w:rFonts w:hint="eastAsia" w:ascii="宋体" w:hAnsi="宋体" w:eastAsia="宋体" w:cs="宋体"/>
          <w:color w:val="auto"/>
          <w:sz w:val="21"/>
          <w:szCs w:val="21"/>
          <w:highlight w:val="none"/>
          <w:u w:val="single"/>
        </w:rPr>
        <w:t>具体详见施工图纸和工程量清单。</w:t>
      </w:r>
    </w:p>
    <w:p w14:paraId="078EB22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6、承包方式：双方协商选择以下第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种承包方式。</w:t>
      </w:r>
    </w:p>
    <w:p w14:paraId="0B21476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（1）包工包料，即乙方负责施工及采购工程所需的全部主材、辅材。</w:t>
      </w:r>
    </w:p>
    <w:p w14:paraId="5A4EF2B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（2）包工包辅料，即甲方负责采购主材，详见《材料交接单》，乙方负责施工及全部辅料的采购。</w:t>
      </w:r>
    </w:p>
    <w:p w14:paraId="49D9A1C8">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（3）包清工，即乙方包工不包料，由甲方自行购买所有材料，详见《材料交接单》。</w:t>
      </w:r>
    </w:p>
    <w:p w14:paraId="62966FA3">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43" w:name="_Toc30424"/>
      <w:bookmarkStart w:id="44" w:name="_Toc23027"/>
      <w:bookmarkStart w:id="45" w:name="_Toc23913"/>
      <w:bookmarkStart w:id="46" w:name="_Toc20132"/>
      <w:bookmarkStart w:id="47" w:name="_Toc4133"/>
      <w:r>
        <w:rPr>
          <w:rFonts w:hint="eastAsia" w:ascii="宋体" w:hAnsi="宋体" w:eastAsia="宋体" w:cs="宋体"/>
          <w:color w:val="auto"/>
          <w:sz w:val="21"/>
          <w:szCs w:val="21"/>
          <w:highlight w:val="none"/>
        </w:rPr>
        <w:t>二、资金来源</w:t>
      </w:r>
      <w:bookmarkEnd w:id="43"/>
      <w:bookmarkEnd w:id="44"/>
      <w:bookmarkEnd w:id="45"/>
      <w:bookmarkEnd w:id="46"/>
      <w:bookmarkEnd w:id="47"/>
    </w:p>
    <w:p w14:paraId="693CE20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资金来源为</w:t>
      </w:r>
      <w:r>
        <w:rPr>
          <w:rFonts w:hint="eastAsia" w:ascii="宋体" w:hAnsi="宋体" w:eastAsia="宋体" w:cs="宋体"/>
          <w:color w:val="auto"/>
          <w:sz w:val="21"/>
          <w:szCs w:val="21"/>
          <w:highlight w:val="none"/>
          <w:u w:val="single"/>
          <w:lang w:val="en-US" w:eastAsia="zh-CN"/>
        </w:rPr>
        <w:t xml:space="preserve"> 财政资金 </w:t>
      </w:r>
      <w:r>
        <w:rPr>
          <w:rFonts w:hint="eastAsia" w:ascii="宋体" w:hAnsi="宋体" w:eastAsia="宋体" w:cs="宋体"/>
          <w:color w:val="auto"/>
          <w:sz w:val="21"/>
          <w:szCs w:val="21"/>
          <w:highlight w:val="none"/>
        </w:rPr>
        <w:t>。</w:t>
      </w:r>
    </w:p>
    <w:p w14:paraId="1B11533F">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48" w:name="_Toc5885"/>
      <w:bookmarkStart w:id="49" w:name="_Toc31521"/>
      <w:bookmarkStart w:id="50" w:name="_Toc1811"/>
      <w:bookmarkStart w:id="51" w:name="_Toc25872"/>
      <w:bookmarkStart w:id="52" w:name="_Toc24220"/>
      <w:r>
        <w:rPr>
          <w:rFonts w:hint="eastAsia" w:ascii="宋体" w:hAnsi="宋体" w:eastAsia="宋体" w:cs="宋体"/>
          <w:color w:val="auto"/>
          <w:sz w:val="21"/>
          <w:szCs w:val="21"/>
          <w:highlight w:val="none"/>
        </w:rPr>
        <w:t>三、工程款及结算</w:t>
      </w:r>
      <w:bookmarkEnd w:id="48"/>
      <w:bookmarkEnd w:id="49"/>
      <w:bookmarkEnd w:id="50"/>
      <w:bookmarkEnd w:id="51"/>
      <w:bookmarkEnd w:id="52"/>
    </w:p>
    <w:p w14:paraId="0992D1F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1、本合同工程款按下列第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14:paraId="714710F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（1）固定总价：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人民币（大写）：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总价包干内容包含各种材料采购费用、加工费用、运输费用、卸货费用、堆放费用、短驳费用、安装费用、辅料费用、措施费用、管理费、利润及税金、风险金以及为履行合同所发生的其他一切费用。</w:t>
      </w:r>
    </w:p>
    <w:p w14:paraId="044B5F25">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（2）固定单价：</w:t>
      </w:r>
    </w:p>
    <w:p w14:paraId="7C1768B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元）；其中：①安全文明施工费：人民币（大写）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元）；②材料和工程设备暂估价金额：人民币（大写）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元）；③专业工程暂估价金额：人民币（大写）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元）；④暂列金额：人民币（大写）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⑤</w:t>
      </w:r>
      <w:r>
        <w:rPr>
          <w:rFonts w:hint="eastAsia" w:ascii="宋体" w:hAnsi="宋体" w:eastAsia="宋体" w:cs="宋体"/>
          <w:color w:val="auto"/>
          <w:szCs w:val="21"/>
          <w:highlight w:val="none"/>
        </w:rPr>
        <w:t>安全生产责任保险费暂估价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⑥</w:t>
      </w:r>
      <w:r>
        <w:rPr>
          <w:rFonts w:hint="eastAsia" w:ascii="宋体" w:hAnsi="宋体" w:eastAsia="宋体" w:cs="宋体"/>
          <w:color w:val="auto"/>
          <w:szCs w:val="21"/>
          <w:highlight w:val="none"/>
        </w:rPr>
        <w:t>增值税额：人民币（大写）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元），增值税率：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1E43E1">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2）优惠率：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EBF846B">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3）按本合同承包范围内的固定单价包干，</w:t>
      </w:r>
      <w:bookmarkStart w:id="53" w:name="page2"/>
      <w:bookmarkEnd w:id="53"/>
      <w:r>
        <w:rPr>
          <w:rFonts w:hint="eastAsia" w:ascii="宋体" w:hAnsi="宋体" w:eastAsia="宋体" w:cs="宋体"/>
          <w:color w:val="auto"/>
          <w:szCs w:val="21"/>
          <w:highlight w:val="none"/>
        </w:rPr>
        <w:t>届时按照工程量据实并结合投标优惠率结算。</w:t>
      </w:r>
    </w:p>
    <w:p w14:paraId="7DAF9F4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2、乙方已充分勘察现场，对现场所存在一切现有或隐形风险均已充分考虑并预估到位，一切相关费用已含入报价中。</w:t>
      </w:r>
    </w:p>
    <w:p w14:paraId="33FD60F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3、工程进度款支付：</w:t>
      </w:r>
    </w:p>
    <w:p w14:paraId="4E80F8D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本合同生效后，甲方按如下约定向乙方支付工程款：</w:t>
      </w:r>
    </w:p>
    <w:p w14:paraId="3BA040F8">
      <w:pPr>
        <w:spacing w:line="380" w:lineRule="exact"/>
        <w:ind w:firstLine="420" w:firstLineChars="200"/>
        <w:rPr>
          <w:rFonts w:hint="eastAsia" w:ascii="宋体" w:hAnsi="宋体" w:eastAsia="宋体" w:cs="宋体"/>
          <w:color w:val="auto"/>
          <w:sz w:val="21"/>
          <w:szCs w:val="21"/>
          <w:highlight w:val="none"/>
          <w:lang w:val="en-US" w:eastAsia="zh-CN"/>
        </w:rPr>
      </w:pPr>
      <w:r>
        <w:rPr>
          <w:rStyle w:val="46"/>
          <w:rFonts w:hint="eastAsia" w:ascii="宋体" w:hAnsi="宋体" w:cs="宋体"/>
          <w:color w:val="auto"/>
          <w:szCs w:val="21"/>
          <w:highlight w:val="none"/>
          <w:lang w:eastAsia="zh-CN"/>
        </w:rPr>
        <w:t>（</w:t>
      </w:r>
      <w:r>
        <w:rPr>
          <w:rStyle w:val="46"/>
          <w:rFonts w:hint="eastAsia" w:ascii="宋体" w:hAnsi="宋体" w:cs="宋体"/>
          <w:color w:val="auto"/>
          <w:szCs w:val="21"/>
          <w:highlight w:val="none"/>
          <w:lang w:val="en-US" w:eastAsia="zh-CN"/>
        </w:rPr>
        <w:t>1</w:t>
      </w:r>
      <w:r>
        <w:rPr>
          <w:rStyle w:val="46"/>
          <w:rFonts w:hint="eastAsia" w:ascii="宋体" w:hAnsi="宋体" w:cs="宋体"/>
          <w:color w:val="auto"/>
          <w:szCs w:val="21"/>
          <w:highlight w:val="none"/>
          <w:lang w:eastAsia="zh-CN"/>
        </w:rPr>
        <w:t>）</w:t>
      </w:r>
      <w:r>
        <w:rPr>
          <w:rStyle w:val="46"/>
          <w:rFonts w:hint="eastAsia" w:ascii="宋体" w:hAnsi="宋体" w:cs="宋体"/>
          <w:color w:val="auto"/>
          <w:szCs w:val="21"/>
          <w:highlight w:val="none"/>
        </w:rPr>
        <w:t>工程计量周期和支付比例</w:t>
      </w:r>
    </w:p>
    <w:p w14:paraId="4FAA42A8">
      <w:pPr>
        <w:spacing w:line="380" w:lineRule="exact"/>
        <w:ind w:firstLine="420" w:firstLineChars="20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①</w:t>
      </w:r>
      <w:r>
        <w:rPr>
          <w:rStyle w:val="46"/>
          <w:rFonts w:hint="eastAsia" w:ascii="宋体" w:hAnsi="宋体" w:cs="宋体"/>
          <w:color w:val="0000FF"/>
          <w:szCs w:val="21"/>
          <w:highlight w:val="none"/>
        </w:rPr>
        <w:t>工程计量周期</w:t>
      </w:r>
      <w:r>
        <w:rPr>
          <w:rStyle w:val="46"/>
          <w:rFonts w:hint="eastAsia" w:ascii="宋体" w:hAnsi="宋体" w:cs="宋体"/>
          <w:color w:val="0000FF"/>
          <w:szCs w:val="21"/>
          <w:highlight w:val="none"/>
          <w:lang w:eastAsia="zh-CN"/>
        </w:rPr>
        <w:t>：</w:t>
      </w:r>
      <w:r>
        <w:rPr>
          <w:rStyle w:val="46"/>
          <w:rFonts w:hint="eastAsia" w:ascii="宋体" w:hAnsi="宋体" w:cs="宋体"/>
          <w:color w:val="0000FF"/>
          <w:szCs w:val="21"/>
          <w:highlight w:val="none"/>
          <w:u w:val="single"/>
        </w:rPr>
        <w:t>按两个月为一个计量付款周期，每月 20 日为当月计量截止日期（不含当日）及下月计量起始日期（含当日），每两个自然月依据周期内累计计量结果办理付款</w:t>
      </w:r>
      <w:r>
        <w:rPr>
          <w:rStyle w:val="46"/>
          <w:rFonts w:hint="eastAsia" w:ascii="宋体" w:hAnsi="宋体" w:cs="宋体"/>
          <w:color w:val="0000FF"/>
          <w:szCs w:val="21"/>
          <w:highlight w:val="none"/>
        </w:rPr>
        <w:t>。</w:t>
      </w:r>
    </w:p>
    <w:p w14:paraId="151D6ABE">
      <w:pPr>
        <w:spacing w:line="380" w:lineRule="exact"/>
        <w:ind w:firstLine="420" w:firstLineChars="200"/>
        <w:rPr>
          <w:rStyle w:val="46"/>
          <w:rFonts w:hint="eastAsia" w:ascii="宋体" w:hAnsi="宋体" w:cs="宋体"/>
          <w:color w:val="0000FF"/>
          <w:szCs w:val="21"/>
          <w:highlight w:val="none"/>
          <w:u w:val="single"/>
          <w:lang w:eastAsia="zh-CN"/>
        </w:rPr>
      </w:pPr>
      <w:r>
        <w:rPr>
          <w:rFonts w:hint="eastAsia" w:ascii="宋体" w:hAnsi="宋体" w:cs="宋体"/>
          <w:color w:val="0000FF"/>
          <w:sz w:val="21"/>
          <w:szCs w:val="21"/>
          <w:highlight w:val="none"/>
          <w:lang w:val="en-US" w:eastAsia="zh-CN"/>
        </w:rPr>
        <w:t>②</w:t>
      </w:r>
      <w:r>
        <w:rPr>
          <w:rStyle w:val="46"/>
          <w:rFonts w:hint="eastAsia" w:ascii="宋体" w:hAnsi="宋体" w:cs="宋体"/>
          <w:color w:val="0000FF"/>
          <w:szCs w:val="21"/>
          <w:highlight w:val="none"/>
        </w:rPr>
        <w:t>支付比例</w:t>
      </w:r>
      <w:r>
        <w:rPr>
          <w:rStyle w:val="46"/>
          <w:rFonts w:hint="eastAsia" w:ascii="宋体" w:hAnsi="宋体" w:cs="宋体"/>
          <w:color w:val="0000FF"/>
          <w:szCs w:val="21"/>
          <w:highlight w:val="none"/>
          <w:lang w:eastAsia="zh-CN"/>
        </w:rPr>
        <w:t>：</w:t>
      </w:r>
      <w:r>
        <w:rPr>
          <w:rStyle w:val="46"/>
          <w:rFonts w:hint="eastAsia" w:ascii="宋体" w:hAnsi="宋体" w:cs="宋体"/>
          <w:color w:val="0000FF"/>
          <w:szCs w:val="21"/>
          <w:highlight w:val="none"/>
          <w:u w:val="single"/>
        </w:rPr>
        <w:t>按工程计量周期内完成工程量的80% 。工程完工验收达到质量要求，结算经发包人</w:t>
      </w:r>
      <w:r>
        <w:rPr>
          <w:rStyle w:val="46"/>
          <w:rFonts w:hint="eastAsia" w:ascii="宋体" w:hAnsi="宋体" w:cs="宋体"/>
          <w:color w:val="0000FF"/>
          <w:szCs w:val="21"/>
          <w:highlight w:val="none"/>
          <w:u w:val="single"/>
          <w:lang w:eastAsia="zh-CN"/>
        </w:rPr>
        <w:t>、</w:t>
      </w:r>
      <w:r>
        <w:rPr>
          <w:rStyle w:val="46"/>
          <w:rFonts w:hint="eastAsia" w:ascii="宋体" w:hAnsi="宋体" w:cs="宋体"/>
          <w:color w:val="0000FF"/>
          <w:szCs w:val="21"/>
          <w:highlight w:val="none"/>
          <w:u w:val="single"/>
        </w:rPr>
        <w:t>财政投资评审中心（或第三方审核机构</w:t>
      </w:r>
      <w:r>
        <w:rPr>
          <w:rStyle w:val="46"/>
          <w:rFonts w:hint="eastAsia" w:ascii="宋体" w:hAnsi="宋体" w:cs="宋体"/>
          <w:color w:val="0000FF"/>
          <w:szCs w:val="21"/>
          <w:highlight w:val="none"/>
          <w:u w:val="single"/>
          <w:lang w:eastAsia="zh-CN"/>
        </w:rPr>
        <w:t>）</w:t>
      </w:r>
      <w:r>
        <w:rPr>
          <w:rStyle w:val="46"/>
          <w:rFonts w:hint="eastAsia" w:ascii="宋体" w:hAnsi="宋体" w:cs="宋体"/>
          <w:color w:val="0000FF"/>
          <w:szCs w:val="21"/>
          <w:highlight w:val="none"/>
          <w:u w:val="single"/>
        </w:rPr>
        <w:t>审定后，承包人预留工程价款结算总额3%作为质量保证(保修)金的，发包人向承包人支付至工程价款结算总额的97%；或承包人提交工程价款结算总额3%的质量保证(保修)金保函作为质量保证(保修)金的，发包人向承包人支付至工程价款结算总额的100%。</w:t>
      </w:r>
    </w:p>
    <w:p w14:paraId="392F82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支付说明：</w:t>
      </w:r>
    </w:p>
    <w:p w14:paraId="25CD62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乙方应理解政府部门付款的相关程序，因</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使用的是财政资金，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在前款规定的付款时间为向政府财政支付部门提出办理财政支付申请手续的时间，不含政府财政支付部门审核的时间。因政府财政支付审批流程及办理手续而造成项目支付进度有所推延，而导致</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逾期付款的，</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不承担逾期付款违约责任。</w:t>
      </w:r>
    </w:p>
    <w:p w14:paraId="130F51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②甲方</w:t>
      </w:r>
      <w:r>
        <w:rPr>
          <w:rFonts w:hint="eastAsia" w:ascii="宋体" w:hAnsi="宋体" w:eastAsia="宋体" w:cs="宋体"/>
          <w:color w:val="auto"/>
          <w:sz w:val="21"/>
          <w:szCs w:val="21"/>
          <w:highlight w:val="none"/>
          <w:lang w:eastAsia="zh-CN"/>
        </w:rPr>
        <w:t>支付款项前，乙方应提供相应金额的有效发票，收款方、出具发票方均必须与乙方名称一致。</w:t>
      </w:r>
    </w:p>
    <w:p w14:paraId="36B5E26E">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4、施工用水、电等所产生的费用由</w:t>
      </w:r>
      <w:r>
        <w:rPr>
          <w:rFonts w:hint="eastAsia" w:ascii="宋体" w:hAnsi="宋体" w:eastAsia="宋体" w:cs="宋体"/>
          <w:color w:val="auto"/>
          <w:sz w:val="21"/>
          <w:szCs w:val="21"/>
          <w:highlight w:val="none"/>
          <w:u w:val="single"/>
        </w:rPr>
        <w:t xml:space="preserve"> 乙方 </w:t>
      </w:r>
      <w:r>
        <w:rPr>
          <w:rFonts w:hint="eastAsia" w:ascii="宋体" w:hAnsi="宋体" w:eastAsia="宋体" w:cs="宋体"/>
          <w:color w:val="auto"/>
          <w:sz w:val="21"/>
          <w:szCs w:val="21"/>
          <w:highlight w:val="none"/>
        </w:rPr>
        <w:t>承担。由乙方承担的，乙方进场前应与甲方做好原始数据的书面确认。甲方按自来水公司和电力局等相关部门收费全额从乙方工程款中扣回，水电费价差不计。</w:t>
      </w:r>
    </w:p>
    <w:p w14:paraId="76DE879E">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54" w:name="_Toc11346"/>
      <w:bookmarkStart w:id="55" w:name="_Toc29246"/>
      <w:bookmarkStart w:id="56" w:name="_Toc22150"/>
      <w:bookmarkStart w:id="57" w:name="_Toc11293"/>
      <w:bookmarkStart w:id="58" w:name="_Toc28452"/>
      <w:r>
        <w:rPr>
          <w:rFonts w:hint="eastAsia" w:ascii="宋体" w:hAnsi="宋体" w:eastAsia="宋体" w:cs="宋体"/>
          <w:color w:val="auto"/>
          <w:sz w:val="21"/>
          <w:szCs w:val="21"/>
          <w:highlight w:val="none"/>
        </w:rPr>
        <w:t>四、工期要求</w:t>
      </w:r>
      <w:bookmarkEnd w:id="54"/>
      <w:bookmarkEnd w:id="55"/>
      <w:bookmarkEnd w:id="56"/>
      <w:bookmarkEnd w:id="57"/>
      <w:bookmarkEnd w:id="58"/>
    </w:p>
    <w:p w14:paraId="239D631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1、工期：计划开工日期：</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日，计划竣工日期：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日，具体开工日期以甲方书面通知为准；合同总工期：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日历天。工期总日历天数与根据前述计划开竣工日期计算的工期天数不一致的，以工期总日历天数为准。</w:t>
      </w:r>
    </w:p>
    <w:p w14:paraId="757E995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2、竣工日以符合下列条件并获甲方签具竣工验收单之日为准。</w:t>
      </w:r>
    </w:p>
    <w:p w14:paraId="5E209EE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（1）全部竣工图纸和本合同范围的项目已全部完工；通过甲方、乙方共同验收并完成整改。</w:t>
      </w:r>
    </w:p>
    <w:p w14:paraId="0E51A31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（2）乙方退场，施工场地腾空，移交完毕。</w:t>
      </w:r>
    </w:p>
    <w:p w14:paraId="258561C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3、甲方要求提前完工的，乙方应无条件满足甲方的要求。</w:t>
      </w:r>
    </w:p>
    <w:p w14:paraId="4C0CB3A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4、在施工工期内如遇下列情况，经双方协商，以联系单签证为准，工期方可顺延；除此之外，工期均不得顺延：</w:t>
      </w:r>
    </w:p>
    <w:p w14:paraId="5B0ADED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（1）合同履行中发生重大设计变更（变更工程量超过施工图工程量的</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%）直接影响施工进度；</w:t>
      </w:r>
    </w:p>
    <w:p w14:paraId="1736ECA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（2）不可抗力因素；</w:t>
      </w:r>
    </w:p>
    <w:p w14:paraId="03ECAD3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（3）乙方按要求提交甲供材料供应计划而甲方材料供应不及时的；</w:t>
      </w:r>
    </w:p>
    <w:p w14:paraId="010826C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（4）甲方同意顺延工期的其他原因。</w:t>
      </w:r>
    </w:p>
    <w:p w14:paraId="661B1F9C">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59" w:name="_Toc231"/>
      <w:bookmarkStart w:id="60" w:name="_Toc9838"/>
      <w:bookmarkStart w:id="61" w:name="_Toc14547"/>
      <w:bookmarkStart w:id="62" w:name="_Toc2579"/>
      <w:bookmarkStart w:id="63" w:name="_Toc22619"/>
      <w:r>
        <w:rPr>
          <w:rFonts w:hint="eastAsia" w:ascii="宋体" w:hAnsi="宋体" w:eastAsia="宋体" w:cs="宋体"/>
          <w:color w:val="auto"/>
          <w:sz w:val="21"/>
          <w:szCs w:val="21"/>
          <w:highlight w:val="none"/>
        </w:rPr>
        <w:t>五、工程质量</w:t>
      </w:r>
      <w:bookmarkEnd w:id="59"/>
      <w:bookmarkEnd w:id="60"/>
      <w:bookmarkEnd w:id="61"/>
      <w:bookmarkEnd w:id="62"/>
      <w:bookmarkEnd w:id="63"/>
    </w:p>
    <w:p w14:paraId="15D9452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1、本工程以甲方提供的</w:t>
      </w:r>
      <w:r>
        <w:rPr>
          <w:rFonts w:hint="eastAsia" w:ascii="宋体" w:hAnsi="宋体" w:cs="宋体"/>
          <w:color w:val="auto"/>
          <w:sz w:val="21"/>
          <w:szCs w:val="21"/>
          <w:highlight w:val="none"/>
          <w:lang w:val="en-US" w:eastAsia="zh-CN"/>
        </w:rPr>
        <w:t>施工图纸</w:t>
      </w:r>
      <w:r>
        <w:rPr>
          <w:rFonts w:hint="eastAsia" w:ascii="宋体" w:hAnsi="宋体" w:eastAsia="宋体" w:cs="宋体"/>
          <w:color w:val="auto"/>
          <w:sz w:val="21"/>
          <w:szCs w:val="21"/>
          <w:highlight w:val="none"/>
        </w:rPr>
        <w:t>、设计变更及《建筑工程质量管理条例》等国家制定的现行有关施工质量验收规范及标准为质量评定标准。乙方不按照上述规范施工的，甲方有权要求乙方自费返工，工期不顺延。</w:t>
      </w:r>
    </w:p>
    <w:p w14:paraId="63E2E4F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2、本工程质量应达到国家规定的验收合格标准。</w:t>
      </w:r>
    </w:p>
    <w:p w14:paraId="0E271E69">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64" w:name="_Toc29983"/>
      <w:bookmarkStart w:id="65" w:name="_Toc28816"/>
      <w:bookmarkStart w:id="66" w:name="_Toc9816"/>
      <w:bookmarkStart w:id="67" w:name="_Toc27184"/>
      <w:bookmarkStart w:id="68" w:name="_Toc28088"/>
      <w:r>
        <w:rPr>
          <w:rFonts w:hint="eastAsia" w:ascii="宋体" w:hAnsi="宋体" w:eastAsia="宋体" w:cs="宋体"/>
          <w:color w:val="auto"/>
          <w:sz w:val="21"/>
          <w:szCs w:val="21"/>
          <w:highlight w:val="none"/>
        </w:rPr>
        <w:t>六、材料供应</w:t>
      </w:r>
      <w:bookmarkEnd w:id="64"/>
      <w:bookmarkEnd w:id="65"/>
      <w:bookmarkEnd w:id="66"/>
      <w:bookmarkEnd w:id="67"/>
      <w:bookmarkEnd w:id="68"/>
    </w:p>
    <w:p w14:paraId="5ECCD4F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177831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 名称、规格、型号、生产厂厂名、厂址等。</w:t>
      </w:r>
    </w:p>
    <w:p w14:paraId="4666AF6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本工程生活给水系统管材选用应符合国家现行标准及卫生规范，确保饮用水安全</w:t>
      </w:r>
      <w:r>
        <w:rPr>
          <w:rFonts w:hint="eastAsia" w:ascii="宋体" w:hAnsi="宋体" w:cs="宋体"/>
          <w:color w:val="auto"/>
          <w:sz w:val="21"/>
          <w:szCs w:val="21"/>
          <w:highlight w:val="none"/>
          <w:lang w:eastAsia="zh-CN"/>
        </w:rPr>
        <w:t xml:space="preserve">。具体要求如下：  </w:t>
      </w:r>
    </w:p>
    <w:p w14:paraId="04C4F8F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.1 室外给水管</w:t>
      </w:r>
    </w:p>
    <w:p w14:paraId="62B4C33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管材类型：采用给水用聚乙烯（PE）衬塑复合钢管，公称压力1.25MPa。  </w:t>
      </w:r>
    </w:p>
    <w:p w14:paraId="0842703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执行标准：  </w:t>
      </w:r>
    </w:p>
    <w:p w14:paraId="4A03792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《给水用聚乙烯（PE）衬塑复合钢管》（CJ/T 136-2007）  </w:t>
      </w:r>
    </w:p>
    <w:p w14:paraId="2858E40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《生活饮用水输配水设备及防护材料的安全性评价标准》（GB/T 17219-1998）  </w:t>
      </w:r>
    </w:p>
    <w:p w14:paraId="392E6EA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卫生要求：管材及管件必须提供省级以上卫生行政部门颁发的卫生许可批件，并提供相关卫生性能检测报告（如浸泡试验、重金属析出量等）。  </w:t>
      </w:r>
    </w:p>
    <w:p w14:paraId="35AA586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连接方式：采用法兰连接或沟槽式卡箍连接，确保密封性，防止渗漏。  </w:t>
      </w:r>
    </w:p>
    <w:p w14:paraId="51D4735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防腐要求：埋地管道外壁需做环氧煤沥青防腐层（或采用其他符合《埋地钢质管道防腐层技术标准》GB/T 23257的防腐措施）。  </w:t>
      </w:r>
    </w:p>
    <w:p w14:paraId="1D0CC4FE">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.2 室内给水管</w:t>
      </w:r>
    </w:p>
    <w:p w14:paraId="552FF9C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管材（包含管及管件）类型：采用冷热水用聚丙烯（PP-R）饮用水管，冷水管（蓝线）公称压力1.25MPa，热水管（红线）公称压力2.0MPa。  </w:t>
      </w:r>
    </w:p>
    <w:p w14:paraId="759769A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执行标准：  </w:t>
      </w:r>
    </w:p>
    <w:p w14:paraId="59410DE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《冷热水用聚丙烯管道系统 第2部分：管材》（GB/T 18742.2-2017）  </w:t>
      </w:r>
    </w:p>
    <w:p w14:paraId="1612F02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《建筑给水排水设计标准》（GB 50015-2019）  </w:t>
      </w:r>
    </w:p>
    <w:p w14:paraId="044B50B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《生活饮用水输配水设备及防护材料的安全性评价标准》（GB/T 17219-1998）  </w:t>
      </w:r>
    </w:p>
    <w:p w14:paraId="3E47A63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卫生要求：PP-R管材及管件需提供卫生许可批件，并符合饮用水卫生安全标准。  </w:t>
      </w:r>
    </w:p>
    <w:p w14:paraId="67A496A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连接方式：采用热熔连接，确保接口无渗漏，施工应符合《建筑给水塑料管道工程技术规程》（CJJ/T 98-2014）。  </w:t>
      </w:r>
    </w:p>
    <w:p w14:paraId="2981A21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 xml:space="preserve"> 其他要求</w:t>
      </w:r>
    </w:p>
    <w:p w14:paraId="52B73F2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所有管材采购前需提供样品及合格证、检测报告及卫生许可批件，并经建设单位认可合格后方可使用；所有材料进场需提供以上材料经建设单位进行材料验收合格后方可施工。  </w:t>
      </w:r>
    </w:p>
    <w:p w14:paraId="69C38CD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施工完成后，应对管道系统进行冲洗消毒，确保符合《生活饮用水卫生标准》（GB 5749-2022）。</w:t>
      </w:r>
    </w:p>
    <w:p w14:paraId="62DFB49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3、乙方不得用国家明令淘汰的材料和设备。如乙方提供的材料、设备系伪劣产品的，乙方应按所涉伪劣产品价款的</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倍向甲方支付违约金并承担返工的费用，违约金不足以弥补甲方损失的，乙方还应负责赔偿，由此延误的工期</w:t>
      </w:r>
      <w:bookmarkStart w:id="69" w:name="page3"/>
      <w:bookmarkEnd w:id="69"/>
      <w:r>
        <w:rPr>
          <w:rFonts w:hint="eastAsia" w:ascii="宋体" w:hAnsi="宋体" w:eastAsia="宋体" w:cs="宋体"/>
          <w:color w:val="auto"/>
          <w:sz w:val="21"/>
          <w:szCs w:val="21"/>
          <w:highlight w:val="none"/>
        </w:rPr>
        <w:t>不予顺延。</w:t>
      </w:r>
    </w:p>
    <w:p w14:paraId="50CEDBD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2F48750C">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70" w:name="_Toc32644"/>
      <w:bookmarkStart w:id="71" w:name="_Toc16391"/>
      <w:bookmarkStart w:id="72" w:name="_Toc6260"/>
      <w:bookmarkStart w:id="73" w:name="_Toc25034"/>
      <w:bookmarkStart w:id="74" w:name="_Toc829"/>
      <w:r>
        <w:rPr>
          <w:rFonts w:hint="eastAsia" w:ascii="宋体" w:hAnsi="宋体" w:eastAsia="宋体" w:cs="宋体"/>
          <w:color w:val="auto"/>
          <w:sz w:val="21"/>
          <w:szCs w:val="21"/>
          <w:highlight w:val="none"/>
        </w:rPr>
        <w:t>七、甲乙双方职责</w:t>
      </w:r>
      <w:bookmarkEnd w:id="70"/>
      <w:bookmarkEnd w:id="71"/>
      <w:bookmarkEnd w:id="72"/>
      <w:bookmarkEnd w:id="73"/>
      <w:bookmarkEnd w:id="74"/>
    </w:p>
    <w:p w14:paraId="5E2A62FD">
      <w:pPr>
        <w:pageBreakBefore w:val="0"/>
        <w:widowControl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（一）甲方职责</w:t>
      </w:r>
    </w:p>
    <w:p w14:paraId="6CC63CB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1、开工前</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天，甲方向乙方进行现场交底，并组织乙方进行图纸会审和工作面交接。</w:t>
      </w:r>
    </w:p>
    <w:p w14:paraId="5146524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为驻工地代表，联系电话：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为项目负责人，联系电话: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。对工程质量、安全、进度等进行监督检查，并办理验收、变更、登记手续和其他事宜。</w:t>
      </w:r>
    </w:p>
    <w:p w14:paraId="6E66810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3、甲方应审核乙方的施工组织方案和进度计划报表，协调处理有关重大的施工技术问题。</w:t>
      </w:r>
    </w:p>
    <w:p w14:paraId="0F058728">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4、甲方应当按合同约定支付合同价款，并履行合同约定的其他职责。</w:t>
      </w:r>
    </w:p>
    <w:p w14:paraId="31BA9118">
      <w:pPr>
        <w:pageBreakBefore w:val="0"/>
        <w:widowControl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（二）乙方职责</w:t>
      </w:r>
    </w:p>
    <w:p w14:paraId="4D45D0A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1、乙方为有经验的工程商，对甲方提供的交底资料应负责核验，资料存在差错的，及时向甲方提出，且不得依据错误的资料进行施工安装。</w:t>
      </w:r>
    </w:p>
    <w:p w14:paraId="49A0A43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2、乙方应当依据施工图纸拟定施工组织方案和进度计划报表，交甲方审定。</w:t>
      </w:r>
    </w:p>
    <w:p w14:paraId="43B87DFB">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3、乙方指派</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负责对本合同项下工程实行全过程管理,不得更换现场管理人员；如需更换项目经理的，必须经甲方书面同意且更换后的项目经理各项资质、能力不得低于原项目经理。项目经理到现场的时间应与施工工人相同，且每天必须在现场。乙方保证具备实施该工程的相关资质，如违反前述约定造成甲方损失的，乙方应当承担全部赔偿责任。</w:t>
      </w:r>
    </w:p>
    <w:p w14:paraId="6F13457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合同中的项目管理人员管理不得力，不能按施工组织计划的施工进度完成相应阶段的施工或者不配合甲方的工作等，甲方有权利要求施工单位更换相关项目管理人员，由此造成的工期延误由施工单位承担。</w:t>
      </w:r>
    </w:p>
    <w:p w14:paraId="0A7A18E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075A837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3FA43EA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7、乙方应遵守国家或地方政府及有关部门对施工现场管理的规定，妥善保护好施工现场周围建筑物、设备管线、古树名木不受损坏。处理好由于施工带来的扰民问题及与周围单位（住户）的关系。</w:t>
      </w:r>
    </w:p>
    <w:p w14:paraId="5F5808C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8、工程移交前，乙方应对施工现场的一切设施和已经完成的成品、半成品进行保护，如造成损坏的，乙方应予以修复或照价赔偿。</w:t>
      </w:r>
    </w:p>
    <w:p w14:paraId="3E612470">
      <w:pPr>
        <w:pageBreakBefore w:val="0"/>
        <w:widowControl w:val="0"/>
        <w:numPr>
          <w:ilvl w:val="0"/>
          <w:numId w:val="3"/>
        </w:numPr>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工程竣工验收合格后</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694D4AA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46287D9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11、乙方不得将本工程转包、分包。</w:t>
      </w:r>
    </w:p>
    <w:p w14:paraId="42814F1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12、乙方须将所有管理、施工人员及车辆信息提前三天向甲方报批，按要求做好安全工作。</w:t>
      </w:r>
    </w:p>
    <w:p w14:paraId="62D4DB85">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75" w:name="_Toc29470"/>
      <w:bookmarkStart w:id="76" w:name="_Toc31200"/>
      <w:bookmarkStart w:id="77" w:name="_Toc5457"/>
      <w:bookmarkStart w:id="78" w:name="_Toc28997"/>
      <w:bookmarkStart w:id="79" w:name="_Toc5758"/>
      <w:r>
        <w:rPr>
          <w:rFonts w:hint="eastAsia" w:ascii="宋体" w:hAnsi="宋体" w:eastAsia="宋体" w:cs="宋体"/>
          <w:color w:val="auto"/>
          <w:sz w:val="21"/>
          <w:szCs w:val="21"/>
          <w:highlight w:val="none"/>
        </w:rPr>
        <w:t>八、安全生产和文明施工</w:t>
      </w:r>
      <w:bookmarkEnd w:id="75"/>
      <w:bookmarkEnd w:id="76"/>
      <w:bookmarkEnd w:id="77"/>
      <w:bookmarkEnd w:id="78"/>
      <w:bookmarkEnd w:id="79"/>
    </w:p>
    <w:p w14:paraId="6B5A0E6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期间，乙方认真做好施工人员的安全教育。应严格执行施工规范以及有关安全生产的法律法规，遵守现场施工管理规定，强化安全意识，抓好安全生产，保证施工过程中的安全。如发生安全故事，由乙方自行处理，如造成人员伤亡不论甲方、乙方及其他任何第三方人身、财产损害的，由乙方承担全部经济和法律责任。</w:t>
      </w:r>
    </w:p>
    <w:p w14:paraId="5FD6CA9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w:t>
      </w:r>
      <w:r>
        <w:rPr>
          <w:rFonts w:hint="eastAsia" w:ascii="宋体" w:hAnsi="宋体" w:cs="宋体"/>
          <w:color w:val="auto"/>
          <w:sz w:val="21"/>
          <w:szCs w:val="21"/>
          <w:highlight w:val="none"/>
          <w:lang w:val="en-US" w:eastAsia="zh-CN"/>
        </w:rPr>
        <w:t>人工搬运</w:t>
      </w:r>
      <w:r>
        <w:rPr>
          <w:rFonts w:hint="eastAsia" w:ascii="宋体" w:hAnsi="宋体" w:eastAsia="宋体" w:cs="宋体"/>
          <w:color w:val="auto"/>
          <w:sz w:val="21"/>
          <w:szCs w:val="21"/>
          <w:highlight w:val="none"/>
        </w:rPr>
        <w:t>或垃圾槽运输到地面，严禁从高空直接向下抛物、随地大小便，否则，乙方每次向甲方支付违约金 1500 元。</w:t>
      </w:r>
    </w:p>
    <w:p w14:paraId="1850F48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3、乙方应当严格执行环境保护规定，采取合理措施保护施工现场环境。对施工作业过程中可能引起的大气、水、噪音、以及固体废弃物污染等采取可行的防范措施，否则因此引起的一切责任由乙方承担。</w:t>
      </w:r>
    </w:p>
    <w:p w14:paraId="320577C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签订合同后，须对施工现场安装安全防护隔离板，做好安全警示标语，专门张贴施工简介及完工期限等信息。如未安装隔离板、无安全警示标语、无施工简介三项内容，甲方将予以每项次扣罚违约金1000元。</w:t>
      </w:r>
    </w:p>
    <w:p w14:paraId="23FDC2F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5、甲方的校园内所有场所均禁止吸烟，乙方所有人员进入校园后不准吸烟，不得有其他随地大小便等不良行为，如有违反予以扣罚施工文明费每人次50元。</w:t>
      </w:r>
    </w:p>
    <w:p w14:paraId="1BDBB99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6、乙方须为施工人员购买意外伤害保险，认真做好施工人员的安全教育，严格加强现场安全施工管理，如发生安全故事，由乙方自行处理，并承担全部经济和法律责任。</w:t>
      </w:r>
    </w:p>
    <w:p w14:paraId="4E11EBCE">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80" w:name="_Toc19285"/>
      <w:bookmarkStart w:id="81" w:name="_Toc22251"/>
      <w:bookmarkStart w:id="82" w:name="_Toc2903"/>
      <w:bookmarkStart w:id="83" w:name="_Toc27160"/>
      <w:bookmarkStart w:id="84" w:name="_Toc4929"/>
      <w:r>
        <w:rPr>
          <w:rFonts w:hint="eastAsia" w:ascii="宋体" w:hAnsi="宋体" w:eastAsia="宋体" w:cs="宋体"/>
          <w:color w:val="auto"/>
          <w:sz w:val="21"/>
          <w:szCs w:val="21"/>
          <w:highlight w:val="none"/>
        </w:rPr>
        <w:t>九、工程变更（如有）</w:t>
      </w:r>
      <w:bookmarkEnd w:id="80"/>
      <w:bookmarkEnd w:id="81"/>
      <w:bookmarkEnd w:id="82"/>
      <w:bookmarkEnd w:id="83"/>
      <w:bookmarkEnd w:id="84"/>
    </w:p>
    <w:p w14:paraId="12330CF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766547F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变更内容时，施工方应在提前办理《工程联系单》，经建设方审批后方可实施。施工单位依据已审批的《工程联系单》填写《工程签证单》，乙方承诺对发生的签证在10个工作日内完成签证审批手续，如有涉及需现场计量确认的签证，要求提前3个工作日通知审计处并提交相关书面材料，超过申报日期再申报而增加的工程量或价款甲方均不受理。</w:t>
      </w:r>
    </w:p>
    <w:p w14:paraId="4486E27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3、甲乙双方约定合同价款的调整因素：（1）甲方确认的设计变更；（2）甲方确认的现场签证。如无设计变更和现场签证，合同包含的所有工程量及单价在结算时不作调整。</w:t>
      </w:r>
    </w:p>
    <w:p w14:paraId="558B46F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因变更引起的价格调整支付时间：（1）增加的工程价款在竣工结算时支付；（2）减少的工程价款应在最近一期进度款中扣除。</w:t>
      </w:r>
    </w:p>
    <w:p w14:paraId="20D0BD6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4、工程变更所引起的价格调整按照下列方法处理和合同约定的优惠率执行：</w:t>
      </w:r>
    </w:p>
    <w:p w14:paraId="30C5591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（1）合同有相同项目的，按照相同项目单价认定。</w:t>
      </w:r>
    </w:p>
    <w:p w14:paraId="59DD710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（2）合同无相同项目，但有类似项目的，参照类似项目单价认定。</w:t>
      </w:r>
    </w:p>
    <w:p w14:paraId="1C7A282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（3）合同无相同项目及类似项目单价的，按标准定额及合同约定的优惠率执行。</w:t>
      </w:r>
    </w:p>
    <w:p w14:paraId="2B935F5A">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85" w:name="_Toc13004"/>
      <w:bookmarkStart w:id="86" w:name="_Toc9111"/>
      <w:bookmarkStart w:id="87" w:name="_Toc13478"/>
      <w:bookmarkStart w:id="88" w:name="_Toc14520"/>
      <w:bookmarkStart w:id="89" w:name="_Toc31170"/>
      <w:r>
        <w:rPr>
          <w:rFonts w:hint="eastAsia" w:ascii="宋体" w:hAnsi="宋体" w:eastAsia="宋体" w:cs="宋体"/>
          <w:color w:val="auto"/>
          <w:sz w:val="21"/>
          <w:szCs w:val="21"/>
          <w:highlight w:val="none"/>
        </w:rPr>
        <w:t>十、工程验收与结算</w:t>
      </w:r>
      <w:bookmarkEnd w:id="85"/>
      <w:bookmarkEnd w:id="86"/>
      <w:bookmarkEnd w:id="87"/>
      <w:bookmarkEnd w:id="88"/>
      <w:bookmarkEnd w:id="89"/>
    </w:p>
    <w:p w14:paraId="397C028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1、隐蔽工程经乙方自检确认具备覆盖条件的，乙方应在覆盖前 48 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563E517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2、乙方认为工程具备完工验收条件须提前 5 天书面通知甲方申请验收，并向甲方交付竣工资料包括如下内容：严格按照国家发布的《建设工程文件归档整理规范》及柳州</w:t>
      </w:r>
      <w:r>
        <w:rPr>
          <w:rFonts w:hint="eastAsia" w:ascii="宋体" w:hAnsi="宋体" w:cs="宋体"/>
          <w:color w:val="auto"/>
          <w:sz w:val="21"/>
          <w:szCs w:val="21"/>
          <w:highlight w:val="none"/>
          <w:lang w:val="en-US" w:eastAsia="zh-CN"/>
        </w:rPr>
        <w:t>市财政投资评审中心</w:t>
      </w:r>
      <w:r>
        <w:rPr>
          <w:rFonts w:hint="eastAsia" w:ascii="宋体" w:hAnsi="宋体" w:eastAsia="宋体" w:cs="宋体"/>
          <w:color w:val="auto"/>
          <w:sz w:val="21"/>
          <w:szCs w:val="21"/>
          <w:highlight w:val="none"/>
        </w:rPr>
        <w:t>结算工程资料送审明细表要求编制</w:t>
      </w:r>
      <w:r>
        <w:rPr>
          <w:rFonts w:hint="eastAsia" w:ascii="宋体" w:hAnsi="宋体" w:cs="宋体"/>
          <w:color w:val="auto"/>
          <w:sz w:val="21"/>
          <w:szCs w:val="21"/>
          <w:highlight w:val="none"/>
          <w:lang w:val="en-US" w:eastAsia="zh-CN"/>
        </w:rPr>
        <w:t>工程相关</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竣工</w:t>
      </w:r>
      <w:r>
        <w:rPr>
          <w:rFonts w:hint="eastAsia" w:ascii="宋体" w:hAnsi="宋体" w:eastAsia="宋体" w:cs="宋体"/>
          <w:color w:val="auto"/>
          <w:sz w:val="21"/>
          <w:szCs w:val="21"/>
          <w:highlight w:val="none"/>
        </w:rPr>
        <w:t>资料及电子文档。</w:t>
      </w:r>
    </w:p>
    <w:p w14:paraId="06DF554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乙方需要提交的竣工资料套数：</w:t>
      </w:r>
      <w:r>
        <w:rPr>
          <w:rFonts w:hint="eastAsia" w:ascii="宋体" w:hAnsi="宋体" w:eastAsia="宋体" w:cs="宋体"/>
          <w:color w:val="auto"/>
          <w:sz w:val="21"/>
          <w:szCs w:val="21"/>
          <w:highlight w:val="none"/>
          <w:u w:val="single"/>
        </w:rPr>
        <w:t>一式六份</w:t>
      </w:r>
      <w:r>
        <w:rPr>
          <w:rFonts w:hint="eastAsia" w:ascii="宋体" w:hAnsi="宋体" w:eastAsia="宋体" w:cs="宋体"/>
          <w:color w:val="auto"/>
          <w:sz w:val="21"/>
          <w:szCs w:val="21"/>
          <w:highlight w:val="none"/>
        </w:rPr>
        <w:t xml:space="preserve">  </w:t>
      </w:r>
    </w:p>
    <w:p w14:paraId="3A7ECE4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乙方提交的竣工资料的费用承担：</w:t>
      </w:r>
      <w:r>
        <w:rPr>
          <w:rFonts w:hint="eastAsia" w:ascii="宋体" w:hAnsi="宋体" w:eastAsia="宋体" w:cs="宋体"/>
          <w:color w:val="auto"/>
          <w:sz w:val="21"/>
          <w:szCs w:val="21"/>
          <w:highlight w:val="none"/>
          <w:u w:val="single"/>
        </w:rPr>
        <w:t>乙方承担</w:t>
      </w:r>
    </w:p>
    <w:p w14:paraId="5F9A27C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乙方提交的竣工资料移交时间：</w:t>
      </w:r>
      <w:r>
        <w:rPr>
          <w:rFonts w:hint="eastAsia" w:ascii="宋体" w:hAnsi="宋体" w:eastAsia="宋体" w:cs="宋体"/>
          <w:color w:val="auto"/>
          <w:sz w:val="21"/>
          <w:szCs w:val="21"/>
          <w:highlight w:val="none"/>
          <w:u w:val="single"/>
        </w:rPr>
        <w:t>工程竣工验收合格后30个工作日内。</w:t>
      </w:r>
      <w:bookmarkStart w:id="90" w:name="page4"/>
      <w:bookmarkEnd w:id="90"/>
    </w:p>
    <w:p w14:paraId="0FB0939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乙方提交的竣工资料形式要求：</w:t>
      </w:r>
      <w:r>
        <w:rPr>
          <w:rFonts w:hint="eastAsia" w:ascii="宋体" w:hAnsi="宋体" w:eastAsia="宋体" w:cs="宋体"/>
          <w:color w:val="auto"/>
          <w:sz w:val="21"/>
          <w:szCs w:val="21"/>
          <w:highlight w:val="none"/>
          <w:u w:val="single"/>
        </w:rPr>
        <w:t>书面及电子文档。</w:t>
      </w:r>
    </w:p>
    <w:p w14:paraId="066648D4">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68C7C00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3、工程竣工验收合格后</w:t>
      </w:r>
      <w:r>
        <w:rPr>
          <w:rFonts w:hint="eastAsia" w:ascii="宋体" w:hAnsi="宋体" w:eastAsia="宋体" w:cs="宋体"/>
          <w:color w:val="auto"/>
          <w:sz w:val="21"/>
          <w:szCs w:val="21"/>
          <w:highlight w:val="none"/>
          <w:u w:val="single"/>
        </w:rPr>
        <w:t xml:space="preserve"> 30个</w:t>
      </w:r>
      <w:r>
        <w:rPr>
          <w:rFonts w:hint="eastAsia" w:ascii="宋体" w:hAnsi="宋体" w:eastAsia="宋体" w:cs="宋体"/>
          <w:color w:val="auto"/>
          <w:sz w:val="21"/>
          <w:szCs w:val="21"/>
          <w:highlight w:val="none"/>
        </w:rPr>
        <w:t>工作日内，乙方应向甲方提交竣工结算申请单及完整的结算资料，要求竣工材料必须与工程实际相符。经甲方审核后确认最终结算总价；每逾期一日，乙方按合同价款的 0.3% 向甲方支付违约金。</w:t>
      </w:r>
    </w:p>
    <w:p w14:paraId="434A288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4、乙方报送的结算书应根据实际施工情况编制，如果审减额超过送审金额的6%，超出部分的效益审核费由乙方承担，计算公式为：（净审减额－送审金额×6%）×3.5%，由甲方从工程款中扣减。</w:t>
      </w:r>
    </w:p>
    <w:p w14:paraId="3C2B2504">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91" w:name="_Toc14860"/>
      <w:bookmarkStart w:id="92" w:name="_Toc22279"/>
      <w:bookmarkStart w:id="93" w:name="_Toc24692"/>
      <w:bookmarkStart w:id="94" w:name="_Toc20626"/>
      <w:bookmarkStart w:id="95" w:name="_Toc31901"/>
      <w:r>
        <w:rPr>
          <w:rFonts w:hint="eastAsia" w:ascii="宋体" w:hAnsi="宋体" w:eastAsia="宋体" w:cs="宋体"/>
          <w:color w:val="auto"/>
          <w:sz w:val="21"/>
          <w:szCs w:val="21"/>
          <w:highlight w:val="none"/>
        </w:rPr>
        <w:t>十一、工程保修</w:t>
      </w:r>
      <w:bookmarkEnd w:id="91"/>
      <w:bookmarkEnd w:id="92"/>
      <w:bookmarkEnd w:id="93"/>
      <w:bookmarkEnd w:id="94"/>
      <w:bookmarkEnd w:id="95"/>
    </w:p>
    <w:p w14:paraId="334B488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1、保修期自本合同项下全部工程竣工验收合格之日起计算，保修期为：（1）施工图纸及工程量清单涉及的其他工程为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年。</w:t>
      </w:r>
    </w:p>
    <w:p w14:paraId="21FF3D1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2、质量保修义务：</w:t>
      </w:r>
    </w:p>
    <w:p w14:paraId="2C2E612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（1）乙方应当在接到甲方保修通知之日起</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小时内赶赴现场进行维修，</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小时内排除故障；发生紧急抢修事故的，乙方应在接到事故通知后</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小时内到达事故现场抢修。乙方拒绝维修或未能在约定时间内完成修复的，甲方可以委托他人修理，所需费用由乙方全部承担，同时甲方有权收取</w:t>
      </w:r>
      <w:r>
        <w:rPr>
          <w:rFonts w:hint="eastAsia" w:ascii="宋体" w:hAnsi="宋体" w:eastAsia="宋体" w:cs="宋体"/>
          <w:color w:val="auto"/>
          <w:sz w:val="21"/>
          <w:szCs w:val="21"/>
          <w:highlight w:val="none"/>
          <w:u w:val="single"/>
        </w:rPr>
        <w:t xml:space="preserve"> 1500 </w:t>
      </w:r>
      <w:r>
        <w:rPr>
          <w:rFonts w:hint="eastAsia" w:ascii="宋体" w:hAnsi="宋体" w:eastAsia="宋体" w:cs="宋体"/>
          <w:color w:val="auto"/>
          <w:sz w:val="21"/>
          <w:szCs w:val="21"/>
          <w:highlight w:val="none"/>
        </w:rPr>
        <w:t>元/次的违约金。</w:t>
      </w:r>
    </w:p>
    <w:p w14:paraId="0D6B6F5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（2）同一问题经</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次维修仍未能修复的或者乙方连续</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次以上拒绝维修的，甲方可以不通知乙方直接委托他人修理，所需费用由乙方全部承担。</w:t>
      </w:r>
    </w:p>
    <w:p w14:paraId="0407A9DE">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1E9A2191">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96" w:name="_Toc32522"/>
      <w:bookmarkStart w:id="97" w:name="_Toc936"/>
      <w:bookmarkStart w:id="98" w:name="_Toc1731"/>
      <w:bookmarkStart w:id="99" w:name="_Toc11089"/>
      <w:bookmarkStart w:id="100" w:name="_Toc21053"/>
      <w:r>
        <w:rPr>
          <w:rFonts w:hint="eastAsia" w:ascii="宋体" w:hAnsi="宋体" w:eastAsia="宋体" w:cs="宋体"/>
          <w:color w:val="auto"/>
          <w:sz w:val="21"/>
          <w:szCs w:val="21"/>
          <w:highlight w:val="none"/>
        </w:rPr>
        <w:t>十二、违约责任</w:t>
      </w:r>
      <w:bookmarkEnd w:id="96"/>
      <w:bookmarkEnd w:id="97"/>
      <w:bookmarkEnd w:id="98"/>
      <w:bookmarkEnd w:id="99"/>
      <w:bookmarkEnd w:id="100"/>
    </w:p>
    <w:p w14:paraId="1ABCA82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1、甲方无正当理由逾期支付合同价款的，每逾期一日，应按逾期应付款金额的</w:t>
      </w:r>
      <w:r>
        <w:rPr>
          <w:rFonts w:hint="eastAsia" w:ascii="宋体" w:hAnsi="宋体" w:eastAsia="宋体" w:cs="宋体"/>
          <w:color w:val="auto"/>
          <w:sz w:val="21"/>
          <w:szCs w:val="21"/>
          <w:highlight w:val="none"/>
          <w:u w:val="single"/>
        </w:rPr>
        <w:t xml:space="preserve"> 0.3% </w:t>
      </w:r>
      <w:r>
        <w:rPr>
          <w:rFonts w:hint="eastAsia" w:ascii="宋体" w:hAnsi="宋体" w:eastAsia="宋体" w:cs="宋体"/>
          <w:color w:val="auto"/>
          <w:sz w:val="21"/>
          <w:szCs w:val="21"/>
          <w:highlight w:val="none"/>
        </w:rPr>
        <w:t>向乙方支付违约金。</w:t>
      </w:r>
    </w:p>
    <w:p w14:paraId="3625C37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2、乙方未能及时完成合同约定的工作造成工期延误的，每逾期一日，乙方按合同价款的</w:t>
      </w:r>
      <w:r>
        <w:rPr>
          <w:rFonts w:hint="eastAsia" w:ascii="宋体" w:hAnsi="宋体" w:eastAsia="宋体" w:cs="宋体"/>
          <w:color w:val="auto"/>
          <w:sz w:val="21"/>
          <w:szCs w:val="21"/>
          <w:highlight w:val="none"/>
          <w:u w:val="single"/>
        </w:rPr>
        <w:t xml:space="preserve"> 0.3% </w:t>
      </w:r>
      <w:r>
        <w:rPr>
          <w:rFonts w:hint="eastAsia" w:ascii="宋体" w:hAnsi="宋体" w:eastAsia="宋体" w:cs="宋体"/>
          <w:color w:val="auto"/>
          <w:sz w:val="21"/>
          <w:szCs w:val="21"/>
          <w:highlight w:val="none"/>
        </w:rPr>
        <w:t>向甲方支付违约金，违约金的最高上限为合同价款的30%。违约金不足以弥补甲方损失的，乙方还应负责赔偿。</w:t>
      </w:r>
    </w:p>
    <w:p w14:paraId="1CBC2C0A">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甲方的装修、施工规范文件和要求进行装修、施工，所导致的拆除、返工、材料设备损失、工期延误等全部后果由乙方自行承担，乙方除按装修、施工规范文件和甲方的要求整改到位外，甲方并可视情节轻重要求乙方支付甲方所遭受损失额的</w:t>
      </w:r>
      <w:r>
        <w:rPr>
          <w:rFonts w:hint="eastAsia" w:ascii="宋体" w:hAnsi="宋体" w:eastAsia="宋体" w:cs="宋体"/>
          <w:color w:val="auto"/>
          <w:sz w:val="21"/>
          <w:szCs w:val="21"/>
          <w:highlight w:val="none"/>
          <w:u w:val="single"/>
        </w:rPr>
        <w:t xml:space="preserve"> 0.3 % </w:t>
      </w:r>
      <w:r>
        <w:rPr>
          <w:rFonts w:hint="eastAsia" w:ascii="宋体" w:hAnsi="宋体" w:eastAsia="宋体" w:cs="宋体"/>
          <w:color w:val="auto"/>
          <w:sz w:val="21"/>
          <w:szCs w:val="21"/>
          <w:highlight w:val="none"/>
        </w:rPr>
        <w:t>的违约金。</w:t>
      </w:r>
    </w:p>
    <w:p w14:paraId="6E8F31F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4、因乙方原因工程未能一次性通过竣工验收的，乙方应当向甲方支付合同总价款</w:t>
      </w:r>
      <w:r>
        <w:rPr>
          <w:rFonts w:hint="eastAsia" w:ascii="宋体" w:hAnsi="宋体" w:eastAsia="宋体" w:cs="宋体"/>
          <w:color w:val="auto"/>
          <w:sz w:val="21"/>
          <w:szCs w:val="21"/>
          <w:highlight w:val="none"/>
          <w:u w:val="single"/>
        </w:rPr>
        <w:t xml:space="preserve"> 0.3% </w:t>
      </w:r>
      <w:r>
        <w:rPr>
          <w:rFonts w:hint="eastAsia" w:ascii="宋体" w:hAnsi="宋体" w:eastAsia="宋体" w:cs="宋体"/>
          <w:color w:val="auto"/>
          <w:sz w:val="21"/>
          <w:szCs w:val="21"/>
          <w:highlight w:val="none"/>
        </w:rP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的违约金，违约金不足以弥补甲方损失的，乙方还应负责赔偿。</w:t>
      </w:r>
    </w:p>
    <w:p w14:paraId="38B174CE">
      <w:pPr>
        <w:pageBreakBefore w:val="0"/>
        <w:widowControl w:val="0"/>
        <w:tabs>
          <w:tab w:val="left" w:pos="560"/>
        </w:tabs>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5、乙方对报送甲方竣工资料的真实性、完整性负责，竣工资料如与实际不符，每发现一处乙方应向甲方支付违约金</w:t>
      </w:r>
      <w:r>
        <w:rPr>
          <w:rFonts w:hint="eastAsia" w:ascii="宋体" w:hAnsi="宋体" w:eastAsia="宋体" w:cs="宋体"/>
          <w:color w:val="auto"/>
          <w:sz w:val="21"/>
          <w:szCs w:val="21"/>
          <w:highlight w:val="none"/>
          <w:u w:val="single"/>
        </w:rPr>
        <w:t xml:space="preserve"> 500 </w:t>
      </w:r>
      <w:r>
        <w:rPr>
          <w:rFonts w:hint="eastAsia" w:ascii="宋体" w:hAnsi="宋体" w:eastAsia="宋体" w:cs="宋体"/>
          <w:color w:val="auto"/>
          <w:sz w:val="21"/>
          <w:szCs w:val="21"/>
          <w:highlight w:val="none"/>
        </w:rPr>
        <w:t>元。</w:t>
      </w:r>
    </w:p>
    <w:p w14:paraId="39DB6D8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6、乙方违反合同约定进行转包或违法分包的，甲方有权解除合同，且要求乙方支付合同总价</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%的违约金，违约金不足以弥补甲方损失的，乙方还应负责赔偿。</w:t>
      </w:r>
    </w:p>
    <w:p w14:paraId="27BF4AE9">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7、乙方擅自停工或明确表示或以其行为表明不履行合同主要义务的，甲方有权解除合同，并要求乙方支付合同总价款</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的违约金，违约金不足以弥补甲方损失的，乙方还应负责赔偿。</w:t>
      </w:r>
    </w:p>
    <w:p w14:paraId="447B4B03">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须指定本工程的项目经理、技术员、施工员、资料员等相关项目管理人员，在中标后必须由约定的管理人员负责工程施工现场管理，不得他人顶替，否则甲方不予以对接，并扣罚违约金1000元。乙方指定的本工程项目经理、技术员、施工员、资料员等相关项目管理人员，如在施工现场组织管理不力、无请假不到现场超3天的，甲方有权提出更换相关人员，乙方须在3天内完成更换，否则扣罚违约金1000元。</w:t>
      </w:r>
    </w:p>
    <w:p w14:paraId="3BDC1441">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9、因乙方原因造成停工超2天及以上的，甲方有权终止合同，并要求乙方赔偿相应的损失。</w:t>
      </w:r>
    </w:p>
    <w:p w14:paraId="4C5D93E9">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101" w:name="_Toc30558"/>
      <w:bookmarkStart w:id="102" w:name="_Toc1881"/>
      <w:bookmarkStart w:id="103" w:name="_Toc19309"/>
      <w:bookmarkStart w:id="104" w:name="_Toc29140"/>
      <w:bookmarkStart w:id="105" w:name="_Toc27233"/>
      <w:r>
        <w:rPr>
          <w:rFonts w:hint="eastAsia" w:ascii="宋体" w:hAnsi="宋体" w:eastAsia="宋体" w:cs="宋体"/>
          <w:color w:val="auto"/>
          <w:sz w:val="21"/>
          <w:szCs w:val="21"/>
          <w:highlight w:val="none"/>
        </w:rPr>
        <w:t>十三、法律适用与争议解决</w:t>
      </w:r>
      <w:bookmarkEnd w:id="101"/>
      <w:bookmarkEnd w:id="102"/>
      <w:bookmarkEnd w:id="103"/>
      <w:bookmarkEnd w:id="104"/>
      <w:bookmarkEnd w:id="105"/>
    </w:p>
    <w:p w14:paraId="47808E9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1、本合同的订立、解释、履行及争议解决，均适用中华人民共和国法律。</w:t>
      </w:r>
    </w:p>
    <w:p w14:paraId="4F18E3E0">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2、甲、乙双方在履行合同过程中如发生争议的，应友好协商；协商不成的，任何一方均有权向工程所在地人民法院起诉。</w:t>
      </w:r>
    </w:p>
    <w:p w14:paraId="5696CDAB">
      <w:pPr>
        <w:pStyle w:val="6"/>
        <w:pageBreakBefore w:val="0"/>
        <w:widowControl w:val="0"/>
        <w:kinsoku/>
        <w:wordWrap/>
        <w:overflowPunct/>
        <w:topLinePunct w:val="0"/>
        <w:autoSpaceDE/>
        <w:autoSpaceDN/>
        <w:bidi w:val="0"/>
        <w:adjustRightInd/>
        <w:snapToGrid/>
        <w:spacing w:before="0" w:after="0" w:line="360" w:lineRule="exact"/>
        <w:rPr>
          <w:rFonts w:hint="eastAsia" w:ascii="宋体" w:hAnsi="宋体" w:eastAsia="宋体" w:cs="宋体"/>
          <w:color w:val="auto"/>
          <w:sz w:val="21"/>
          <w:szCs w:val="21"/>
          <w:highlight w:val="none"/>
        </w:rPr>
      </w:pPr>
      <w:bookmarkStart w:id="106" w:name="_Toc29633"/>
      <w:bookmarkStart w:id="107" w:name="_Toc26262"/>
      <w:bookmarkStart w:id="108" w:name="_Toc6358"/>
      <w:bookmarkStart w:id="109" w:name="_Toc1723"/>
      <w:bookmarkStart w:id="110" w:name="_Toc4586"/>
      <w:r>
        <w:rPr>
          <w:rFonts w:hint="eastAsia" w:ascii="宋体" w:hAnsi="宋体" w:eastAsia="宋体" w:cs="宋体"/>
          <w:color w:val="auto"/>
          <w:sz w:val="21"/>
          <w:szCs w:val="21"/>
          <w:highlight w:val="none"/>
        </w:rPr>
        <w:t>十四、合同生效及其他</w:t>
      </w:r>
      <w:bookmarkEnd w:id="106"/>
      <w:bookmarkEnd w:id="107"/>
      <w:bookmarkEnd w:id="108"/>
      <w:bookmarkEnd w:id="109"/>
      <w:bookmarkEnd w:id="110"/>
    </w:p>
    <w:p w14:paraId="377D6BEE">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1、若本合同约定与前述文件约定不一致的，按照下列顺序予以解释：</w:t>
      </w:r>
    </w:p>
    <w:p w14:paraId="4CED863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（1）本合同履行过程中双方签署的变更或补充协议（如有）； </w:t>
      </w:r>
    </w:p>
    <w:p w14:paraId="6404D8D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p>
    <w:p w14:paraId="1DC292AD">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（3）其他合同文件。</w:t>
      </w:r>
    </w:p>
    <w:p w14:paraId="6DCEA4F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2、本合同一式八份，甲方执五份，乙方执三份，自双方签章之日起生效。</w:t>
      </w:r>
    </w:p>
    <w:p w14:paraId="2D5F0DC8">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3、以下附件（如有）是本合同不可分割的组成部分，与本合同具有同等法律效力。若附件约定与本合同正文约定不一致的，以附件约定为准。</w:t>
      </w:r>
    </w:p>
    <w:p w14:paraId="61596AC6">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附件一：施工图纸或做法说明</w:t>
      </w:r>
    </w:p>
    <w:p w14:paraId="69DBB58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附件二：材料交接单（甲供）</w:t>
      </w:r>
    </w:p>
    <w:p w14:paraId="44A8F62F">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附件三：施工工程量清单</w:t>
      </w:r>
    </w:p>
    <w:p w14:paraId="749E6257">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附件四：工程预算书</w:t>
      </w:r>
    </w:p>
    <w:p w14:paraId="3B282352">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附件五：施工方案和进度计划</w:t>
      </w:r>
    </w:p>
    <w:p w14:paraId="4DCEA5F5">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附件六：其他</w:t>
      </w:r>
    </w:p>
    <w:p w14:paraId="7AFA14FC">
      <w:pPr>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rPr>
        <w:sectPr>
          <w:headerReference r:id="rId3" w:type="default"/>
          <w:footerReference r:id="rId4" w:type="default"/>
          <w:pgSz w:w="11900" w:h="17008"/>
          <w:pgMar w:top="1134" w:right="1134" w:bottom="1134" w:left="1134" w:header="0" w:footer="0" w:gutter="0"/>
          <w:pgNumType w:fmt="decimal" w:start="1"/>
          <w:cols w:space="720" w:num="1"/>
          <w:docGrid w:linePitch="360" w:charSpace="0"/>
        </w:sectPr>
      </w:pPr>
    </w:p>
    <w:p w14:paraId="65C2F32D">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bookmarkStart w:id="111" w:name="page6"/>
      <w:bookmarkEnd w:id="111"/>
      <w:r>
        <w:rPr>
          <w:rFonts w:hint="eastAsia" w:ascii="宋体" w:hAnsi="宋体" w:eastAsia="宋体" w:cs="宋体"/>
          <w:color w:val="auto"/>
          <w:sz w:val="21"/>
          <w:szCs w:val="21"/>
          <w:highlight w:val="none"/>
        </w:rPr>
        <w:t>（以下无正文）</w:t>
      </w:r>
    </w:p>
    <w:p w14:paraId="7B5923BA">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p>
    <w:tbl>
      <w:tblPr>
        <w:tblStyle w:val="44"/>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4"/>
        <w:gridCol w:w="4925"/>
      </w:tblGrid>
      <w:tr w14:paraId="169B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4E42DA8C">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甲方（章）</w:t>
            </w:r>
            <w:r>
              <w:rPr>
                <w:rFonts w:hint="eastAsia" w:ascii="宋体" w:hAnsi="宋体" w:eastAsia="宋体" w:cs="宋体"/>
                <w:color w:val="auto"/>
                <w:sz w:val="21"/>
                <w:szCs w:val="21"/>
                <w:highlight w:val="none"/>
                <w:lang w:eastAsia="zh-CN"/>
              </w:rPr>
              <w:t>：柳州市第一职业技术学校</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41283396">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乙方（章）</w:t>
            </w:r>
            <w:r>
              <w:rPr>
                <w:rFonts w:hint="eastAsia" w:ascii="宋体" w:hAnsi="宋体" w:eastAsia="宋体" w:cs="宋体"/>
                <w:color w:val="auto"/>
                <w:sz w:val="21"/>
                <w:szCs w:val="21"/>
                <w:highlight w:val="none"/>
                <w:lang w:eastAsia="zh-CN"/>
              </w:rPr>
              <w:t>：</w:t>
            </w:r>
          </w:p>
        </w:tc>
      </w:tr>
      <w:tr w14:paraId="6042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3276D19F">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法定（授权）代表人（签字）：</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5E4E001D">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法定（授权）代表人（签字）：</w:t>
            </w:r>
          </w:p>
        </w:tc>
      </w:tr>
      <w:tr w14:paraId="674F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3CDE0C34">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柳州市石冲路</w:t>
            </w:r>
            <w:r>
              <w:rPr>
                <w:rFonts w:hint="eastAsia" w:ascii="宋体" w:hAnsi="宋体" w:eastAsia="宋体" w:cs="宋体"/>
                <w:color w:val="auto"/>
                <w:sz w:val="21"/>
                <w:szCs w:val="21"/>
                <w:highlight w:val="none"/>
                <w:lang w:val="en-US" w:eastAsia="zh-CN"/>
              </w:rPr>
              <w:t>2号</w:t>
            </w:r>
            <w:r>
              <w:rPr>
                <w:rFonts w:hint="eastAsia" w:ascii="宋体" w:hAnsi="宋体" w:eastAsia="宋体" w:cs="宋体"/>
                <w:color w:val="auto"/>
                <w:sz w:val="21"/>
                <w:szCs w:val="21"/>
                <w:highlight w:val="none"/>
              </w:rPr>
              <w:t xml:space="preserve"> </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244420A6">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61D9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107FE2EC">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0772-3718560</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7E252CA6">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31D0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62A89DF6">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1A5D5173">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4A735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4C12F4FD">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 </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1DBF8E43">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5AA86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694" w:type="dxa"/>
            <w:tcBorders>
              <w:top w:val="single" w:color="auto" w:sz="4" w:space="0"/>
              <w:left w:val="single" w:color="auto" w:sz="4" w:space="0"/>
              <w:bottom w:val="single" w:color="auto" w:sz="4" w:space="0"/>
              <w:right w:val="single" w:color="auto" w:sz="4" w:space="0"/>
            </w:tcBorders>
            <w:noWrap w:val="0"/>
            <w:vAlign w:val="center"/>
          </w:tcPr>
          <w:p w14:paraId="05EDE5BB">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      月      日</w:t>
            </w:r>
          </w:p>
        </w:tc>
        <w:tc>
          <w:tcPr>
            <w:tcW w:w="4925" w:type="dxa"/>
            <w:tcBorders>
              <w:top w:val="single" w:color="auto" w:sz="4" w:space="0"/>
              <w:left w:val="single" w:color="auto" w:sz="4" w:space="0"/>
              <w:bottom w:val="single" w:color="auto" w:sz="4" w:space="0"/>
              <w:right w:val="single" w:color="auto" w:sz="4" w:space="0"/>
            </w:tcBorders>
            <w:noWrap w:val="0"/>
            <w:vAlign w:val="center"/>
          </w:tcPr>
          <w:p w14:paraId="342B3C5D">
            <w:pPr>
              <w:pageBreakBefore w:val="0"/>
              <w:widowControl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      月      日</w:t>
            </w:r>
          </w:p>
        </w:tc>
      </w:tr>
    </w:tbl>
    <w:p w14:paraId="7A70DBCB">
      <w:pPr>
        <w:pageBreakBefore w:val="0"/>
        <w:widowControl w:val="0"/>
        <w:kinsoku/>
        <w:wordWrap/>
        <w:overflowPunct/>
        <w:topLinePunct w:val="0"/>
        <w:autoSpaceDE/>
        <w:autoSpaceDN/>
        <w:bidi w:val="0"/>
        <w:adjustRightInd/>
        <w:snapToGrid/>
        <w:spacing w:line="360" w:lineRule="exact"/>
        <w:ind w:right="480"/>
        <w:rPr>
          <w:rFonts w:hint="eastAsia" w:ascii="宋体" w:hAnsi="宋体" w:eastAsia="宋体" w:cs="宋体"/>
          <w:color w:val="auto"/>
          <w:sz w:val="21"/>
          <w:szCs w:val="21"/>
          <w:highlight w:val="none"/>
        </w:rPr>
      </w:pPr>
    </w:p>
    <w:p w14:paraId="433D429D">
      <w:pPr>
        <w:spacing w:line="276" w:lineRule="auto"/>
        <w:rPr>
          <w:rFonts w:hint="eastAsia" w:ascii="宋体" w:hAnsi="宋体" w:eastAsia="宋体" w:cs="宋体"/>
          <w:color w:val="auto"/>
          <w:sz w:val="24"/>
          <w:highlight w:val="none"/>
        </w:rPr>
      </w:pPr>
    </w:p>
    <w:p w14:paraId="7CE475AE">
      <w:pPr>
        <w:spacing w:line="276" w:lineRule="auto"/>
        <w:rPr>
          <w:rFonts w:hint="eastAsia" w:ascii="宋体" w:hAnsi="宋体" w:eastAsia="宋体" w:cs="宋体"/>
          <w:color w:val="auto"/>
          <w:sz w:val="24"/>
          <w:highlight w:val="none"/>
        </w:rPr>
      </w:pPr>
    </w:p>
    <w:p w14:paraId="3CD30912">
      <w:pPr>
        <w:spacing w:line="276" w:lineRule="auto"/>
        <w:rPr>
          <w:rFonts w:hint="eastAsia" w:ascii="宋体" w:hAnsi="宋体" w:eastAsia="宋体" w:cs="宋体"/>
          <w:color w:val="auto"/>
          <w:sz w:val="24"/>
          <w:highlight w:val="none"/>
        </w:rPr>
      </w:pPr>
    </w:p>
    <w:p w14:paraId="0F23A7A4">
      <w:pPr>
        <w:spacing w:line="276" w:lineRule="auto"/>
        <w:rPr>
          <w:rFonts w:hint="eastAsia" w:ascii="宋体" w:hAnsi="宋体" w:eastAsia="宋体" w:cs="宋体"/>
          <w:color w:val="auto"/>
          <w:sz w:val="24"/>
          <w:highlight w:val="none"/>
        </w:rPr>
      </w:pPr>
    </w:p>
    <w:p w14:paraId="52C15826">
      <w:pPr>
        <w:spacing w:line="276" w:lineRule="auto"/>
        <w:rPr>
          <w:rFonts w:hint="eastAsia" w:ascii="宋体" w:hAnsi="宋体" w:eastAsia="宋体" w:cs="宋体"/>
          <w:color w:val="auto"/>
          <w:sz w:val="24"/>
          <w:highlight w:val="none"/>
        </w:rPr>
      </w:pPr>
    </w:p>
    <w:p w14:paraId="6B9D138C">
      <w:pPr>
        <w:spacing w:line="276" w:lineRule="auto"/>
        <w:rPr>
          <w:rFonts w:hint="eastAsia" w:ascii="宋体" w:hAnsi="宋体" w:eastAsia="宋体" w:cs="宋体"/>
          <w:color w:val="auto"/>
          <w:sz w:val="24"/>
          <w:highlight w:val="none"/>
        </w:rPr>
      </w:pPr>
    </w:p>
    <w:p w14:paraId="6B69EB8B">
      <w:pPr>
        <w:spacing w:line="276" w:lineRule="auto"/>
        <w:rPr>
          <w:rFonts w:hint="eastAsia" w:ascii="宋体" w:hAnsi="宋体" w:eastAsia="宋体" w:cs="宋体"/>
          <w:color w:val="auto"/>
          <w:sz w:val="24"/>
          <w:highlight w:val="none"/>
        </w:rPr>
      </w:pPr>
    </w:p>
    <w:p w14:paraId="745449C6">
      <w:pPr>
        <w:spacing w:line="276" w:lineRule="auto"/>
        <w:rPr>
          <w:rFonts w:hint="eastAsia" w:ascii="宋体" w:hAnsi="宋体" w:eastAsia="宋体" w:cs="宋体"/>
          <w:color w:val="auto"/>
          <w:sz w:val="24"/>
          <w:highlight w:val="none"/>
        </w:rPr>
      </w:pPr>
    </w:p>
    <w:p w14:paraId="77BF2B43">
      <w:pPr>
        <w:spacing w:line="276" w:lineRule="auto"/>
        <w:rPr>
          <w:rFonts w:hint="eastAsia" w:ascii="宋体" w:hAnsi="宋体" w:eastAsia="宋体" w:cs="宋体"/>
          <w:color w:val="auto"/>
          <w:sz w:val="24"/>
          <w:highlight w:val="none"/>
        </w:rPr>
      </w:pPr>
    </w:p>
    <w:p w14:paraId="10E8856E">
      <w:pPr>
        <w:spacing w:line="276" w:lineRule="auto"/>
        <w:rPr>
          <w:rFonts w:hint="eastAsia" w:ascii="宋体" w:hAnsi="宋体" w:eastAsia="宋体" w:cs="宋体"/>
          <w:color w:val="auto"/>
          <w:sz w:val="24"/>
          <w:highlight w:val="none"/>
        </w:rPr>
      </w:pPr>
    </w:p>
    <w:p w14:paraId="302868BA">
      <w:pPr>
        <w:spacing w:line="276" w:lineRule="auto"/>
        <w:rPr>
          <w:rFonts w:hint="eastAsia" w:ascii="宋体" w:hAnsi="宋体" w:eastAsia="宋体" w:cs="宋体"/>
          <w:color w:val="auto"/>
          <w:sz w:val="24"/>
          <w:highlight w:val="none"/>
        </w:rPr>
      </w:pPr>
    </w:p>
    <w:p w14:paraId="0149E125">
      <w:pPr>
        <w:spacing w:line="276" w:lineRule="auto"/>
        <w:rPr>
          <w:rFonts w:hint="eastAsia" w:ascii="宋体" w:hAnsi="宋体" w:eastAsia="宋体" w:cs="宋体"/>
          <w:color w:val="auto"/>
          <w:sz w:val="24"/>
          <w:highlight w:val="none"/>
        </w:rPr>
      </w:pPr>
    </w:p>
    <w:p w14:paraId="4C204C57">
      <w:pPr>
        <w:spacing w:line="276" w:lineRule="auto"/>
        <w:rPr>
          <w:rFonts w:hint="eastAsia" w:ascii="宋体" w:hAnsi="宋体" w:eastAsia="宋体" w:cs="宋体"/>
          <w:color w:val="auto"/>
          <w:sz w:val="24"/>
          <w:highlight w:val="none"/>
        </w:rPr>
      </w:pPr>
    </w:p>
    <w:p w14:paraId="425124CA">
      <w:pPr>
        <w:spacing w:line="276" w:lineRule="auto"/>
        <w:rPr>
          <w:rFonts w:hint="eastAsia" w:ascii="宋体" w:hAnsi="宋体" w:eastAsia="宋体" w:cs="宋体"/>
          <w:color w:val="auto"/>
          <w:sz w:val="24"/>
          <w:highlight w:val="none"/>
        </w:rPr>
      </w:pPr>
    </w:p>
    <w:p w14:paraId="32BE06CD">
      <w:pPr>
        <w:spacing w:line="276" w:lineRule="auto"/>
        <w:rPr>
          <w:rFonts w:hint="eastAsia" w:ascii="宋体" w:hAnsi="宋体" w:eastAsia="宋体" w:cs="宋体"/>
          <w:color w:val="auto"/>
          <w:sz w:val="24"/>
          <w:highlight w:val="none"/>
        </w:rPr>
      </w:pPr>
    </w:p>
    <w:p w14:paraId="7BA9EB40">
      <w:pPr>
        <w:spacing w:line="276" w:lineRule="auto"/>
        <w:rPr>
          <w:rFonts w:hint="eastAsia" w:ascii="宋体" w:hAnsi="宋体" w:eastAsia="宋体" w:cs="宋体"/>
          <w:color w:val="auto"/>
          <w:sz w:val="24"/>
          <w:highlight w:val="none"/>
        </w:rPr>
      </w:pPr>
    </w:p>
    <w:p w14:paraId="70DCF159">
      <w:pPr>
        <w:spacing w:line="276" w:lineRule="auto"/>
        <w:rPr>
          <w:rFonts w:hint="eastAsia" w:ascii="宋体" w:hAnsi="宋体" w:eastAsia="宋体" w:cs="宋体"/>
          <w:color w:val="auto"/>
          <w:sz w:val="24"/>
          <w:highlight w:val="none"/>
        </w:rPr>
      </w:pPr>
    </w:p>
    <w:p w14:paraId="48DC1A70">
      <w:pPr>
        <w:spacing w:line="276" w:lineRule="auto"/>
        <w:rPr>
          <w:rFonts w:hint="eastAsia" w:ascii="宋体" w:hAnsi="宋体" w:eastAsia="宋体" w:cs="宋体"/>
          <w:color w:val="auto"/>
          <w:sz w:val="24"/>
          <w:highlight w:val="none"/>
        </w:rPr>
      </w:pPr>
    </w:p>
    <w:p w14:paraId="4F94CFDA">
      <w:pPr>
        <w:spacing w:line="276" w:lineRule="auto"/>
        <w:rPr>
          <w:rFonts w:hint="eastAsia" w:ascii="宋体" w:hAnsi="宋体" w:eastAsia="宋体" w:cs="宋体"/>
          <w:color w:val="auto"/>
          <w:sz w:val="24"/>
          <w:highlight w:val="none"/>
        </w:rPr>
      </w:pPr>
    </w:p>
    <w:p w14:paraId="602C91F8">
      <w:pPr>
        <w:spacing w:line="276" w:lineRule="auto"/>
        <w:rPr>
          <w:rFonts w:hint="eastAsia" w:ascii="宋体" w:hAnsi="宋体" w:eastAsia="宋体" w:cs="宋体"/>
          <w:color w:val="auto"/>
          <w:sz w:val="24"/>
          <w:highlight w:val="none"/>
        </w:rPr>
      </w:pPr>
    </w:p>
    <w:p w14:paraId="29823E3B">
      <w:pPr>
        <w:spacing w:line="276" w:lineRule="auto"/>
        <w:rPr>
          <w:rFonts w:hint="eastAsia" w:ascii="宋体" w:hAnsi="宋体" w:eastAsia="宋体" w:cs="宋体"/>
          <w:color w:val="auto"/>
          <w:sz w:val="24"/>
          <w:highlight w:val="none"/>
        </w:rPr>
      </w:pPr>
    </w:p>
    <w:p w14:paraId="75BAD0CB">
      <w:pPr>
        <w:spacing w:line="276" w:lineRule="auto"/>
        <w:rPr>
          <w:rFonts w:hint="eastAsia" w:ascii="宋体" w:hAnsi="宋体" w:eastAsia="宋体" w:cs="宋体"/>
          <w:color w:val="auto"/>
          <w:sz w:val="24"/>
          <w:highlight w:val="none"/>
        </w:rPr>
      </w:pPr>
    </w:p>
    <w:p w14:paraId="15D64B86">
      <w:pPr>
        <w:spacing w:line="276" w:lineRule="auto"/>
        <w:rPr>
          <w:rFonts w:hint="eastAsia" w:ascii="宋体" w:hAnsi="宋体" w:eastAsia="宋体" w:cs="宋体"/>
          <w:color w:val="auto"/>
          <w:sz w:val="24"/>
          <w:highlight w:val="none"/>
        </w:rPr>
      </w:pPr>
    </w:p>
    <w:p w14:paraId="5932ED38">
      <w:pPr>
        <w:spacing w:line="276" w:lineRule="auto"/>
        <w:rPr>
          <w:rFonts w:hint="eastAsia" w:ascii="宋体" w:hAnsi="宋体" w:eastAsia="宋体" w:cs="宋体"/>
          <w:color w:val="auto"/>
          <w:sz w:val="24"/>
          <w:highlight w:val="none"/>
        </w:rPr>
      </w:pPr>
    </w:p>
    <w:p w14:paraId="4561F12D">
      <w:pPr>
        <w:spacing w:line="276" w:lineRule="auto"/>
        <w:rPr>
          <w:rFonts w:hint="eastAsia" w:ascii="宋体" w:hAnsi="宋体" w:eastAsia="宋体" w:cs="宋体"/>
          <w:color w:val="auto"/>
          <w:sz w:val="24"/>
          <w:highlight w:val="none"/>
        </w:rPr>
      </w:pPr>
    </w:p>
    <w:p w14:paraId="4DC3C243">
      <w:pPr>
        <w:spacing w:line="276" w:lineRule="auto"/>
        <w:rPr>
          <w:rFonts w:hint="eastAsia" w:ascii="宋体" w:hAnsi="宋体" w:eastAsia="宋体" w:cs="宋体"/>
          <w:color w:val="auto"/>
          <w:sz w:val="24"/>
          <w:highlight w:val="none"/>
        </w:rPr>
      </w:pPr>
    </w:p>
    <w:p w14:paraId="023A1C06">
      <w:pPr>
        <w:spacing w:line="276" w:lineRule="auto"/>
        <w:rPr>
          <w:rFonts w:hint="eastAsia" w:ascii="宋体" w:hAnsi="宋体" w:eastAsia="宋体" w:cs="宋体"/>
          <w:color w:val="auto"/>
          <w:sz w:val="24"/>
          <w:highlight w:val="none"/>
        </w:rPr>
      </w:pPr>
    </w:p>
    <w:p w14:paraId="1160D19A">
      <w:pPr>
        <w:spacing w:line="276" w:lineRule="auto"/>
        <w:rPr>
          <w:rFonts w:hint="eastAsia" w:ascii="宋体" w:hAnsi="宋体" w:eastAsia="宋体" w:cs="宋体"/>
          <w:color w:val="auto"/>
          <w:sz w:val="24"/>
          <w:highlight w:val="none"/>
        </w:rPr>
      </w:pPr>
    </w:p>
    <w:p w14:paraId="3C0DE956">
      <w:pPr>
        <w:pageBreakBefore w:val="0"/>
        <w:widowControl/>
        <w:kinsoku/>
        <w:wordWrap/>
        <w:overflowPunct/>
        <w:topLinePunct w:val="0"/>
        <w:autoSpaceDE/>
        <w:autoSpaceDN/>
        <w:bidi w:val="0"/>
        <w:adjustRightInd/>
        <w:snapToGrid/>
        <w:spacing w:line="360" w:lineRule="exact"/>
        <w:textAlignment w:val="auto"/>
        <w:outlineLvl w:val="2"/>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8"/>
          <w:szCs w:val="28"/>
          <w:highlight w:val="none"/>
        </w:rPr>
        <w:t>附件1：</w:t>
      </w:r>
      <w:bookmarkEnd w:id="36"/>
    </w:p>
    <w:p w14:paraId="2A1A77D4">
      <w:pPr>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bCs/>
          <w:color w:val="auto"/>
          <w:kern w:val="0"/>
          <w:sz w:val="32"/>
          <w:szCs w:val="32"/>
          <w:highlight w:val="none"/>
        </w:rPr>
      </w:pPr>
      <w:bookmarkStart w:id="112" w:name="_Toc108515183"/>
      <w:r>
        <w:rPr>
          <w:rFonts w:hint="eastAsia" w:ascii="宋体" w:hAnsi="宋体" w:eastAsia="宋体" w:cs="宋体"/>
          <w:b/>
          <w:bCs/>
          <w:color w:val="auto"/>
          <w:kern w:val="0"/>
          <w:sz w:val="32"/>
          <w:szCs w:val="32"/>
          <w:highlight w:val="none"/>
        </w:rPr>
        <w:t>工程质量保修书</w:t>
      </w:r>
      <w:bookmarkEnd w:id="112"/>
    </w:p>
    <w:p w14:paraId="007F4A06">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发包人（全称）：</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w:t>
      </w:r>
    </w:p>
    <w:p w14:paraId="11E19A99">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承包人（全称）：</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w:t>
      </w:r>
    </w:p>
    <w:p w14:paraId="6AF10DE4">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发包人和承包人根据《中华人民共和国建筑法》和《建设工程质量管理条例》，经协商一致就</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（工程全称）签订工程质量保修书。</w:t>
      </w:r>
    </w:p>
    <w:p w14:paraId="64F77B0F">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一、工程质量保修范围和内容</w:t>
      </w:r>
    </w:p>
    <w:p w14:paraId="747A5654">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承包人在质量保修期内，按照有关法律规定和合同约定，承担工程质量保修责任。</w:t>
      </w:r>
    </w:p>
    <w:p w14:paraId="1351FA23">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7B26028">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w:t>
      </w:r>
    </w:p>
    <w:p w14:paraId="770E37BC">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二、质量保修期</w:t>
      </w:r>
    </w:p>
    <w:p w14:paraId="4B254DEF">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根据《建设工程质量管理条例》及有关规定，工程的质量保修期如下：</w:t>
      </w:r>
    </w:p>
    <w:p w14:paraId="428F650B">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1．地基基础工程和主体结构工程为设计文件规定的工程合理使用年限；</w:t>
      </w:r>
    </w:p>
    <w:p w14:paraId="054C3307">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2．屋面防水工程、有防水要求的卫生间、房间和外墙面的防渗为</w:t>
      </w:r>
      <w:r>
        <w:rPr>
          <w:rStyle w:val="46"/>
          <w:rFonts w:hint="eastAsia" w:ascii="宋体" w:hAnsi="宋体" w:eastAsia="宋体" w:cs="宋体"/>
          <w:color w:val="auto"/>
          <w:sz w:val="21"/>
          <w:szCs w:val="21"/>
          <w:highlight w:val="none"/>
          <w:u w:val="single"/>
        </w:rPr>
        <w:t xml:space="preserve">    5    </w:t>
      </w:r>
      <w:r>
        <w:rPr>
          <w:rStyle w:val="46"/>
          <w:rFonts w:hint="eastAsia" w:ascii="宋体" w:hAnsi="宋体" w:eastAsia="宋体" w:cs="宋体"/>
          <w:color w:val="auto"/>
          <w:sz w:val="21"/>
          <w:szCs w:val="21"/>
          <w:highlight w:val="none"/>
        </w:rPr>
        <w:t>年；</w:t>
      </w:r>
    </w:p>
    <w:p w14:paraId="02BF1D26">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3．装修工程为</w:t>
      </w:r>
      <w:r>
        <w:rPr>
          <w:rStyle w:val="46"/>
          <w:rFonts w:hint="eastAsia" w:ascii="宋体" w:hAnsi="宋体" w:eastAsia="宋体" w:cs="宋体"/>
          <w:color w:val="auto"/>
          <w:sz w:val="21"/>
          <w:szCs w:val="21"/>
          <w:highlight w:val="none"/>
          <w:u w:val="single"/>
        </w:rPr>
        <w:t xml:space="preserve">    2     </w:t>
      </w:r>
      <w:r>
        <w:rPr>
          <w:rStyle w:val="46"/>
          <w:rFonts w:hint="eastAsia" w:ascii="宋体" w:hAnsi="宋体" w:eastAsia="宋体" w:cs="宋体"/>
          <w:color w:val="auto"/>
          <w:sz w:val="21"/>
          <w:szCs w:val="21"/>
          <w:highlight w:val="none"/>
        </w:rPr>
        <w:t>年；</w:t>
      </w:r>
    </w:p>
    <w:p w14:paraId="5B2A01D0">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4．电气管线、给排水管道、设备安装工程为</w:t>
      </w:r>
      <w:r>
        <w:rPr>
          <w:rStyle w:val="46"/>
          <w:rFonts w:hint="eastAsia" w:ascii="宋体" w:hAnsi="宋体" w:eastAsia="宋体" w:cs="宋体"/>
          <w:color w:val="auto"/>
          <w:sz w:val="21"/>
          <w:szCs w:val="21"/>
          <w:highlight w:val="none"/>
          <w:u w:val="single"/>
        </w:rPr>
        <w:t xml:space="preserve">     2    </w:t>
      </w:r>
      <w:r>
        <w:rPr>
          <w:rStyle w:val="46"/>
          <w:rFonts w:hint="eastAsia" w:ascii="宋体" w:hAnsi="宋体" w:eastAsia="宋体" w:cs="宋体"/>
          <w:color w:val="auto"/>
          <w:sz w:val="21"/>
          <w:szCs w:val="21"/>
          <w:highlight w:val="none"/>
        </w:rPr>
        <w:t>年；</w:t>
      </w:r>
    </w:p>
    <w:p w14:paraId="23B8D811">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5．供热与供冷系统为</w:t>
      </w:r>
      <w:r>
        <w:rPr>
          <w:rStyle w:val="46"/>
          <w:rFonts w:hint="eastAsia" w:ascii="宋体" w:hAnsi="宋体" w:eastAsia="宋体" w:cs="宋体"/>
          <w:color w:val="auto"/>
          <w:sz w:val="21"/>
          <w:szCs w:val="21"/>
          <w:highlight w:val="none"/>
          <w:u w:val="single"/>
        </w:rPr>
        <w:t xml:space="preserve">     2    </w:t>
      </w:r>
      <w:r>
        <w:rPr>
          <w:rStyle w:val="46"/>
          <w:rFonts w:hint="eastAsia" w:ascii="宋体" w:hAnsi="宋体" w:eastAsia="宋体" w:cs="宋体"/>
          <w:color w:val="auto"/>
          <w:sz w:val="21"/>
          <w:szCs w:val="21"/>
          <w:highlight w:val="none"/>
        </w:rPr>
        <w:t>个采暖期、供冷期；</w:t>
      </w:r>
    </w:p>
    <w:p w14:paraId="207F827E">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6．住宅小区内的给排水设施、道路等配套工程为</w:t>
      </w:r>
      <w:r>
        <w:rPr>
          <w:rStyle w:val="46"/>
          <w:rFonts w:hint="eastAsia" w:ascii="宋体" w:hAnsi="宋体" w:eastAsia="宋体" w:cs="宋体"/>
          <w:color w:val="auto"/>
          <w:sz w:val="21"/>
          <w:szCs w:val="21"/>
          <w:highlight w:val="none"/>
          <w:u w:val="single"/>
        </w:rPr>
        <w:t xml:space="preserve">    2     </w:t>
      </w:r>
      <w:r>
        <w:rPr>
          <w:rStyle w:val="46"/>
          <w:rFonts w:hint="eastAsia" w:ascii="宋体" w:hAnsi="宋体" w:eastAsia="宋体" w:cs="宋体"/>
          <w:color w:val="auto"/>
          <w:sz w:val="21"/>
          <w:szCs w:val="21"/>
          <w:highlight w:val="none"/>
        </w:rPr>
        <w:t>年；</w:t>
      </w:r>
    </w:p>
    <w:p w14:paraId="029ED358">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7．其他项目保修期限约定如下：</w:t>
      </w:r>
    </w:p>
    <w:p w14:paraId="309C3080">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w:t>
      </w:r>
    </w:p>
    <w:p w14:paraId="740A0DE9">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质量保修期自工程竣工验收合格之日起计算。</w:t>
      </w:r>
    </w:p>
    <w:p w14:paraId="09EE4984">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三、缺陷责任期</w:t>
      </w:r>
    </w:p>
    <w:p w14:paraId="75560197">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缺陷责任期限为：</w:t>
      </w:r>
      <w:r>
        <w:rPr>
          <w:rStyle w:val="46"/>
          <w:rFonts w:hint="eastAsia" w:ascii="宋体" w:hAnsi="宋体" w:eastAsia="宋体" w:cs="宋体"/>
          <w:color w:val="auto"/>
          <w:sz w:val="21"/>
          <w:szCs w:val="21"/>
          <w:highlight w:val="none"/>
          <w:u w:val="single"/>
        </w:rPr>
        <w:t xml:space="preserve">   24 个月</w:t>
      </w:r>
      <w:r>
        <w:rPr>
          <w:rStyle w:val="46"/>
          <w:rFonts w:hint="eastAsia" w:ascii="宋体" w:hAnsi="宋体" w:eastAsia="宋体" w:cs="宋体"/>
          <w:color w:val="auto"/>
          <w:sz w:val="21"/>
          <w:szCs w:val="21"/>
          <w:highlight w:val="none"/>
        </w:rPr>
        <w:t>。缺陷责任期从工程通过竣工验收之日即</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年</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月</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单位工程先于全部工程进行验收，经验收合格并交付使用的，该单位工程缺陷责任期自单位工程验收合格之日起算。发包人未经竣工验收擅自使用工程的，缺陷责任期自工程转移占有之日起开始计算。</w:t>
      </w:r>
    </w:p>
    <w:p w14:paraId="6CAC53FD">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缺陷责任期终止后，发包人应退还剩余的质量保证金。</w:t>
      </w:r>
    </w:p>
    <w:p w14:paraId="52859356">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四、质量保修责任</w:t>
      </w:r>
    </w:p>
    <w:p w14:paraId="546CA74A">
      <w:pPr>
        <w:pStyle w:val="222"/>
        <w:keepNext w:val="0"/>
        <w:keepLines w:val="0"/>
        <w:pageBreakBefore w:val="0"/>
        <w:widowControl w:val="0"/>
        <w:kinsoku/>
        <w:wordWrap/>
        <w:overflowPunct/>
        <w:topLinePunct w:val="0"/>
        <w:autoSpaceDE/>
        <w:autoSpaceDN/>
        <w:bidi w:val="0"/>
        <w:adjustRightInd/>
        <w:snapToGrid/>
        <w:spacing w:line="360" w:lineRule="exact"/>
        <w:ind w:left="105" w:leftChars="50" w:firstLine="430" w:firstLineChars="205"/>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1．属于保修范围、内容的项目，承包人应当在接到保修通知之日起</w:t>
      </w:r>
      <w:r>
        <w:rPr>
          <w:rStyle w:val="46"/>
          <w:rFonts w:hint="eastAsia" w:ascii="宋体" w:hAnsi="宋体" w:eastAsia="宋体" w:cs="宋体"/>
          <w:color w:val="auto"/>
          <w:sz w:val="21"/>
          <w:szCs w:val="21"/>
          <w:highlight w:val="none"/>
          <w:u w:val="single"/>
        </w:rPr>
        <w:t xml:space="preserve">   7   </w:t>
      </w:r>
      <w:r>
        <w:rPr>
          <w:rStyle w:val="46"/>
          <w:rFonts w:hint="eastAsia" w:ascii="宋体" w:hAnsi="宋体" w:eastAsia="宋体" w:cs="宋体"/>
          <w:color w:val="auto"/>
          <w:sz w:val="21"/>
          <w:szCs w:val="21"/>
          <w:highlight w:val="none"/>
        </w:rPr>
        <w:t>天内派人保修。承包人不在约定期限内派人保修的，发包人可以委托他人修理，修理费用从质量保修金内扣除。</w:t>
      </w:r>
    </w:p>
    <w:p w14:paraId="79A60AD4">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2．发生紧急事故需抢修的，承包人在接到事故通知后，应当立即到达事故现场抢修。</w:t>
      </w:r>
    </w:p>
    <w:p w14:paraId="38DF7E0A">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A0B2DB">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4．质量保修完成后，由发包人组织验收。</w:t>
      </w:r>
    </w:p>
    <w:p w14:paraId="73E7372D">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五、保修费用</w:t>
      </w:r>
    </w:p>
    <w:p w14:paraId="1F31052F">
      <w:pPr>
        <w:pStyle w:val="222"/>
        <w:keepNext w:val="0"/>
        <w:keepLines w:val="0"/>
        <w:pageBreakBefore w:val="0"/>
        <w:widowControl w:val="0"/>
        <w:tabs>
          <w:tab w:val="left" w:pos="7380"/>
        </w:tabs>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保修费用由造成质量缺陷的责任方承担。</w:t>
      </w:r>
    </w:p>
    <w:p w14:paraId="359E07E1">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 xml:space="preserve">六、双方约定的其他工程质量保修事项： </w:t>
      </w:r>
    </w:p>
    <w:p w14:paraId="3D7BC086">
      <w:pPr>
        <w:pStyle w:val="222"/>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w:t>
      </w:r>
    </w:p>
    <w:p w14:paraId="2EC8D37D">
      <w:pPr>
        <w:pStyle w:val="222"/>
        <w:keepNext w:val="0"/>
        <w:keepLines w:val="0"/>
        <w:pageBreakBefore w:val="0"/>
        <w:widowControl w:val="0"/>
        <w:kinsoku/>
        <w:wordWrap/>
        <w:overflowPunct/>
        <w:topLinePunct w:val="0"/>
        <w:autoSpaceDE/>
        <w:autoSpaceDN/>
        <w:bidi w:val="0"/>
        <w:adjustRightInd/>
        <w:snapToGrid/>
        <w:spacing w:line="360" w:lineRule="exact"/>
        <w:ind w:firstLine="399" w:firstLineChars="190"/>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34302BE5">
      <w:pPr>
        <w:pStyle w:val="22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Style w:val="46"/>
          <w:rFonts w:hint="eastAsia" w:ascii="宋体" w:hAnsi="宋体" w:eastAsia="宋体" w:cs="宋体"/>
          <w:color w:val="auto"/>
          <w:sz w:val="21"/>
          <w:szCs w:val="21"/>
          <w:highlight w:val="none"/>
        </w:rPr>
      </w:pPr>
    </w:p>
    <w:p w14:paraId="09CF2DDE">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发包人（公章）：</w:t>
      </w:r>
      <w:r>
        <w:rPr>
          <w:rStyle w:val="46"/>
          <w:rFonts w:hint="eastAsia" w:ascii="宋体" w:hAnsi="宋体" w:eastAsia="宋体" w:cs="宋体"/>
          <w:color w:val="auto"/>
          <w:sz w:val="21"/>
          <w:szCs w:val="21"/>
          <w:highlight w:val="none"/>
          <w:u w:val="single"/>
        </w:rPr>
        <w:t xml:space="preserve">         </w:t>
      </w:r>
      <w:r>
        <w:rPr>
          <w:rStyle w:val="46"/>
          <w:rFonts w:hint="eastAsia" w:ascii="宋体" w:hAnsi="宋体" w:eastAsia="宋体" w:cs="宋体"/>
          <w:color w:val="auto"/>
          <w:sz w:val="21"/>
          <w:szCs w:val="21"/>
          <w:highlight w:val="none"/>
        </w:rPr>
        <w:t xml:space="preserve">             承包人（公章）：</w:t>
      </w:r>
      <w:r>
        <w:rPr>
          <w:rStyle w:val="46"/>
          <w:rFonts w:hint="eastAsia" w:ascii="宋体" w:hAnsi="宋体" w:eastAsia="宋体" w:cs="宋体"/>
          <w:color w:val="auto"/>
          <w:sz w:val="21"/>
          <w:szCs w:val="21"/>
          <w:highlight w:val="none"/>
          <w:u w:val="single"/>
        </w:rPr>
        <w:t>          </w:t>
      </w:r>
    </w:p>
    <w:p w14:paraId="1355FBAC">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地  址：</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 xml:space="preserve">              地  址：</w:t>
      </w:r>
      <w:r>
        <w:rPr>
          <w:rStyle w:val="46"/>
          <w:rFonts w:hint="eastAsia" w:ascii="宋体" w:hAnsi="宋体" w:eastAsia="宋体" w:cs="宋体"/>
          <w:color w:val="auto"/>
          <w:sz w:val="21"/>
          <w:szCs w:val="21"/>
          <w:highlight w:val="none"/>
          <w:u w:val="single"/>
        </w:rPr>
        <w:t>      </w:t>
      </w:r>
    </w:p>
    <w:p w14:paraId="4A622F45">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法定代表人（签字）：</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法定代表人（签字）：</w:t>
      </w:r>
      <w:r>
        <w:rPr>
          <w:rStyle w:val="46"/>
          <w:rFonts w:hint="eastAsia" w:ascii="宋体" w:hAnsi="宋体" w:eastAsia="宋体" w:cs="宋体"/>
          <w:color w:val="auto"/>
          <w:sz w:val="21"/>
          <w:szCs w:val="21"/>
          <w:highlight w:val="none"/>
          <w:u w:val="single"/>
        </w:rPr>
        <w:t>     </w:t>
      </w:r>
    </w:p>
    <w:p w14:paraId="75604045">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委托代理人（签字）：</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委托代理人（签字）：</w:t>
      </w:r>
      <w:r>
        <w:rPr>
          <w:rStyle w:val="46"/>
          <w:rFonts w:hint="eastAsia" w:ascii="宋体" w:hAnsi="宋体" w:eastAsia="宋体" w:cs="宋体"/>
          <w:color w:val="auto"/>
          <w:sz w:val="21"/>
          <w:szCs w:val="21"/>
          <w:highlight w:val="none"/>
          <w:u w:val="single"/>
        </w:rPr>
        <w:t>     </w:t>
      </w:r>
    </w:p>
    <w:p w14:paraId="59980547">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电  话：</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电  话：</w:t>
      </w:r>
      <w:r>
        <w:rPr>
          <w:rStyle w:val="46"/>
          <w:rFonts w:hint="eastAsia" w:ascii="宋体" w:hAnsi="宋体" w:eastAsia="宋体" w:cs="宋体"/>
          <w:color w:val="auto"/>
          <w:sz w:val="21"/>
          <w:szCs w:val="21"/>
          <w:highlight w:val="none"/>
          <w:u w:val="single"/>
        </w:rPr>
        <w:t>      </w:t>
      </w:r>
    </w:p>
    <w:p w14:paraId="7218A8FF">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传  真：</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传  真：</w:t>
      </w:r>
      <w:r>
        <w:rPr>
          <w:rStyle w:val="46"/>
          <w:rFonts w:hint="eastAsia" w:ascii="宋体" w:hAnsi="宋体" w:eastAsia="宋体" w:cs="宋体"/>
          <w:color w:val="auto"/>
          <w:sz w:val="21"/>
          <w:szCs w:val="21"/>
          <w:highlight w:val="none"/>
          <w:u w:val="single"/>
        </w:rPr>
        <w:t>    </w:t>
      </w:r>
    </w:p>
    <w:p w14:paraId="2BED7E97">
      <w:pPr>
        <w:pStyle w:val="222"/>
        <w:keepNext w:val="0"/>
        <w:keepLines w:val="0"/>
        <w:pageBreakBefore w:val="0"/>
        <w:widowControl w:val="0"/>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开户银行：</w:t>
      </w:r>
      <w:r>
        <w:rPr>
          <w:rStyle w:val="46"/>
          <w:rFonts w:hint="eastAsia" w:ascii="宋体" w:hAnsi="宋体" w:eastAsia="宋体" w:cs="宋体"/>
          <w:color w:val="auto"/>
          <w:sz w:val="21"/>
          <w:szCs w:val="21"/>
          <w:highlight w:val="none"/>
          <w:u w:val="single"/>
        </w:rPr>
        <w:t xml:space="preserve">     </w:t>
      </w:r>
      <w:r>
        <w:rPr>
          <w:rStyle w:val="46"/>
          <w:rFonts w:hint="eastAsia" w:ascii="宋体" w:hAnsi="宋体" w:eastAsia="宋体" w:cs="宋体"/>
          <w:color w:val="auto"/>
          <w:sz w:val="21"/>
          <w:szCs w:val="21"/>
          <w:highlight w:val="none"/>
        </w:rPr>
        <w:t xml:space="preserve">              开户银行：</w:t>
      </w:r>
      <w:r>
        <w:rPr>
          <w:rStyle w:val="46"/>
          <w:rFonts w:hint="eastAsia" w:ascii="宋体" w:hAnsi="宋体" w:eastAsia="宋体" w:cs="宋体"/>
          <w:color w:val="auto"/>
          <w:sz w:val="21"/>
          <w:szCs w:val="21"/>
          <w:highlight w:val="none"/>
          <w:u w:val="single"/>
        </w:rPr>
        <w:t>  </w:t>
      </w:r>
    </w:p>
    <w:p w14:paraId="4E427D32">
      <w:pPr>
        <w:pStyle w:val="222"/>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账  号：</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 xml:space="preserve">              账  号：</w:t>
      </w:r>
      <w:r>
        <w:rPr>
          <w:rStyle w:val="46"/>
          <w:rFonts w:hint="eastAsia" w:ascii="宋体" w:hAnsi="宋体" w:eastAsia="宋体" w:cs="宋体"/>
          <w:color w:val="auto"/>
          <w:sz w:val="21"/>
          <w:szCs w:val="21"/>
          <w:highlight w:val="none"/>
          <w:u w:val="single"/>
        </w:rPr>
        <w:t>    </w:t>
      </w:r>
    </w:p>
    <w:p w14:paraId="65A1EA7A">
      <w:pPr>
        <w:pStyle w:val="222"/>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exact"/>
        <w:textAlignment w:val="auto"/>
        <w:rPr>
          <w:rStyle w:val="46"/>
          <w:rFonts w:hint="eastAsia" w:ascii="宋体" w:hAnsi="宋体" w:eastAsia="宋体" w:cs="宋体"/>
          <w:color w:val="auto"/>
          <w:sz w:val="21"/>
          <w:szCs w:val="21"/>
          <w:highlight w:val="none"/>
        </w:rPr>
      </w:pPr>
      <w:r>
        <w:rPr>
          <w:rStyle w:val="46"/>
          <w:rFonts w:hint="eastAsia" w:ascii="宋体" w:hAnsi="宋体" w:eastAsia="宋体" w:cs="宋体"/>
          <w:color w:val="auto"/>
          <w:sz w:val="21"/>
          <w:szCs w:val="21"/>
          <w:highlight w:val="none"/>
        </w:rPr>
        <w:t>邮政编码：</w:t>
      </w:r>
      <w:r>
        <w:rPr>
          <w:rStyle w:val="46"/>
          <w:rFonts w:hint="eastAsia" w:ascii="宋体" w:hAnsi="宋体" w:eastAsia="宋体" w:cs="宋体"/>
          <w:color w:val="auto"/>
          <w:sz w:val="21"/>
          <w:szCs w:val="21"/>
          <w:highlight w:val="none"/>
          <w:u w:val="single"/>
        </w:rPr>
        <w:t xml:space="preserve">       </w:t>
      </w:r>
      <w:r>
        <w:rPr>
          <w:rStyle w:val="46"/>
          <w:rFonts w:hint="eastAsia" w:ascii="宋体" w:hAnsi="宋体" w:eastAsia="宋体" w:cs="宋体"/>
          <w:color w:val="auto"/>
          <w:sz w:val="21"/>
          <w:szCs w:val="21"/>
          <w:highlight w:val="none"/>
        </w:rPr>
        <w:t xml:space="preserve">              邮政编码：</w:t>
      </w:r>
      <w:r>
        <w:rPr>
          <w:rStyle w:val="46"/>
          <w:rFonts w:hint="eastAsia" w:ascii="宋体" w:hAnsi="宋体" w:eastAsia="宋体" w:cs="宋体"/>
          <w:color w:val="auto"/>
          <w:sz w:val="21"/>
          <w:szCs w:val="21"/>
          <w:highlight w:val="none"/>
          <w:u w:val="single"/>
        </w:rPr>
        <w:t xml:space="preserve">    </w:t>
      </w:r>
    </w:p>
    <w:p w14:paraId="1BB75BC1">
      <w:pPr>
        <w:pStyle w:val="222"/>
        <w:pageBreakBefore w:val="0"/>
        <w:kinsoku/>
        <w:overflowPunct/>
        <w:topLinePunct w:val="0"/>
        <w:bidi w:val="0"/>
        <w:snapToGrid/>
        <w:spacing w:line="400" w:lineRule="exact"/>
        <w:jc w:val="center"/>
        <w:rPr>
          <w:rStyle w:val="46"/>
          <w:rFonts w:hint="eastAsia" w:ascii="宋体" w:hAnsi="宋体" w:eastAsia="宋体" w:cs="宋体"/>
          <w:color w:val="auto"/>
          <w:sz w:val="24"/>
          <w:szCs w:val="24"/>
          <w:highlight w:val="none"/>
        </w:rPr>
      </w:pPr>
    </w:p>
    <w:p w14:paraId="5606F71E">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0C10E89">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4431A7F5">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31013CF2">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546F84FF">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71A57CF2">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0E42E372">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42167449">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02609501">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34606803">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p>
    <w:p w14:paraId="741383A7">
      <w:pPr>
        <w:pageBreakBefore w:val="0"/>
        <w:kinsoku/>
        <w:wordWrap/>
        <w:overflowPunct/>
        <w:topLinePunct w:val="0"/>
        <w:autoSpaceDE/>
        <w:autoSpaceDN/>
        <w:bidi w:val="0"/>
        <w:adjustRightInd/>
        <w:snapToGrid/>
        <w:spacing w:line="360" w:lineRule="exact"/>
        <w:ind w:left="211" w:leftChars="85" w:hanging="33" w:hangingChars="1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E60ABDA">
      <w:pPr>
        <w:pStyle w:val="4"/>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eastAsia="宋体" w:cs="宋体"/>
          <w:color w:val="auto"/>
          <w:sz w:val="32"/>
          <w:szCs w:val="32"/>
          <w:highlight w:val="none"/>
        </w:rPr>
      </w:pPr>
      <w:bookmarkStart w:id="113" w:name="_Toc14369"/>
      <w:r>
        <w:rPr>
          <w:rFonts w:hint="eastAsia" w:ascii="宋体" w:hAnsi="宋体" w:eastAsia="宋体" w:cs="宋体"/>
          <w:color w:val="auto"/>
          <w:sz w:val="32"/>
          <w:szCs w:val="32"/>
          <w:highlight w:val="none"/>
        </w:rPr>
        <w:t>第六章 评审方法和评审标准</w:t>
      </w:r>
      <w:bookmarkEnd w:id="113"/>
    </w:p>
    <w:p w14:paraId="08D63EC5">
      <w:pPr>
        <w:pStyle w:val="27"/>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一、评标原则</w:t>
      </w:r>
    </w:p>
    <w:p w14:paraId="5CED39E0">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(一) “磋商小组”构成：本采购项目的“磋商小组”分别由依法组成的评审专家、采购人代表共</w:t>
      </w:r>
      <w:r>
        <w:rPr>
          <w:rFonts w:hint="eastAsia" w:ascii="宋体" w:hAnsi="宋体" w:eastAsia="宋体" w:cs="宋体"/>
          <w:color w:val="auto"/>
          <w:sz w:val="21"/>
          <w:szCs w:val="21"/>
          <w:highlight w:val="none"/>
          <w:u w:val="single"/>
        </w:rPr>
        <w:t>三</w:t>
      </w:r>
      <w:r>
        <w:rPr>
          <w:rFonts w:hint="eastAsia" w:ascii="宋体" w:hAnsi="宋体" w:eastAsia="宋体" w:cs="宋体"/>
          <w:color w:val="auto"/>
          <w:sz w:val="21"/>
          <w:szCs w:val="21"/>
          <w:highlight w:val="none"/>
        </w:rPr>
        <w:t>人以上单数构成，其中评审专家人数不少于成员总数的三分之二。</w:t>
      </w:r>
    </w:p>
    <w:p w14:paraId="01C856D8">
      <w:pPr>
        <w:pStyle w:val="27"/>
        <w:keepNext w:val="0"/>
        <w:keepLines w:val="0"/>
        <w:pageBreakBefore w:val="0"/>
        <w:kinsoku/>
        <w:wordWrap/>
        <w:overflowPunct/>
        <w:topLinePunct w:val="0"/>
        <w:autoSpaceDE/>
        <w:autoSpaceDN/>
        <w:bidi w:val="0"/>
        <w:spacing w:line="360" w:lineRule="exact"/>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(二)评审依据：</w:t>
      </w:r>
    </w:p>
    <w:p w14:paraId="7EC6BFBC">
      <w:pPr>
        <w:pStyle w:val="27"/>
        <w:keepNext w:val="0"/>
        <w:keepLines w:val="0"/>
        <w:pageBreakBefore w:val="0"/>
        <w:kinsoku/>
        <w:wordWrap/>
        <w:overflowPunct/>
        <w:topLinePunct w:val="0"/>
        <w:autoSpaceDE/>
        <w:autoSpaceDN/>
        <w:bidi w:val="0"/>
        <w:spacing w:line="360" w:lineRule="exact"/>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1、以磋商文件和响应文件为评审依据，对供应商的价格、实施方案、企业实力等方面内容按百分制打分。</w:t>
      </w:r>
    </w:p>
    <w:p w14:paraId="36C865E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rPr>
        <w:t>满足</w:t>
      </w:r>
      <w:r>
        <w:rPr>
          <w:rFonts w:hint="eastAsia" w:ascii="宋体" w:hAnsi="宋体" w:eastAsia="宋体" w:cs="宋体"/>
          <w:color w:val="auto"/>
          <w:kern w:val="2"/>
          <w:sz w:val="21"/>
          <w:szCs w:val="21"/>
          <w:highlight w:val="none"/>
          <w:lang w:eastAsia="zh-CN"/>
        </w:rPr>
        <w:t>磋商采购文件</w:t>
      </w:r>
      <w:r>
        <w:rPr>
          <w:rFonts w:hint="eastAsia" w:ascii="宋体" w:hAnsi="宋体" w:eastAsia="宋体" w:cs="宋体"/>
          <w:color w:val="auto"/>
          <w:kern w:val="2"/>
          <w:sz w:val="21"/>
          <w:szCs w:val="21"/>
          <w:highlight w:val="none"/>
        </w:rPr>
        <w:t>要求且评标报价最低的评标报价为评标基准价，其价格分为满分</w:t>
      </w:r>
      <w:r>
        <w:rPr>
          <w:rFonts w:hint="eastAsia" w:ascii="宋体" w:hAnsi="宋体" w:eastAsia="宋体" w:cs="宋体"/>
          <w:color w:val="auto"/>
          <w:kern w:val="0"/>
          <w:sz w:val="21"/>
          <w:szCs w:val="21"/>
          <w:highlight w:val="none"/>
        </w:rPr>
        <w:t>。</w:t>
      </w:r>
    </w:p>
    <w:p w14:paraId="5781A9D3">
      <w:pPr>
        <w:keepNext w:val="0"/>
        <w:keepLines w:val="0"/>
        <w:pageBreakBefore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3、评标委员会认为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的报价明显低于其他通过符合性审查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也可直接在投标文件中提供上述资料以避免因无法及时提供说明而导致可能被评标委员会作为无效响应处理。如果</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不能合理说明或者提供的有关证明材料不完整，不能证明其报价合理性的，评标委员会将其作为无效投标处理。</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书面说明应当签字确认或者加盖公章，否则无效。</w:t>
      </w:r>
    </w:p>
    <w:p w14:paraId="6755FE9E">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（三）评标方式：以封闭方式进行。评审全过程中不允许供应商与“磋商小组”之间有可能影响到评审结果公正性的私下会面与谈话，以体现公平、公正的基本原则。</w:t>
      </w:r>
    </w:p>
    <w:p w14:paraId="52B75942">
      <w:pPr>
        <w:keepNext w:val="0"/>
        <w:keepLines w:val="0"/>
        <w:pageBreakBefore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二、评审方法</w:t>
      </w:r>
    </w:p>
    <w:p w14:paraId="04D49FA4">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（一）资格审查</w:t>
      </w:r>
    </w:p>
    <w:p w14:paraId="448B4973">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磋商小组依法对供应商的资格进行审查。</w:t>
      </w:r>
    </w:p>
    <w:tbl>
      <w:tblPr>
        <w:tblStyle w:val="4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14:paraId="27D9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39FA219D">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1D99435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14:paraId="0239CB08">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检查内容</w:t>
            </w:r>
          </w:p>
        </w:tc>
      </w:tr>
      <w:tr w14:paraId="19E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4D4F5444">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（一）</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14:paraId="3F592451">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14:paraId="7340C73E">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14:paraId="771E898C">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754D2E6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2.如为分支机构投标的，须提供其总公司“营业执照”副本复印件和总公司对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参与本项目投标的授权书原件。</w:t>
            </w:r>
          </w:p>
        </w:tc>
      </w:tr>
      <w:tr w14:paraId="37D7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35511A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53349B8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8D9F524">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14:paraId="7C01D84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政府采购供应商资格信用承诺函(按格式填写)</w:t>
            </w:r>
          </w:p>
        </w:tc>
      </w:tr>
      <w:tr w14:paraId="61D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B5472F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0CA994F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F3B96C8">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14:paraId="6B3588F8">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提供磋商声明书或相关证明材料。</w:t>
            </w:r>
          </w:p>
        </w:tc>
      </w:tr>
      <w:tr w14:paraId="0989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CD413E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65C554C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23BEB0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14:paraId="2DC2058E">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提供参加政府采购活动前三年内在经营活动中没有重大违法记录和不良信用记录的书面声明书。</w:t>
            </w:r>
          </w:p>
          <w:p w14:paraId="7F492231">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2.在资格审查时，</w:t>
            </w:r>
            <w:r>
              <w:rPr>
                <w:rFonts w:hint="eastAsia"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将通过“信用中国”网站(www.creditchina.gov.cn)、"中国政府采购网"(www.ccgp.gov.cn)等渠道查询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信用记录，对列入失信被执行人、重大税收违法案件当事人名单、政府采购严重违法失信行为记录名单的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将拒绝其参与政府采购活动。</w:t>
            </w:r>
          </w:p>
        </w:tc>
      </w:tr>
      <w:tr w14:paraId="1C37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4BE3E6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0EB2986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14:paraId="40BEE0F2">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14:paraId="332A473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w:t>
            </w:r>
          </w:p>
          <w:p w14:paraId="1FDE4D40">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直接控股、管理关系信息表。</w:t>
            </w:r>
          </w:p>
        </w:tc>
      </w:tr>
      <w:tr w14:paraId="1326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A6EB74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069B26B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6F2AD32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1"/>
                <w:szCs w:val="21"/>
                <w:highlight w:val="none"/>
              </w:rPr>
            </w:pPr>
          </w:p>
        </w:tc>
        <w:tc>
          <w:tcPr>
            <w:tcW w:w="4985" w:type="dxa"/>
            <w:tcBorders>
              <w:top w:val="single" w:color="auto" w:sz="4" w:space="0"/>
              <w:left w:val="single" w:color="auto" w:sz="4" w:space="0"/>
              <w:bottom w:val="single" w:color="auto" w:sz="4" w:space="0"/>
              <w:right w:val="single" w:color="auto" w:sz="4" w:space="0"/>
            </w:tcBorders>
            <w:vAlign w:val="center"/>
          </w:tcPr>
          <w:p w14:paraId="5667C16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.为本项目提供过整体设计、规范编制或者项目管理、监理、检测等服务的供应商，不得再参加本项目上述服务以外的其他采购活动。</w:t>
            </w:r>
          </w:p>
          <w:p w14:paraId="5A59ABBE">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提供磋商声明书。</w:t>
            </w:r>
          </w:p>
        </w:tc>
      </w:tr>
      <w:tr w14:paraId="0DCD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7A1D6D0">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（二）</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6335CE00">
            <w:pPr>
              <w:pStyle w:val="27"/>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14:paraId="16D8655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公告“二、申请人的资格要求2.落实政府采购政策需满足的资格要求”的要求提交。</w:t>
            </w:r>
          </w:p>
          <w:p w14:paraId="2AD82FE3">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本项目专门面向</w:t>
            </w:r>
            <w:r>
              <w:rPr>
                <w:rFonts w:hint="eastAsia" w:ascii="宋体" w:hAnsi="宋体" w:eastAsia="宋体" w:cs="宋体"/>
                <w:b/>
                <w:bCs/>
                <w:i w:val="0"/>
                <w:iCs w:val="0"/>
                <w:caps w:val="0"/>
                <w:color w:val="auto"/>
                <w:spacing w:val="0"/>
                <w:sz w:val="21"/>
                <w:szCs w:val="21"/>
                <w:highlight w:val="none"/>
                <w:u w:val="single"/>
              </w:rPr>
              <w:t>小微企业</w:t>
            </w:r>
            <w:r>
              <w:rPr>
                <w:rFonts w:hint="eastAsia" w:ascii="宋体" w:hAnsi="宋体" w:eastAsia="宋体" w:cs="宋体"/>
                <w:i w:val="0"/>
                <w:iCs w:val="0"/>
                <w:caps w:val="0"/>
                <w:color w:val="auto"/>
                <w:spacing w:val="0"/>
                <w:sz w:val="21"/>
                <w:szCs w:val="21"/>
                <w:highlight w:val="none"/>
              </w:rPr>
              <w:t>，工程的施工单位须符合《关于印发中小企业划型标准规定的通知》（工信部联企业〔2011〕300号）规定</w:t>
            </w:r>
            <w:r>
              <w:rPr>
                <w:rFonts w:hint="eastAsia" w:ascii="宋体" w:hAnsi="宋体" w:eastAsia="宋体" w:cs="宋体"/>
                <w:i w:val="0"/>
                <w:iCs w:val="0"/>
                <w:caps w:val="0"/>
                <w:color w:val="auto"/>
                <w:spacing w:val="0"/>
                <w:sz w:val="21"/>
                <w:szCs w:val="21"/>
                <w:highlight w:val="none"/>
                <w:u w:val="single"/>
              </w:rPr>
              <w:t>建筑业</w:t>
            </w:r>
            <w:r>
              <w:rPr>
                <w:rFonts w:hint="eastAsia" w:ascii="宋体" w:hAnsi="宋体" w:eastAsia="宋体" w:cs="宋体"/>
                <w:i w:val="0"/>
                <w:iCs w:val="0"/>
                <w:caps w:val="0"/>
                <w:color w:val="auto"/>
                <w:spacing w:val="0"/>
                <w:sz w:val="21"/>
                <w:szCs w:val="21"/>
                <w:highlight w:val="none"/>
              </w:rPr>
              <w:t>的中小微企业划型标准，或者是《关于政府采购支持监狱企业发展有关问题的通知》(财库[2014]68号)规定的监狱企业，或者是《关于促进残疾人就业政府采购政策的通知》（财库〔2017〕141号）规定的残疾人福利性企业</w:t>
            </w:r>
            <w:r>
              <w:rPr>
                <w:rFonts w:hint="eastAsia" w:ascii="宋体" w:hAnsi="宋体" w:eastAsia="宋体" w:cs="宋体"/>
                <w:b w:val="0"/>
                <w:bCs w:val="0"/>
                <w:color w:val="auto"/>
                <w:kern w:val="2"/>
                <w:sz w:val="21"/>
                <w:szCs w:val="21"/>
                <w:highlight w:val="none"/>
                <w:lang w:val="en-US" w:eastAsia="zh-CN" w:bidi="ar-SA"/>
              </w:rPr>
              <w:t>。</w:t>
            </w:r>
          </w:p>
        </w:tc>
      </w:tr>
      <w:tr w14:paraId="21AC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37BAAA57">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（三）</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690C186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14:paraId="060AEB7E">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公告“二、申请人的资格要求3.本项目的特定资格要求”的要求提交。</w:t>
            </w:r>
          </w:p>
          <w:p w14:paraId="12F19E2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本项目的特定资格要求：</w:t>
            </w:r>
          </w:p>
          <w:p w14:paraId="5A62BE8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建筑工程施工总承包三级（及以上）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资质，具备有效的《安全生产许可证》，并在人员、设备、资金等方面具备相应的施工能力。</w:t>
            </w:r>
          </w:p>
          <w:p w14:paraId="53A8E66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）拟派项目经理须具备</w:t>
            </w:r>
            <w:r>
              <w:rPr>
                <w:rFonts w:hint="eastAsia" w:ascii="宋体" w:hAnsi="宋体" w:eastAsia="宋体" w:cs="宋体"/>
                <w:color w:val="auto"/>
                <w:sz w:val="21"/>
                <w:szCs w:val="21"/>
                <w:highlight w:val="none"/>
                <w:u w:val="single"/>
              </w:rPr>
              <w:t xml:space="preserve"> 建筑工程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u w:val="single"/>
              </w:rPr>
              <w:t xml:space="preserve"> 贰级（含）以上 </w:t>
            </w:r>
            <w:r>
              <w:rPr>
                <w:rFonts w:hint="eastAsia" w:ascii="宋体" w:hAnsi="宋体" w:eastAsia="宋体" w:cs="宋体"/>
                <w:color w:val="auto"/>
                <w:sz w:val="21"/>
                <w:szCs w:val="21"/>
                <w:highlight w:val="none"/>
              </w:rPr>
              <w:t>有效注册建造师执业资格；具备有效的安全生产考核合格证书（B类），</w:t>
            </w:r>
            <w:r>
              <w:rPr>
                <w:rFonts w:hint="eastAsia" w:ascii="宋体" w:hAnsi="宋体" w:eastAsia="宋体" w:cs="宋体"/>
                <w:color w:val="auto"/>
                <w:sz w:val="21"/>
                <w:szCs w:val="21"/>
                <w:highlight w:val="none"/>
                <w:lang w:val="zh-CN"/>
              </w:rPr>
              <w:t>本项目不接受有在建、已中标未开工或已列为其他项目成交候选人第一名的建造师作为项目经理（符合《广西壮族自治区建筑市场诚信卡管理暂行办法》第十六条第一款及桂建管﹝2016﹞70号、桂建管〔2019〕26号和桂建管〔2020〕11号文除外）</w:t>
            </w:r>
            <w:r>
              <w:rPr>
                <w:rFonts w:hint="eastAsia" w:ascii="宋体" w:hAnsi="宋体" w:eastAsia="宋体" w:cs="宋体"/>
                <w:color w:val="auto"/>
                <w:sz w:val="21"/>
                <w:szCs w:val="21"/>
                <w:highlight w:val="none"/>
              </w:rPr>
              <w:t>。</w:t>
            </w:r>
          </w:p>
        </w:tc>
      </w:tr>
    </w:tbl>
    <w:p w14:paraId="4C3DC91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（二）符合性审查</w:t>
      </w:r>
    </w:p>
    <w:p w14:paraId="0E54F29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磋商小组根据采购文件要求各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响应文件的有效性、完整性、响应性等进行审查，以确定是否对采购文件的实质性要求作出响应。</w:t>
      </w:r>
    </w:p>
    <w:tbl>
      <w:tblPr>
        <w:tblStyle w:val="4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14:paraId="67C2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B8A872A">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14:paraId="108E060F">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14:paraId="4FC3F013">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评审标准</w:t>
            </w:r>
          </w:p>
        </w:tc>
      </w:tr>
      <w:tr w14:paraId="6878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6B4A53A">
            <w:pPr>
              <w:pStyle w:val="27"/>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1EAD0EBD">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14:paraId="751A63F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磋商采购文件</w:t>
            </w:r>
            <w:r>
              <w:rPr>
                <w:rFonts w:hint="eastAsia" w:ascii="宋体" w:hAnsi="宋体" w:eastAsia="宋体" w:cs="宋体"/>
                <w:color w:val="auto"/>
                <w:kern w:val="0"/>
                <w:sz w:val="21"/>
                <w:szCs w:val="21"/>
                <w:highlight w:val="none"/>
              </w:rPr>
              <w:t>的规定提交磋商保证金的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如有要求</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w:t>
            </w:r>
          </w:p>
          <w:p w14:paraId="607EC8FF">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2.响应文件未按磋商文件要求签署、盖章的；</w:t>
            </w:r>
          </w:p>
          <w:p w14:paraId="2D0E1D83">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3.投标代表人未能出具身份证明或与法定代表人授权委托人身份不符的；</w:t>
            </w:r>
          </w:p>
          <w:p w14:paraId="59AC3390">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4.响应文件的实质性内容未使用中文表述、意思表述不明确、前后矛盾或者使用计量单位不符合磋商采购文件要求的（经评标委员会认定并允许其当场更正的笔误除外）</w:t>
            </w:r>
          </w:p>
          <w:p w14:paraId="6305A5F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5.投标工期、工程质量等商务条款不能满足竞争性磋商文件要求的；</w:t>
            </w:r>
          </w:p>
          <w:p w14:paraId="33B14C31">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6.未实质性响应竞争性磋商文件要求或者响应文件有采购人不能接受的附加条件的。</w:t>
            </w:r>
          </w:p>
          <w:p w14:paraId="702B356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.未提供磋商采购文件中“13.响应文件的组成13.2商务和技术文件”要求必须提供的资料的；</w:t>
            </w:r>
          </w:p>
          <w:p w14:paraId="4C8FF3F0">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.响应文件标明的响应或偏离与事实不符或虚假竞标的；</w:t>
            </w:r>
          </w:p>
          <w:p w14:paraId="40A0B243">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.明显不符合竞争性磋商文件要求的服务内容、技术要求、安全、质量标准，或者与竞争性磋商文件中标“▲”的技术指标、服务需求发生实质性偏离的；</w:t>
            </w:r>
          </w:p>
          <w:p w14:paraId="027EB5C0">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.施工组织设计被磋商小组认定为不可行的，存在一个或一个以上备选（替代）竞标方案的。</w:t>
            </w:r>
          </w:p>
          <w:p w14:paraId="2977477B">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.属于供应商须知正文7.特别说明第6点情形的；</w:t>
            </w:r>
          </w:p>
        </w:tc>
      </w:tr>
      <w:tr w14:paraId="16D8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AFED19F">
            <w:pPr>
              <w:pStyle w:val="27"/>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2DE288D6">
            <w:pPr>
              <w:pStyle w:val="27"/>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14:paraId="42E87CAC">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1.未提供竞争性磋商文件中“</w:t>
            </w:r>
            <w:r>
              <w:rPr>
                <w:rFonts w:hint="eastAsia" w:ascii="宋体" w:hAnsi="宋体" w:eastAsia="宋体" w:cs="宋体"/>
                <w:color w:val="auto"/>
                <w:sz w:val="21"/>
                <w:szCs w:val="21"/>
                <w:highlight w:val="none"/>
                <w:lang w:val="en-US" w:eastAsia="zh-CN"/>
              </w:rPr>
              <w:t>13.3报价文件</w:t>
            </w:r>
            <w:r>
              <w:rPr>
                <w:rFonts w:hint="eastAsia" w:ascii="宋体" w:hAnsi="宋体" w:eastAsia="宋体" w:cs="宋体"/>
                <w:color w:val="auto"/>
                <w:sz w:val="21"/>
                <w:szCs w:val="21"/>
                <w:highlight w:val="none"/>
              </w:rPr>
              <w:t>”要求必须提供的资料的；</w:t>
            </w:r>
          </w:p>
          <w:p w14:paraId="3BD6F75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.竞标人已标价工程量清单的项目编码、计量单位、工程量与招标工程量清单不一致；</w:t>
            </w:r>
          </w:p>
          <w:p w14:paraId="2825A3E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.竞标人已标价工程量清单出现不应出现的负值；</w:t>
            </w:r>
          </w:p>
          <w:p w14:paraId="063E313D">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.竞标人对招标工程量清单项目（工程量为0的项目除外）进行增减调整，即有增项或缺项；</w:t>
            </w:r>
          </w:p>
          <w:p w14:paraId="00DB6D2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.安全文明施工费和规费、增值税未按规定报价；</w:t>
            </w:r>
          </w:p>
          <w:p w14:paraId="6FB9E798">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.设有暂估价、暂列金额的，投标时未按采购人工程量清单给出的</w:t>
            </w:r>
            <w:r>
              <w:rPr>
                <w:rFonts w:hint="eastAsia" w:ascii="宋体" w:hAnsi="宋体" w:eastAsia="宋体" w:cs="宋体"/>
                <w:color w:val="auto"/>
                <w:sz w:val="21"/>
                <w:szCs w:val="21"/>
                <w:highlight w:val="none"/>
                <w:lang w:eastAsia="zh-CN"/>
              </w:rPr>
              <w:t>暂列金额、材料和工程设备暂估价、专业工程暂估价、安全生产责任保险费暂估价计入投标报价</w:t>
            </w:r>
            <w:r>
              <w:rPr>
                <w:rFonts w:hint="eastAsia" w:ascii="宋体" w:hAnsi="宋体" w:eastAsia="宋体" w:cs="宋体"/>
                <w:color w:val="auto"/>
                <w:sz w:val="21"/>
                <w:szCs w:val="21"/>
                <w:highlight w:val="none"/>
              </w:rPr>
              <w:t>；</w:t>
            </w:r>
          </w:p>
          <w:p w14:paraId="7239DE57">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中规定的预算金额或者最高限价的；</w:t>
            </w:r>
          </w:p>
          <w:p w14:paraId="1922FE75">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.未采用人民币报价或者未按照</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标明的币种报价的；</w:t>
            </w:r>
          </w:p>
          <w:p w14:paraId="7E09EB22">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.竞标报价具有选择性，或者开标价格与响应文件承诺的优惠（折扣）价格不一致的；</w:t>
            </w:r>
          </w:p>
          <w:p w14:paraId="4500E799">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.修正后的报价，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不确认的；</w:t>
            </w:r>
          </w:p>
          <w:p w14:paraId="4919D386">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1.法律、法规和</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规定的其他无效情形。</w:t>
            </w:r>
          </w:p>
          <w:p w14:paraId="48071747">
            <w:pPr>
              <w:pStyle w:val="27"/>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.出现恶意竞争低于成本价的情形。</w:t>
            </w:r>
          </w:p>
        </w:tc>
      </w:tr>
    </w:tbl>
    <w:p w14:paraId="6E3DC4AF">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（三）详细评审</w:t>
      </w:r>
    </w:p>
    <w:p w14:paraId="586892A4">
      <w:pPr>
        <w:pStyle w:val="2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对进入详评的，采用百分制综合评分法，计分办法（按四舍五入取至百分位）：</w:t>
      </w:r>
    </w:p>
    <w:p w14:paraId="191F2122">
      <w:pPr>
        <w:pStyle w:val="2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价格分…………………………………………………………………………</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14:paraId="5B8D23D1">
      <w:pPr>
        <w:pStyle w:val="27"/>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（1）以满足磋商文件要求且最低报价（合同价：不含暂列金额、材料和工程设备暂估价、专业工程暂估价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安全生产责任保险费暂估价</w:t>
      </w:r>
      <w:r>
        <w:rPr>
          <w:rFonts w:hint="eastAsia" w:ascii="宋体" w:hAnsi="宋体" w:eastAsia="宋体" w:cs="宋体"/>
          <w:bCs/>
          <w:color w:val="auto"/>
          <w:sz w:val="21"/>
          <w:szCs w:val="21"/>
          <w:highlight w:val="none"/>
        </w:rPr>
        <w:t>）为磋商基准价，其价格分为</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p w14:paraId="3A315043">
      <w:pPr>
        <w:pStyle w:val="27"/>
        <w:keepNext w:val="0"/>
        <w:keepLines w:val="0"/>
        <w:pageBreakBefore w:val="0"/>
        <w:kinsoku/>
        <w:wordWrap/>
        <w:overflowPunct/>
        <w:topLinePunct w:val="0"/>
        <w:autoSpaceDE/>
        <w:autoSpaceDN/>
        <w:bidi w:val="0"/>
        <w:spacing w:line="360" w:lineRule="exact"/>
        <w:ind w:firstLine="3150" w:firstLineChars="15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供应商有效最后最低磋商报价金额（合同价）</w:t>
      </w:r>
    </w:p>
    <w:p w14:paraId="37DF5A5F">
      <w:pPr>
        <w:pStyle w:val="27"/>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1795145</wp:posOffset>
                </wp:positionH>
                <wp:positionV relativeFrom="paragraph">
                  <wp:posOffset>169545</wp:posOffset>
                </wp:positionV>
                <wp:extent cx="30289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3028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35pt;margin-top:13.35pt;height:0.05pt;width:238.5pt;z-index:251669504;mso-width-relative:page;mso-height-relative:page;" filled="f" stroked="t" coordsize="21600,21600" o:gfxdata="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PJoTWAAAACQEAAA8AAAAAAAAAAQAgAAAAIgAAAGRycy9kb3ducmV2LnhtbFBLAQIU&#10;ABQAAAAIAIdO4kCl8cbn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bCs/>
          <w:color w:val="auto"/>
          <w:sz w:val="21"/>
          <w:szCs w:val="21"/>
          <w:highlight w:val="none"/>
        </w:rPr>
        <w:t>（2）某供应商价格分 =                                                 ×</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p w14:paraId="4A05C547">
      <w:pPr>
        <w:pStyle w:val="27"/>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某供应商有效最后磋商报价金额（合同价） </w:t>
      </w:r>
    </w:p>
    <w:p w14:paraId="591C3305">
      <w:pPr>
        <w:pStyle w:val="2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商务分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满分20</w:t>
      </w:r>
      <w:r>
        <w:rPr>
          <w:rFonts w:hint="eastAsia" w:ascii="宋体" w:hAnsi="宋体" w:eastAsia="宋体" w:cs="宋体"/>
          <w:b/>
          <w:color w:val="auto"/>
          <w:sz w:val="21"/>
          <w:szCs w:val="21"/>
          <w:highlight w:val="none"/>
        </w:rPr>
        <w:t>分</w:t>
      </w:r>
    </w:p>
    <w:p w14:paraId="219FD3B6">
      <w:pPr>
        <w:pStyle w:val="27"/>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业绩分</w:t>
      </w:r>
      <w:r>
        <w:rPr>
          <w:rFonts w:hint="eastAsia" w:ascii="宋体" w:hAnsi="宋体" w:eastAsia="宋体" w:cs="宋体"/>
          <w:b/>
          <w:color w:val="auto"/>
          <w:sz w:val="21"/>
          <w:szCs w:val="21"/>
          <w:highlight w:val="none"/>
          <w:lang w:eastAsia="zh-CN"/>
        </w:rPr>
        <w:t>（满分</w:t>
      </w:r>
      <w:r>
        <w:rPr>
          <w:rFonts w:hint="eastAsia" w:hAnsi="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eastAsia="zh-CN"/>
        </w:rPr>
        <w:t>）</w:t>
      </w:r>
    </w:p>
    <w:p w14:paraId="1DC1CBC9">
      <w:pPr>
        <w:pStyle w:val="19"/>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年以来</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承接过类似工程（</w:t>
      </w:r>
      <w:r>
        <w:rPr>
          <w:rFonts w:hint="eastAsia" w:ascii="宋体" w:hAnsi="宋体" w:eastAsia="宋体" w:cs="宋体"/>
          <w:color w:val="auto"/>
          <w:sz w:val="21"/>
          <w:szCs w:val="21"/>
          <w:highlight w:val="none"/>
          <w:lang w:val="en-US" w:eastAsia="zh-CN"/>
        </w:rPr>
        <w:t>建筑工程</w:t>
      </w:r>
      <w:r>
        <w:rPr>
          <w:rFonts w:hint="eastAsia" w:ascii="宋体" w:hAnsi="宋体" w:cs="宋体"/>
          <w:color w:val="auto"/>
          <w:sz w:val="21"/>
          <w:szCs w:val="21"/>
          <w:highlight w:val="none"/>
          <w:lang w:val="en-US" w:eastAsia="zh-CN"/>
        </w:rPr>
        <w:t>或建筑装饰装修工程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业绩，每有一项得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
          <w:bCs/>
          <w:color w:val="auto"/>
          <w:szCs w:val="21"/>
          <w:highlight w:val="none"/>
          <w:lang w:val="zh-CN"/>
        </w:rPr>
        <w:t>备注</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类似工程</w:t>
      </w: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b/>
          <w:bCs/>
          <w:color w:val="auto"/>
          <w:sz w:val="21"/>
          <w:szCs w:val="21"/>
          <w:highlight w:val="none"/>
        </w:rPr>
        <w:t>以合同签订时间为准，提供合同复印件</w:t>
      </w:r>
      <w:r>
        <w:rPr>
          <w:rFonts w:hint="eastAsia" w:ascii="宋体" w:hAnsi="宋体" w:cs="宋体"/>
          <w:b/>
          <w:bCs/>
          <w:color w:val="auto"/>
          <w:sz w:val="21"/>
          <w:szCs w:val="21"/>
          <w:highlight w:val="none"/>
          <w:lang w:eastAsia="zh-CN"/>
        </w:rPr>
        <w:t>、</w:t>
      </w:r>
      <w:r>
        <w:rPr>
          <w:rFonts w:hint="eastAsia" w:ascii="宋体" w:hAnsi="宋体" w:cs="宋体"/>
          <w:b/>
          <w:bCs/>
          <w:color w:val="000000" w:themeColor="text1"/>
          <w:sz w:val="21"/>
          <w:szCs w:val="21"/>
          <w:highlight w:val="none"/>
          <w:lang w:val="en-US" w:eastAsia="zh-CN"/>
          <w14:textFill>
            <w14:solidFill>
              <w14:schemeClr w14:val="tx1"/>
            </w14:solidFill>
          </w14:textFill>
        </w:rPr>
        <w:t>竣工验收报告</w:t>
      </w:r>
      <w:r>
        <w:rPr>
          <w:rFonts w:hint="eastAsia" w:ascii="宋体" w:hAnsi="宋体" w:eastAsia="宋体" w:cs="宋体"/>
          <w:b/>
          <w:bCs/>
          <w:color w:val="000000" w:themeColor="text1"/>
          <w:sz w:val="21"/>
          <w:szCs w:val="21"/>
          <w:highlight w:val="none"/>
          <w14:textFill>
            <w14:solidFill>
              <w14:schemeClr w14:val="tx1"/>
            </w14:solidFill>
          </w14:textFill>
        </w:rPr>
        <w:t>复印件</w:t>
      </w:r>
      <w:r>
        <w:rPr>
          <w:rFonts w:hint="eastAsia" w:ascii="宋体" w:hAnsi="宋体" w:eastAsia="宋体" w:cs="宋体"/>
          <w:b/>
          <w:bCs/>
          <w:color w:val="auto"/>
          <w:sz w:val="21"/>
          <w:szCs w:val="21"/>
          <w:highlight w:val="none"/>
          <w:lang w:eastAsia="zh-CN"/>
        </w:rPr>
        <w:t>并加盖公章，否则不予计分</w:t>
      </w:r>
      <w:r>
        <w:rPr>
          <w:rFonts w:hint="eastAsia" w:ascii="宋体" w:hAnsi="宋体" w:eastAsia="宋体" w:cs="宋体"/>
          <w:b/>
          <w:bCs/>
          <w:color w:val="auto"/>
          <w:sz w:val="21"/>
          <w:szCs w:val="21"/>
          <w:highlight w:val="none"/>
        </w:rPr>
        <w:t>。</w:t>
      </w:r>
    </w:p>
    <w:p w14:paraId="566E7F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Cs w:val="21"/>
          <w:highlight w:val="none"/>
          <w:lang w:val="zh-CN"/>
        </w:rPr>
      </w:pPr>
      <w:r>
        <w:rPr>
          <w:rFonts w:hint="eastAsia" w:hAnsi="宋体" w:cs="宋体"/>
          <w:b w:val="0"/>
          <w:bCs/>
          <w:color w:val="auto"/>
          <w:sz w:val="21"/>
          <w:szCs w:val="21"/>
          <w:highlight w:val="none"/>
          <w:lang w:val="en-US" w:eastAsia="zh-CN"/>
        </w:rPr>
        <w:t>②</w:t>
      </w:r>
      <w:r>
        <w:rPr>
          <w:rFonts w:hint="eastAsia" w:ascii="宋体" w:hAnsi="宋体" w:eastAsia="宋体" w:cs="宋体"/>
          <w:color w:val="auto"/>
          <w:szCs w:val="21"/>
          <w:highlight w:val="none"/>
          <w:lang w:val="zh-CN"/>
        </w:rPr>
        <w:t>提供满足上述“</w:t>
      </w:r>
      <w:r>
        <w:rPr>
          <w:rFonts w:hint="eastAsia" w:ascii="宋体" w:hAnsi="宋体" w:eastAsia="宋体" w:cs="宋体"/>
          <w:color w:val="auto"/>
          <w:sz w:val="21"/>
          <w:szCs w:val="21"/>
          <w:highlight w:val="none"/>
          <w:lang w:eastAsia="zh-CN"/>
        </w:rPr>
        <w:t>类似工程</w:t>
      </w:r>
      <w:r>
        <w:rPr>
          <w:rFonts w:hint="eastAsia" w:ascii="宋体" w:hAnsi="宋体" w:eastAsia="宋体" w:cs="宋体"/>
          <w:color w:val="auto"/>
          <w:szCs w:val="21"/>
          <w:highlight w:val="none"/>
          <w:lang w:val="zh-CN"/>
        </w:rPr>
        <w:t>”中有效业绩的使用用户评价，每提供一个类似“良好”或“满意”或“非常满意”</w:t>
      </w:r>
      <w:r>
        <w:rPr>
          <w:rFonts w:hint="eastAsia" w:ascii="宋体" w:hAnsi="宋体" w:eastAsia="宋体" w:cs="宋体"/>
          <w:color w:val="auto"/>
          <w:szCs w:val="21"/>
          <w:highlight w:val="none"/>
          <w:lang w:val="en-US" w:eastAsia="zh-CN"/>
        </w:rPr>
        <w:t>或“优秀”</w:t>
      </w:r>
      <w:r>
        <w:rPr>
          <w:rFonts w:hint="eastAsia" w:ascii="宋体" w:hAnsi="宋体" w:eastAsia="宋体" w:cs="宋体"/>
          <w:color w:val="auto"/>
          <w:szCs w:val="21"/>
          <w:highlight w:val="none"/>
          <w:lang w:val="zh-CN"/>
        </w:rPr>
        <w:t>的使用用户评价的，</w:t>
      </w:r>
      <w:r>
        <w:rPr>
          <w:rFonts w:hint="eastAsia" w:ascii="宋体" w:hAnsi="宋体" w:eastAsia="宋体" w:cs="宋体"/>
          <w:color w:val="auto"/>
          <w:szCs w:val="21"/>
          <w:highlight w:val="none"/>
          <w:lang w:val="en-US" w:eastAsia="zh-CN"/>
        </w:rPr>
        <w:t>每项</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满分3</w:t>
      </w:r>
      <w:r>
        <w:rPr>
          <w:rFonts w:hint="eastAsia" w:ascii="宋体" w:hAnsi="宋体" w:eastAsia="宋体" w:cs="宋体"/>
          <w:color w:val="auto"/>
          <w:szCs w:val="21"/>
          <w:highlight w:val="none"/>
          <w:lang w:val="zh-CN"/>
        </w:rPr>
        <w:t>分。</w:t>
      </w:r>
      <w:r>
        <w:rPr>
          <w:rFonts w:hint="eastAsia" w:ascii="宋体" w:hAnsi="宋体" w:eastAsia="宋体" w:cs="宋体"/>
          <w:b/>
          <w:bCs/>
          <w:color w:val="auto"/>
          <w:szCs w:val="21"/>
          <w:highlight w:val="none"/>
          <w:lang w:val="zh-CN"/>
        </w:rPr>
        <w:t>备注：须提供加盖用户单位公章的评价证明复印件并加盖</w:t>
      </w:r>
      <w:r>
        <w:rPr>
          <w:rFonts w:hint="eastAsia" w:ascii="宋体" w:hAnsi="宋体" w:eastAsia="宋体" w:cs="宋体"/>
          <w:b/>
          <w:bCs/>
          <w:color w:val="auto"/>
          <w:szCs w:val="21"/>
          <w:highlight w:val="none"/>
        </w:rPr>
        <w:t>供应商</w:t>
      </w:r>
      <w:r>
        <w:rPr>
          <w:rFonts w:hint="eastAsia" w:ascii="宋体" w:hAnsi="宋体" w:eastAsia="宋体" w:cs="宋体"/>
          <w:b/>
          <w:bCs/>
          <w:color w:val="auto"/>
          <w:szCs w:val="21"/>
          <w:highlight w:val="none"/>
          <w:lang w:val="zh-CN"/>
        </w:rPr>
        <w:t>公章。其他表达满意度的词语，由评委参照以上评价等级程度认定对应的评价等级。</w:t>
      </w:r>
    </w:p>
    <w:p w14:paraId="5BD91389">
      <w:pPr>
        <w:pStyle w:val="27"/>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）项目经理情况（满分</w:t>
      </w:r>
      <w:r>
        <w:rPr>
          <w:rFonts w:hint="eastAsia"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lang w:eastAsia="zh-CN"/>
        </w:rPr>
        <w:t>）</w:t>
      </w:r>
    </w:p>
    <w:p w14:paraId="0032454F">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①项目经理注册资格：具有建筑工程专业一级注册建造师资格的得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分；具有建筑工程专业二级注册建造师资格的得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w:t>
      </w:r>
    </w:p>
    <w:p w14:paraId="4E1291FB">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②</w:t>
      </w:r>
      <w:r>
        <w:rPr>
          <w:rFonts w:hint="eastAsia" w:ascii="宋体" w:hAnsi="宋体" w:eastAsia="宋体" w:cs="宋体"/>
          <w:color w:val="auto"/>
          <w:kern w:val="2"/>
          <w:sz w:val="21"/>
          <w:szCs w:val="21"/>
          <w:highlight w:val="none"/>
        </w:rPr>
        <w:t>项目经理业绩：</w:t>
      </w:r>
      <w:r>
        <w:rPr>
          <w:rFonts w:hint="eastAsia" w:ascii="宋体" w:hAnsi="宋体" w:eastAsia="宋体" w:cs="宋体"/>
          <w:color w:val="auto"/>
          <w:kern w:val="2"/>
          <w:sz w:val="21"/>
          <w:szCs w:val="21"/>
          <w:highlight w:val="none"/>
          <w:lang w:eastAsia="zh-CN"/>
        </w:rPr>
        <w:t>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年以来，</w:t>
      </w:r>
      <w:r>
        <w:rPr>
          <w:rFonts w:hint="eastAsia" w:ascii="宋体" w:hAnsi="宋体" w:eastAsia="宋体" w:cs="宋体"/>
          <w:color w:val="000000" w:themeColor="text1"/>
          <w:kern w:val="2"/>
          <w:sz w:val="21"/>
          <w:szCs w:val="21"/>
          <w:highlight w:val="none"/>
          <w14:textFill>
            <w14:solidFill>
              <w14:schemeClr w14:val="tx1"/>
            </w14:solidFill>
          </w14:textFill>
        </w:rPr>
        <w:t>项目经理曾以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项目经理（或</w:t>
      </w:r>
      <w:r>
        <w:rPr>
          <w:rFonts w:hint="eastAsia" w:ascii="宋体" w:hAnsi="宋体" w:eastAsia="宋体" w:cs="宋体"/>
          <w:color w:val="000000" w:themeColor="text1"/>
          <w:kern w:val="2"/>
          <w:sz w:val="21"/>
          <w:szCs w:val="21"/>
          <w:highlight w:val="none"/>
          <w14:textFill>
            <w14:solidFill>
              <w14:schemeClr w14:val="tx1"/>
            </w14:solidFill>
          </w14:textFill>
        </w:rPr>
        <w:t>项目负责人或技术负责人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身份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完成过类似工程</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建筑工程或建筑装饰装修工程</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业绩的，</w:t>
      </w:r>
      <w:r>
        <w:rPr>
          <w:rFonts w:hint="eastAsia" w:ascii="宋体" w:hAnsi="宋体" w:eastAsia="宋体" w:cs="宋体"/>
          <w:color w:val="auto"/>
          <w:kern w:val="2"/>
          <w:sz w:val="21"/>
          <w:szCs w:val="21"/>
          <w:highlight w:val="none"/>
        </w:rPr>
        <w:t>每完成</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项得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分，满分</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14:paraId="2EDAD7DD">
      <w:pPr>
        <w:pStyle w:val="221"/>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备注：</w:t>
      </w:r>
      <w:r>
        <w:rPr>
          <w:rFonts w:hint="eastAsia" w:ascii="宋体" w:hAnsi="宋体" w:eastAsia="宋体" w:cs="宋体"/>
          <w:b/>
          <w:bCs/>
          <w:color w:val="auto"/>
          <w:kern w:val="2"/>
          <w:sz w:val="21"/>
          <w:szCs w:val="21"/>
          <w:highlight w:val="none"/>
          <w:lang w:eastAsia="zh-CN"/>
        </w:rPr>
        <w:t>类似工程</w:t>
      </w:r>
      <w:r>
        <w:rPr>
          <w:rFonts w:hint="eastAsia" w:ascii="宋体" w:hAnsi="宋体" w:eastAsia="宋体" w:cs="宋体"/>
          <w:b/>
          <w:bCs/>
          <w:color w:val="auto"/>
          <w:kern w:val="2"/>
          <w:sz w:val="21"/>
          <w:szCs w:val="21"/>
          <w:highlight w:val="none"/>
          <w:lang w:val="en-US" w:eastAsia="zh-CN"/>
        </w:rPr>
        <w:t>业绩</w:t>
      </w:r>
      <w:r>
        <w:rPr>
          <w:rFonts w:hint="eastAsia" w:ascii="宋体" w:hAnsi="宋体" w:eastAsia="宋体" w:cs="宋体"/>
          <w:b/>
          <w:bCs/>
          <w:color w:val="auto"/>
          <w:kern w:val="2"/>
          <w:sz w:val="21"/>
          <w:szCs w:val="21"/>
          <w:highlight w:val="none"/>
        </w:rPr>
        <w:t>以合同签订时间为准，提供合同复印件</w:t>
      </w:r>
      <w:r>
        <w:rPr>
          <w:rFonts w:hint="eastAsia" w:ascii="宋体" w:hAnsi="宋体" w:cs="宋体"/>
          <w:b/>
          <w:bCs/>
          <w:color w:val="auto"/>
          <w:sz w:val="21"/>
          <w:szCs w:val="21"/>
          <w:highlight w:val="none"/>
          <w:lang w:eastAsia="zh-CN"/>
        </w:rPr>
        <w:t>、</w:t>
      </w:r>
      <w:r>
        <w:rPr>
          <w:rFonts w:hint="eastAsia" w:ascii="宋体" w:hAnsi="宋体" w:cs="宋体"/>
          <w:b/>
          <w:bCs/>
          <w:color w:val="000000" w:themeColor="text1"/>
          <w:sz w:val="21"/>
          <w:szCs w:val="21"/>
          <w:highlight w:val="none"/>
          <w:lang w:val="en-US" w:eastAsia="zh-CN"/>
          <w14:textFill>
            <w14:solidFill>
              <w14:schemeClr w14:val="tx1"/>
            </w14:solidFill>
          </w14:textFill>
        </w:rPr>
        <w:t>竣工验收报告</w:t>
      </w:r>
      <w:r>
        <w:rPr>
          <w:rFonts w:hint="eastAsia" w:ascii="宋体" w:hAnsi="宋体" w:eastAsia="宋体" w:cs="宋体"/>
          <w:b/>
          <w:bCs/>
          <w:color w:val="000000" w:themeColor="text1"/>
          <w:sz w:val="21"/>
          <w:szCs w:val="21"/>
          <w:highlight w:val="none"/>
          <w14:textFill>
            <w14:solidFill>
              <w14:schemeClr w14:val="tx1"/>
            </w14:solidFill>
          </w14:textFill>
        </w:rPr>
        <w:t>复印件</w:t>
      </w:r>
      <w:r>
        <w:rPr>
          <w:rFonts w:hint="eastAsia" w:ascii="宋体" w:hAnsi="宋体" w:eastAsia="宋体" w:cs="宋体"/>
          <w:b/>
          <w:bCs/>
          <w:color w:val="auto"/>
          <w:kern w:val="2"/>
          <w:sz w:val="21"/>
          <w:szCs w:val="21"/>
          <w:highlight w:val="none"/>
        </w:rPr>
        <w:t>并加盖公章，否则不予计分。</w:t>
      </w:r>
    </w:p>
    <w:p w14:paraId="574D3281">
      <w:pPr>
        <w:pStyle w:val="221"/>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（3）拟投入本工程管理人员情况</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分）</w:t>
      </w:r>
    </w:p>
    <w:p w14:paraId="4CF4C155">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一档(</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 xml:space="preserve">分)：项目班子人员齐备，施工员、质量员、材料员全部持证上岗，年审合格、搭配合理且具有一定的人员储备、经验及综合素质优秀，能很好满足施工要求。 </w:t>
      </w:r>
    </w:p>
    <w:p w14:paraId="1D7DB48B">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二档(</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 xml:space="preserve">分)：项目班子人员齐备，施工员、质量员、材料员全部持证上岗，年审合格、搭配较合理、经验及综合素质良好，能较好满足施工要求。 </w:t>
      </w:r>
    </w:p>
    <w:p w14:paraId="5A1294D9">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三档（</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 xml:space="preserve">分）：项目班子人员齐备，施工员、质量员、材料员全部持证上岗，年审合格、搭配较合理、经验及综合素质尚可，能满足施工要求。 </w:t>
      </w:r>
    </w:p>
    <w:p w14:paraId="1F9B4B17">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四档（</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分）：项目班子人员齐备，施工员、质量员、材料员全部持证上岗，年审合格、搭配基本合理、经验及综合素质一般，基本满足施工要求。</w:t>
      </w:r>
    </w:p>
    <w:p w14:paraId="5D138FFE">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分)：项目班子人员不齐备、无经验、不能满足施工要求。</w:t>
      </w:r>
    </w:p>
    <w:p w14:paraId="287BC8FC">
      <w:pPr>
        <w:pStyle w:val="27"/>
        <w:keepNext w:val="0"/>
        <w:keepLines w:val="0"/>
        <w:pageBreakBefore w:val="0"/>
        <w:kinsoku/>
        <w:wordWrap/>
        <w:overflowPunct/>
        <w:topLinePunct w:val="0"/>
        <w:autoSpaceDE/>
        <w:autoSpaceDN/>
        <w:bidi w:val="0"/>
        <w:adjustRightInd/>
        <w:snapToGrid/>
        <w:spacing w:line="360" w:lineRule="exact"/>
        <w:ind w:firstLine="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、技术分……………………………………………………………………………………………</w:t>
      </w:r>
      <w:r>
        <w:rPr>
          <w:rFonts w:hint="eastAsia" w:ascii="宋体" w:hAnsi="宋体" w:eastAsia="宋体" w:cs="宋体"/>
          <w:b/>
          <w:color w:val="auto"/>
          <w:sz w:val="21"/>
          <w:szCs w:val="21"/>
          <w:highlight w:val="none"/>
          <w:lang w:val="en-US" w:eastAsia="zh-CN"/>
        </w:rPr>
        <w:t>满分50</w:t>
      </w:r>
      <w:r>
        <w:rPr>
          <w:rFonts w:hint="eastAsia" w:ascii="宋体" w:hAnsi="宋体" w:eastAsia="宋体" w:cs="宋体"/>
          <w:b/>
          <w:color w:val="auto"/>
          <w:sz w:val="21"/>
          <w:szCs w:val="21"/>
          <w:highlight w:val="none"/>
        </w:rPr>
        <w:t>分</w:t>
      </w:r>
    </w:p>
    <w:p w14:paraId="4FF20B9F">
      <w:pPr>
        <w:pStyle w:val="27"/>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施工组织设计</w:t>
      </w:r>
      <w:r>
        <w:rPr>
          <w:rFonts w:hint="eastAsia" w:ascii="宋体" w:hAnsi="宋体" w:eastAsia="宋体" w:cs="宋体"/>
          <w:bCs/>
          <w:color w:val="auto"/>
          <w:sz w:val="21"/>
          <w:szCs w:val="21"/>
          <w:highlight w:val="none"/>
        </w:rPr>
        <w:t>进行评审，并独立打分。</w:t>
      </w:r>
    </w:p>
    <w:p w14:paraId="2CA8A097">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color w:val="auto"/>
          <w:sz w:val="21"/>
          <w:szCs w:val="21"/>
          <w:highlight w:val="none"/>
        </w:rPr>
      </w:pP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1</w:t>
      </w:r>
      <w:r>
        <w:rPr>
          <w:rFonts w:hint="eastAsia" w:hAnsi="宋体" w:cs="宋体"/>
          <w:b/>
          <w:bCs/>
          <w:color w:val="auto"/>
          <w:sz w:val="21"/>
          <w:szCs w:val="21"/>
          <w:highlight w:val="none"/>
          <w:lang w:eastAsia="zh-CN"/>
        </w:rPr>
        <w:t>）</w:t>
      </w:r>
      <w:r>
        <w:rPr>
          <w:rFonts w:hint="eastAsia" w:ascii="宋体" w:hAnsi="宋体" w:cs="宋体"/>
          <w:b/>
          <w:bCs/>
          <w:color w:val="auto"/>
          <w:sz w:val="21"/>
          <w:szCs w:val="21"/>
          <w:highlight w:val="none"/>
        </w:rPr>
        <w:t>主要施工方法（满分10分）</w:t>
      </w:r>
    </w:p>
    <w:p w14:paraId="4B1E2DC5">
      <w:pPr>
        <w:pStyle w:val="221"/>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一档（</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分）：各主要分部施工方法符合项目实际，有详尽的施工技术方案，工艺先进、方法科学合理、可行，能指导具体施工并确保安全。</w:t>
      </w:r>
    </w:p>
    <w:p w14:paraId="69B16164">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分）：各主要分部施工方法符合项目实际，有详细的施工技术方案，工艺、方法科学合理、可行，能较好满足施工需要并确保安全。</w:t>
      </w:r>
    </w:p>
    <w:p w14:paraId="20842C2D">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分）：各主要分部施工方法符合项目实际，有较完整的施工技术方案，工艺、方法合理、可行，能满足施工需要并确保安全。</w:t>
      </w:r>
    </w:p>
    <w:p w14:paraId="24ABA2D0">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分）：各主要分部施工方法基本符合项目实际，有基本的施工技术方案，工艺、方法可行，基本满足施工需要并确保安全。</w:t>
      </w:r>
    </w:p>
    <w:p w14:paraId="42DC96A8">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分)：各主要分部施工方法不符合项目实际，施工技术方案粗糙，不满足施工需要。</w:t>
      </w:r>
    </w:p>
    <w:p w14:paraId="229876C1">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（2）拟投入的主要物资计划（满分5分）</w:t>
      </w:r>
    </w:p>
    <w:p w14:paraId="41CC2B83">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分)：投入的施工材料有详尽的组织计划且计划周密可行，数量、选型配置、进场时间安排科学合理，能很好满足施工需要。</w:t>
      </w:r>
    </w:p>
    <w:p w14:paraId="6439FC8A">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分)：投入的施工材料有详细的组织计划且计划可行，数量、选型配置、进场时间安排合理，能较好满足施工需要。</w:t>
      </w:r>
    </w:p>
    <w:p w14:paraId="424D5B7B">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分）：投入的施工材料有较完整的组织计划且计划可行，数量、选型配置、进场时间安排合理，能满足施工需要。</w:t>
      </w:r>
    </w:p>
    <w:p w14:paraId="07A416D3">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分）：投入的施工材料有基本的组织计划且计划可行，数量、选型配置、进场时间安排基本合理，基本满足施工需要。</w:t>
      </w:r>
    </w:p>
    <w:p w14:paraId="5AE9A399">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分)：投入的施工材料的组织计划不可行，数量、选型配置、进场时间安排不合理，不满足施工需要。</w:t>
      </w:r>
    </w:p>
    <w:p w14:paraId="61591895">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（3）劳动力安排计划（满分5分）</w:t>
      </w:r>
    </w:p>
    <w:p w14:paraId="379E216C">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分)：各主要施工工序有详尽周密的劳动力安排计划，有各工种劳动力安排计划，劳动力投入科学合理，能很好满足施工需要。</w:t>
      </w:r>
    </w:p>
    <w:p w14:paraId="67E05E72">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分)：各主要施工工序有详细的劳动力安排计划，有各工种劳动力安排计划，劳动力投入合理，能较好满足施工需要。</w:t>
      </w:r>
    </w:p>
    <w:p w14:paraId="7B6F0BEF">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分）：各主要施工工序有较完整的劳动力安排计划，有各工种劳动力安排计划，劳动力投入合理，能满足施工需要。</w:t>
      </w:r>
    </w:p>
    <w:p w14:paraId="4275330E">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分）：各主要施工工序有基本的劳动力安排计划，有基本工种劳动力安排计划，劳动力投入基本合理，基本能满足施工需要。</w:t>
      </w:r>
    </w:p>
    <w:p w14:paraId="2D973BB0">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分)：各主要施工工序的劳动力安排计划不完整，劳动力投入不合理，不能满足施工需要。</w:t>
      </w:r>
    </w:p>
    <w:p w14:paraId="5B6108EE">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（4）确保工程质量的技术组织措施（满分5分）</w:t>
      </w:r>
    </w:p>
    <w:p w14:paraId="7533315A">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分)：有专门的质量技术管理班子和制度，且人员配备科学合理，制度健全、完整。主要工序质量技术保证措施和手段科学合理，自控体系完整，完全能有效保证技术质量，达到承诺的质量标准。</w:t>
      </w:r>
    </w:p>
    <w:p w14:paraId="5F1DB5B6">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分)：有专门的质量技术管理班子和制度，且人员配备合理，制度健全。主要工序的质量技术保证措施和手段较合理，自控体系完整，能较好保证技术质量，达到承诺的质量标准。</w:t>
      </w:r>
    </w:p>
    <w:p w14:paraId="626F1162">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分）：有专门的质量技术管理班子和制度，且人员配备合理，制度健全。主要工序的质量技术保证措施和手段合理，自控体系基本完整，能保证技术质量，达到承诺的质量标准。 </w:t>
      </w:r>
    </w:p>
    <w:p w14:paraId="5636B2D1">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分）：有质量技术管理班子和制度，人员配备基本合理，制度基本健全。主要工序的质量技术保证措施和手段基本合理，自控体系一般，基本能保证技术质量，基本能达到承诺的质量标准。 </w:t>
      </w:r>
    </w:p>
    <w:p w14:paraId="52CA36F2">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分)：质量技术管理班子和制度不完整，人员配备不合理，制度不健全。主要工序无质量技术保证措施和手段，自控体系不完整，不能有效保证技术质量，达不到承诺的质量标准。</w:t>
      </w:r>
    </w:p>
    <w:p w14:paraId="63AFEA67">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（5）确保安全生产的技术组织措施（满分5分）</w:t>
      </w:r>
    </w:p>
    <w:p w14:paraId="7AC3D3C4">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分)：有专门的安全管理人员和制度，且人员配备科学合理，制度健全，各道工序安全技术措施针对性强，符合实际且很好满足有关安全技术标准要求。现场防火、应急救援、社会治安安全措施得力。</w:t>
      </w:r>
    </w:p>
    <w:p w14:paraId="5C84A9AD">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分)：有专门的安全管理人员和制度，且人员配备合理，制度健全，各道工序安全技术措施有针对性，符合实际且较好满足有关安全技术标准要求。现场防火、应急救援、社会治安安全措施较得力。</w:t>
      </w:r>
    </w:p>
    <w:p w14:paraId="352EB046">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分）：有专门的安全管理人员和制度，且人员配备合理，制度健全，各道工序安全技术措施有针对性，符合实际且满足有关安全技术标准要求。现场防火、应急救援、社会治安安全措施可行。 </w:t>
      </w:r>
    </w:p>
    <w:p w14:paraId="1547B4FE">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分）：有安全管理人员和制度，人员配备基本合理，制度基本健全，各道工序安全技术措施基本符合实际且基本满足有关安全技术标准要求。现场防火、应急救援、社会治安安全措施基本可行。 </w:t>
      </w:r>
    </w:p>
    <w:p w14:paraId="0C678606">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分)：没有安全管理人员和制度，人员配备不合理，制度不健全，各道工序安全技术措施不符合实际，不满足有关安全技术标准要求。现场防火、应急救援、社会治安安全措施不可行。</w:t>
      </w:r>
    </w:p>
    <w:p w14:paraId="7A391AA6">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（6）确保工期的技术组织措施（满分5分）</w:t>
      </w:r>
    </w:p>
    <w:p w14:paraId="4716FD95">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在施工工艺、施工方法、材料选用、劳动力安排、技术等方面有保证工期的具体措施且措施得当。有控制工期的施工进度计划。有施工总进度表或施工网络图，各项计划图表编制完善，安排科学合理，能很好符合本项目施工实际要求。</w:t>
      </w:r>
    </w:p>
    <w:p w14:paraId="12888C40">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在施工工艺、施工方法、材料选用、劳动力安排、技术等方面有保证工期的具体措施且措施可行。有控制工期的施工进度计划。有施工总进度表或施工网络图，各项计划图表编制完善，安排合理，能较好符合本项目施工实际要求。</w:t>
      </w:r>
    </w:p>
    <w:p w14:paraId="792C4AA2">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在施工工艺、施工方法、材料选用、劳动力安排、技术等方面有保证工期的措施且措施可行。有控制工期的施工进度计划。有施工总进度表或施工网络图，各项计划图表编制完整，安排合理，能符合本项目施工实际要求。 </w:t>
      </w:r>
    </w:p>
    <w:p w14:paraId="7CC2A759">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在施工工艺、施工方法、材料选用、劳动力安排、技术等方面有保证工期的措施且措施基本可行。有控制工期的施工进度计划。有施工总进度表或施工网络图，各项计划图表编制基本完整，安排基本合理，基本符合本项目施工实际要求。 </w:t>
      </w:r>
    </w:p>
    <w:p w14:paraId="21877FE6">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分)：在施工工艺、施工方法、材料选用、劳动力安排、技术等方面没有保证工期的措施。没有控制工期的施工进度计划。没有施工总进度表或施工网络图，不符合本项目施工实际要求。</w:t>
      </w:r>
    </w:p>
    <w:p w14:paraId="6BBD9F72">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（7）确保文明施工的技术组织措施（满分5分）</w:t>
      </w:r>
    </w:p>
    <w:p w14:paraId="21A80E0B">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分)：针对本工程项目特点，有现场文明施工、渣土运输运距及措施、环境保护措施，且措施内容完全达到《建筑施工安全生产检查标准》（JGJ59-2011）合格标准并完全符合《广西壮族自治区建筑工程文明施工导则》要求。各项措施周全、具体、有效。有具体实现现场文明施工目标的承诺。 </w:t>
      </w:r>
    </w:p>
    <w:p w14:paraId="3FFF9723">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分)：针对本工程项目特点，有现场文明施工、环境保护措施，且措施内容达到《建筑施工安全生产检查标准》（JGJ59-2011）合格标准并符合《广西壮族自治区建筑工程文明施工导 则》要求。各项措完整。有具体实现现场文明施工目标的承诺。 </w:t>
      </w:r>
    </w:p>
    <w:p w14:paraId="5DA1673B">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针对本工程项目特点，有现场文明施工、环境保护措施，且措施内容基本达到《建筑施工安全生产检查标准》（JGJ59-2011）合格标准，基本符合《广西壮族自治区建筑工程文明施工导则》要求。项措施一般。实现现场文明施工目标的承诺一般。 </w:t>
      </w:r>
    </w:p>
    <w:p w14:paraId="0B42D449">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分）：有基本具体、可行的安全文明施工实施保证措施，各项措施一般。实现现场文明施工目标的承诺一般。</w:t>
      </w:r>
    </w:p>
    <w:p w14:paraId="7074A146">
      <w:pPr>
        <w:pStyle w:val="16"/>
        <w:keepNext w:val="0"/>
        <w:keepLines w:val="0"/>
        <w:pageBreakBefore w:val="0"/>
        <w:kinsoku/>
        <w:wordWrap/>
        <w:overflowPunct/>
        <w:topLinePunct w:val="0"/>
        <w:autoSpaceDE/>
        <w:autoSpaceDN/>
        <w:bidi w:val="0"/>
        <w:adjustRightInd/>
        <w:snapToGrid/>
        <w:spacing w:afterLines="0" w:line="360" w:lineRule="exact"/>
        <w:ind w:left="0"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五档（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分)：各项措施不合理。无具体实现现场文明施工目标的承诺。</w:t>
      </w:r>
    </w:p>
    <w:p w14:paraId="4FEE00D2">
      <w:pPr>
        <w:pStyle w:val="16"/>
        <w:keepNext w:val="0"/>
        <w:keepLines w:val="0"/>
        <w:pageBreakBefore w:val="0"/>
        <w:kinsoku/>
        <w:wordWrap/>
        <w:overflowPunct/>
        <w:topLinePunct w:val="0"/>
        <w:autoSpaceDE/>
        <w:autoSpaceDN/>
        <w:bidi w:val="0"/>
        <w:adjustRightInd/>
        <w:snapToGrid/>
        <w:spacing w:afterLines="0" w:line="360" w:lineRule="exact"/>
        <w:ind w:left="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（8）工程施工的重点和难点及保证措施（满分10分）</w:t>
      </w:r>
    </w:p>
    <w:p w14:paraId="508767FF">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分）：针对本工程的特点，阐述本工程的重点和难点，解决重点和难点问题的方法高效合理。</w:t>
      </w:r>
    </w:p>
    <w:p w14:paraId="2015C5B6">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分）：针对本工程的特点，阐述本工程的重点和难点，解决重点和难点问题的方法合理。</w:t>
      </w:r>
    </w:p>
    <w:p w14:paraId="15837046">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分）：针对本工程的特点，阐述本工程的重点和难点，解决重点和难点问题的方法基本合理。 </w:t>
      </w:r>
    </w:p>
    <w:p w14:paraId="3F3994C4">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分）：针对本工程的特点，阐述本工程的重点和难点，解决重点和难点问题的方法不清晰或对施工关键技术、工艺把握不够准确。 </w:t>
      </w:r>
    </w:p>
    <w:p w14:paraId="7138870A">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分)：针对本工程的特点，未阐述本工程的重点和难点，解决重点和难点问题的方法不合理。</w:t>
      </w:r>
    </w:p>
    <w:p w14:paraId="504F7FBC">
      <w:pPr>
        <w:pStyle w:val="27"/>
        <w:keepNext w:val="0"/>
        <w:keepLines w:val="0"/>
        <w:pageBreakBefore w:val="0"/>
        <w:kinsoku/>
        <w:wordWrap/>
        <w:overflowPunct/>
        <w:topLinePunct w:val="0"/>
        <w:autoSpaceDE/>
        <w:autoSpaceDN/>
        <w:bidi w:val="0"/>
        <w:adjustRightInd/>
        <w:snapToGrid/>
        <w:spacing w:line="360" w:lineRule="exact"/>
        <w:ind w:left="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（三）总得分 =1 + 2 + 3 </w:t>
      </w:r>
    </w:p>
    <w:p w14:paraId="0EF19DAA">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推荐原则</w:t>
      </w:r>
    </w:p>
    <w:p w14:paraId="67B0F667">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评标委员会将根据得分由高到低排列次序（得分相同时，以投标报价由低到高顺序排列；得分相同且投标报价相同的，按技术标优劣顺序排列）并推荐</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。招标采购单位应当确定评审委员会推荐排名第一的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。排名第一的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放弃中标、因不可抗力提出不能履行合同，招标采购单位可以确定排名第二的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。排名第二的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因前款规定的同样原因不能签订合同的，招标采购单位可以确定排名第三的</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，其余以此类推或重新组织招标。</w:t>
      </w:r>
    </w:p>
    <w:p w14:paraId="25576F6E">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2C45BCA3">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13E9B74D">
      <w:pPr>
        <w:pStyle w:val="27"/>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33699DD3">
      <w:pPr>
        <w:pStyle w:val="27"/>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sectPr>
      <w:headerReference r:id="rId6" w:type="first"/>
      <w:footerReference r:id="rId9" w:type="first"/>
      <w:headerReference r:id="rId5" w:type="default"/>
      <w:footerReference r:id="rId7" w:type="default"/>
      <w:footerReference r:id="rId8" w:type="even"/>
      <w:pgSz w:w="11906" w:h="16838"/>
      <w:pgMar w:top="1134" w:right="1134" w:bottom="1134" w:left="1134" w:header="851" w:footer="131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AB6D">
    <w:pPr>
      <w:pStyle w:val="31"/>
    </w:pPr>
    <w:r>
      <w:rPr>
        <w:sz w:val="18"/>
      </w:rP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-578485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23DEB">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8.9pt;margin-top:-45.55pt;height:144pt;width:144pt;mso-position-horizontal-relative:margin;mso-wrap-style:none;z-index:251659264;mso-width-relative:page;mso-height-relative:page;" filled="f" stroked="f" coordsize="21600,21600" o:gfxdata="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FXI6b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33623DEB">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8727">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D0EAC">
                          <w:pPr>
                            <w:pStyle w:val="31"/>
                            <w:rPr>
                              <w:rStyle w:val="48"/>
                            </w:rPr>
                          </w:pPr>
                          <w:r>
                            <w:fldChar w:fldCharType="begin"/>
                          </w:r>
                          <w:r>
                            <w:rPr>
                              <w:rStyle w:val="48"/>
                            </w:rPr>
                            <w:instrText xml:space="preserve">PAGE  </w:instrText>
                          </w:r>
                          <w:r>
                            <w:fldChar w:fldCharType="separate"/>
                          </w:r>
                          <w:r>
                            <w:rPr>
                              <w:rStyle w:val="48"/>
                            </w:rP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9D0EAC">
                    <w:pPr>
                      <w:pStyle w:val="31"/>
                      <w:rPr>
                        <w:rStyle w:val="48"/>
                      </w:rPr>
                    </w:pPr>
                    <w:r>
                      <w:fldChar w:fldCharType="begin"/>
                    </w:r>
                    <w:r>
                      <w:rPr>
                        <w:rStyle w:val="48"/>
                      </w:rPr>
                      <w:instrText xml:space="preserve">PAGE  </w:instrText>
                    </w:r>
                    <w:r>
                      <w:fldChar w:fldCharType="separate"/>
                    </w:r>
                    <w:r>
                      <w:rPr>
                        <w:rStyle w:val="48"/>
                      </w:rP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F117">
    <w:pPr>
      <w:pStyle w:val="31"/>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6B3A6FC2">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DEB4">
    <w:pPr>
      <w:pStyle w:val="31"/>
      <w:jc w:val="center"/>
    </w:pPr>
    <w:r>
      <w:t>17</w:t>
    </w:r>
  </w:p>
  <w:p w14:paraId="12D5DB8A">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3402">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138E">
    <w:pPr>
      <w:pStyle w:val="32"/>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A2C2">
    <w:pPr>
      <w:pStyle w:val="3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9B991"/>
    <w:multiLevelType w:val="singleLevel"/>
    <w:tmpl w:val="C429B991"/>
    <w:lvl w:ilvl="0" w:tentative="0">
      <w:start w:val="1"/>
      <w:numFmt w:val="decimal"/>
      <w:suff w:val="nothing"/>
      <w:lvlText w:val="%1、"/>
      <w:lvlJc w:val="left"/>
    </w:lvl>
  </w:abstractNum>
  <w:abstractNum w:abstractNumId="1">
    <w:nsid w:val="E57A8AD4"/>
    <w:multiLevelType w:val="singleLevel"/>
    <w:tmpl w:val="E57A8AD4"/>
    <w:lvl w:ilvl="0" w:tentative="0">
      <w:start w:val="1"/>
      <w:numFmt w:val="decimal"/>
      <w:suff w:val="nothing"/>
      <w:lvlText w:val="%1、"/>
      <w:lvlJc w:val="left"/>
    </w:lvl>
  </w:abstractNum>
  <w:abstractNum w:abstractNumId="2">
    <w:nsid w:val="06A897F8"/>
    <w:multiLevelType w:val="singleLevel"/>
    <w:tmpl w:val="06A897F8"/>
    <w:lvl w:ilvl="0" w:tentative="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TNlZDkyOWQ3NWZiMDdmMjQwNWU3MjAxOWIzMTA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3030D"/>
    <w:rsid w:val="00236F5B"/>
    <w:rsid w:val="0024402E"/>
    <w:rsid w:val="00250C35"/>
    <w:rsid w:val="0025799C"/>
    <w:rsid w:val="002828EE"/>
    <w:rsid w:val="00282EE6"/>
    <w:rsid w:val="00284181"/>
    <w:rsid w:val="00286316"/>
    <w:rsid w:val="00290ABF"/>
    <w:rsid w:val="002C1E03"/>
    <w:rsid w:val="002D4643"/>
    <w:rsid w:val="002F035C"/>
    <w:rsid w:val="002F1CE1"/>
    <w:rsid w:val="002F4EB4"/>
    <w:rsid w:val="002F524C"/>
    <w:rsid w:val="002F5959"/>
    <w:rsid w:val="002F7395"/>
    <w:rsid w:val="0032415A"/>
    <w:rsid w:val="00330926"/>
    <w:rsid w:val="00330E48"/>
    <w:rsid w:val="0033133C"/>
    <w:rsid w:val="00350B58"/>
    <w:rsid w:val="00354790"/>
    <w:rsid w:val="00363580"/>
    <w:rsid w:val="00374A13"/>
    <w:rsid w:val="003759F0"/>
    <w:rsid w:val="003927CF"/>
    <w:rsid w:val="00393BED"/>
    <w:rsid w:val="003A67E8"/>
    <w:rsid w:val="003A78D2"/>
    <w:rsid w:val="003B74DD"/>
    <w:rsid w:val="003B7FF9"/>
    <w:rsid w:val="003C7AD6"/>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2611"/>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11C91"/>
    <w:rsid w:val="007131B1"/>
    <w:rsid w:val="00726B55"/>
    <w:rsid w:val="00730782"/>
    <w:rsid w:val="00737F70"/>
    <w:rsid w:val="007609A0"/>
    <w:rsid w:val="00762CD4"/>
    <w:rsid w:val="00775DA7"/>
    <w:rsid w:val="00787233"/>
    <w:rsid w:val="00793A6F"/>
    <w:rsid w:val="007951FD"/>
    <w:rsid w:val="007C5EC3"/>
    <w:rsid w:val="007D2FF9"/>
    <w:rsid w:val="007D5341"/>
    <w:rsid w:val="007E13F9"/>
    <w:rsid w:val="007E4478"/>
    <w:rsid w:val="007E5553"/>
    <w:rsid w:val="007F26D3"/>
    <w:rsid w:val="007F7145"/>
    <w:rsid w:val="00800876"/>
    <w:rsid w:val="0080268F"/>
    <w:rsid w:val="0081540E"/>
    <w:rsid w:val="008219B8"/>
    <w:rsid w:val="008277DD"/>
    <w:rsid w:val="00840C78"/>
    <w:rsid w:val="00854713"/>
    <w:rsid w:val="008552AA"/>
    <w:rsid w:val="008642A9"/>
    <w:rsid w:val="00875B64"/>
    <w:rsid w:val="00881E06"/>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5193"/>
    <w:rsid w:val="009D21C1"/>
    <w:rsid w:val="009D59BC"/>
    <w:rsid w:val="009F0AE7"/>
    <w:rsid w:val="00A01634"/>
    <w:rsid w:val="00A04DA8"/>
    <w:rsid w:val="00A115EA"/>
    <w:rsid w:val="00A152E9"/>
    <w:rsid w:val="00A42421"/>
    <w:rsid w:val="00A51634"/>
    <w:rsid w:val="00A60859"/>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B02BD7"/>
    <w:rsid w:val="00B05C39"/>
    <w:rsid w:val="00B21E79"/>
    <w:rsid w:val="00B3085B"/>
    <w:rsid w:val="00B32F6D"/>
    <w:rsid w:val="00B35A99"/>
    <w:rsid w:val="00B361A5"/>
    <w:rsid w:val="00B404D3"/>
    <w:rsid w:val="00B408AC"/>
    <w:rsid w:val="00B453F5"/>
    <w:rsid w:val="00B57027"/>
    <w:rsid w:val="00B6498C"/>
    <w:rsid w:val="00B64E1F"/>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4123B"/>
    <w:rsid w:val="00C450BD"/>
    <w:rsid w:val="00C51002"/>
    <w:rsid w:val="00C763AD"/>
    <w:rsid w:val="00C77867"/>
    <w:rsid w:val="00C87EED"/>
    <w:rsid w:val="00CB0360"/>
    <w:rsid w:val="00CB6C17"/>
    <w:rsid w:val="00CF33E7"/>
    <w:rsid w:val="00D027AD"/>
    <w:rsid w:val="00D065A5"/>
    <w:rsid w:val="00D159A1"/>
    <w:rsid w:val="00D21270"/>
    <w:rsid w:val="00D21D8D"/>
    <w:rsid w:val="00D27C5C"/>
    <w:rsid w:val="00D30121"/>
    <w:rsid w:val="00D3567D"/>
    <w:rsid w:val="00D44AA3"/>
    <w:rsid w:val="00D56B12"/>
    <w:rsid w:val="00D6485C"/>
    <w:rsid w:val="00D67980"/>
    <w:rsid w:val="00D71C53"/>
    <w:rsid w:val="00D7692A"/>
    <w:rsid w:val="00D76D24"/>
    <w:rsid w:val="00D834FE"/>
    <w:rsid w:val="00D91F49"/>
    <w:rsid w:val="00DB5446"/>
    <w:rsid w:val="00DB6EAC"/>
    <w:rsid w:val="00DC055C"/>
    <w:rsid w:val="00DD09D7"/>
    <w:rsid w:val="00DF0657"/>
    <w:rsid w:val="00DF3C49"/>
    <w:rsid w:val="00E0017A"/>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C6161"/>
    <w:rsid w:val="00ED0A74"/>
    <w:rsid w:val="00ED1677"/>
    <w:rsid w:val="00ED20C3"/>
    <w:rsid w:val="00ED4402"/>
    <w:rsid w:val="00EE1851"/>
    <w:rsid w:val="00EF6786"/>
    <w:rsid w:val="00F021D7"/>
    <w:rsid w:val="00F06689"/>
    <w:rsid w:val="00F10BA5"/>
    <w:rsid w:val="00F1201C"/>
    <w:rsid w:val="00F13D95"/>
    <w:rsid w:val="00F272D0"/>
    <w:rsid w:val="00F3159C"/>
    <w:rsid w:val="00F37635"/>
    <w:rsid w:val="00F463CE"/>
    <w:rsid w:val="00F47689"/>
    <w:rsid w:val="00F61E8C"/>
    <w:rsid w:val="00F65341"/>
    <w:rsid w:val="00F7046E"/>
    <w:rsid w:val="00F715B4"/>
    <w:rsid w:val="00F725BF"/>
    <w:rsid w:val="00F860E2"/>
    <w:rsid w:val="00F86A97"/>
    <w:rsid w:val="00F91299"/>
    <w:rsid w:val="00FA1224"/>
    <w:rsid w:val="00FA159A"/>
    <w:rsid w:val="00FA364F"/>
    <w:rsid w:val="00FB4608"/>
    <w:rsid w:val="00FB70EF"/>
    <w:rsid w:val="00FC49FB"/>
    <w:rsid w:val="00FD552A"/>
    <w:rsid w:val="00FD6C46"/>
    <w:rsid w:val="00FD6D32"/>
    <w:rsid w:val="00FE600C"/>
    <w:rsid w:val="00FF4075"/>
    <w:rsid w:val="00FF52C7"/>
    <w:rsid w:val="01644D8A"/>
    <w:rsid w:val="019B7734"/>
    <w:rsid w:val="01F114A6"/>
    <w:rsid w:val="02092C94"/>
    <w:rsid w:val="025D5296"/>
    <w:rsid w:val="026C4FD1"/>
    <w:rsid w:val="02993F83"/>
    <w:rsid w:val="02D05560"/>
    <w:rsid w:val="030516AD"/>
    <w:rsid w:val="0365741F"/>
    <w:rsid w:val="03F01F66"/>
    <w:rsid w:val="046C6457"/>
    <w:rsid w:val="047503B5"/>
    <w:rsid w:val="04A93D07"/>
    <w:rsid w:val="04EB58A2"/>
    <w:rsid w:val="057D5BD6"/>
    <w:rsid w:val="06F8247A"/>
    <w:rsid w:val="072A0A1E"/>
    <w:rsid w:val="07A858EF"/>
    <w:rsid w:val="08C06041"/>
    <w:rsid w:val="091066B6"/>
    <w:rsid w:val="09E92ED1"/>
    <w:rsid w:val="0A3353C6"/>
    <w:rsid w:val="0A5D3B7D"/>
    <w:rsid w:val="0A854E23"/>
    <w:rsid w:val="0B120D0D"/>
    <w:rsid w:val="0B552AA6"/>
    <w:rsid w:val="0B8745A0"/>
    <w:rsid w:val="0BC50C6A"/>
    <w:rsid w:val="0C0E57DA"/>
    <w:rsid w:val="0CF942EF"/>
    <w:rsid w:val="0DC9020F"/>
    <w:rsid w:val="0E6B25E0"/>
    <w:rsid w:val="0F3E7780"/>
    <w:rsid w:val="10060E11"/>
    <w:rsid w:val="10235625"/>
    <w:rsid w:val="1040267F"/>
    <w:rsid w:val="10522E11"/>
    <w:rsid w:val="108A31F2"/>
    <w:rsid w:val="112D73DF"/>
    <w:rsid w:val="1167213E"/>
    <w:rsid w:val="11AB719A"/>
    <w:rsid w:val="11E3705D"/>
    <w:rsid w:val="11F42600"/>
    <w:rsid w:val="13502B6A"/>
    <w:rsid w:val="1356560D"/>
    <w:rsid w:val="13702B73"/>
    <w:rsid w:val="14E46183"/>
    <w:rsid w:val="14FC21E4"/>
    <w:rsid w:val="150A66AF"/>
    <w:rsid w:val="15A765F4"/>
    <w:rsid w:val="15B57021"/>
    <w:rsid w:val="171F0DE0"/>
    <w:rsid w:val="177421B4"/>
    <w:rsid w:val="17982698"/>
    <w:rsid w:val="17F673BF"/>
    <w:rsid w:val="18D71CFF"/>
    <w:rsid w:val="19060388"/>
    <w:rsid w:val="19183BAB"/>
    <w:rsid w:val="19333488"/>
    <w:rsid w:val="195023FB"/>
    <w:rsid w:val="19BB27DD"/>
    <w:rsid w:val="1A097D9A"/>
    <w:rsid w:val="1A165AF6"/>
    <w:rsid w:val="1A9C3DB4"/>
    <w:rsid w:val="1ACA396A"/>
    <w:rsid w:val="1B1120A4"/>
    <w:rsid w:val="1C760ACE"/>
    <w:rsid w:val="1D0113C9"/>
    <w:rsid w:val="1E8D64A6"/>
    <w:rsid w:val="1F0F770F"/>
    <w:rsid w:val="1F3A0C97"/>
    <w:rsid w:val="1FB157C7"/>
    <w:rsid w:val="1FC726BC"/>
    <w:rsid w:val="20EA1DAD"/>
    <w:rsid w:val="20EA7FA2"/>
    <w:rsid w:val="20F24297"/>
    <w:rsid w:val="216239BD"/>
    <w:rsid w:val="2168773E"/>
    <w:rsid w:val="222946EC"/>
    <w:rsid w:val="227244D7"/>
    <w:rsid w:val="22B1460E"/>
    <w:rsid w:val="22B94985"/>
    <w:rsid w:val="22BC61C2"/>
    <w:rsid w:val="233174FD"/>
    <w:rsid w:val="242772DF"/>
    <w:rsid w:val="257B7204"/>
    <w:rsid w:val="25A95A70"/>
    <w:rsid w:val="25FE26ED"/>
    <w:rsid w:val="26E33204"/>
    <w:rsid w:val="27687332"/>
    <w:rsid w:val="278E3170"/>
    <w:rsid w:val="27D74B17"/>
    <w:rsid w:val="27DA1E54"/>
    <w:rsid w:val="28424BB8"/>
    <w:rsid w:val="285A2DEF"/>
    <w:rsid w:val="28C0272C"/>
    <w:rsid w:val="28CF4FC9"/>
    <w:rsid w:val="28F96C10"/>
    <w:rsid w:val="293428D9"/>
    <w:rsid w:val="2A044F6B"/>
    <w:rsid w:val="2A105440"/>
    <w:rsid w:val="2A500BB0"/>
    <w:rsid w:val="2AC2308D"/>
    <w:rsid w:val="2B136F1C"/>
    <w:rsid w:val="2BBA56D7"/>
    <w:rsid w:val="2BCA4927"/>
    <w:rsid w:val="2C594B04"/>
    <w:rsid w:val="2C892158"/>
    <w:rsid w:val="2DB02DAA"/>
    <w:rsid w:val="2EBA3A67"/>
    <w:rsid w:val="2EF672D3"/>
    <w:rsid w:val="2F47747B"/>
    <w:rsid w:val="2F75733C"/>
    <w:rsid w:val="2FB1087F"/>
    <w:rsid w:val="2FB614B6"/>
    <w:rsid w:val="30057122"/>
    <w:rsid w:val="301D290F"/>
    <w:rsid w:val="312608BD"/>
    <w:rsid w:val="3260395B"/>
    <w:rsid w:val="32BF4B25"/>
    <w:rsid w:val="32E620B2"/>
    <w:rsid w:val="332F677D"/>
    <w:rsid w:val="3372510A"/>
    <w:rsid w:val="35727C2D"/>
    <w:rsid w:val="35F7155E"/>
    <w:rsid w:val="367540AD"/>
    <w:rsid w:val="36F540ED"/>
    <w:rsid w:val="37011251"/>
    <w:rsid w:val="37A37993"/>
    <w:rsid w:val="38417D8A"/>
    <w:rsid w:val="387C5EEF"/>
    <w:rsid w:val="38B51DD9"/>
    <w:rsid w:val="3906397E"/>
    <w:rsid w:val="39B527DE"/>
    <w:rsid w:val="3A2F1172"/>
    <w:rsid w:val="3A563E61"/>
    <w:rsid w:val="3AA26D35"/>
    <w:rsid w:val="3AA5187B"/>
    <w:rsid w:val="3AA65E47"/>
    <w:rsid w:val="3B2319C9"/>
    <w:rsid w:val="3BDA7A57"/>
    <w:rsid w:val="3C2A412F"/>
    <w:rsid w:val="3CE77152"/>
    <w:rsid w:val="3D0F48FB"/>
    <w:rsid w:val="3DB520C9"/>
    <w:rsid w:val="3F1C4CAE"/>
    <w:rsid w:val="3F5C78B4"/>
    <w:rsid w:val="3F8C1CD0"/>
    <w:rsid w:val="3FEA6BEA"/>
    <w:rsid w:val="4024169E"/>
    <w:rsid w:val="4080236E"/>
    <w:rsid w:val="40C50F49"/>
    <w:rsid w:val="40FD66AE"/>
    <w:rsid w:val="42A17DA3"/>
    <w:rsid w:val="42D914E5"/>
    <w:rsid w:val="42F62D86"/>
    <w:rsid w:val="43943464"/>
    <w:rsid w:val="441B3B85"/>
    <w:rsid w:val="46AA21C0"/>
    <w:rsid w:val="46D83A2B"/>
    <w:rsid w:val="47133990"/>
    <w:rsid w:val="471B1256"/>
    <w:rsid w:val="47855610"/>
    <w:rsid w:val="47926FE7"/>
    <w:rsid w:val="47D74267"/>
    <w:rsid w:val="48A920B1"/>
    <w:rsid w:val="49AD6EB4"/>
    <w:rsid w:val="49B52386"/>
    <w:rsid w:val="4A111CB3"/>
    <w:rsid w:val="4A3D2AA8"/>
    <w:rsid w:val="4AAE12AF"/>
    <w:rsid w:val="4B1D6435"/>
    <w:rsid w:val="4B681412"/>
    <w:rsid w:val="4B904E54"/>
    <w:rsid w:val="4BCF0FFC"/>
    <w:rsid w:val="4C1B5BC3"/>
    <w:rsid w:val="4CDE5D7E"/>
    <w:rsid w:val="4CFD36A7"/>
    <w:rsid w:val="4D897DB2"/>
    <w:rsid w:val="4DA122E9"/>
    <w:rsid w:val="503C2295"/>
    <w:rsid w:val="521A36CE"/>
    <w:rsid w:val="52500E9E"/>
    <w:rsid w:val="52EC2037"/>
    <w:rsid w:val="53220A8C"/>
    <w:rsid w:val="532F4F57"/>
    <w:rsid w:val="54134089"/>
    <w:rsid w:val="541C548D"/>
    <w:rsid w:val="54B51E36"/>
    <w:rsid w:val="54B70E30"/>
    <w:rsid w:val="55630EE8"/>
    <w:rsid w:val="5581613E"/>
    <w:rsid w:val="559D4C79"/>
    <w:rsid w:val="55AB4E26"/>
    <w:rsid w:val="56A825D4"/>
    <w:rsid w:val="56DF2C84"/>
    <w:rsid w:val="582374A8"/>
    <w:rsid w:val="588F38E4"/>
    <w:rsid w:val="597B2CA5"/>
    <w:rsid w:val="59901C0E"/>
    <w:rsid w:val="59AC5554"/>
    <w:rsid w:val="5A600073"/>
    <w:rsid w:val="5A90452E"/>
    <w:rsid w:val="5B3524F6"/>
    <w:rsid w:val="5B6B2C0D"/>
    <w:rsid w:val="5BBA3BBA"/>
    <w:rsid w:val="5BBB2A69"/>
    <w:rsid w:val="5C8005D2"/>
    <w:rsid w:val="5CAF2C65"/>
    <w:rsid w:val="5CC0575D"/>
    <w:rsid w:val="5DF024B0"/>
    <w:rsid w:val="5E0D6E04"/>
    <w:rsid w:val="5E371647"/>
    <w:rsid w:val="5E60690D"/>
    <w:rsid w:val="5F182425"/>
    <w:rsid w:val="5F673CCA"/>
    <w:rsid w:val="62A6057B"/>
    <w:rsid w:val="62CF28F5"/>
    <w:rsid w:val="62D3052B"/>
    <w:rsid w:val="631D1553"/>
    <w:rsid w:val="6535464F"/>
    <w:rsid w:val="65624CE3"/>
    <w:rsid w:val="65C73592"/>
    <w:rsid w:val="65DF7582"/>
    <w:rsid w:val="65E9543A"/>
    <w:rsid w:val="66A15D14"/>
    <w:rsid w:val="6788395D"/>
    <w:rsid w:val="67AF0307"/>
    <w:rsid w:val="6808604B"/>
    <w:rsid w:val="68267998"/>
    <w:rsid w:val="68556DB7"/>
    <w:rsid w:val="697F058F"/>
    <w:rsid w:val="69C33A59"/>
    <w:rsid w:val="69F223CE"/>
    <w:rsid w:val="6A12254A"/>
    <w:rsid w:val="6AD42215"/>
    <w:rsid w:val="6B173FE4"/>
    <w:rsid w:val="6B48475E"/>
    <w:rsid w:val="6C807FC3"/>
    <w:rsid w:val="6D5C7C79"/>
    <w:rsid w:val="6DCF3167"/>
    <w:rsid w:val="6E370B45"/>
    <w:rsid w:val="6E5D39F8"/>
    <w:rsid w:val="6E6324B7"/>
    <w:rsid w:val="6E6E0BD2"/>
    <w:rsid w:val="6ECF5674"/>
    <w:rsid w:val="70807E56"/>
    <w:rsid w:val="7099175E"/>
    <w:rsid w:val="70B40C11"/>
    <w:rsid w:val="70E63B81"/>
    <w:rsid w:val="70F73101"/>
    <w:rsid w:val="713D7853"/>
    <w:rsid w:val="71D32894"/>
    <w:rsid w:val="72365907"/>
    <w:rsid w:val="72691DDC"/>
    <w:rsid w:val="72E005AD"/>
    <w:rsid w:val="73353A6C"/>
    <w:rsid w:val="733C53D0"/>
    <w:rsid w:val="73530396"/>
    <w:rsid w:val="735B575E"/>
    <w:rsid w:val="74CC2B9D"/>
    <w:rsid w:val="74E2602F"/>
    <w:rsid w:val="75790588"/>
    <w:rsid w:val="75E6247B"/>
    <w:rsid w:val="76986020"/>
    <w:rsid w:val="772B0915"/>
    <w:rsid w:val="775207CF"/>
    <w:rsid w:val="779C67B0"/>
    <w:rsid w:val="77EE7E04"/>
    <w:rsid w:val="77F7A09D"/>
    <w:rsid w:val="78160310"/>
    <w:rsid w:val="781F4CEB"/>
    <w:rsid w:val="7874748C"/>
    <w:rsid w:val="789366E3"/>
    <w:rsid w:val="78A27DF6"/>
    <w:rsid w:val="79F71A7C"/>
    <w:rsid w:val="7B7A36AA"/>
    <w:rsid w:val="7BFA7DAC"/>
    <w:rsid w:val="7C0D727B"/>
    <w:rsid w:val="7CA37C99"/>
    <w:rsid w:val="7CD04A7C"/>
    <w:rsid w:val="7D4423DA"/>
    <w:rsid w:val="7D692C5F"/>
    <w:rsid w:val="7DA41F1A"/>
    <w:rsid w:val="7DDF3B93"/>
    <w:rsid w:val="7E06656A"/>
    <w:rsid w:val="7F14620B"/>
    <w:rsid w:val="7F157899"/>
    <w:rsid w:val="EA9EBB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3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3"/>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66"/>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11"/>
    <w:link w:val="56"/>
    <w:qFormat/>
    <w:uiPriority w:val="0"/>
    <w:pPr>
      <w:keepNext/>
      <w:keepLines/>
      <w:spacing w:before="240" w:after="64" w:line="320" w:lineRule="auto"/>
      <w:outlineLvl w:val="6"/>
    </w:pPr>
    <w:rPr>
      <w:b/>
      <w:sz w:val="24"/>
    </w:rPr>
  </w:style>
  <w:style w:type="paragraph" w:styleId="12">
    <w:name w:val="heading 8"/>
    <w:basedOn w:val="1"/>
    <w:next w:val="11"/>
    <w:link w:val="142"/>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1"/>
    <w:link w:val="105"/>
    <w:qFormat/>
    <w:uiPriority w:val="0"/>
    <w:pPr>
      <w:keepNext/>
      <w:keepLines/>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unhideWhenUsed/>
    <w:qFormat/>
    <w:uiPriority w:val="99"/>
    <w:pPr>
      <w:spacing w:after="120"/>
    </w:pPr>
  </w:style>
  <w:style w:type="paragraph" w:styleId="3">
    <w:name w:val="macro"/>
    <w:link w:val="6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1">
    <w:name w:val="Normal Indent"/>
    <w:basedOn w:val="1"/>
    <w:link w:val="107"/>
    <w:qFormat/>
    <w:uiPriority w:val="0"/>
    <w:pPr>
      <w:ind w:firstLine="420"/>
    </w:pPr>
    <w:rPr>
      <w:szCs w:val="20"/>
    </w:rPr>
  </w:style>
  <w:style w:type="paragraph" w:styleId="14">
    <w:name w:val="table of authorities"/>
    <w:basedOn w:val="1"/>
    <w:next w:val="1"/>
    <w:qFormat/>
    <w:uiPriority w:val="99"/>
    <w:pPr>
      <w:spacing w:line="360" w:lineRule="auto"/>
      <w:ind w:left="420" w:leftChars="200"/>
    </w:pPr>
    <w:rPr>
      <w:rFonts w:ascii="Times New Roman" w:hAnsi="Times New Roman" w:eastAsia="宋体" w:cs="Times New Roman"/>
      <w:lang w:val="en-US" w:eastAsia="zh-CN" w:bidi="ar-SA"/>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35"/>
    <w:semiHidden/>
    <w:qFormat/>
    <w:uiPriority w:val="0"/>
    <w:pPr>
      <w:shd w:val="clear" w:color="auto" w:fill="000080"/>
    </w:pPr>
  </w:style>
  <w:style w:type="paragraph" w:styleId="19">
    <w:name w:val="annotation text"/>
    <w:basedOn w:val="1"/>
    <w:next w:val="20"/>
    <w:link w:val="75"/>
    <w:qFormat/>
    <w:uiPriority w:val="0"/>
    <w:pPr>
      <w:jc w:val="left"/>
    </w:pPr>
  </w:style>
  <w:style w:type="paragraph" w:styleId="20">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21">
    <w:name w:val="Body Text 3"/>
    <w:basedOn w:val="1"/>
    <w:link w:val="137"/>
    <w:qFormat/>
    <w:uiPriority w:val="0"/>
    <w:pPr>
      <w:spacing w:line="500" w:lineRule="exact"/>
    </w:pPr>
    <w:rPr>
      <w:b/>
      <w:bCs/>
      <w:kern w:val="0"/>
      <w:sz w:val="24"/>
    </w:rPr>
  </w:style>
  <w:style w:type="paragraph" w:styleId="22">
    <w:name w:val="Body Text Indent"/>
    <w:basedOn w:val="1"/>
    <w:next w:val="23"/>
    <w:link w:val="59"/>
    <w:qFormat/>
    <w:uiPriority w:val="0"/>
    <w:pPr>
      <w:ind w:firstLine="830" w:firstLineChars="352"/>
    </w:pPr>
    <w:rPr>
      <w:rFonts w:ascii="仿宋_GB2312" w:eastAsia="仿宋_GB2312"/>
      <w:kern w:val="0"/>
      <w:sz w:val="32"/>
      <w:szCs w:val="20"/>
    </w:rPr>
  </w:style>
  <w:style w:type="paragraph" w:styleId="23">
    <w:name w:val="envelope return"/>
    <w:basedOn w:val="1"/>
    <w:qFormat/>
    <w:uiPriority w:val="0"/>
    <w:pPr>
      <w:snapToGrid w:val="0"/>
    </w:pPr>
    <w:rPr>
      <w:rFonts w:ascii="Arial" w:hAnsi="Arial"/>
    </w:rPr>
  </w:style>
  <w:style w:type="paragraph" w:styleId="24">
    <w:name w:val="List Number 3"/>
    <w:basedOn w:val="1"/>
    <w:qFormat/>
    <w:uiPriority w:val="0"/>
    <w:pPr>
      <w:tabs>
        <w:tab w:val="left" w:pos="900"/>
      </w:tabs>
      <w:ind w:left="900" w:hanging="420"/>
    </w:pPr>
  </w:style>
  <w:style w:type="paragraph" w:styleId="25">
    <w:name w:val="List 2"/>
    <w:basedOn w:val="1"/>
    <w:qFormat/>
    <w:uiPriority w:val="0"/>
    <w:pPr>
      <w:ind w:left="100" w:leftChars="200" w:hanging="200" w:hangingChars="200"/>
    </w:pPr>
    <w:rPr>
      <w:sz w:val="28"/>
    </w:rPr>
  </w:style>
  <w:style w:type="paragraph" w:styleId="26">
    <w:name w:val="toc 3"/>
    <w:basedOn w:val="1"/>
    <w:next w:val="1"/>
    <w:semiHidden/>
    <w:unhideWhenUsed/>
    <w:qFormat/>
    <w:uiPriority w:val="39"/>
    <w:pPr>
      <w:ind w:left="840" w:leftChars="400"/>
    </w:pPr>
  </w:style>
  <w:style w:type="paragraph" w:styleId="27">
    <w:name w:val="Plain Text"/>
    <w:basedOn w:val="1"/>
    <w:link w:val="125"/>
    <w:qFormat/>
    <w:uiPriority w:val="0"/>
    <w:rPr>
      <w:rFonts w:ascii="宋体" w:hAnsi="Courier New"/>
      <w:kern w:val="0"/>
      <w:sz w:val="20"/>
      <w:szCs w:val="21"/>
    </w:rPr>
  </w:style>
  <w:style w:type="paragraph" w:styleId="28">
    <w:name w:val="Date"/>
    <w:basedOn w:val="1"/>
    <w:next w:val="1"/>
    <w:link w:val="54"/>
    <w:qFormat/>
    <w:uiPriority w:val="0"/>
    <w:pPr>
      <w:ind w:left="100" w:leftChars="2500"/>
    </w:pPr>
  </w:style>
  <w:style w:type="paragraph" w:styleId="29">
    <w:name w:val="Body Text Indent 2"/>
    <w:basedOn w:val="1"/>
    <w:link w:val="79"/>
    <w:unhideWhenUsed/>
    <w:qFormat/>
    <w:uiPriority w:val="0"/>
    <w:pPr>
      <w:spacing w:after="120" w:line="480" w:lineRule="auto"/>
      <w:ind w:left="420" w:leftChars="200"/>
    </w:pPr>
  </w:style>
  <w:style w:type="paragraph" w:styleId="30">
    <w:name w:val="Balloon Text"/>
    <w:basedOn w:val="1"/>
    <w:link w:val="117"/>
    <w:semiHidden/>
    <w:qFormat/>
    <w:uiPriority w:val="0"/>
    <w:rPr>
      <w:sz w:val="18"/>
      <w:szCs w:val="18"/>
    </w:rPr>
  </w:style>
  <w:style w:type="paragraph" w:styleId="31">
    <w:name w:val="footer"/>
    <w:basedOn w:val="1"/>
    <w:link w:val="120"/>
    <w:unhideWhenUsed/>
    <w:qFormat/>
    <w:uiPriority w:val="0"/>
    <w:pPr>
      <w:tabs>
        <w:tab w:val="center" w:pos="4153"/>
        <w:tab w:val="right" w:pos="8306"/>
      </w:tabs>
      <w:snapToGrid w:val="0"/>
      <w:jc w:val="left"/>
    </w:pPr>
    <w:rPr>
      <w:rFonts w:ascii="Calibri" w:hAnsi="Calibri"/>
      <w:kern w:val="0"/>
      <w:sz w:val="18"/>
      <w:szCs w:val="18"/>
    </w:rPr>
  </w:style>
  <w:style w:type="paragraph" w:styleId="32">
    <w:name w:val="header"/>
    <w:basedOn w:val="1"/>
    <w:link w:val="11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List"/>
    <w:basedOn w:val="1"/>
    <w:qFormat/>
    <w:uiPriority w:val="0"/>
    <w:pPr>
      <w:ind w:left="200" w:hanging="200" w:hangingChars="200"/>
    </w:pPr>
    <w:rPr>
      <w:sz w:val="28"/>
    </w:rPr>
  </w:style>
  <w:style w:type="paragraph" w:styleId="34">
    <w:name w:val="Body Text Indent 3"/>
    <w:basedOn w:val="1"/>
    <w:link w:val="101"/>
    <w:qFormat/>
    <w:uiPriority w:val="0"/>
    <w:pPr>
      <w:spacing w:after="120"/>
      <w:ind w:left="420" w:leftChars="200"/>
    </w:pPr>
    <w:rPr>
      <w:kern w:val="0"/>
      <w:sz w:val="16"/>
      <w:szCs w:val="16"/>
    </w:rPr>
  </w:style>
  <w:style w:type="paragraph" w:styleId="35">
    <w:name w:val="toc 9"/>
    <w:basedOn w:val="1"/>
    <w:next w:val="1"/>
    <w:semiHidden/>
    <w:qFormat/>
    <w:uiPriority w:val="0"/>
    <w:pPr>
      <w:ind w:left="3360" w:leftChars="1600"/>
    </w:pPr>
    <w:rPr>
      <w:rFonts w:ascii="宋体" w:hAnsi="Courier New"/>
      <w:szCs w:val="20"/>
    </w:rPr>
  </w:style>
  <w:style w:type="paragraph" w:styleId="36">
    <w:name w:val="Body Text 2"/>
    <w:basedOn w:val="1"/>
    <w:link w:val="150"/>
    <w:qFormat/>
    <w:uiPriority w:val="0"/>
    <w:pPr>
      <w:spacing w:after="120" w:line="480" w:lineRule="auto"/>
    </w:pPr>
    <w:rPr>
      <w:kern w:val="0"/>
      <w:sz w:val="20"/>
    </w:rPr>
  </w:style>
  <w:style w:type="paragraph" w:styleId="37">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9">
    <w:name w:val="index 1"/>
    <w:basedOn w:val="1"/>
    <w:next w:val="1"/>
    <w:semiHidden/>
    <w:qFormat/>
    <w:uiPriority w:val="0"/>
    <w:pPr>
      <w:spacing w:line="400" w:lineRule="exact"/>
      <w:ind w:firstLine="420" w:firstLineChars="200"/>
    </w:pPr>
    <w:rPr>
      <w:rFonts w:ascii="宋体" w:hAnsi="Courier New"/>
      <w:b/>
      <w:szCs w:val="20"/>
    </w:rPr>
  </w:style>
  <w:style w:type="paragraph" w:styleId="40">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1">
    <w:name w:val="annotation subject"/>
    <w:basedOn w:val="19"/>
    <w:next w:val="19"/>
    <w:link w:val="55"/>
    <w:semiHidden/>
    <w:qFormat/>
    <w:uiPriority w:val="0"/>
    <w:rPr>
      <w:b/>
      <w:bCs/>
    </w:rPr>
  </w:style>
  <w:style w:type="paragraph" w:styleId="42">
    <w:name w:val="Body Text First Indent"/>
    <w:basedOn w:val="2"/>
    <w:next w:val="1"/>
    <w:qFormat/>
    <w:uiPriority w:val="0"/>
    <w:pPr>
      <w:ind w:firstLine="420" w:firstLineChars="100"/>
    </w:pPr>
    <w:rPr>
      <w:rFonts w:ascii="Tahoma" w:hAnsi="Tahoma"/>
      <w:sz w:val="24"/>
    </w:rPr>
  </w:style>
  <w:style w:type="paragraph" w:styleId="43">
    <w:name w:val="Body Text First Indent 2"/>
    <w:basedOn w:val="22"/>
    <w:next w:val="42"/>
    <w:link w:val="214"/>
    <w:qFormat/>
    <w:uiPriority w:val="0"/>
    <w:pPr>
      <w:spacing w:after="120"/>
      <w:ind w:left="420" w:leftChars="200" w:firstLine="420" w:firstLineChars="200"/>
    </w:pPr>
    <w:rPr>
      <w:rFonts w:ascii="Times New Roman" w:eastAsia="宋体"/>
      <w:kern w:val="2"/>
      <w:sz w:val="21"/>
      <w:szCs w:val="24"/>
    </w:rPr>
  </w:style>
  <w:style w:type="table" w:styleId="45">
    <w:name w:val="Table Grid"/>
    <w:basedOn w:val="44"/>
    <w:qFormat/>
    <w:uiPriority w:val="9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Sample"/>
    <w:basedOn w:val="46"/>
    <w:semiHidden/>
    <w:unhideWhenUsed/>
    <w:qFormat/>
    <w:uiPriority w:val="99"/>
    <w:rPr>
      <w:rFonts w:ascii="Courier New" w:hAnsi="Courier New"/>
    </w:rPr>
  </w:style>
  <w:style w:type="character" w:customStyle="1" w:styleId="54">
    <w:name w:val="日期 Char"/>
    <w:link w:val="28"/>
    <w:qFormat/>
    <w:uiPriority w:val="0"/>
    <w:rPr>
      <w:rFonts w:ascii="Times New Roman" w:hAnsi="Times New Roman"/>
      <w:kern w:val="2"/>
      <w:sz w:val="21"/>
      <w:szCs w:val="24"/>
    </w:rPr>
  </w:style>
  <w:style w:type="character" w:customStyle="1" w:styleId="55">
    <w:name w:val="批注主题 Char"/>
    <w:link w:val="41"/>
    <w:semiHidden/>
    <w:qFormat/>
    <w:uiPriority w:val="0"/>
    <w:rPr>
      <w:rFonts w:ascii="Times New Roman" w:hAnsi="Times New Roman"/>
      <w:b/>
      <w:bCs/>
      <w:kern w:val="2"/>
      <w:sz w:val="21"/>
      <w:szCs w:val="24"/>
    </w:rPr>
  </w:style>
  <w:style w:type="character" w:customStyle="1" w:styleId="56">
    <w:name w:val="标题 7 Char"/>
    <w:link w:val="10"/>
    <w:qFormat/>
    <w:uiPriority w:val="0"/>
    <w:rPr>
      <w:rFonts w:ascii="Times New Roman" w:hAnsi="Times New Roman"/>
      <w:b/>
      <w:kern w:val="2"/>
      <w:sz w:val="24"/>
      <w:szCs w:val="24"/>
    </w:rPr>
  </w:style>
  <w:style w:type="character" w:customStyle="1" w:styleId="57">
    <w:name w:val="apple-converted-space"/>
    <w:basedOn w:val="46"/>
    <w:qFormat/>
    <w:uiPriority w:val="0"/>
  </w:style>
  <w:style w:type="character" w:customStyle="1" w:styleId="58">
    <w:name w:val="纯文本 Char1"/>
    <w:qFormat/>
    <w:uiPriority w:val="0"/>
    <w:rPr>
      <w:rFonts w:ascii="宋体" w:hAnsi="Courier New" w:eastAsia="宋体" w:cs="Times New Roman"/>
      <w:szCs w:val="20"/>
    </w:rPr>
  </w:style>
  <w:style w:type="character" w:customStyle="1" w:styleId="59">
    <w:name w:val="正文文本缩进 Char"/>
    <w:link w:val="22"/>
    <w:qFormat/>
    <w:uiPriority w:val="0"/>
    <w:rPr>
      <w:rFonts w:ascii="仿宋_GB2312" w:hAnsi="Times New Roman" w:eastAsia="仿宋_GB2312" w:cs="Times New Roman"/>
      <w:sz w:val="32"/>
      <w:szCs w:val="20"/>
    </w:rPr>
  </w:style>
  <w:style w:type="character" w:customStyle="1" w:styleId="60">
    <w:name w:val="宏文本 Char"/>
    <w:link w:val="3"/>
    <w:semiHidden/>
    <w:qFormat/>
    <w:uiPriority w:val="0"/>
    <w:rPr>
      <w:rFonts w:ascii="Courier New" w:hAnsi="Courier New"/>
      <w:lang w:val="en-US" w:eastAsia="zh-CN" w:bidi="ar-SA"/>
    </w:rPr>
  </w:style>
  <w:style w:type="character" w:customStyle="1" w:styleId="61">
    <w:name w:val="Char Char15"/>
    <w:qFormat/>
    <w:locked/>
    <w:uiPriority w:val="0"/>
    <w:rPr>
      <w:rFonts w:eastAsia="宋体"/>
      <w:b/>
      <w:kern w:val="2"/>
      <w:sz w:val="24"/>
      <w:szCs w:val="24"/>
      <w:lang w:bidi="ar-SA"/>
    </w:rPr>
  </w:style>
  <w:style w:type="character" w:customStyle="1" w:styleId="62">
    <w:name w:val="正文文本 2 Char1"/>
    <w:semiHidden/>
    <w:qFormat/>
    <w:uiPriority w:val="99"/>
    <w:rPr>
      <w:rFonts w:ascii="Times New Roman" w:hAnsi="Times New Roman"/>
      <w:kern w:val="2"/>
      <w:sz w:val="21"/>
      <w:szCs w:val="24"/>
    </w:rPr>
  </w:style>
  <w:style w:type="character" w:customStyle="1" w:styleId="63">
    <w:name w:val="标题 3 Char"/>
    <w:link w:val="6"/>
    <w:qFormat/>
    <w:uiPriority w:val="0"/>
    <w:rPr>
      <w:rFonts w:ascii="Times New Roman" w:hAnsi="Times New Roman"/>
      <w:b/>
      <w:bCs/>
      <w:sz w:val="32"/>
      <w:szCs w:val="32"/>
    </w:rPr>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正文文本 3 Char2"/>
    <w:semiHidden/>
    <w:qFormat/>
    <w:uiPriority w:val="99"/>
    <w:rPr>
      <w:rFonts w:ascii="Times New Roman" w:hAnsi="Times New Roman"/>
      <w:kern w:val="2"/>
      <w:sz w:val="16"/>
      <w:szCs w:val="16"/>
    </w:rPr>
  </w:style>
  <w:style w:type="character" w:customStyle="1" w:styleId="66">
    <w:name w:val="标题 6 Char"/>
    <w:link w:val="9"/>
    <w:qFormat/>
    <w:uiPriority w:val="0"/>
    <w:rPr>
      <w:rFonts w:ascii="Calibri Light" w:hAnsi="Calibri Light" w:eastAsia="宋体" w:cs="Times New Roman"/>
      <w:b/>
      <w:bCs/>
      <w:kern w:val="2"/>
      <w:sz w:val="24"/>
      <w:szCs w:val="24"/>
    </w:rPr>
  </w:style>
  <w:style w:type="character" w:customStyle="1" w:styleId="67">
    <w:name w:val="正文文本 2 Char2"/>
    <w:semiHidden/>
    <w:qFormat/>
    <w:uiPriority w:val="99"/>
    <w:rPr>
      <w:rFonts w:ascii="Times New Roman" w:hAnsi="Times New Roman"/>
      <w:kern w:val="2"/>
      <w:sz w:val="21"/>
      <w:szCs w:val="24"/>
    </w:rPr>
  </w:style>
  <w:style w:type="character" w:customStyle="1" w:styleId="68">
    <w:name w:val="Char Char"/>
    <w:qFormat/>
    <w:locked/>
    <w:uiPriority w:val="0"/>
    <w:rPr>
      <w:rFonts w:ascii="宋体" w:hAnsi="宋体" w:eastAsia="宋体"/>
      <w:kern w:val="2"/>
      <w:sz w:val="21"/>
      <w:szCs w:val="24"/>
      <w:lang w:bidi="ar-SA"/>
    </w:rPr>
  </w:style>
  <w:style w:type="character" w:customStyle="1" w:styleId="69">
    <w:name w:val="Char Char1"/>
    <w:qFormat/>
    <w:locked/>
    <w:uiPriority w:val="0"/>
    <w:rPr>
      <w:rFonts w:ascii="宋体" w:hAnsi="宋体" w:eastAsia="宋体"/>
      <w:szCs w:val="24"/>
      <w:lang w:bidi="ar-SA"/>
    </w:rPr>
  </w:style>
  <w:style w:type="character" w:customStyle="1" w:styleId="70">
    <w:name w:val="日期 Char2"/>
    <w:semiHidden/>
    <w:qFormat/>
    <w:uiPriority w:val="99"/>
    <w:rPr>
      <w:rFonts w:ascii="Times New Roman" w:hAnsi="Times New Roman"/>
      <w:kern w:val="2"/>
      <w:sz w:val="21"/>
      <w:szCs w:val="24"/>
    </w:rPr>
  </w:style>
  <w:style w:type="character" w:customStyle="1" w:styleId="71">
    <w:name w:val="正文文本缩进 Char2"/>
    <w:semiHidden/>
    <w:qFormat/>
    <w:uiPriority w:val="99"/>
    <w:rPr>
      <w:rFonts w:ascii="Times New Roman" w:hAnsi="Times New Roman"/>
      <w:kern w:val="2"/>
      <w:sz w:val="21"/>
      <w:szCs w:val="24"/>
    </w:rPr>
  </w:style>
  <w:style w:type="character" w:customStyle="1" w:styleId="72">
    <w:name w:val="页眉 Char2"/>
    <w:semiHidden/>
    <w:qFormat/>
    <w:uiPriority w:val="99"/>
    <w:rPr>
      <w:rFonts w:ascii="Times New Roman" w:hAnsi="Times New Roman"/>
      <w:kern w:val="2"/>
      <w:sz w:val="18"/>
      <w:szCs w:val="18"/>
    </w:rPr>
  </w:style>
  <w:style w:type="character" w:customStyle="1" w:styleId="73">
    <w:name w:val="Char Char18"/>
    <w:qFormat/>
    <w:locked/>
    <w:uiPriority w:val="0"/>
    <w:rPr>
      <w:rFonts w:eastAsia="宋体"/>
      <w:b/>
      <w:bCs/>
      <w:sz w:val="32"/>
      <w:szCs w:val="32"/>
      <w:lang w:bidi="ar-SA"/>
    </w:rPr>
  </w:style>
  <w:style w:type="character" w:customStyle="1" w:styleId="74">
    <w:name w:val="Char Char9"/>
    <w:qFormat/>
    <w:locked/>
    <w:uiPriority w:val="0"/>
    <w:rPr>
      <w:rFonts w:ascii="宋体" w:hAnsi="宋体" w:eastAsia="宋体"/>
      <w:sz w:val="32"/>
      <w:lang w:bidi="ar-SA"/>
    </w:rPr>
  </w:style>
  <w:style w:type="character" w:customStyle="1" w:styleId="75">
    <w:name w:val="批注文字 Char"/>
    <w:link w:val="19"/>
    <w:qFormat/>
    <w:uiPriority w:val="0"/>
    <w:rPr>
      <w:rFonts w:ascii="Times New Roman" w:hAnsi="Times New Roman"/>
      <w:kern w:val="2"/>
      <w:sz w:val="21"/>
      <w:szCs w:val="24"/>
    </w:rPr>
  </w:style>
  <w:style w:type="character" w:customStyle="1" w:styleId="76">
    <w:name w:val="宏文本 Char2"/>
    <w:semiHidden/>
    <w:qFormat/>
    <w:uiPriority w:val="99"/>
    <w:rPr>
      <w:rFonts w:ascii="Courier New" w:hAnsi="Courier New" w:cs="Courier New"/>
      <w:kern w:val="2"/>
      <w:sz w:val="24"/>
      <w:szCs w:val="24"/>
    </w:rPr>
  </w:style>
  <w:style w:type="character" w:customStyle="1" w:styleId="77">
    <w:name w:val="Char Char10"/>
    <w:qFormat/>
    <w:locked/>
    <w:uiPriority w:val="0"/>
    <w:rPr>
      <w:rFonts w:ascii="宋体" w:hAnsi="宋体" w:eastAsia="宋体"/>
      <w:b/>
      <w:bCs/>
      <w:sz w:val="24"/>
      <w:szCs w:val="24"/>
      <w:lang w:bidi="ar-SA"/>
    </w:rPr>
  </w:style>
  <w:style w:type="character" w:customStyle="1" w:styleId="78">
    <w:name w:val="font51"/>
    <w:qFormat/>
    <w:uiPriority w:val="0"/>
    <w:rPr>
      <w:rFonts w:hint="eastAsia" w:ascii="宋体" w:hAnsi="宋体" w:eastAsia="宋体" w:cs="宋体"/>
      <w:color w:val="000000"/>
      <w:sz w:val="20"/>
      <w:szCs w:val="20"/>
      <w:u w:val="none"/>
    </w:rPr>
  </w:style>
  <w:style w:type="character" w:customStyle="1" w:styleId="79">
    <w:name w:val="正文文本缩进 2 Char"/>
    <w:link w:val="29"/>
    <w:qFormat/>
    <w:uiPriority w:val="0"/>
    <w:rPr>
      <w:rFonts w:ascii="Times New Roman" w:hAnsi="Times New Roman"/>
      <w:kern w:val="2"/>
      <w:sz w:val="21"/>
      <w:szCs w:val="24"/>
    </w:rPr>
  </w:style>
  <w:style w:type="character" w:customStyle="1" w:styleId="80">
    <w:name w:val="mark"/>
    <w:basedOn w:val="46"/>
    <w:qFormat/>
    <w:uiPriority w:val="0"/>
  </w:style>
  <w:style w:type="character" w:customStyle="1" w:styleId="81">
    <w:name w:val="正文文本 Char2"/>
    <w:semiHidden/>
    <w:qFormat/>
    <w:uiPriority w:val="99"/>
    <w:rPr>
      <w:rFonts w:ascii="Times New Roman" w:hAnsi="Times New Roman"/>
      <w:kern w:val="2"/>
      <w:sz w:val="21"/>
      <w:szCs w:val="24"/>
    </w:rPr>
  </w:style>
  <w:style w:type="character" w:customStyle="1" w:styleId="82">
    <w:name w:val="Char Char17"/>
    <w:qFormat/>
    <w:locked/>
    <w:uiPriority w:val="0"/>
    <w:rPr>
      <w:rFonts w:eastAsia="宋体"/>
      <w:b/>
      <w:kern w:val="2"/>
      <w:sz w:val="28"/>
      <w:szCs w:val="24"/>
      <w:lang w:bidi="ar-SA"/>
    </w:rPr>
  </w:style>
  <w:style w:type="character" w:customStyle="1" w:styleId="83">
    <w:name w:val="列出段落 Char"/>
    <w:link w:val="84"/>
    <w:qFormat/>
    <w:locked/>
    <w:uiPriority w:val="0"/>
    <w:rPr>
      <w:kern w:val="2"/>
      <w:sz w:val="21"/>
      <w:szCs w:val="22"/>
    </w:rPr>
  </w:style>
  <w:style w:type="paragraph" w:styleId="84">
    <w:name w:val="List Paragraph"/>
    <w:basedOn w:val="1"/>
    <w:link w:val="83"/>
    <w:qFormat/>
    <w:uiPriority w:val="0"/>
    <w:pPr>
      <w:ind w:firstLine="420" w:firstLineChars="200"/>
    </w:pPr>
    <w:rPr>
      <w:rFonts w:ascii="Calibri" w:hAnsi="Calibri"/>
      <w:szCs w:val="22"/>
    </w:rPr>
  </w:style>
  <w:style w:type="character" w:customStyle="1" w:styleId="85">
    <w:name w:val="正文文本缩进 2 Char1"/>
    <w:semiHidden/>
    <w:qFormat/>
    <w:locked/>
    <w:uiPriority w:val="99"/>
    <w:rPr>
      <w:rFonts w:ascii="Times New Roman" w:hAnsi="Times New Roman"/>
      <w:sz w:val="32"/>
    </w:rPr>
  </w:style>
  <w:style w:type="character" w:customStyle="1" w:styleId="86">
    <w:name w:val="Char Char19"/>
    <w:qFormat/>
    <w:locked/>
    <w:uiPriority w:val="0"/>
    <w:rPr>
      <w:rFonts w:ascii="Arial" w:hAnsi="Arial" w:eastAsia="黑体"/>
      <w:b/>
      <w:bCs/>
      <w:sz w:val="32"/>
      <w:szCs w:val="32"/>
      <w:lang w:bidi="ar-SA"/>
    </w:rPr>
  </w:style>
  <w:style w:type="character" w:customStyle="1" w:styleId="87">
    <w:name w:val="正文文本 Char"/>
    <w:link w:val="2"/>
    <w:qFormat/>
    <w:uiPriority w:val="0"/>
    <w:rPr>
      <w:rFonts w:ascii="Times New Roman" w:hAnsi="Times New Roman"/>
      <w:kern w:val="2"/>
      <w:sz w:val="21"/>
      <w:szCs w:val="24"/>
    </w:rPr>
  </w:style>
  <w:style w:type="character" w:customStyle="1" w:styleId="88">
    <w:name w:val="ca-41"/>
    <w:qFormat/>
    <w:uiPriority w:val="0"/>
    <w:rPr>
      <w:rFonts w:hint="eastAsia" w:ascii="宋体" w:hAnsi="宋体" w:eastAsia="宋体"/>
      <w:color w:val="FF0000"/>
      <w:sz w:val="21"/>
      <w:szCs w:val="21"/>
    </w:rPr>
  </w:style>
  <w:style w:type="character" w:customStyle="1" w:styleId="89">
    <w:name w:val="Char Char4"/>
    <w:qFormat/>
    <w:locked/>
    <w:uiPriority w:val="0"/>
    <w:rPr>
      <w:rFonts w:ascii="宋体" w:hAnsi="Courier New" w:eastAsia="宋体"/>
      <w:szCs w:val="21"/>
      <w:lang w:bidi="ar-SA"/>
    </w:rPr>
  </w:style>
  <w:style w:type="character" w:customStyle="1" w:styleId="90">
    <w:name w:val="Char Char14"/>
    <w:qFormat/>
    <w:locked/>
    <w:uiPriority w:val="0"/>
    <w:rPr>
      <w:rFonts w:ascii="Arial" w:hAnsi="Arial" w:eastAsia="黑体"/>
      <w:kern w:val="2"/>
      <w:sz w:val="24"/>
      <w:szCs w:val="24"/>
      <w:lang w:bidi="ar-SA"/>
    </w:rPr>
  </w:style>
  <w:style w:type="character" w:customStyle="1" w:styleId="91">
    <w:name w:val="日期 Char1"/>
    <w:semiHidden/>
    <w:qFormat/>
    <w:uiPriority w:val="99"/>
    <w:rPr>
      <w:rFonts w:ascii="Times New Roman" w:hAnsi="Times New Roman" w:eastAsia="宋体" w:cs="Times New Roman"/>
      <w:szCs w:val="24"/>
    </w:rPr>
  </w:style>
  <w:style w:type="character" w:customStyle="1" w:styleId="92">
    <w:name w:val="case31"/>
    <w:qFormat/>
    <w:uiPriority w:val="0"/>
    <w:rPr>
      <w:rFonts w:hint="default"/>
      <w:sz w:val="21"/>
      <w:szCs w:val="21"/>
    </w:rPr>
  </w:style>
  <w:style w:type="character" w:customStyle="1" w:styleId="93">
    <w:name w:val="Heading 1 Char"/>
    <w:qFormat/>
    <w:locked/>
    <w:uiPriority w:val="0"/>
    <w:rPr>
      <w:rFonts w:ascii="Calibri" w:hAnsi="Calibri" w:eastAsia="宋体"/>
      <w:b/>
      <w:kern w:val="44"/>
      <w:sz w:val="44"/>
      <w:lang w:val="en-US" w:eastAsia="zh-CN" w:bidi="ar-SA"/>
    </w:rPr>
  </w:style>
  <w:style w:type="character" w:customStyle="1" w:styleId="94">
    <w:name w:val="Char Char20"/>
    <w:qFormat/>
    <w:locked/>
    <w:uiPriority w:val="0"/>
    <w:rPr>
      <w:rFonts w:eastAsia="宋体"/>
      <w:b/>
      <w:bCs/>
      <w:kern w:val="44"/>
      <w:sz w:val="44"/>
      <w:szCs w:val="44"/>
      <w:lang w:bidi="ar-SA"/>
    </w:rPr>
  </w:style>
  <w:style w:type="character" w:customStyle="1" w:styleId="95">
    <w:name w:val="Char Char11"/>
    <w:qFormat/>
    <w:locked/>
    <w:uiPriority w:val="0"/>
    <w:rPr>
      <w:rFonts w:ascii="仿宋_GB2312" w:eastAsia="仿宋_GB2312"/>
      <w:sz w:val="32"/>
      <w:lang w:bidi="ar-SA"/>
    </w:rPr>
  </w:style>
  <w:style w:type="character" w:customStyle="1" w:styleId="96">
    <w:name w:val="标题 1 Char"/>
    <w:link w:val="4"/>
    <w:qFormat/>
    <w:uiPriority w:val="0"/>
    <w:rPr>
      <w:rFonts w:ascii="Times New Roman" w:hAnsi="Times New Roman"/>
      <w:b/>
      <w:bCs/>
      <w:kern w:val="44"/>
      <w:sz w:val="44"/>
      <w:szCs w:val="44"/>
    </w:rPr>
  </w:style>
  <w:style w:type="character" w:customStyle="1" w:styleId="97">
    <w:name w:val="Char Char6"/>
    <w:qFormat/>
    <w:locked/>
    <w:uiPriority w:val="0"/>
    <w:rPr>
      <w:rFonts w:ascii="宋体" w:hAnsi="宋体" w:eastAsia="宋体"/>
      <w:sz w:val="16"/>
      <w:szCs w:val="16"/>
      <w:lang w:bidi="ar-SA"/>
    </w:rPr>
  </w:style>
  <w:style w:type="character" w:customStyle="1" w:styleId="98">
    <w:name w:val="Char Char5"/>
    <w:qFormat/>
    <w:locked/>
    <w:uiPriority w:val="0"/>
    <w:rPr>
      <w:sz w:val="18"/>
      <w:szCs w:val="18"/>
      <w:lang w:bidi="ar-SA"/>
    </w:rPr>
  </w:style>
  <w:style w:type="character" w:customStyle="1" w:styleId="99">
    <w:name w:val="批注框文本 Char2"/>
    <w:semiHidden/>
    <w:qFormat/>
    <w:uiPriority w:val="99"/>
    <w:rPr>
      <w:rFonts w:ascii="Times New Roman" w:hAnsi="Times New Roman"/>
      <w:kern w:val="2"/>
      <w:sz w:val="18"/>
      <w:szCs w:val="18"/>
    </w:rPr>
  </w:style>
  <w:style w:type="character" w:customStyle="1" w:styleId="100">
    <w:name w:val="Char Char8"/>
    <w:qFormat/>
    <w:locked/>
    <w:uiPriority w:val="0"/>
    <w:rPr>
      <w:sz w:val="18"/>
      <w:szCs w:val="18"/>
      <w:lang w:bidi="ar-SA"/>
    </w:rPr>
  </w:style>
  <w:style w:type="character" w:customStyle="1" w:styleId="101">
    <w:name w:val="正文文本缩进 3 Char"/>
    <w:link w:val="34"/>
    <w:qFormat/>
    <w:uiPriority w:val="0"/>
    <w:rPr>
      <w:rFonts w:ascii="Times New Roman" w:hAnsi="Times New Roman"/>
      <w:sz w:val="16"/>
      <w:szCs w:val="16"/>
    </w:rPr>
  </w:style>
  <w:style w:type="character" w:customStyle="1" w:styleId="102">
    <w:name w:val="正文文本缩进 Char1"/>
    <w:semiHidden/>
    <w:qFormat/>
    <w:uiPriority w:val="99"/>
    <w:rPr>
      <w:rFonts w:ascii="Times New Roman" w:hAnsi="Times New Roman" w:eastAsia="宋体" w:cs="Times New Roman"/>
      <w:szCs w:val="24"/>
    </w:rPr>
  </w:style>
  <w:style w:type="character" w:customStyle="1" w:styleId="103">
    <w:name w:val="批注框文本 Char1"/>
    <w:semiHidden/>
    <w:qFormat/>
    <w:uiPriority w:val="99"/>
    <w:rPr>
      <w:rFonts w:ascii="Times New Roman" w:hAnsi="Times New Roman" w:eastAsia="宋体" w:cs="Times New Roman"/>
      <w:sz w:val="18"/>
      <w:szCs w:val="18"/>
    </w:rPr>
  </w:style>
  <w:style w:type="character" w:customStyle="1" w:styleId="104">
    <w:name w:val="文档结构图 Char1"/>
    <w:semiHidden/>
    <w:qFormat/>
    <w:uiPriority w:val="99"/>
    <w:rPr>
      <w:rFonts w:ascii="宋体" w:hAnsi="Times New Roman"/>
      <w:kern w:val="2"/>
      <w:sz w:val="18"/>
      <w:szCs w:val="18"/>
    </w:rPr>
  </w:style>
  <w:style w:type="character" w:customStyle="1" w:styleId="105">
    <w:name w:val="标题 9 Char"/>
    <w:link w:val="13"/>
    <w:qFormat/>
    <w:uiPriority w:val="0"/>
    <w:rPr>
      <w:rFonts w:ascii="Arial" w:hAnsi="Arial" w:eastAsia="黑体"/>
      <w:kern w:val="2"/>
      <w:sz w:val="21"/>
      <w:szCs w:val="24"/>
    </w:rPr>
  </w:style>
  <w:style w:type="character" w:customStyle="1" w:styleId="106">
    <w:name w:val="页脚 Char2"/>
    <w:semiHidden/>
    <w:qFormat/>
    <w:uiPriority w:val="99"/>
    <w:rPr>
      <w:rFonts w:ascii="Times New Roman" w:hAnsi="Times New Roman"/>
      <w:kern w:val="2"/>
      <w:sz w:val="18"/>
      <w:szCs w:val="18"/>
    </w:rPr>
  </w:style>
  <w:style w:type="character" w:customStyle="1" w:styleId="107">
    <w:name w:val="正文缩进 Char"/>
    <w:link w:val="11"/>
    <w:qFormat/>
    <w:uiPriority w:val="0"/>
    <w:rPr>
      <w:rFonts w:ascii="Times New Roman" w:hAnsi="Times New Roman"/>
      <w:kern w:val="2"/>
      <w:sz w:val="21"/>
    </w:rPr>
  </w:style>
  <w:style w:type="character" w:customStyle="1" w:styleId="108">
    <w:name w:val="HTML 预设格式 Char2"/>
    <w:semiHidden/>
    <w:qFormat/>
    <w:uiPriority w:val="99"/>
    <w:rPr>
      <w:rFonts w:ascii="Courier New" w:hAnsi="Courier New" w:cs="Courier New"/>
      <w:kern w:val="2"/>
    </w:rPr>
  </w:style>
  <w:style w:type="character" w:customStyle="1" w:styleId="109">
    <w:name w:val="纯文本 Char2"/>
    <w:semiHidden/>
    <w:qFormat/>
    <w:uiPriority w:val="99"/>
    <w:rPr>
      <w:rFonts w:ascii="宋体" w:hAnsi="Courier New" w:cs="Courier New"/>
      <w:kern w:val="2"/>
      <w:sz w:val="21"/>
      <w:szCs w:val="21"/>
    </w:rPr>
  </w:style>
  <w:style w:type="character" w:customStyle="1" w:styleId="110">
    <w:name w:val="正文文本 3 Char1"/>
    <w:semiHidden/>
    <w:qFormat/>
    <w:uiPriority w:val="99"/>
    <w:rPr>
      <w:rFonts w:ascii="Times New Roman" w:hAnsi="Times New Roman"/>
      <w:kern w:val="2"/>
      <w:sz w:val="16"/>
      <w:szCs w:val="16"/>
    </w:rPr>
  </w:style>
  <w:style w:type="character" w:customStyle="1" w:styleId="111">
    <w:name w:val="页眉 Char"/>
    <w:link w:val="32"/>
    <w:qFormat/>
    <w:uiPriority w:val="0"/>
    <w:rPr>
      <w:sz w:val="18"/>
      <w:szCs w:val="18"/>
    </w:rPr>
  </w:style>
  <w:style w:type="character" w:customStyle="1" w:styleId="112">
    <w:name w:val="批注文字 Char1"/>
    <w:semiHidden/>
    <w:qFormat/>
    <w:uiPriority w:val="99"/>
    <w:rPr>
      <w:rFonts w:ascii="Times New Roman" w:hAnsi="Times New Roman"/>
      <w:kern w:val="2"/>
      <w:sz w:val="21"/>
      <w:szCs w:val="24"/>
    </w:rPr>
  </w:style>
  <w:style w:type="character" w:customStyle="1" w:styleId="113">
    <w:name w:val="标题 5 Char"/>
    <w:link w:val="8"/>
    <w:qFormat/>
    <w:uiPriority w:val="0"/>
    <w:rPr>
      <w:rFonts w:eastAsia="宋体"/>
      <w:b/>
      <w:bCs/>
      <w:kern w:val="2"/>
      <w:sz w:val="28"/>
      <w:szCs w:val="28"/>
      <w:lang w:val="en-US" w:eastAsia="zh-CN" w:bidi="ar-SA"/>
    </w:rPr>
  </w:style>
  <w:style w:type="character" w:customStyle="1" w:styleId="114">
    <w:name w:val="表格标题2 Char"/>
    <w:link w:val="115"/>
    <w:qFormat/>
    <w:uiPriority w:val="0"/>
    <w:rPr>
      <w:rFonts w:ascii="Arial" w:hAnsi="Arial" w:eastAsia="微软雅黑"/>
      <w:b/>
      <w:bCs/>
      <w:kern w:val="2"/>
      <w:sz w:val="21"/>
      <w:szCs w:val="24"/>
    </w:rPr>
  </w:style>
  <w:style w:type="paragraph" w:customStyle="1" w:styleId="115">
    <w:name w:val="表格标题2"/>
    <w:basedOn w:val="9"/>
    <w:link w:val="114"/>
    <w:qFormat/>
    <w:uiPriority w:val="0"/>
    <w:pPr>
      <w:spacing w:before="0" w:after="0" w:line="240" w:lineRule="auto"/>
      <w:jc w:val="center"/>
    </w:pPr>
    <w:rPr>
      <w:rFonts w:ascii="Arial" w:hAnsi="Arial" w:eastAsia="微软雅黑"/>
      <w:sz w:val="21"/>
    </w:rPr>
  </w:style>
  <w:style w:type="character" w:customStyle="1" w:styleId="116">
    <w:name w:val="普通文字 Char Char2"/>
    <w:qFormat/>
    <w:uiPriority w:val="0"/>
    <w:rPr>
      <w:rFonts w:ascii="宋体" w:hAnsi="Courier New" w:eastAsia="宋体"/>
      <w:szCs w:val="21"/>
      <w:lang w:bidi="ar-SA"/>
    </w:rPr>
  </w:style>
  <w:style w:type="character" w:customStyle="1" w:styleId="117">
    <w:name w:val="批注框文本 Char"/>
    <w:link w:val="30"/>
    <w:semiHidden/>
    <w:qFormat/>
    <w:uiPriority w:val="0"/>
    <w:rPr>
      <w:rFonts w:ascii="Times New Roman" w:hAnsi="Times New Roman"/>
      <w:kern w:val="2"/>
      <w:sz w:val="18"/>
      <w:szCs w:val="18"/>
    </w:rPr>
  </w:style>
  <w:style w:type="character" w:customStyle="1" w:styleId="118">
    <w:name w:val="font21"/>
    <w:qFormat/>
    <w:uiPriority w:val="0"/>
    <w:rPr>
      <w:rFonts w:hint="eastAsia" w:ascii="宋体" w:hAnsi="宋体" w:eastAsia="宋体" w:cs="宋体"/>
      <w:color w:val="000000"/>
      <w:sz w:val="24"/>
      <w:szCs w:val="24"/>
      <w:u w:val="none"/>
    </w:rPr>
  </w:style>
  <w:style w:type="character" w:customStyle="1" w:styleId="119">
    <w:name w:val="HTML 预设格式 Char"/>
    <w:link w:val="37"/>
    <w:qFormat/>
    <w:uiPriority w:val="99"/>
    <w:rPr>
      <w:rFonts w:ascii="宋体" w:hAnsi="宋体" w:cs="宋体"/>
      <w:sz w:val="24"/>
      <w:szCs w:val="24"/>
    </w:rPr>
  </w:style>
  <w:style w:type="character" w:customStyle="1" w:styleId="120">
    <w:name w:val="页脚 Char"/>
    <w:link w:val="31"/>
    <w:qFormat/>
    <w:uiPriority w:val="0"/>
    <w:rPr>
      <w:sz w:val="18"/>
      <w:szCs w:val="18"/>
    </w:rPr>
  </w:style>
  <w:style w:type="character" w:customStyle="1" w:styleId="121">
    <w:name w:val="明显引用 Char"/>
    <w:link w:val="122"/>
    <w:qFormat/>
    <w:uiPriority w:val="0"/>
    <w:rPr>
      <w:rFonts w:ascii="宋体" w:hAnsi="华文细黑"/>
      <w:bCs/>
      <w:iCs/>
      <w:color w:val="000000"/>
      <w:kern w:val="2"/>
      <w:sz w:val="21"/>
    </w:rPr>
  </w:style>
  <w:style w:type="paragraph" w:customStyle="1" w:styleId="122">
    <w:name w:val="明显引用1"/>
    <w:basedOn w:val="1"/>
    <w:next w:val="1"/>
    <w:link w:val="121"/>
    <w:qFormat/>
    <w:uiPriority w:val="0"/>
    <w:pPr>
      <w:spacing w:line="360" w:lineRule="auto"/>
      <w:jc w:val="center"/>
    </w:pPr>
    <w:rPr>
      <w:rFonts w:ascii="宋体" w:hAnsi="华文细黑"/>
      <w:bCs/>
      <w:iCs/>
      <w:color w:val="000000"/>
      <w:szCs w:val="20"/>
    </w:rPr>
  </w:style>
  <w:style w:type="character" w:customStyle="1" w:styleId="123">
    <w:name w:val="apple-style-span"/>
    <w:basedOn w:val="46"/>
    <w:qFormat/>
    <w:uiPriority w:val="0"/>
  </w:style>
  <w:style w:type="character" w:customStyle="1" w:styleId="124">
    <w:name w:val="Char Char2"/>
    <w:qFormat/>
    <w:locked/>
    <w:uiPriority w:val="0"/>
    <w:rPr>
      <w:rFonts w:ascii="宋体" w:hAnsi="宋体" w:eastAsia="宋体"/>
      <w:sz w:val="24"/>
      <w:szCs w:val="24"/>
      <w:lang w:bidi="ar-SA"/>
    </w:rPr>
  </w:style>
  <w:style w:type="character" w:customStyle="1" w:styleId="125">
    <w:name w:val="纯文本 Char"/>
    <w:link w:val="27"/>
    <w:qFormat/>
    <w:uiPriority w:val="0"/>
    <w:rPr>
      <w:rFonts w:ascii="宋体" w:hAnsi="Courier New" w:eastAsia="宋体" w:cs="Courier New"/>
      <w:szCs w:val="21"/>
    </w:rPr>
  </w:style>
  <w:style w:type="character" w:customStyle="1" w:styleId="126">
    <w:name w:val="font91"/>
    <w:qFormat/>
    <w:uiPriority w:val="0"/>
    <w:rPr>
      <w:rFonts w:hint="default" w:ascii="Times New Roman" w:hAnsi="Times New Roman" w:cs="Times New Roman"/>
      <w:color w:val="000000"/>
      <w:sz w:val="20"/>
      <w:szCs w:val="20"/>
      <w:u w:val="none"/>
    </w:rPr>
  </w:style>
  <w:style w:type="character" w:customStyle="1" w:styleId="127">
    <w:name w:val="Char Char16"/>
    <w:qFormat/>
    <w:locked/>
    <w:uiPriority w:val="0"/>
    <w:rPr>
      <w:rFonts w:ascii="Arial" w:hAnsi="Arial" w:eastAsia="黑体"/>
      <w:b/>
      <w:kern w:val="2"/>
      <w:sz w:val="24"/>
      <w:szCs w:val="24"/>
      <w:lang w:bidi="ar-SA"/>
    </w:rPr>
  </w:style>
  <w:style w:type="character" w:customStyle="1" w:styleId="128">
    <w:name w:val="正文文本缩进 2 Char2"/>
    <w:semiHidden/>
    <w:qFormat/>
    <w:uiPriority w:val="99"/>
    <w:rPr>
      <w:rFonts w:ascii="Times New Roman" w:hAnsi="Times New Roman"/>
      <w:kern w:val="2"/>
      <w:sz w:val="21"/>
      <w:szCs w:val="24"/>
    </w:rPr>
  </w:style>
  <w:style w:type="character" w:customStyle="1" w:styleId="129">
    <w:name w:val="A4"/>
    <w:qFormat/>
    <w:uiPriority w:val="0"/>
    <w:rPr>
      <w:rFonts w:ascii="新宋体" w:eastAsia="新宋体" w:cs="新宋体"/>
      <w:color w:val="000000"/>
      <w:lang w:bidi="ar-SA"/>
    </w:rPr>
  </w:style>
  <w:style w:type="character" w:customStyle="1" w:styleId="130">
    <w:name w:val="标题 2 Char"/>
    <w:link w:val="5"/>
    <w:qFormat/>
    <w:uiPriority w:val="0"/>
    <w:rPr>
      <w:rFonts w:ascii="Arial" w:hAnsi="Arial" w:eastAsia="黑体"/>
      <w:b/>
      <w:bCs/>
      <w:kern w:val="2"/>
      <w:sz w:val="32"/>
      <w:szCs w:val="32"/>
      <w:lang w:val="en-US" w:eastAsia="zh-CN" w:bidi="ar-SA"/>
    </w:rPr>
  </w:style>
  <w:style w:type="character" w:customStyle="1" w:styleId="131">
    <w:name w:val="正文文本 Char1"/>
    <w:semiHidden/>
    <w:qFormat/>
    <w:uiPriority w:val="99"/>
    <w:rPr>
      <w:rFonts w:ascii="Times New Roman" w:hAnsi="Times New Roman" w:eastAsia="宋体" w:cs="Times New Roman"/>
      <w:szCs w:val="24"/>
    </w:rPr>
  </w:style>
  <w:style w:type="character" w:customStyle="1" w:styleId="132">
    <w:name w:val="页脚 Char1"/>
    <w:semiHidden/>
    <w:qFormat/>
    <w:uiPriority w:val="99"/>
    <w:rPr>
      <w:rFonts w:ascii="Times New Roman" w:hAnsi="Times New Roman" w:eastAsia="宋体" w:cs="Times New Roman"/>
      <w:sz w:val="18"/>
      <w:szCs w:val="18"/>
    </w:rPr>
  </w:style>
  <w:style w:type="character" w:customStyle="1" w:styleId="133">
    <w:name w:val="正文文本 (2)_"/>
    <w:link w:val="134"/>
    <w:qFormat/>
    <w:uiPriority w:val="0"/>
    <w:rPr>
      <w:rFonts w:eastAsia="Times New Roman"/>
      <w:kern w:val="0"/>
      <w:sz w:val="20"/>
      <w:szCs w:val="20"/>
    </w:rPr>
  </w:style>
  <w:style w:type="paragraph" w:customStyle="1" w:styleId="134">
    <w:name w:val="正文文本 (2)"/>
    <w:basedOn w:val="1"/>
    <w:link w:val="133"/>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5">
    <w:name w:val="文档结构图 Char"/>
    <w:link w:val="18"/>
    <w:semiHidden/>
    <w:qFormat/>
    <w:uiPriority w:val="0"/>
    <w:rPr>
      <w:rFonts w:ascii="Times New Roman" w:hAnsi="Times New Roman"/>
      <w:kern w:val="2"/>
      <w:sz w:val="21"/>
      <w:szCs w:val="24"/>
      <w:shd w:val="clear" w:color="auto" w:fill="000080"/>
    </w:rPr>
  </w:style>
  <w:style w:type="character" w:customStyle="1" w:styleId="136">
    <w:name w:val="正文文本缩进 3 Char1"/>
    <w:semiHidden/>
    <w:qFormat/>
    <w:uiPriority w:val="99"/>
    <w:rPr>
      <w:rFonts w:ascii="Times New Roman" w:hAnsi="Times New Roman"/>
      <w:kern w:val="2"/>
      <w:sz w:val="16"/>
      <w:szCs w:val="16"/>
    </w:rPr>
  </w:style>
  <w:style w:type="character" w:customStyle="1" w:styleId="137">
    <w:name w:val="正文文本 3 Char"/>
    <w:link w:val="21"/>
    <w:qFormat/>
    <w:uiPriority w:val="0"/>
    <w:rPr>
      <w:rFonts w:ascii="Times New Roman" w:hAnsi="Times New Roman"/>
      <w:b/>
      <w:bCs/>
      <w:sz w:val="24"/>
      <w:szCs w:val="24"/>
    </w:rPr>
  </w:style>
  <w:style w:type="character" w:customStyle="1" w:styleId="138">
    <w:name w:val="批注主题 Char1"/>
    <w:semiHidden/>
    <w:qFormat/>
    <w:uiPriority w:val="99"/>
    <w:rPr>
      <w:rFonts w:ascii="Times New Roman" w:hAnsi="Times New Roman"/>
      <w:b/>
      <w:bCs/>
      <w:kern w:val="2"/>
      <w:sz w:val="21"/>
      <w:szCs w:val="24"/>
    </w:rPr>
  </w:style>
  <w:style w:type="character" w:customStyle="1" w:styleId="139">
    <w:name w:val="页眉 Char1"/>
    <w:semiHidden/>
    <w:qFormat/>
    <w:uiPriority w:val="99"/>
    <w:rPr>
      <w:rFonts w:ascii="Times New Roman" w:hAnsi="Times New Roman" w:eastAsia="宋体" w:cs="Times New Roman"/>
      <w:sz w:val="18"/>
      <w:szCs w:val="18"/>
    </w:rPr>
  </w:style>
  <w:style w:type="character" w:customStyle="1" w:styleId="140">
    <w:name w:val="font11"/>
    <w:qFormat/>
    <w:uiPriority w:val="0"/>
    <w:rPr>
      <w:rFonts w:hint="default" w:ascii="Times New Roman" w:hAnsi="Times New Roman" w:cs="Times New Roman"/>
      <w:color w:val="000000"/>
      <w:sz w:val="24"/>
      <w:szCs w:val="24"/>
      <w:u w:val="none"/>
    </w:rPr>
  </w:style>
  <w:style w:type="character" w:customStyle="1" w:styleId="141">
    <w:name w:val="Char Char3"/>
    <w:qFormat/>
    <w:locked/>
    <w:uiPriority w:val="0"/>
    <w:rPr>
      <w:rFonts w:ascii="宋体" w:hAnsi="宋体" w:eastAsia="宋体"/>
      <w:sz w:val="24"/>
      <w:szCs w:val="24"/>
      <w:lang w:bidi="ar-SA"/>
    </w:rPr>
  </w:style>
  <w:style w:type="character" w:customStyle="1" w:styleId="142">
    <w:name w:val="标题 8 Char"/>
    <w:link w:val="12"/>
    <w:qFormat/>
    <w:uiPriority w:val="0"/>
    <w:rPr>
      <w:rFonts w:ascii="Arial" w:hAnsi="Arial" w:eastAsia="黑体"/>
      <w:kern w:val="2"/>
      <w:sz w:val="24"/>
      <w:szCs w:val="24"/>
    </w:rPr>
  </w:style>
  <w:style w:type="character" w:customStyle="1" w:styleId="143">
    <w:name w:val="font31"/>
    <w:qFormat/>
    <w:uiPriority w:val="0"/>
    <w:rPr>
      <w:rFonts w:hint="default" w:ascii="Times New Roman" w:hAnsi="Times New Roman" w:cs="Times New Roman"/>
      <w:color w:val="000000"/>
      <w:sz w:val="24"/>
      <w:szCs w:val="24"/>
      <w:u w:val="none"/>
    </w:rPr>
  </w:style>
  <w:style w:type="character" w:customStyle="1" w:styleId="144">
    <w:name w:val="宏文本 Char1"/>
    <w:semiHidden/>
    <w:qFormat/>
    <w:uiPriority w:val="99"/>
    <w:rPr>
      <w:rFonts w:ascii="Courier New" w:hAnsi="Courier New" w:cs="Courier New"/>
      <w:kern w:val="2"/>
      <w:sz w:val="24"/>
      <w:szCs w:val="24"/>
    </w:rPr>
  </w:style>
  <w:style w:type="character" w:customStyle="1" w:styleId="145">
    <w:name w:val="普通文字 Char Char3"/>
    <w:qFormat/>
    <w:uiPriority w:val="0"/>
    <w:rPr>
      <w:rFonts w:ascii="宋体" w:hAnsi="Courier New" w:eastAsia="宋体" w:cs="Courier New"/>
      <w:szCs w:val="21"/>
    </w:rPr>
  </w:style>
  <w:style w:type="character" w:customStyle="1" w:styleId="146">
    <w:name w:val="Char Char13"/>
    <w:qFormat/>
    <w:locked/>
    <w:uiPriority w:val="0"/>
    <w:rPr>
      <w:rFonts w:ascii="Arial" w:hAnsi="Arial" w:eastAsia="黑体"/>
      <w:kern w:val="2"/>
      <w:sz w:val="21"/>
      <w:szCs w:val="24"/>
      <w:lang w:bidi="ar-SA"/>
    </w:rPr>
  </w:style>
  <w:style w:type="character" w:customStyle="1" w:styleId="147">
    <w:name w:val="font01"/>
    <w:qFormat/>
    <w:uiPriority w:val="0"/>
    <w:rPr>
      <w:rFonts w:hint="eastAsia" w:ascii="宋体" w:hAnsi="宋体" w:eastAsia="宋体" w:cs="宋体"/>
      <w:color w:val="000000"/>
      <w:sz w:val="24"/>
      <w:szCs w:val="24"/>
      <w:u w:val="none"/>
    </w:rPr>
  </w:style>
  <w:style w:type="character" w:customStyle="1" w:styleId="148">
    <w:name w:val="正文文本缩进 3 Char2"/>
    <w:semiHidden/>
    <w:qFormat/>
    <w:uiPriority w:val="99"/>
    <w:rPr>
      <w:rFonts w:ascii="Times New Roman" w:hAnsi="Times New Roman"/>
      <w:kern w:val="2"/>
      <w:sz w:val="16"/>
      <w:szCs w:val="16"/>
    </w:rPr>
  </w:style>
  <w:style w:type="character" w:customStyle="1" w:styleId="149">
    <w:name w:val="HTML 预设格式 Char1"/>
    <w:semiHidden/>
    <w:qFormat/>
    <w:uiPriority w:val="99"/>
    <w:rPr>
      <w:rFonts w:ascii="Courier New" w:hAnsi="Courier New" w:cs="Courier New"/>
      <w:kern w:val="2"/>
    </w:rPr>
  </w:style>
  <w:style w:type="character" w:customStyle="1" w:styleId="150">
    <w:name w:val="正文文本 2 Char"/>
    <w:link w:val="36"/>
    <w:qFormat/>
    <w:uiPriority w:val="0"/>
    <w:rPr>
      <w:rFonts w:ascii="Times New Roman" w:hAnsi="Times New Roman"/>
      <w:szCs w:val="24"/>
    </w:rPr>
  </w:style>
  <w:style w:type="paragraph" w:customStyle="1" w:styleId="151">
    <w:name w:val="List Paragraph1"/>
    <w:basedOn w:val="1"/>
    <w:qFormat/>
    <w:uiPriority w:val="0"/>
    <w:pPr>
      <w:ind w:firstLine="420" w:firstLineChars="200"/>
    </w:pPr>
  </w:style>
  <w:style w:type="paragraph" w:customStyle="1" w:styleId="152">
    <w:name w:val="Char"/>
    <w:basedOn w:val="1"/>
    <w:qFormat/>
    <w:uiPriority w:val="0"/>
  </w:style>
  <w:style w:type="paragraph" w:customStyle="1" w:styleId="153">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6">
    <w:name w:val="Char1"/>
    <w:basedOn w:val="1"/>
    <w:qFormat/>
    <w:uiPriority w:val="0"/>
    <w:rPr>
      <w:szCs w:val="21"/>
    </w:rPr>
  </w:style>
  <w:style w:type="paragraph" w:customStyle="1" w:styleId="157">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8">
    <w:name w:val="列出段落11"/>
    <w:basedOn w:val="1"/>
    <w:qFormat/>
    <w:uiPriority w:val="0"/>
    <w:pPr>
      <w:ind w:firstLine="420" w:firstLineChars="200"/>
    </w:pPr>
  </w:style>
  <w:style w:type="paragraph" w:customStyle="1" w:styleId="159">
    <w:name w:val="Char Char Char Char"/>
    <w:basedOn w:val="1"/>
    <w:qFormat/>
    <w:uiPriority w:val="0"/>
  </w:style>
  <w:style w:type="paragraph" w:customStyle="1" w:styleId="160">
    <w:name w:val="三级条标题"/>
    <w:basedOn w:val="161"/>
    <w:next w:val="162"/>
    <w:qFormat/>
    <w:uiPriority w:val="0"/>
    <w:pPr>
      <w:outlineLvl w:val="4"/>
    </w:pPr>
  </w:style>
  <w:style w:type="paragraph" w:customStyle="1" w:styleId="161">
    <w:name w:val="二级条标题"/>
    <w:basedOn w:val="1"/>
    <w:next w:val="1"/>
    <w:qFormat/>
    <w:uiPriority w:val="0"/>
    <w:pPr>
      <w:widowControl/>
      <w:jc w:val="left"/>
      <w:outlineLvl w:val="3"/>
    </w:pPr>
    <w:rPr>
      <w:rFonts w:ascii="宋体" w:hAnsi="宋体"/>
      <w:color w:val="000000"/>
      <w:kern w:val="0"/>
      <w:szCs w:val="20"/>
    </w:rPr>
  </w:style>
  <w:style w:type="paragraph" w:customStyle="1" w:styleId="1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65">
    <w:name w:val="Char Char Char"/>
    <w:basedOn w:val="1"/>
    <w:qFormat/>
    <w:uiPriority w:val="0"/>
    <w:rPr>
      <w:rFonts w:ascii="Tahoma" w:hAnsi="Tahoma"/>
      <w:sz w:val="24"/>
      <w:szCs w:val="20"/>
    </w:rPr>
  </w:style>
  <w:style w:type="paragraph" w:customStyle="1" w:styleId="166">
    <w:name w:val="表格"/>
    <w:basedOn w:val="1"/>
    <w:qFormat/>
    <w:uiPriority w:val="0"/>
    <w:pPr>
      <w:spacing w:line="400" w:lineRule="exact"/>
    </w:pPr>
    <w:rPr>
      <w:sz w:val="24"/>
    </w:rPr>
  </w:style>
  <w:style w:type="paragraph" w:customStyle="1" w:styleId="167">
    <w:name w:val="纯文本1"/>
    <w:basedOn w:val="1"/>
    <w:qFormat/>
    <w:uiPriority w:val="0"/>
    <w:rPr>
      <w:rFonts w:ascii="宋体" w:hAnsi="Courier New" w:cs="Courier New"/>
      <w:kern w:val="0"/>
      <w:sz w:val="20"/>
      <w:szCs w:val="21"/>
    </w:rPr>
  </w:style>
  <w:style w:type="paragraph" w:customStyle="1" w:styleId="168">
    <w:name w:val="五级条标题"/>
    <w:basedOn w:val="169"/>
    <w:next w:val="162"/>
    <w:qFormat/>
    <w:uiPriority w:val="0"/>
    <w:pPr>
      <w:outlineLvl w:val="6"/>
    </w:pPr>
  </w:style>
  <w:style w:type="paragraph" w:customStyle="1" w:styleId="169">
    <w:name w:val="四级条标题"/>
    <w:basedOn w:val="160"/>
    <w:next w:val="162"/>
    <w:qFormat/>
    <w:uiPriority w:val="0"/>
    <w:pPr>
      <w:outlineLvl w:val="5"/>
    </w:pPr>
  </w:style>
  <w:style w:type="paragraph" w:customStyle="1" w:styleId="170">
    <w:name w:val="Char11"/>
    <w:basedOn w:val="1"/>
    <w:qFormat/>
    <w:uiPriority w:val="0"/>
    <w:rPr>
      <w:szCs w:val="21"/>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列出段落2"/>
    <w:basedOn w:val="1"/>
    <w:qFormat/>
    <w:uiPriority w:val="0"/>
    <w:pPr>
      <w:ind w:firstLine="420" w:firstLineChars="200"/>
    </w:pPr>
    <w:rPr>
      <w:rFonts w:ascii="Calibri" w:hAnsi="Calibri"/>
      <w:szCs w:val="22"/>
    </w:rPr>
  </w:style>
  <w:style w:type="paragraph" w:customStyle="1" w:styleId="173">
    <w:name w:val="样式 首行缩进:  2 字符"/>
    <w:basedOn w:val="1"/>
    <w:qFormat/>
    <w:uiPriority w:val="0"/>
    <w:pPr>
      <w:spacing w:line="400" w:lineRule="exact"/>
      <w:ind w:firstLine="200" w:firstLineChars="200"/>
    </w:pPr>
    <w:rPr>
      <w:rFonts w:cs="宋体"/>
      <w:sz w:val="24"/>
    </w:rPr>
  </w:style>
  <w:style w:type="paragraph" w:customStyle="1" w:styleId="174">
    <w:name w:val="1"/>
    <w:basedOn w:val="1"/>
    <w:next w:val="27"/>
    <w:qFormat/>
    <w:uiPriority w:val="0"/>
    <w:rPr>
      <w:rFonts w:ascii="宋体" w:hAnsi="Courier New"/>
      <w:szCs w:val="20"/>
    </w:rPr>
  </w:style>
  <w:style w:type="paragraph" w:customStyle="1" w:styleId="17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1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列出段落21"/>
    <w:basedOn w:val="1"/>
    <w:qFormat/>
    <w:uiPriority w:val="0"/>
    <w:pPr>
      <w:ind w:firstLine="420" w:firstLineChars="200"/>
    </w:pPr>
    <w:rPr>
      <w:rFonts w:ascii="Calibri" w:hAnsi="Calibri"/>
      <w:szCs w:val="22"/>
    </w:rPr>
  </w:style>
  <w:style w:type="paragraph" w:customStyle="1" w:styleId="180">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Char2"/>
    <w:basedOn w:val="1"/>
    <w:qFormat/>
    <w:uiPriority w:val="0"/>
  </w:style>
  <w:style w:type="paragraph" w:customStyle="1" w:styleId="185">
    <w:name w:val="Char12"/>
    <w:basedOn w:val="18"/>
    <w:qFormat/>
    <w:uiPriority w:val="0"/>
    <w:pPr>
      <w:widowControl/>
      <w:ind w:firstLine="454"/>
      <w:jc w:val="left"/>
    </w:pPr>
    <w:rPr>
      <w:rFonts w:ascii="Tahoma" w:hAnsi="Tahoma" w:cs="宋体"/>
      <w:kern w:val="0"/>
      <w:sz w:val="24"/>
      <w:szCs w:val="20"/>
    </w:rPr>
  </w:style>
  <w:style w:type="paragraph" w:customStyle="1" w:styleId="1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7">
    <w:name w:val="Char3"/>
    <w:basedOn w:val="1"/>
    <w:qFormat/>
    <w:uiPriority w:val="0"/>
  </w:style>
  <w:style w:type="paragraph" w:styleId="18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9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91">
    <w:name w:val="p0"/>
    <w:basedOn w:val="1"/>
    <w:qFormat/>
    <w:uiPriority w:val="0"/>
    <w:pPr>
      <w:widowControl/>
    </w:pPr>
    <w:rPr>
      <w:kern w:val="0"/>
      <w:szCs w:val="21"/>
    </w:rPr>
  </w:style>
  <w:style w:type="paragraph" w:customStyle="1" w:styleId="192">
    <w:name w:val="正文段"/>
    <w:basedOn w:val="1"/>
    <w:qFormat/>
    <w:uiPriority w:val="0"/>
    <w:pPr>
      <w:widowControl/>
      <w:snapToGrid w:val="0"/>
      <w:spacing w:afterLines="50"/>
      <w:ind w:firstLine="200" w:firstLineChars="200"/>
    </w:pPr>
    <w:rPr>
      <w:kern w:val="0"/>
      <w:sz w:val="24"/>
      <w:szCs w:val="20"/>
    </w:rPr>
  </w:style>
  <w:style w:type="paragraph" w:customStyle="1" w:styleId="193">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8">
    <w:name w:val="Char Char Char Char Char Char Char"/>
    <w:basedOn w:val="1"/>
    <w:qFormat/>
    <w:uiPriority w:val="0"/>
    <w:pPr>
      <w:tabs>
        <w:tab w:val="left" w:pos="432"/>
      </w:tabs>
      <w:ind w:left="432" w:hanging="432"/>
    </w:pPr>
    <w:rPr>
      <w:rFonts w:ascii="Tahoma" w:hAnsi="Tahoma"/>
      <w:sz w:val="24"/>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一级条标题"/>
    <w:next w:val="162"/>
    <w:qFormat/>
    <w:uiPriority w:val="0"/>
    <w:pPr>
      <w:ind w:left="284"/>
      <w:outlineLvl w:val="2"/>
    </w:pPr>
    <w:rPr>
      <w:rFonts w:ascii="Times New Roman" w:hAnsi="Times New Roman" w:eastAsia="黑体" w:cs="Times New Roman"/>
      <w:sz w:val="21"/>
      <w:lang w:val="en-US" w:eastAsia="zh-CN" w:bidi="ar-SA"/>
    </w:rPr>
  </w:style>
  <w:style w:type="paragraph" w:customStyle="1" w:styleId="201">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02">
    <w:name w:val="Char Char Char Char2"/>
    <w:basedOn w:val="1"/>
    <w:qFormat/>
    <w:uiPriority w:val="0"/>
  </w:style>
  <w:style w:type="paragraph" w:customStyle="1" w:styleId="203">
    <w:name w:val="正文首行缩进两字符"/>
    <w:basedOn w:val="1"/>
    <w:qFormat/>
    <w:uiPriority w:val="0"/>
    <w:pPr>
      <w:spacing w:line="360" w:lineRule="auto"/>
      <w:ind w:firstLine="200" w:firstLineChars="200"/>
    </w:pPr>
  </w:style>
  <w:style w:type="paragraph" w:customStyle="1" w:styleId="204">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 Char1"/>
    <w:basedOn w:val="1"/>
    <w:qFormat/>
    <w:uiPriority w:val="0"/>
  </w:style>
  <w:style w:type="paragraph" w:customStyle="1" w:styleId="206">
    <w:name w:val="Char Char Char Char1"/>
    <w:basedOn w:val="1"/>
    <w:qFormat/>
    <w:uiPriority w:val="0"/>
  </w:style>
  <w:style w:type="paragraph" w:customStyle="1" w:styleId="207">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8">
    <w:name w:val="Char Char Char1"/>
    <w:basedOn w:val="1"/>
    <w:qFormat/>
    <w:uiPriority w:val="0"/>
    <w:rPr>
      <w:rFonts w:ascii="Tahoma" w:hAnsi="Tahoma"/>
      <w:sz w:val="24"/>
      <w:szCs w:val="20"/>
    </w:rPr>
  </w:style>
  <w:style w:type="paragraph" w:customStyle="1" w:styleId="20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0">
    <w:name w:val="样式3"/>
    <w:basedOn w:val="84"/>
    <w:qFormat/>
    <w:uiPriority w:val="0"/>
    <w:pPr>
      <w:spacing w:line="360" w:lineRule="auto"/>
      <w:ind w:left="900" w:firstLine="0" w:firstLineChars="0"/>
      <w:jc w:val="center"/>
    </w:pPr>
    <w:rPr>
      <w:rFonts w:ascii="宋体" w:hAnsi="宋体"/>
      <w:sz w:val="24"/>
      <w:szCs w:val="28"/>
      <w:lang w:val="zh-CN"/>
    </w:rPr>
  </w:style>
  <w:style w:type="paragraph" w:customStyle="1" w:styleId="211">
    <w:name w:val="Table Paragraph"/>
    <w:basedOn w:val="1"/>
    <w:qFormat/>
    <w:uiPriority w:val="1"/>
    <w:pPr>
      <w:ind w:left="100" w:right="-10"/>
      <w:jc w:val="left"/>
    </w:pPr>
    <w:rPr>
      <w:rFonts w:ascii="宋体" w:hAnsi="宋体" w:cs="宋体"/>
      <w:kern w:val="0"/>
      <w:sz w:val="22"/>
      <w:szCs w:val="22"/>
      <w:lang w:eastAsia="en-US"/>
    </w:rPr>
  </w:style>
  <w:style w:type="paragraph" w:customStyle="1" w:styleId="21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4">
    <w:name w:val="正文首行缩进 2 Char"/>
    <w:basedOn w:val="59"/>
    <w:link w:val="43"/>
    <w:qFormat/>
    <w:uiPriority w:val="0"/>
    <w:rPr>
      <w:rFonts w:ascii="Times New Roman"/>
      <w:kern w:val="2"/>
      <w:sz w:val="21"/>
      <w:szCs w:val="24"/>
    </w:rPr>
  </w:style>
  <w:style w:type="paragraph" w:customStyle="1" w:styleId="215">
    <w:name w:val="模板普通正文"/>
    <w:basedOn w:val="22"/>
    <w:qFormat/>
    <w:uiPriority w:val="0"/>
    <w:pPr>
      <w:spacing w:beforeLines="50" w:after="10"/>
      <w:ind w:firstLine="490" w:firstLineChars="175"/>
      <w:jc w:val="left"/>
    </w:pPr>
  </w:style>
  <w:style w:type="character" w:customStyle="1" w:styleId="216">
    <w:name w:val="15"/>
    <w:qFormat/>
    <w:uiPriority w:val="99"/>
    <w:rPr>
      <w:rFonts w:hint="default" w:ascii="Times New Roman" w:hAnsi="Times New Roman" w:cs="Times New Roman"/>
    </w:rPr>
  </w:style>
  <w:style w:type="paragraph" w:customStyle="1" w:styleId="217">
    <w:name w:val="CM11"/>
    <w:basedOn w:val="190"/>
    <w:next w:val="190"/>
    <w:unhideWhenUsed/>
    <w:qFormat/>
    <w:uiPriority w:val="99"/>
    <w:pPr>
      <w:spacing w:line="520" w:lineRule="atLeast"/>
    </w:pPr>
    <w:rPr>
      <w:rFonts w:hint="eastAsia"/>
      <w:sz w:val="24"/>
      <w:szCs w:val="24"/>
    </w:rPr>
  </w:style>
  <w:style w:type="paragraph" w:customStyle="1" w:styleId="218">
    <w:name w:val="CM13"/>
    <w:basedOn w:val="190"/>
    <w:next w:val="190"/>
    <w:unhideWhenUsed/>
    <w:qFormat/>
    <w:uiPriority w:val="99"/>
    <w:pPr>
      <w:spacing w:line="520" w:lineRule="atLeast"/>
    </w:pPr>
    <w:rPr>
      <w:rFonts w:hint="eastAsia"/>
      <w:sz w:val="24"/>
      <w:szCs w:val="24"/>
    </w:rPr>
  </w:style>
  <w:style w:type="paragraph" w:customStyle="1" w:styleId="219">
    <w:name w:val="CM14"/>
    <w:basedOn w:val="190"/>
    <w:next w:val="190"/>
    <w:unhideWhenUsed/>
    <w:qFormat/>
    <w:uiPriority w:val="99"/>
    <w:pPr>
      <w:spacing w:line="546" w:lineRule="atLeast"/>
    </w:pPr>
    <w:rPr>
      <w:rFonts w:hint="eastAsia"/>
      <w:sz w:val="24"/>
      <w:szCs w:val="24"/>
    </w:rPr>
  </w:style>
  <w:style w:type="paragraph" w:customStyle="1" w:styleId="22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Normal_0"/>
    <w:qFormat/>
    <w:uiPriority w:val="0"/>
    <w:rPr>
      <w:rFonts w:ascii="Times New Roman" w:hAnsi="Times New Roman" w:eastAsia="Times New Roman" w:cs="Times New Roman"/>
      <w:sz w:val="24"/>
      <w:szCs w:val="24"/>
      <w:lang w:val="en-US" w:eastAsia="zh-CN" w:bidi="ar-SA"/>
    </w:rPr>
  </w:style>
  <w:style w:type="paragraph" w:customStyle="1" w:styleId="222">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74</Pages>
  <Words>833</Words>
  <Characters>987</Characters>
  <Lines>364</Lines>
  <Paragraphs>102</Paragraphs>
  <TotalTime>19</TotalTime>
  <ScaleCrop>false</ScaleCrop>
  <LinksUpToDate>false</LinksUpToDate>
  <CharactersWithSpaces>1074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2022-11-07T15:06:00Z</dcterms:created>
  <dc:creator>广西智瀚</dc:creator>
  <cp:lastModifiedBy>Min</cp:lastModifiedBy>
  <cp:lastPrinted>2023-12-27T14:46:00Z</cp:lastPrinted>
  <dcterms:modified xsi:type="dcterms:W3CDTF">2025-09-19T07:11:21Z</dcterms:modified>
  <dc:title>竞争性磋商文件规范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4582C4DD08FA4C779878BC3B7CF2D0C7_13</vt:lpwstr>
  </property>
  <property fmtid="{D5CDD505-2E9C-101B-9397-08002B2CF9AE}" pid="4" name="KSOTemplateDocerSaveRecord">
    <vt:lpwstr>eyJoZGlkIjoiYjgyNTNlODUyZjA5ZDQ3MTcxNDUwNTE2ZDY0NjEyMTYiLCJ1c2VySWQiOiIyNjY0Njg2OTMifQ==</vt:lpwstr>
  </property>
</Properties>
</file>