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84356">
      <w:pPr>
        <w:spacing w:before="120" w:beforeLines="50"/>
        <w:jc w:val="center"/>
        <w:rPr>
          <w:rFonts w:hint="eastAsia" w:ascii="宋体" w:hAnsi="宋体" w:eastAsia="宋体" w:cs="宋体"/>
          <w:b/>
          <w:color w:val="auto"/>
          <w:sz w:val="44"/>
          <w:szCs w:val="44"/>
          <w:highlight w:val="none"/>
        </w:rPr>
      </w:pPr>
    </w:p>
    <w:p w14:paraId="3B5FD399">
      <w:pPr>
        <w:spacing w:before="120" w:beforeLines="50"/>
        <w:jc w:val="center"/>
        <w:rPr>
          <w:rFonts w:hint="eastAsia" w:ascii="宋体" w:hAnsi="宋体" w:eastAsia="宋体" w:cs="宋体"/>
          <w:b/>
          <w:color w:val="auto"/>
          <w:sz w:val="44"/>
          <w:szCs w:val="44"/>
          <w:highlight w:val="none"/>
        </w:rPr>
      </w:pPr>
    </w:p>
    <w:p w14:paraId="0891EE27">
      <w:pPr>
        <w:spacing w:before="120" w:beforeLines="50"/>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广西德元工程项目管理有限责任公司</w:t>
      </w:r>
    </w:p>
    <w:p w14:paraId="7D868BF2">
      <w:pPr>
        <w:spacing w:before="120" w:beforeLines="50"/>
        <w:rPr>
          <w:rFonts w:hint="eastAsia" w:ascii="宋体" w:hAnsi="宋体" w:eastAsia="宋体" w:cs="宋体"/>
          <w:color w:val="auto"/>
          <w:sz w:val="48"/>
          <w:szCs w:val="48"/>
          <w:highlight w:val="none"/>
        </w:rPr>
      </w:pPr>
    </w:p>
    <w:p w14:paraId="6BC1EB06">
      <w:pPr>
        <w:spacing w:before="120" w:beforeLines="50"/>
        <w:rPr>
          <w:rFonts w:hint="eastAsia" w:ascii="宋体" w:hAnsi="宋体" w:eastAsia="宋体" w:cs="宋体"/>
          <w:color w:val="auto"/>
          <w:sz w:val="48"/>
          <w:szCs w:val="48"/>
          <w:highlight w:val="none"/>
        </w:rPr>
      </w:pPr>
    </w:p>
    <w:p w14:paraId="5F0AA9D5">
      <w:pPr>
        <w:spacing w:before="120" w:beforeLines="5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公开招标采购文件</w:t>
      </w:r>
    </w:p>
    <w:p w14:paraId="1EDAA169">
      <w:pPr>
        <w:snapToGrid w:val="0"/>
        <w:spacing w:before="120" w:beforeLines="50" w:line="360" w:lineRule="auto"/>
        <w:rPr>
          <w:rFonts w:hint="eastAsia" w:ascii="宋体" w:hAnsi="宋体" w:eastAsia="宋体" w:cs="宋体"/>
          <w:color w:val="auto"/>
          <w:sz w:val="30"/>
          <w:szCs w:val="72"/>
          <w:highlight w:val="none"/>
        </w:rPr>
      </w:pPr>
    </w:p>
    <w:p w14:paraId="008355C9">
      <w:pPr>
        <w:snapToGrid w:val="0"/>
        <w:spacing w:before="120" w:beforeLines="50" w:line="360" w:lineRule="auto"/>
        <w:rPr>
          <w:rFonts w:hint="eastAsia" w:ascii="宋体" w:hAnsi="宋体" w:eastAsia="宋体" w:cs="宋体"/>
          <w:color w:val="auto"/>
          <w:sz w:val="30"/>
          <w:szCs w:val="72"/>
          <w:highlight w:val="none"/>
        </w:rPr>
      </w:pPr>
    </w:p>
    <w:p w14:paraId="0B24A1AE">
      <w:pPr>
        <w:snapToGrid w:val="0"/>
        <w:spacing w:before="120" w:beforeLines="50" w:line="360" w:lineRule="auto"/>
        <w:rPr>
          <w:rFonts w:hint="eastAsia" w:ascii="宋体" w:hAnsi="宋体" w:eastAsia="宋体" w:cs="宋体"/>
          <w:color w:val="auto"/>
          <w:sz w:val="30"/>
          <w:szCs w:val="72"/>
          <w:highlight w:val="none"/>
        </w:rPr>
      </w:pPr>
    </w:p>
    <w:p w14:paraId="084D253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cs="宋体"/>
          <w:b/>
          <w:bCs/>
          <w:color w:val="auto"/>
          <w:sz w:val="32"/>
          <w:szCs w:val="32"/>
          <w:highlight w:val="none"/>
          <w:lang w:eastAsia="zh-CN"/>
        </w:rPr>
        <w:t>防汛排涝应急设施设备更新工程1标段</w:t>
      </w:r>
    </w:p>
    <w:p w14:paraId="013FCFA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LZZC2025-G1-990735-GXDY</w:t>
      </w:r>
    </w:p>
    <w:p w14:paraId="7C98BE40">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2A58A7FB">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506" w:firstLineChars="500"/>
        <w:textAlignment w:val="auto"/>
        <w:rPr>
          <w:rFonts w:hint="eastAsia" w:ascii="宋体" w:hAnsi="宋体" w:eastAsia="宋体" w:cs="宋体"/>
          <w:b/>
          <w:bCs/>
          <w:color w:val="auto"/>
          <w:sz w:val="30"/>
          <w:szCs w:val="30"/>
          <w:highlight w:val="none"/>
        </w:rPr>
      </w:pPr>
    </w:p>
    <w:p w14:paraId="10736252">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 xml:space="preserve">采购单位：柳州市市政设施维护管理处 </w:t>
      </w:r>
    </w:p>
    <w:p w14:paraId="1C7B5D56">
      <w:pPr>
        <w:keepNext w:val="0"/>
        <w:keepLines w:val="0"/>
        <w:pageBreakBefore w:val="0"/>
        <w:widowControl w:val="0"/>
        <w:kinsoku/>
        <w:wordWrap/>
        <w:overflowPunct/>
        <w:topLinePunct w:val="0"/>
        <w:autoSpaceDE/>
        <w:autoSpaceDN/>
        <w:bidi w:val="0"/>
        <w:adjustRightInd/>
        <w:snapToGrid w:val="0"/>
        <w:spacing w:before="120" w:beforeLines="50" w:line="700" w:lineRule="exact"/>
        <w:ind w:firstLine="1606" w:firstLineChars="5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采购代理机构：广西德元工程项目管理有限责任公司</w:t>
      </w:r>
    </w:p>
    <w:p w14:paraId="50BE28C3">
      <w:pPr>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           </w:t>
      </w:r>
    </w:p>
    <w:p w14:paraId="72251784">
      <w:pPr>
        <w:rPr>
          <w:rFonts w:hint="eastAsia" w:ascii="宋体" w:hAnsi="宋体" w:eastAsia="宋体" w:cs="宋体"/>
          <w:b/>
          <w:bCs/>
          <w:color w:val="auto"/>
          <w:w w:val="95"/>
          <w:sz w:val="30"/>
          <w:szCs w:val="30"/>
          <w:highlight w:val="none"/>
        </w:rPr>
      </w:pPr>
    </w:p>
    <w:p w14:paraId="68A40A8E">
      <w:pPr>
        <w:ind w:firstLine="3692" w:firstLineChars="129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lang w:eastAsia="zh-CN"/>
        </w:rPr>
        <w:t xml:space="preserve">  2025年9月</w:t>
      </w:r>
    </w:p>
    <w:p w14:paraId="2BD19133">
      <w:pPr>
        <w:pStyle w:val="27"/>
        <w:spacing w:before="120" w:after="120"/>
        <w:rPr>
          <w:rFonts w:hint="eastAsia" w:ascii="宋体" w:hAnsi="宋体" w:eastAsia="宋体" w:cs="宋体"/>
          <w:color w:val="auto"/>
          <w:highlight w:val="none"/>
        </w:rPr>
      </w:pPr>
    </w:p>
    <w:p w14:paraId="11CEFCC0">
      <w:pPr>
        <w:pStyle w:val="27"/>
        <w:spacing w:before="120" w:after="120"/>
        <w:rPr>
          <w:rFonts w:hint="eastAsia" w:ascii="宋体" w:hAnsi="宋体" w:eastAsia="宋体" w:cs="宋体"/>
          <w:color w:val="auto"/>
          <w:highlight w:val="none"/>
        </w:rPr>
      </w:pPr>
    </w:p>
    <w:p w14:paraId="00325830">
      <w:pPr>
        <w:pStyle w:val="27"/>
        <w:spacing w:before="120" w:after="1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971B24C">
      <w:pPr>
        <w:pStyle w:val="27"/>
        <w:spacing w:before="120" w:after="120"/>
        <w:rPr>
          <w:rFonts w:hint="eastAsia" w:ascii="宋体" w:hAnsi="宋体" w:eastAsia="宋体" w:cs="宋体"/>
          <w:color w:val="auto"/>
          <w:highlight w:val="none"/>
          <w:lang w:val="en-US" w:eastAsia="zh-CN"/>
        </w:rPr>
      </w:pPr>
    </w:p>
    <w:p w14:paraId="0EC70B9C">
      <w:pPr>
        <w:pStyle w:val="27"/>
        <w:spacing w:before="120" w:after="120"/>
        <w:rPr>
          <w:rFonts w:hint="eastAsia" w:ascii="宋体" w:hAnsi="宋体" w:eastAsia="宋体" w:cs="宋体"/>
          <w:color w:val="auto"/>
          <w:highlight w:val="none"/>
          <w:lang w:val="en-US" w:eastAsia="zh-CN"/>
        </w:rPr>
      </w:pPr>
    </w:p>
    <w:p w14:paraId="4B9E31A6">
      <w:pPr>
        <w:pStyle w:val="2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2F8947C4">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"1-3"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_Toc4368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第一章  公开招标公告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_Toc4368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7E36FF9F">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_Toc14947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  招标项目采购需求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_Toc14947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995B1E7">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_Toc8327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_Toc8327 \h </w:instrText>
      </w:r>
      <w:r>
        <w:rPr>
          <w:color w:val="auto"/>
          <w:sz w:val="32"/>
          <w:szCs w:val="32"/>
          <w:highlight w:val="none"/>
        </w:rPr>
        <w:fldChar w:fldCharType="separate"/>
      </w:r>
      <w:r>
        <w:rPr>
          <w:color w:val="auto"/>
          <w:sz w:val="32"/>
          <w:szCs w:val="32"/>
          <w:highlight w:val="none"/>
        </w:rPr>
        <w:t>15</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4B4B80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_Toc29000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第四章 评标办法及评分标准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_Toc29000 \h </w:instrText>
      </w:r>
      <w:r>
        <w:rPr>
          <w:color w:val="auto"/>
          <w:sz w:val="32"/>
          <w:szCs w:val="32"/>
          <w:highlight w:val="none"/>
        </w:rPr>
        <w:fldChar w:fldCharType="separate"/>
      </w:r>
      <w:r>
        <w:rPr>
          <w:color w:val="auto"/>
          <w:sz w:val="32"/>
          <w:szCs w:val="32"/>
          <w:highlight w:val="none"/>
        </w:rPr>
        <w:t>36</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FF706DC">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_Toc14162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 合同主要条款格式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_Toc14162 \h </w:instrText>
      </w:r>
      <w:r>
        <w:rPr>
          <w:color w:val="auto"/>
          <w:sz w:val="32"/>
          <w:szCs w:val="32"/>
          <w:highlight w:val="none"/>
        </w:rPr>
        <w:fldChar w:fldCharType="separate"/>
      </w:r>
      <w:r>
        <w:rPr>
          <w:color w:val="auto"/>
          <w:sz w:val="32"/>
          <w:szCs w:val="32"/>
          <w:highlight w:val="none"/>
        </w:rPr>
        <w:t>43</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F35CAE2">
      <w:pPr>
        <w:pStyle w:val="34"/>
        <w:keepNext w:val="0"/>
        <w:keepLines w:val="0"/>
        <w:pageBreakBefore w:val="0"/>
        <w:widowControl w:val="0"/>
        <w:tabs>
          <w:tab w:val="right" w:leader="dot" w:pos="9638"/>
          <w:tab w:val="clear" w:pos="8398"/>
        </w:tabs>
        <w:kinsoku/>
        <w:wordWrap/>
        <w:overflowPunct/>
        <w:topLinePunct w:val="0"/>
        <w:autoSpaceDE/>
        <w:autoSpaceDN/>
        <w:bidi w:val="0"/>
        <w:adjustRightInd/>
        <w:snapToGrid/>
        <w:spacing w:before="0" w:after="0" w:line="700" w:lineRule="exact"/>
        <w:ind w:left="0" w:leftChars="0" w:firstLine="0" w:firstLineChars="0"/>
        <w:textAlignment w:val="auto"/>
        <w:rPr>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_Toc32317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_Toc32317 \h </w:instrText>
      </w:r>
      <w:r>
        <w:rPr>
          <w:color w:val="auto"/>
          <w:sz w:val="32"/>
          <w:szCs w:val="32"/>
          <w:highlight w:val="none"/>
        </w:rPr>
        <w:fldChar w:fldCharType="separate"/>
      </w:r>
      <w:r>
        <w:rPr>
          <w:color w:val="auto"/>
          <w:sz w:val="32"/>
          <w:szCs w:val="32"/>
          <w:highlight w:val="none"/>
        </w:rPr>
        <w:t>49</w:t>
      </w:r>
      <w:r>
        <w:rPr>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32BFA9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color w:val="auto"/>
          <w:sz w:val="30"/>
          <w:highlight w:val="none"/>
        </w:rPr>
      </w:pPr>
      <w:r>
        <w:rPr>
          <w:rFonts w:hint="eastAsia" w:ascii="宋体" w:hAnsi="宋体" w:eastAsia="宋体" w:cs="宋体"/>
          <w:color w:val="auto"/>
          <w:sz w:val="32"/>
          <w:szCs w:val="32"/>
          <w:highlight w:val="none"/>
        </w:rPr>
        <w:fldChar w:fldCharType="end"/>
      </w:r>
    </w:p>
    <w:p w14:paraId="61152E1A">
      <w:pPr>
        <w:spacing w:before="120" w:beforeLines="50" w:line="480" w:lineRule="exact"/>
        <w:rPr>
          <w:rFonts w:hint="eastAsia" w:ascii="宋体" w:hAnsi="宋体" w:eastAsia="宋体" w:cs="宋体"/>
          <w:color w:val="auto"/>
          <w:sz w:val="30"/>
          <w:highlight w:val="none"/>
        </w:rPr>
      </w:pPr>
    </w:p>
    <w:p w14:paraId="24DBAABA">
      <w:pPr>
        <w:spacing w:before="120" w:beforeLines="50" w:line="480" w:lineRule="exact"/>
        <w:rPr>
          <w:rFonts w:hint="eastAsia" w:ascii="宋体" w:hAnsi="宋体" w:eastAsia="宋体" w:cs="宋体"/>
          <w:color w:val="auto"/>
          <w:sz w:val="30"/>
          <w:highlight w:val="none"/>
        </w:rPr>
      </w:pPr>
    </w:p>
    <w:p w14:paraId="1E8B4CC8">
      <w:pPr>
        <w:spacing w:before="120" w:beforeLines="50" w:line="480" w:lineRule="exact"/>
        <w:rPr>
          <w:rFonts w:hint="eastAsia" w:ascii="宋体" w:hAnsi="宋体" w:eastAsia="宋体" w:cs="宋体"/>
          <w:color w:val="auto"/>
          <w:sz w:val="30"/>
          <w:highlight w:val="none"/>
        </w:rPr>
      </w:pPr>
    </w:p>
    <w:p w14:paraId="247CA112">
      <w:pPr>
        <w:spacing w:before="120" w:beforeLines="50" w:line="480" w:lineRule="exact"/>
        <w:rPr>
          <w:rFonts w:hint="eastAsia" w:ascii="宋体" w:hAnsi="宋体" w:eastAsia="宋体" w:cs="宋体"/>
          <w:color w:val="auto"/>
          <w:sz w:val="30"/>
          <w:highlight w:val="none"/>
        </w:rPr>
      </w:pPr>
    </w:p>
    <w:p w14:paraId="0A2AB638">
      <w:pPr>
        <w:spacing w:before="120" w:beforeLines="50" w:line="480" w:lineRule="exact"/>
        <w:rPr>
          <w:rFonts w:hint="eastAsia" w:ascii="宋体" w:hAnsi="宋体" w:eastAsia="宋体" w:cs="宋体"/>
          <w:color w:val="auto"/>
          <w:sz w:val="30"/>
          <w:highlight w:val="none"/>
        </w:rPr>
      </w:pPr>
    </w:p>
    <w:p w14:paraId="3500E8C0">
      <w:pPr>
        <w:spacing w:before="120" w:beforeLines="50" w:line="480" w:lineRule="exact"/>
        <w:rPr>
          <w:rFonts w:hint="eastAsia" w:ascii="宋体" w:hAnsi="宋体" w:eastAsia="宋体" w:cs="宋体"/>
          <w:color w:val="auto"/>
          <w:sz w:val="30"/>
          <w:highlight w:val="none"/>
        </w:rPr>
      </w:pPr>
    </w:p>
    <w:p w14:paraId="0930CDC3">
      <w:pPr>
        <w:spacing w:before="120" w:beforeLines="50" w:line="480" w:lineRule="exact"/>
        <w:rPr>
          <w:rFonts w:hint="eastAsia" w:ascii="宋体" w:hAnsi="宋体" w:eastAsia="宋体" w:cs="宋体"/>
          <w:color w:val="auto"/>
          <w:sz w:val="30"/>
          <w:highlight w:val="none"/>
        </w:rPr>
      </w:pPr>
    </w:p>
    <w:p w14:paraId="77FFB177">
      <w:pPr>
        <w:spacing w:before="120" w:beforeLines="50" w:line="480" w:lineRule="exact"/>
        <w:rPr>
          <w:rFonts w:hint="eastAsia" w:ascii="宋体" w:hAnsi="宋体" w:eastAsia="宋体" w:cs="宋体"/>
          <w:color w:val="auto"/>
          <w:sz w:val="30"/>
          <w:highlight w:val="none"/>
        </w:rPr>
      </w:pPr>
    </w:p>
    <w:p w14:paraId="4E48A9ED">
      <w:pPr>
        <w:spacing w:before="120" w:beforeLines="50" w:line="480" w:lineRule="exact"/>
        <w:rPr>
          <w:rFonts w:hint="eastAsia" w:ascii="宋体" w:hAnsi="宋体" w:eastAsia="宋体" w:cs="宋体"/>
          <w:color w:val="auto"/>
          <w:sz w:val="30"/>
          <w:highlight w:val="none"/>
        </w:rPr>
      </w:pPr>
    </w:p>
    <w:p w14:paraId="2B6BB50F">
      <w:pPr>
        <w:spacing w:before="120" w:beforeLines="50" w:line="480" w:lineRule="exact"/>
        <w:rPr>
          <w:rFonts w:hint="eastAsia" w:ascii="宋体" w:hAnsi="宋体" w:eastAsia="宋体" w:cs="宋体"/>
          <w:color w:val="auto"/>
          <w:sz w:val="30"/>
          <w:highlight w:val="none"/>
        </w:rPr>
      </w:pPr>
    </w:p>
    <w:p w14:paraId="651C02CD">
      <w:pPr>
        <w:spacing w:before="120" w:beforeLines="50" w:line="480" w:lineRule="exact"/>
        <w:rPr>
          <w:rFonts w:hint="eastAsia" w:ascii="宋体" w:hAnsi="宋体" w:eastAsia="宋体" w:cs="宋体"/>
          <w:color w:val="auto"/>
          <w:sz w:val="30"/>
          <w:highlight w:val="none"/>
        </w:rPr>
      </w:pPr>
    </w:p>
    <w:p w14:paraId="2914A610">
      <w:pPr>
        <w:spacing w:before="120" w:beforeLines="50" w:line="480" w:lineRule="exact"/>
        <w:rPr>
          <w:rFonts w:hint="eastAsia" w:ascii="宋体" w:hAnsi="宋体" w:eastAsia="宋体" w:cs="宋体"/>
          <w:color w:val="auto"/>
          <w:sz w:val="30"/>
          <w:highlight w:val="none"/>
        </w:rPr>
      </w:pPr>
    </w:p>
    <w:p w14:paraId="5E40E907">
      <w:pPr>
        <w:spacing w:before="120" w:beforeLines="50" w:line="480" w:lineRule="exact"/>
        <w:rPr>
          <w:rFonts w:hint="eastAsia" w:ascii="宋体" w:hAnsi="宋体" w:eastAsia="宋体" w:cs="宋体"/>
          <w:color w:val="auto"/>
          <w:sz w:val="30"/>
          <w:highlight w:val="none"/>
        </w:rPr>
      </w:pPr>
    </w:p>
    <w:p w14:paraId="68A91D7C">
      <w:pPr>
        <w:spacing w:before="120" w:beforeLines="50" w:line="480" w:lineRule="exact"/>
        <w:rPr>
          <w:rFonts w:hint="eastAsia" w:ascii="宋体" w:hAnsi="宋体" w:eastAsia="宋体" w:cs="宋体"/>
          <w:color w:val="auto"/>
          <w:sz w:val="30"/>
          <w:highlight w:val="none"/>
        </w:rPr>
      </w:pPr>
    </w:p>
    <w:p w14:paraId="7EFB8B8D">
      <w:pPr>
        <w:pStyle w:val="27"/>
        <w:keepNext w:val="0"/>
        <w:keepLines w:val="0"/>
        <w:pageBreakBefore w:val="0"/>
        <w:kinsoku/>
        <w:wordWrap/>
        <w:overflowPunct/>
        <w:topLinePunct w:val="0"/>
        <w:autoSpaceDE/>
        <w:autoSpaceDN/>
        <w:bidi w:val="0"/>
        <w:adjustRightInd/>
        <w:snapToGrid w:val="0"/>
        <w:spacing w:line="360" w:lineRule="exact"/>
        <w:jc w:val="center"/>
        <w:textAlignment w:val="auto"/>
        <w:outlineLvl w:val="0"/>
        <w:rPr>
          <w:rFonts w:hint="eastAsia" w:asciiTheme="majorEastAsia" w:hAnsiTheme="majorEastAsia" w:eastAsiaTheme="majorEastAsia" w:cstheme="majorEastAsia"/>
          <w:b/>
          <w:bCs/>
          <w:color w:val="auto"/>
          <w:sz w:val="21"/>
          <w:szCs w:val="21"/>
          <w:highlight w:val="none"/>
        </w:rPr>
      </w:pPr>
      <w:bookmarkStart w:id="0" w:name="_Toc254970489"/>
      <w:bookmarkStart w:id="1" w:name="_Toc254970630"/>
      <w:bookmarkStart w:id="2" w:name="_Toc4368"/>
      <w:r>
        <w:rPr>
          <w:rFonts w:hint="eastAsia" w:ascii="宋体" w:hAnsi="宋体" w:eastAsia="宋体" w:cs="宋体"/>
          <w:b/>
          <w:bCs/>
          <w:color w:val="auto"/>
          <w:sz w:val="28"/>
          <w:szCs w:val="28"/>
          <w:highlight w:val="none"/>
        </w:rPr>
        <w:t>第一章  公开招标公告</w:t>
      </w:r>
      <w:bookmarkEnd w:id="0"/>
      <w:bookmarkEnd w:id="1"/>
      <w:bookmarkEnd w:id="2"/>
    </w:p>
    <w:p w14:paraId="21743E40">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项目概况</w:t>
      </w:r>
    </w:p>
    <w:p w14:paraId="0B90174C">
      <w:pPr>
        <w:pStyle w:val="43"/>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防汛排涝应急设施设备更新工程1标段招标项目的潜在投标人应在</w:t>
      </w:r>
      <w:r>
        <w:rPr>
          <w:rFonts w:hint="eastAsia" w:asciiTheme="majorEastAsia" w:hAnsiTheme="majorEastAsia" w:eastAsiaTheme="majorEastAsia" w:cstheme="majorEastAsia"/>
          <w:i w:val="0"/>
          <w:iCs w:val="0"/>
          <w:caps w:val="0"/>
          <w:color w:val="000000"/>
          <w:spacing w:val="0"/>
          <w:sz w:val="21"/>
          <w:szCs w:val="21"/>
          <w:u w:val="none"/>
        </w:rPr>
        <w:t>广西政府采购云平台（https://www.gcy.zfcg.gxzf.gov.cn/）</w:t>
      </w:r>
      <w:r>
        <w:rPr>
          <w:rFonts w:hint="eastAsia" w:asciiTheme="majorEastAsia" w:hAnsiTheme="majorEastAsia" w:eastAsiaTheme="majorEastAsia" w:cstheme="majorEastAsia"/>
          <w:i w:val="0"/>
          <w:iCs w:val="0"/>
          <w:caps w:val="0"/>
          <w:color w:val="000000"/>
          <w:spacing w:val="0"/>
          <w:sz w:val="21"/>
          <w:szCs w:val="21"/>
        </w:rPr>
        <w:t>获取招标文件，并于2025年10月21日 09:20（北京时间）前递交投标文件。                                                </w:t>
      </w:r>
    </w:p>
    <w:p w14:paraId="0F1F827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1"/>
          <w:rFonts w:hint="eastAsia" w:asciiTheme="majorEastAsia" w:hAnsiTheme="majorEastAsia" w:eastAsiaTheme="majorEastAsia" w:cstheme="majorEastAsia"/>
          <w:i w:val="0"/>
          <w:iCs w:val="0"/>
          <w:caps w:val="0"/>
          <w:color w:val="000000"/>
          <w:spacing w:val="0"/>
          <w:sz w:val="21"/>
          <w:szCs w:val="21"/>
        </w:rPr>
        <w:t>一、项目基本情况</w:t>
      </w:r>
      <w:r>
        <w:rPr>
          <w:rFonts w:hint="eastAsia" w:asciiTheme="majorEastAsia" w:hAnsiTheme="majorEastAsia" w:eastAsiaTheme="majorEastAsia" w:cstheme="majorEastAsia"/>
          <w:i w:val="0"/>
          <w:iCs w:val="0"/>
          <w:caps w:val="0"/>
          <w:color w:val="000000"/>
          <w:spacing w:val="0"/>
          <w:sz w:val="21"/>
          <w:szCs w:val="21"/>
        </w:rPr>
        <w:t>                                            </w:t>
      </w:r>
    </w:p>
    <w:p w14:paraId="764139F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项目编号：LZZC2025-G1-990735-GXDY </w:t>
      </w:r>
    </w:p>
    <w:p w14:paraId="73238D2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项目名称：防汛排涝应急设施设备更新工程1标段</w:t>
      </w:r>
    </w:p>
    <w:p w14:paraId="2D52798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预算总金额（元）：6612200  </w:t>
      </w:r>
    </w:p>
    <w:p w14:paraId="2AE2830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采购需求：</w:t>
      </w:r>
    </w:p>
    <w:p w14:paraId="734C138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标项名称:防汛排涝应急设施设备更新工程1标段</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数量:1</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预算金额（元）:6612200</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简要规格描述或项目基本概况介绍、用途：采购应急抢险泵车6辆、移动供电车1辆，具体内容及要求详见招标文件第二章《招标项目采购需求》。</w:t>
      </w:r>
    </w:p>
    <w:p w14:paraId="4844F09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最高限价（如有）：6612200</w:t>
      </w:r>
    </w:p>
    <w:p w14:paraId="6ADAF9F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合同履约期限：自合同签订之日起120天内全部货物安装调试完毕并交付使用。</w:t>
      </w:r>
    </w:p>
    <w:p w14:paraId="37FB47B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本标项（否）接受联合体投标</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备注：本项目为线上电子招标项目，采用远程异地评标，有意向参与本项目的供应商应当做好参与全流程电子招投标交易的充分准备。</w:t>
      </w:r>
    </w:p>
    <w:p w14:paraId="555EB57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Style w:val="51"/>
          <w:rFonts w:hint="eastAsia" w:asciiTheme="majorEastAsia" w:hAnsiTheme="majorEastAsia" w:eastAsiaTheme="majorEastAsia" w:cstheme="majorEastAsia"/>
          <w:i w:val="0"/>
          <w:iCs w:val="0"/>
          <w:caps w:val="0"/>
          <w:color w:val="000000"/>
          <w:spacing w:val="0"/>
          <w:sz w:val="21"/>
          <w:szCs w:val="21"/>
        </w:rPr>
        <w:t>二、申请人的资格要求：</w:t>
      </w:r>
    </w:p>
    <w:p w14:paraId="0686FA0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1.满足《中华人民共和国政府采购法》第二十二条规定；</w:t>
      </w:r>
    </w:p>
    <w:p w14:paraId="79CFF46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2.落实政府采购政策需满足的资格要求：分标1：无 </w:t>
      </w:r>
    </w:p>
    <w:p w14:paraId="1E918F49">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3.本项目的特定资格要求：无 </w:t>
      </w:r>
    </w:p>
    <w:p w14:paraId="41CA6B1C">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1"/>
          <w:rFonts w:hint="eastAsia" w:asciiTheme="majorEastAsia" w:hAnsiTheme="majorEastAsia" w:eastAsiaTheme="majorEastAsia" w:cstheme="majorEastAsia"/>
          <w:i w:val="0"/>
          <w:iCs w:val="0"/>
          <w:caps w:val="0"/>
          <w:color w:val="000000"/>
          <w:spacing w:val="0"/>
          <w:sz w:val="21"/>
          <w:szCs w:val="21"/>
        </w:rPr>
        <w:t>三、获取招标文件</w:t>
      </w:r>
      <w:r>
        <w:rPr>
          <w:rFonts w:hint="eastAsia" w:asciiTheme="majorEastAsia" w:hAnsiTheme="majorEastAsia" w:eastAsiaTheme="majorEastAsia" w:cstheme="majorEastAsia"/>
          <w:i w:val="0"/>
          <w:iCs w:val="0"/>
          <w:caps w:val="0"/>
          <w:color w:val="000000"/>
          <w:spacing w:val="0"/>
          <w:sz w:val="21"/>
          <w:szCs w:val="21"/>
        </w:rPr>
        <w:t> </w:t>
      </w:r>
    </w:p>
    <w:p w14:paraId="05F80DB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w:t>
      </w:r>
      <w:r>
        <w:rPr>
          <w:rFonts w:hint="eastAsia" w:asciiTheme="majorEastAsia" w:hAnsiTheme="majorEastAsia" w:eastAsiaTheme="majorEastAsia" w:cstheme="majorEastAsia"/>
          <w:i w:val="0"/>
          <w:iCs w:val="0"/>
          <w:caps w:val="0"/>
          <w:color w:val="000000"/>
          <w:spacing w:val="0"/>
          <w:sz w:val="21"/>
          <w:szCs w:val="21"/>
          <w:u w:val="none"/>
        </w:rPr>
        <w:t>时间：2025年09月30日至2025年10月16日 ，每天上午00:00至12:00 ，下午12:00至23:59（北京时间，法定节假日除外）</w:t>
      </w:r>
    </w:p>
    <w:p w14:paraId="6E87B5E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地点（网址）：广西政府采购云平台（https://www.gcy.zfcg.gxzf.gov.cn/） </w:t>
      </w:r>
    </w:p>
    <w:p w14:paraId="31DBF10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方式：网上下载。本项目为全流程电子化项目，不发放纸质文件，供应商可自行在“广西政府采购云平台”（https://www.gcy.zfcg.gxzf.gov.cn/）下载采购文件，实名申请获取采购文件，如在操作过程中遇到问题或者需要技术支持，请致电广西政府采购云平台客服热线：95763。供应商登陆“广西政府采购云平台”，应进行“申请获取采购文件”操作，否则，有可能导致无法在线编制投标文件并参与竞标，其不利后果由供应商自行承担。 </w:t>
      </w:r>
    </w:p>
    <w:p w14:paraId="73F51DB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售价（元）：0 </w:t>
      </w:r>
    </w:p>
    <w:p w14:paraId="1176735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1"/>
          <w:rFonts w:hint="eastAsia" w:asciiTheme="majorEastAsia" w:hAnsiTheme="majorEastAsia" w:eastAsiaTheme="majorEastAsia" w:cstheme="majorEastAsia"/>
          <w:i w:val="0"/>
          <w:iCs w:val="0"/>
          <w:caps w:val="0"/>
          <w:color w:val="000000"/>
          <w:spacing w:val="0"/>
          <w:sz w:val="21"/>
          <w:szCs w:val="21"/>
        </w:rPr>
        <w:t>四、提交投标文件截止时间、开标时间和地点</w:t>
      </w:r>
    </w:p>
    <w:p w14:paraId="5288256A">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w:t>
      </w:r>
      <w:r>
        <w:rPr>
          <w:rFonts w:hint="eastAsia" w:asciiTheme="majorEastAsia" w:hAnsiTheme="majorEastAsia" w:eastAsiaTheme="majorEastAsia" w:cstheme="majorEastAsia"/>
          <w:i w:val="0"/>
          <w:iCs w:val="0"/>
          <w:caps w:val="0"/>
          <w:color w:val="000000"/>
          <w:spacing w:val="0"/>
          <w:sz w:val="21"/>
          <w:szCs w:val="21"/>
          <w:u w:val="none"/>
        </w:rPr>
        <w:t> 提交投标文件截止时间：2025年10月21日 09:20（北京时间）</w:t>
      </w:r>
    </w:p>
    <w:p w14:paraId="5FF66C6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w:t>
      </w:r>
      <w:r>
        <w:rPr>
          <w:rFonts w:hint="eastAsia" w:asciiTheme="majorEastAsia" w:hAnsiTheme="majorEastAsia" w:eastAsiaTheme="majorEastAsia" w:cstheme="majorEastAsia"/>
          <w:i w:val="0"/>
          <w:iCs w:val="0"/>
          <w:caps w:val="0"/>
          <w:color w:val="000000"/>
          <w:spacing w:val="0"/>
          <w:sz w:val="21"/>
          <w:szCs w:val="21"/>
          <w:u w:val="none"/>
        </w:rPr>
        <w:t> 投标地点（网址）：请登录广西政府采购云平台（https://www.gcy.zfcg.gxzf.gov.cn/）投标客户端投标</w:t>
      </w:r>
      <w:r>
        <w:rPr>
          <w:rFonts w:hint="eastAsia" w:asciiTheme="majorEastAsia" w:hAnsiTheme="majorEastAsia" w:eastAsiaTheme="majorEastAsia" w:cstheme="majorEastAsia"/>
          <w:i w:val="0"/>
          <w:iCs w:val="0"/>
          <w:caps w:val="0"/>
          <w:color w:val="000000"/>
          <w:spacing w:val="0"/>
          <w:sz w:val="21"/>
          <w:szCs w:val="21"/>
        </w:rPr>
        <w:t> </w:t>
      </w:r>
    </w:p>
    <w:p w14:paraId="7EEC863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u w:val="none"/>
        </w:rPr>
        <w:t>    开标时间：2025年10月21日 09:20</w:t>
      </w:r>
      <w:r>
        <w:rPr>
          <w:rFonts w:hint="eastAsia" w:asciiTheme="majorEastAsia" w:hAnsiTheme="majorEastAsia" w:eastAsiaTheme="majorEastAsia" w:cstheme="majorEastAsia"/>
          <w:i w:val="0"/>
          <w:iCs w:val="0"/>
          <w:caps w:val="0"/>
          <w:color w:val="000000"/>
          <w:spacing w:val="0"/>
          <w:sz w:val="21"/>
          <w:szCs w:val="21"/>
        </w:rPr>
        <w:t> </w:t>
      </w:r>
    </w:p>
    <w:p w14:paraId="5AF478E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u w:val="none"/>
        </w:rPr>
        <w:t>    开标地点：广西政府采购云平台（https://www.gcy.zfcg.gxzf.gov.cn/）</w:t>
      </w:r>
      <w:r>
        <w:rPr>
          <w:rFonts w:hint="eastAsia" w:asciiTheme="majorEastAsia" w:hAnsiTheme="majorEastAsia" w:eastAsiaTheme="majorEastAsia" w:cstheme="majorEastAsia"/>
          <w:i w:val="0"/>
          <w:iCs w:val="0"/>
          <w:caps w:val="0"/>
          <w:color w:val="000000"/>
          <w:spacing w:val="0"/>
          <w:sz w:val="21"/>
          <w:szCs w:val="21"/>
        </w:rPr>
        <w:t>  </w:t>
      </w:r>
    </w:p>
    <w:p w14:paraId="443861C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1"/>
          <w:rFonts w:hint="eastAsia" w:asciiTheme="majorEastAsia" w:hAnsiTheme="majorEastAsia" w:eastAsiaTheme="majorEastAsia" w:cstheme="majorEastAsia"/>
          <w:i w:val="0"/>
          <w:iCs w:val="0"/>
          <w:caps w:val="0"/>
          <w:color w:val="000000"/>
          <w:spacing w:val="0"/>
          <w:sz w:val="21"/>
          <w:szCs w:val="21"/>
        </w:rPr>
        <w:t>五、公告期限</w:t>
      </w:r>
      <w:r>
        <w:rPr>
          <w:rFonts w:hint="eastAsia" w:asciiTheme="majorEastAsia" w:hAnsiTheme="majorEastAsia" w:eastAsiaTheme="majorEastAsia" w:cstheme="majorEastAsia"/>
          <w:i w:val="0"/>
          <w:iCs w:val="0"/>
          <w:caps w:val="0"/>
          <w:color w:val="000000"/>
          <w:spacing w:val="0"/>
          <w:sz w:val="21"/>
          <w:szCs w:val="21"/>
        </w:rPr>
        <w:t> </w:t>
      </w:r>
    </w:p>
    <w:p w14:paraId="539311C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    自本公告发布之日起5个工作日。</w:t>
      </w:r>
    </w:p>
    <w:p w14:paraId="1B82EF3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1"/>
          <w:rFonts w:hint="eastAsia" w:asciiTheme="majorEastAsia" w:hAnsiTheme="majorEastAsia" w:eastAsiaTheme="majorEastAsia" w:cstheme="majorEastAsia"/>
          <w:i w:val="0"/>
          <w:iCs w:val="0"/>
          <w:caps w:val="0"/>
          <w:color w:val="000000"/>
          <w:spacing w:val="0"/>
          <w:sz w:val="21"/>
          <w:szCs w:val="21"/>
        </w:rPr>
        <w:t>六、其他补充事宜</w:t>
      </w:r>
    </w:p>
    <w:p w14:paraId="610481F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Theme="majorEastAsia" w:hAnsiTheme="majorEastAsia" w:eastAsiaTheme="majorEastAsia" w:cstheme="majorEastAsia"/>
          <w:i w:val="0"/>
          <w:iCs w:val="0"/>
          <w:caps w:val="0"/>
          <w:color w:val="000000"/>
          <w:spacing w:val="0"/>
          <w:sz w:val="21"/>
          <w:szCs w:val="21"/>
        </w:rPr>
      </w:pPr>
      <w:r>
        <w:rPr>
          <w:rFonts w:hint="eastAsia" w:asciiTheme="majorEastAsia" w:hAnsiTheme="majorEastAsia" w:eastAsiaTheme="majorEastAsia" w:cstheme="majorEastAsia"/>
          <w:i w:val="0"/>
          <w:iCs w:val="0"/>
          <w:caps w:val="0"/>
          <w:color w:val="000000"/>
          <w:spacing w:val="0"/>
          <w:sz w:val="21"/>
          <w:szCs w:val="21"/>
        </w:rPr>
        <w:t>   1.本项目需要落实的政府采购政策：</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（1）政府采购促进中小企业发展。</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（2）政府采购促进残疾人就业政策。</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（3）政府采购支持监狱企业发展。</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（4）政府采购支持采用本国产品的政策。</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（5）强制采购节能产品；优先采购节能产品、环境标志产品。</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4.投标保证金：人民币陆万元整（60000.00元），不得少于规定金额交纳，否则投标无效。投标保证金应在投标有效期内保持有效。投标保证金的交纳方式：转账、电汇、网上银行、支票、汇票、本票或者银行、保险机构出具的保函，禁止采用现钞方式。采用转账、电汇、网上银行方式的，在投标截止时间前交至广西德元工程项目管理有限责任公司（收款单位名称），开户银行：柳州银行北站支行营业部，银行账号：707002011010900000108；采用支票、汇票、本票或者保函等方式的，投标人应当递交单独密封的支票、汇票、本票或者保函原件，否则视为无效投标保证金。原件递交的形式是在线下开标现场【广西柳州市龙湖路13号柳州市民服务中心北楼4楼柳州市公共资源交易服务中心开标区对应开标室（具体开标室根据电子屏幕显示的安排）】递交密封好的原件（原件放入一个密封袋中，并在封口处加盖供应商公章或委托代理人签字，以示密封，在封套上标记“项目名称（项目编号）投标保证金”字样）；若广西德元工程项目管理有限责任公司在投标保证金规定递交时间内没有收到上述原件的，其投标无效；因此供应商递交上述原件时应充分考虑到达时间，以免影响投标。</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5.公告发布媒介：http://www.ccgp.gov.cn/（中国政府采购网）、http://zfcg.gxzf.gov.cn（广西政府采购网）、http://www.zfcg.lzscz.liuzhou.gov.cn（广西柳州政府采购网）</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6.广西政府采购云平台电子投标相关事宜：</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1）投标文件提交方式：本项目为全流程电子化项目，通过“广西政府采购云平台”（https://www.gcy.zfcg.gxzf.gov.cn/）实行在线电子投标，并按照本项目采购文件和“广西政府采购云平台”的要求编制、加密后在投标截止时间前通过网络上传至“广西政府采购云平台”。</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2）若对项目采购电子交易系统操作有疑问，可登陆广西政府采购云平台（https://www.gcy.zfcg.gxzf.gov.cn/），点击右侧咨询小采，获取采小蜜智能服务管家帮助，或拨打广西政府采购云平台服务热线95763获取热线服务帮助。</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7.政府采购行政监管及投诉受理部门：柳州市财政局政府采购监督管理科，联系电话：0772-2830320。  </w:t>
      </w:r>
    </w:p>
    <w:p w14:paraId="420E48B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ajorEastAsia" w:hAnsiTheme="majorEastAsia" w:eastAsiaTheme="majorEastAsia" w:cstheme="majorEastAsia"/>
          <w:i w:val="0"/>
          <w:iCs w:val="0"/>
          <w:caps w:val="0"/>
          <w:color w:val="000000"/>
          <w:spacing w:val="0"/>
          <w:sz w:val="21"/>
          <w:szCs w:val="21"/>
        </w:rPr>
      </w:pPr>
      <w:r>
        <w:rPr>
          <w:rStyle w:val="51"/>
          <w:rFonts w:hint="eastAsia" w:asciiTheme="majorEastAsia" w:hAnsiTheme="majorEastAsia" w:eastAsiaTheme="majorEastAsia" w:cstheme="majorEastAsia"/>
          <w:i w:val="0"/>
          <w:iCs w:val="0"/>
          <w:caps w:val="0"/>
          <w:color w:val="000000"/>
          <w:spacing w:val="0"/>
          <w:sz w:val="21"/>
          <w:szCs w:val="21"/>
        </w:rPr>
        <w:t>七、对本次采购提出询问，请按以下方式联系</w:t>
      </w:r>
    </w:p>
    <w:p w14:paraId="2D195A57">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1.采购人信息</w:t>
      </w:r>
    </w:p>
    <w:p w14:paraId="349D10C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名    称：柳州市市政设施维护管理处 </w:t>
      </w:r>
    </w:p>
    <w:p w14:paraId="0641F9F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地    址：柳州市八一路107号 </w:t>
      </w:r>
    </w:p>
    <w:p w14:paraId="6B740074">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项目联系人：韦工  </w:t>
      </w:r>
    </w:p>
    <w:p w14:paraId="1BC27EFD">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项目联系方式：0772-5332730，5332759 </w:t>
      </w:r>
    </w:p>
    <w:p w14:paraId="3A8649EE">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w:t>
      </w:r>
      <w:r>
        <w:rPr>
          <w:rFonts w:hint="eastAsia" w:asciiTheme="majorEastAsia" w:hAnsiTheme="majorEastAsia" w:eastAsiaTheme="majorEastAsia" w:cstheme="majorEastAsia"/>
          <w:i w:val="0"/>
          <w:iCs w:val="0"/>
          <w:caps w:val="0"/>
          <w:color w:val="000000"/>
          <w:spacing w:val="0"/>
          <w:sz w:val="21"/>
          <w:szCs w:val="21"/>
        </w:rPr>
        <w:br w:type="textWrapping"/>
      </w:r>
      <w:r>
        <w:rPr>
          <w:rFonts w:hint="eastAsia" w:asciiTheme="majorEastAsia" w:hAnsiTheme="majorEastAsia" w:eastAsiaTheme="majorEastAsia" w:cstheme="majorEastAsia"/>
          <w:i w:val="0"/>
          <w:iCs w:val="0"/>
          <w:caps w:val="0"/>
          <w:color w:val="000000"/>
          <w:spacing w:val="0"/>
          <w:sz w:val="21"/>
          <w:szCs w:val="21"/>
        </w:rPr>
        <w:t>    2.采购代理机构信息            </w:t>
      </w:r>
    </w:p>
    <w:p w14:paraId="75E3D488">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名    称：广西德元工程项目管理有限责任公司             </w:t>
      </w:r>
    </w:p>
    <w:p w14:paraId="378A52F6">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地    址：柳州市跃进路19号天元金都1单元410室              </w:t>
      </w:r>
    </w:p>
    <w:p w14:paraId="4CEF3E75">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项目联系人：杨工              </w:t>
      </w:r>
    </w:p>
    <w:p w14:paraId="059C8A4F">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i w:val="0"/>
          <w:iCs w:val="0"/>
          <w:caps w:val="0"/>
          <w:color w:val="000000"/>
          <w:spacing w:val="0"/>
          <w:sz w:val="21"/>
          <w:szCs w:val="21"/>
        </w:rPr>
        <w:t>    项目联系方式：0772-2805114 </w:t>
      </w:r>
    </w:p>
    <w:p w14:paraId="4FE8B4B3">
      <w:pPr>
        <w:pStyle w:val="43"/>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Theme="majorEastAsia" w:hAnsiTheme="majorEastAsia" w:eastAsiaTheme="majorEastAsia" w:cstheme="majorEastAsia"/>
          <w:color w:val="auto"/>
          <w:sz w:val="21"/>
          <w:szCs w:val="21"/>
          <w:highlight w:val="none"/>
        </w:rPr>
      </w:pPr>
    </w:p>
    <w:p w14:paraId="00CFD8A7">
      <w:pPr>
        <w:widowControl/>
        <w:spacing w:line="360" w:lineRule="exact"/>
        <w:ind w:left="480"/>
        <w:jc w:val="center"/>
        <w:outlineLvl w:val="0"/>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3" w:name="_Toc14947"/>
      <w:r>
        <w:rPr>
          <w:rFonts w:hint="eastAsia" w:ascii="宋体" w:hAnsi="宋体" w:eastAsia="宋体" w:cs="宋体"/>
          <w:b/>
          <w:color w:val="auto"/>
          <w:sz w:val="28"/>
          <w:szCs w:val="28"/>
          <w:highlight w:val="none"/>
        </w:rPr>
        <w:t xml:space="preserve">第二章  </w:t>
      </w:r>
      <w:bookmarkEnd w:id="3"/>
      <w:r>
        <w:rPr>
          <w:rFonts w:hint="eastAsia" w:ascii="宋体" w:hAnsi="宋体" w:eastAsia="宋体" w:cs="宋体"/>
          <w:b/>
          <w:color w:val="auto"/>
          <w:sz w:val="28"/>
          <w:szCs w:val="28"/>
          <w:highlight w:val="none"/>
        </w:rPr>
        <w:t>招标项目采购需求</w:t>
      </w:r>
    </w:p>
    <w:p w14:paraId="7592A262">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outlineLvl w:val="0"/>
        <w:rPr>
          <w:rFonts w:hint="eastAsia" w:ascii="宋体" w:hAnsi="宋体" w:eastAsia="宋体" w:cs="宋体"/>
          <w:b/>
          <w:color w:val="auto"/>
          <w:szCs w:val="21"/>
          <w:highlight w:val="none"/>
        </w:rPr>
      </w:pPr>
      <w:bookmarkStart w:id="4" w:name="_Toc24360"/>
      <w:r>
        <w:rPr>
          <w:rFonts w:hint="eastAsia" w:ascii="宋体" w:hAnsi="宋体" w:eastAsia="宋体" w:cs="宋体"/>
          <w:b/>
          <w:color w:val="auto"/>
          <w:szCs w:val="21"/>
          <w:highlight w:val="none"/>
        </w:rPr>
        <w:t>说明：</w:t>
      </w:r>
      <w:bookmarkEnd w:id="4"/>
    </w:p>
    <w:p w14:paraId="4A87DAE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highlight w:val="none"/>
          <w:lang w:val="en-US" w:eastAsia="zh-CN"/>
        </w:rPr>
      </w:pPr>
      <w:bookmarkStart w:id="5" w:name="_Toc519523657"/>
      <w:bookmarkStart w:id="6" w:name="_Toc511133381"/>
      <w:r>
        <w:rPr>
          <w:rFonts w:hint="eastAsia" w:ascii="宋体" w:hAnsi="宋体" w:cs="宋体"/>
          <w:color w:val="auto"/>
          <w:highlight w:val="none"/>
          <w:lang w:val="en-US" w:eastAsia="zh-CN"/>
        </w:rPr>
        <w:t>1.本章中如提及品牌型号，仅起参考作用。供应商可选用其他品牌型号替代，但这些替代的品牌型号要实质上参照或相当于或优于参考品牌型号及其技术参数性能（配置）要求。</w:t>
      </w:r>
    </w:p>
    <w:p w14:paraId="6AFCEE0D">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投标人必须自行为其投标产品侵权其他投标人或专利人的专利成果</w:t>
      </w:r>
      <w:r>
        <w:rPr>
          <w:rFonts w:hint="eastAsia" w:ascii="宋体" w:hAnsi="宋体" w:cs="宋体"/>
          <w:color w:val="auto"/>
          <w:highlight w:val="none"/>
          <w:lang w:val="en-US" w:eastAsia="zh-CN"/>
        </w:rPr>
        <w:t>承担</w:t>
      </w:r>
      <w:r>
        <w:rPr>
          <w:rFonts w:hint="eastAsia" w:ascii="宋体" w:hAnsi="宋体" w:eastAsia="宋体" w:cs="宋体"/>
          <w:color w:val="auto"/>
          <w:highlight w:val="none"/>
        </w:rPr>
        <w:t>相应法律责任；同时，具有产品专利的投标人应在其投标文件中提供与其自有产品专利相关的有效证明材料，否则，不能就其产品的专利在本项目投标过程中被侵权问题提出异议。</w:t>
      </w:r>
      <w:bookmarkEnd w:id="5"/>
      <w:bookmarkEnd w:id="6"/>
    </w:p>
    <w:p w14:paraId="18174FA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3.</w:t>
      </w:r>
      <w:r>
        <w:rPr>
          <w:rFonts w:hint="eastAsia" w:ascii="宋体" w:hAnsi="宋体" w:eastAsia="宋体" w:cs="宋体"/>
          <w:b w:val="0"/>
          <w:bCs/>
          <w:color w:val="auto"/>
          <w:highlight w:val="none"/>
        </w:rPr>
        <w:t>本项目包括以下</w:t>
      </w:r>
      <w:r>
        <w:rPr>
          <w:rFonts w:hint="eastAsia" w:ascii="宋体" w:hAnsi="宋体" w:cs="宋体"/>
          <w:b w:val="0"/>
          <w:bCs/>
          <w:color w:val="auto"/>
          <w:highlight w:val="none"/>
          <w:lang w:val="en-US" w:eastAsia="zh-CN"/>
        </w:rPr>
        <w:t>货物</w:t>
      </w:r>
      <w:r>
        <w:rPr>
          <w:rFonts w:hint="eastAsia" w:ascii="宋体" w:hAnsi="宋体" w:eastAsia="宋体" w:cs="宋体"/>
          <w:b w:val="0"/>
          <w:bCs/>
          <w:color w:val="auto"/>
          <w:highlight w:val="none"/>
        </w:rPr>
        <w:t>，根据财办库（2008）248号文件有关规定，本项目不允许进口产品（即通过中国海关报关验放</w:t>
      </w:r>
      <w:r>
        <w:rPr>
          <w:rFonts w:hint="eastAsia" w:ascii="宋体" w:hAnsi="宋体" w:eastAsia="宋体" w:cs="宋体"/>
          <w:b w:val="0"/>
          <w:bCs/>
          <w:color w:val="auto"/>
          <w:szCs w:val="21"/>
          <w:highlight w:val="none"/>
        </w:rPr>
        <w:t>进入中国境内且产自关境外的产品）参加投标，如有此类产品参与投标的做无效标处理。</w:t>
      </w:r>
    </w:p>
    <w:p w14:paraId="4B8D5F05">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default" w:ascii="宋体" w:hAnsi="宋体" w:cs="宋体"/>
          <w:b/>
          <w:bCs w:val="0"/>
          <w:color w:val="auto"/>
          <w:highlight w:val="none"/>
          <w:lang w:val="en-US" w:eastAsia="zh-CN"/>
        </w:rPr>
      </w:pPr>
      <w:r>
        <w:rPr>
          <w:rFonts w:hint="eastAsia" w:ascii="宋体" w:hAnsi="宋体" w:cs="宋体"/>
          <w:b/>
          <w:bCs w:val="0"/>
          <w:color w:val="auto"/>
          <w:highlight w:val="none"/>
          <w:lang w:val="en-US" w:eastAsia="zh-CN"/>
        </w:rPr>
        <w:t xml:space="preserve">4.根据《财政部 发展改革委 生态环境部 市场监管总局关于调整优化节能产品、环境标志产品政府采购执行机制的通知》（财库〔2019〕9号）和《关于印发节能产品政府采购品目清单的通知》（财库〔2019〕19 号）、《关于印发环境标志产品政府采购品目清单的通知》（财库〔2019〕18 号）规定，节能产品、环境标志产品政府采购执行政策仅适用于列入“节能产品政府采购品目清单”、“环境标志产品政府采购品目清单”的产品；鉴于本项目所采购产品不在该清单内，因此本项目不适用该政策。 </w:t>
      </w:r>
    </w:p>
    <w:p w14:paraId="12C9050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w:t>
      </w:r>
      <w:r>
        <w:rPr>
          <w:rFonts w:hint="eastAsia" w:ascii="宋体" w:hAnsi="宋体" w:cs="宋体"/>
          <w:b w:val="0"/>
          <w:bCs/>
          <w:color w:val="auto"/>
          <w:highlight w:val="none"/>
          <w:lang w:val="en-US" w:eastAsia="zh-CN"/>
        </w:rPr>
        <w:t>5.</w:t>
      </w:r>
      <w:r>
        <w:rPr>
          <w:rFonts w:hint="eastAsia" w:ascii="宋体" w:hAnsi="宋体" w:eastAsia="宋体" w:cs="宋体"/>
          <w:b w:val="0"/>
          <w:bCs/>
          <w:color w:val="auto"/>
          <w:highlight w:val="none"/>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390CC4B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eastAsia="宋体" w:cs="宋体"/>
          <w:color w:val="auto"/>
          <w:highlight w:val="none"/>
          <w:lang w:eastAsia="zh-CN"/>
        </w:rPr>
        <w:t>进行</w:t>
      </w:r>
      <w:r>
        <w:rPr>
          <w:rFonts w:hint="eastAsia" w:ascii="宋体" w:hAnsi="宋体" w:eastAsia="宋体" w:cs="宋体"/>
          <w:color w:val="auto"/>
          <w:highlight w:val="none"/>
        </w:rPr>
        <w:t>赔偿。</w:t>
      </w:r>
    </w:p>
    <w:p w14:paraId="1B7328CE">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cs="宋体"/>
          <w:b/>
          <w:color w:val="auto"/>
          <w:highlight w:val="none"/>
          <w:lang w:val="en-US" w:eastAsia="zh-CN"/>
        </w:rPr>
        <w:t>7.</w:t>
      </w:r>
      <w:r>
        <w:rPr>
          <w:rFonts w:hint="eastAsia" w:ascii="宋体" w:hAnsi="宋体" w:eastAsia="宋体" w:cs="宋体"/>
          <w:b/>
          <w:color w:val="auto"/>
          <w:highlight w:val="none"/>
        </w:rPr>
        <w:t>标注“▲”的条款或要求系指实质性条款或实质性要求，必须满足，如存在负偏离将导致投标被否决。</w:t>
      </w:r>
    </w:p>
    <w:p w14:paraId="03F7813E">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cs="宋体"/>
          <w:b/>
          <w:color w:val="auto"/>
          <w:highlight w:val="none"/>
          <w:lang w:val="en-US" w:eastAsia="zh-CN"/>
        </w:rPr>
        <w:t>8.</w:t>
      </w:r>
      <w:r>
        <w:rPr>
          <w:rFonts w:hint="eastAsia" w:ascii="宋体" w:hAnsi="宋体" w:eastAsia="宋体" w:cs="宋体"/>
          <w:b/>
          <w:color w:val="auto"/>
          <w:highlight w:val="none"/>
        </w:rPr>
        <w:t>本项目所属行业：</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u w:val="single"/>
          <w:lang w:val="en-US" w:eastAsia="zh-CN"/>
        </w:rPr>
        <w:t>工业</w:t>
      </w:r>
      <w:r>
        <w:rPr>
          <w:rFonts w:hint="eastAsia" w:ascii="宋体" w:hAnsi="宋体" w:eastAsia="宋体" w:cs="宋体"/>
          <w:b/>
          <w:color w:val="auto"/>
          <w:highlight w:val="none"/>
          <w:u w:val="single"/>
        </w:rPr>
        <w:t xml:space="preserve">  </w:t>
      </w:r>
      <w:r>
        <w:rPr>
          <w:rFonts w:hint="eastAsia" w:ascii="宋体" w:hAnsi="宋体" w:cs="宋体"/>
          <w:b/>
          <w:color w:val="auto"/>
          <w:highlight w:val="none"/>
          <w:lang w:eastAsia="zh-CN"/>
        </w:rPr>
        <w:t>，</w:t>
      </w:r>
      <w:r>
        <w:rPr>
          <w:rFonts w:hint="eastAsia" w:ascii="宋体" w:hAnsi="宋体" w:eastAsia="宋体" w:cs="宋体"/>
          <w:b/>
          <w:color w:val="auto"/>
          <w:highlight w:val="none"/>
        </w:rPr>
        <w:t>划分依据：《关于印发中小企业划型标准规定的通知》（工信部联企业[2011]300号）。</w:t>
      </w:r>
    </w:p>
    <w:tbl>
      <w:tblPr>
        <w:tblStyle w:val="48"/>
        <w:tblW w:w="9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457"/>
        <w:gridCol w:w="938"/>
        <w:gridCol w:w="6403"/>
      </w:tblGrid>
      <w:tr w14:paraId="4D219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334" w:type="dxa"/>
            <w:gridSpan w:val="4"/>
            <w:noWrap w:val="0"/>
            <w:vAlign w:val="center"/>
          </w:tcPr>
          <w:p w14:paraId="76032C2D">
            <w:pPr>
              <w:keepNext w:val="0"/>
              <w:keepLines w:val="0"/>
              <w:pageBreakBefore w:val="0"/>
              <w:widowControl/>
              <w:kinsoku/>
              <w:wordWrap/>
              <w:overflowPunct/>
              <w:topLinePunct w:val="0"/>
              <w:autoSpaceDE/>
              <w:autoSpaceDN/>
              <w:bidi w:val="0"/>
              <w:adjustRightInd/>
              <w:snapToGrid/>
              <w:spacing w:line="360" w:lineRule="exact"/>
              <w:ind w:left="0"/>
              <w:jc w:val="left"/>
              <w:textAlignment w:val="auto"/>
              <w:outlineLvl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技术参数及其性能（配置）要求：</w:t>
            </w:r>
          </w:p>
        </w:tc>
      </w:tr>
      <w:tr w14:paraId="248A8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0C6666C9">
            <w:pPr>
              <w:pageBreakBefore w:val="0"/>
              <w:kinsoku/>
              <w:wordWrap/>
              <w:overflowPunct/>
              <w:topLinePunct w:val="0"/>
              <w:autoSpaceDE/>
              <w:autoSpaceDN/>
              <w:bidi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序号</w:t>
            </w:r>
          </w:p>
        </w:tc>
        <w:tc>
          <w:tcPr>
            <w:tcW w:w="1457" w:type="dxa"/>
            <w:noWrap w:val="0"/>
            <w:vAlign w:val="center"/>
          </w:tcPr>
          <w:p w14:paraId="5E70A8BF">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货物名称</w:t>
            </w:r>
          </w:p>
        </w:tc>
        <w:tc>
          <w:tcPr>
            <w:tcW w:w="938" w:type="dxa"/>
            <w:noWrap w:val="0"/>
            <w:vAlign w:val="top"/>
          </w:tcPr>
          <w:p w14:paraId="24F3DDC6">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6403" w:type="dxa"/>
            <w:noWrap w:val="0"/>
            <w:vAlign w:val="center"/>
          </w:tcPr>
          <w:p w14:paraId="79F175B0">
            <w:pPr>
              <w:pageBreakBefore w:val="0"/>
              <w:tabs>
                <w:tab w:val="left" w:pos="180"/>
                <w:tab w:val="left" w:pos="1620"/>
              </w:tabs>
              <w:kinsoku/>
              <w:wordWrap/>
              <w:overflowPunct/>
              <w:topLinePunct w:val="0"/>
              <w:autoSpaceDE/>
              <w:autoSpaceDN/>
              <w:bidi w:val="0"/>
              <w:adjustRightInd w:val="0"/>
              <w:snapToGrid w:val="0"/>
              <w:spacing w:line="360" w:lineRule="exact"/>
              <w:ind w:left="0" w:leftChars="0" w:right="0"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rPr>
              <w:t>技术参数及其性能（配置）</w:t>
            </w:r>
            <w:r>
              <w:rPr>
                <w:rFonts w:hint="eastAsia" w:ascii="宋体" w:hAnsi="宋体" w:eastAsia="宋体" w:cs="宋体"/>
                <w:b/>
                <w:color w:val="auto"/>
                <w:sz w:val="21"/>
                <w:szCs w:val="21"/>
                <w:highlight w:val="none"/>
                <w:lang w:val="en-US" w:eastAsia="zh-CN"/>
              </w:rPr>
              <w:t>要求</w:t>
            </w:r>
          </w:p>
        </w:tc>
      </w:tr>
      <w:tr w14:paraId="03338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noWrap w:val="0"/>
            <w:vAlign w:val="center"/>
          </w:tcPr>
          <w:p w14:paraId="4AFE17A1">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57" w:type="dxa"/>
            <w:noWrap w:val="0"/>
            <w:vAlign w:val="center"/>
          </w:tcPr>
          <w:p w14:paraId="4CDB284C">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应急抢险泵车（600m³/h）</w:t>
            </w:r>
            <w:r>
              <w:rPr>
                <w:rFonts w:hint="eastAsia" w:ascii="宋体" w:hAnsi="宋体" w:eastAsia="宋体" w:cs="宋体"/>
                <w:b/>
                <w:bCs/>
                <w:i w:val="0"/>
                <w:iCs w:val="0"/>
                <w:color w:val="auto"/>
                <w:kern w:val="0"/>
                <w:sz w:val="21"/>
                <w:szCs w:val="21"/>
                <w:highlight w:val="none"/>
                <w:u w:val="none"/>
                <w:lang w:val="en-US" w:eastAsia="zh-CN" w:bidi="ar"/>
              </w:rPr>
              <w:t>（核心产品）</w:t>
            </w:r>
          </w:p>
        </w:tc>
        <w:tc>
          <w:tcPr>
            <w:tcW w:w="938" w:type="dxa"/>
            <w:noWrap w:val="0"/>
            <w:vAlign w:val="center"/>
          </w:tcPr>
          <w:p w14:paraId="09E2486B">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2辆</w:t>
            </w:r>
          </w:p>
        </w:tc>
        <w:tc>
          <w:tcPr>
            <w:tcW w:w="6403" w:type="dxa"/>
            <w:noWrap w:val="0"/>
            <w:vAlign w:val="center"/>
          </w:tcPr>
          <w:p w14:paraId="7676ED1D">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一、车载系统：                                                              ▲1.C证可驾驶，提供所投产品车型的专项汽车改装公告且公告型号须与所投产品车型型号一致，公告名称带有“大流量排水抢险车或救险车”整车(包含所有上装设备)改装符合特种作业车辆上牌要求。</w:t>
            </w:r>
            <w:r>
              <w:rPr>
                <w:rFonts w:hint="eastAsia" w:ascii="宋体" w:hAnsi="宋体" w:eastAsia="宋体" w:cs="宋体"/>
                <w:b/>
                <w:bCs/>
                <w:color w:val="auto"/>
                <w:sz w:val="21"/>
                <w:szCs w:val="21"/>
                <w:highlight w:val="none"/>
                <w:u w:val="none"/>
                <w:lang w:val="en-US" w:eastAsia="zh-CN"/>
              </w:rPr>
              <w:t>(提供国家工业和信息化部发布的所投车型的许可公告查询截图佐证)</w:t>
            </w:r>
          </w:p>
          <w:p w14:paraId="428B60A3">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汽车底盘采用皮卡车底盘</w:t>
            </w:r>
            <w:r>
              <w:rPr>
                <w:rFonts w:hint="eastAsia" w:ascii="宋体" w:hAnsi="宋体" w:eastAsia="宋体" w:cs="宋体"/>
                <w:color w:val="auto"/>
                <w:sz w:val="21"/>
                <w:szCs w:val="21"/>
                <w:highlight w:val="none"/>
                <w:lang w:val="en-US" w:eastAsia="zh-CN"/>
              </w:rPr>
              <w:t>,变速器手自一体8AT,驱动形式：4×4；</w:t>
            </w:r>
          </w:p>
          <w:p w14:paraId="736DBD86">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3.排放标准：国六排放，排量≥2290mL；</w:t>
            </w:r>
          </w:p>
          <w:p w14:paraId="67E4C1DD">
            <w:pPr>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底盘发动机功率≥</w:t>
            </w:r>
            <w:r>
              <w:rPr>
                <w:rFonts w:hint="eastAsia" w:ascii="宋体" w:hAnsi="宋体" w:eastAsia="宋体" w:cs="宋体"/>
                <w:color w:val="auto"/>
                <w:sz w:val="21"/>
                <w:szCs w:val="21"/>
                <w:highlight w:val="none"/>
                <w:lang w:val="en-US" w:eastAsia="zh-CN"/>
              </w:rPr>
              <w:t>130</w:t>
            </w:r>
            <w:r>
              <w:rPr>
                <w:rFonts w:hint="eastAsia" w:ascii="宋体" w:hAnsi="宋体" w:eastAsia="宋体" w:cs="宋体"/>
                <w:color w:val="auto"/>
                <w:sz w:val="21"/>
                <w:szCs w:val="21"/>
                <w:highlight w:val="none"/>
              </w:rPr>
              <w:t>KW，最高车速≥</w:t>
            </w:r>
            <w:r>
              <w:rPr>
                <w:rFonts w:hint="eastAsia" w:ascii="宋体" w:hAnsi="宋体" w:eastAsia="宋体" w:cs="宋体"/>
                <w:color w:val="auto"/>
                <w:sz w:val="21"/>
                <w:szCs w:val="21"/>
                <w:highlight w:val="none"/>
                <w:lang w:val="en-US" w:eastAsia="zh-CN"/>
              </w:rPr>
              <w:t>170</w:t>
            </w:r>
            <w:r>
              <w:rPr>
                <w:rFonts w:hint="eastAsia" w:ascii="宋体" w:hAnsi="宋体" w:eastAsia="宋体" w:cs="宋体"/>
                <w:color w:val="auto"/>
                <w:sz w:val="21"/>
                <w:szCs w:val="21"/>
                <w:highlight w:val="none"/>
              </w:rPr>
              <w:t>km/h</w:t>
            </w:r>
            <w:r>
              <w:rPr>
                <w:rFonts w:hint="eastAsia" w:ascii="宋体" w:hAnsi="宋体" w:eastAsia="宋体" w:cs="宋体"/>
                <w:color w:val="auto"/>
                <w:sz w:val="21"/>
                <w:szCs w:val="21"/>
                <w:highlight w:val="none"/>
                <w:lang w:val="en-US" w:eastAsia="zh-CN"/>
              </w:rPr>
              <w:t>；</w:t>
            </w:r>
          </w:p>
          <w:p w14:paraId="559034AA">
            <w:pPr>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整车长≤ 5</w:t>
            </w:r>
            <w:r>
              <w:rPr>
                <w:rFonts w:hint="eastAsia" w:ascii="宋体" w:hAnsi="宋体" w:eastAsia="宋体" w:cs="宋体"/>
                <w:color w:val="auto"/>
                <w:sz w:val="21"/>
                <w:szCs w:val="21"/>
                <w:highlight w:val="none"/>
                <w:lang w:val="en-US" w:eastAsia="zh-CN"/>
              </w:rPr>
              <w:t>800</w:t>
            </w:r>
            <w:r>
              <w:rPr>
                <w:rFonts w:hint="eastAsia" w:ascii="宋体" w:hAnsi="宋体" w:eastAsia="宋体" w:cs="宋体"/>
                <w:color w:val="auto"/>
                <w:sz w:val="21"/>
                <w:szCs w:val="21"/>
                <w:highlight w:val="none"/>
              </w:rPr>
              <w:t>mm，宽≤</w:t>
            </w:r>
            <w:r>
              <w:rPr>
                <w:rFonts w:hint="eastAsia" w:ascii="宋体" w:hAnsi="宋体" w:eastAsia="宋体" w:cs="宋体"/>
                <w:color w:val="auto"/>
                <w:sz w:val="21"/>
                <w:szCs w:val="21"/>
                <w:highlight w:val="none"/>
                <w:lang w:val="en-US" w:eastAsia="zh-CN"/>
              </w:rPr>
              <w:t>2100</w:t>
            </w:r>
            <w:r>
              <w:rPr>
                <w:rFonts w:hint="eastAsia" w:ascii="宋体" w:hAnsi="宋体" w:eastAsia="宋体" w:cs="宋体"/>
                <w:color w:val="auto"/>
                <w:sz w:val="21"/>
                <w:szCs w:val="21"/>
                <w:highlight w:val="none"/>
              </w:rPr>
              <w:t>mm，高≤2</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轴距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3450</w:t>
            </w:r>
            <w:r>
              <w:rPr>
                <w:rFonts w:hint="eastAsia" w:ascii="宋体" w:hAnsi="宋体" w:eastAsia="宋体" w:cs="宋体"/>
                <w:color w:val="auto"/>
                <w:sz w:val="21"/>
                <w:szCs w:val="21"/>
                <w:highlight w:val="none"/>
              </w:rPr>
              <w:t>mm</w:t>
            </w:r>
            <w:r>
              <w:rPr>
                <w:rFonts w:hint="eastAsia" w:ascii="宋体" w:hAnsi="宋体" w:eastAsia="宋体" w:cs="宋体"/>
                <w:b/>
                <w:bCs/>
                <w:color w:val="auto"/>
                <w:sz w:val="21"/>
                <w:szCs w:val="21"/>
                <w:highlight w:val="none"/>
              </w:rPr>
              <w:t>（提供国家工业和信息化部发布的所投车型的许可公告查询截图佐证）</w:t>
            </w:r>
          </w:p>
          <w:p w14:paraId="39A87DA4">
            <w:pPr>
              <w:pStyle w:val="211"/>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整车总质量≤</w:t>
            </w:r>
            <w:r>
              <w:rPr>
                <w:rFonts w:hint="eastAsia" w:ascii="宋体" w:hAnsi="宋体" w:eastAsia="宋体" w:cs="宋体"/>
                <w:color w:val="auto"/>
                <w:sz w:val="21"/>
                <w:szCs w:val="21"/>
                <w:highlight w:val="none"/>
                <w:lang w:val="en-US" w:eastAsia="zh-CN"/>
              </w:rPr>
              <w:t>3500</w:t>
            </w:r>
            <w:r>
              <w:rPr>
                <w:rFonts w:hint="eastAsia" w:ascii="宋体" w:hAnsi="宋体" w:eastAsia="宋体" w:cs="宋体"/>
                <w:color w:val="auto"/>
                <w:sz w:val="21"/>
                <w:szCs w:val="21"/>
                <w:highlight w:val="none"/>
              </w:rPr>
              <w:t>Kg</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rPr>
              <w:t>提供国家工业和信息化部发布的所投车型的许可公告查询截图佐证）</w:t>
            </w:r>
          </w:p>
          <w:p w14:paraId="4006D830">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▲7.燃油类型：柴油                                                             二、发电系统：</w:t>
            </w:r>
          </w:p>
          <w:p w14:paraId="61A48838">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▲1.配备柴油发电机组，机组额定输出功率≥30KW，满足整车满负荷运行所需功率，机组运行稳定，采用三相四线制；</w:t>
            </w:r>
          </w:p>
          <w:p w14:paraId="5F4EF1BA">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▲2.额定电压：线电压380V±10%，相电压220V±10%；</w:t>
            </w:r>
          </w:p>
          <w:p w14:paraId="3446DFA5">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3.冷却方式：封闭式水循环冷却；</w:t>
            </w:r>
          </w:p>
          <w:p w14:paraId="109ABAC0">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▲4.发电机组油箱容积满足在额定输出功率下，可以连续工作≥6小时；同时机组预留有220V，380V输出接口，方便施工用电；                                 三、排水系统：</w:t>
            </w:r>
          </w:p>
          <w:p w14:paraId="6A3AC034">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▲1.车载排水抢险单元采用便携式潜水电泵：数量1台，总排水量600m³/h；</w:t>
            </w:r>
            <w:r>
              <w:rPr>
                <w:rFonts w:hint="eastAsia" w:ascii="宋体" w:hAnsi="宋体" w:eastAsia="宋体" w:cs="宋体"/>
                <w:b/>
                <w:bCs/>
                <w:color w:val="auto"/>
                <w:sz w:val="21"/>
                <w:szCs w:val="21"/>
                <w:highlight w:val="none"/>
                <w:u w:val="none"/>
                <w:lang w:val="en-US" w:eastAsia="zh-CN"/>
              </w:rPr>
              <w:t xml:space="preserve"> </w:t>
            </w:r>
          </w:p>
          <w:p w14:paraId="3EE5A4E3">
            <w:pPr>
              <w:pStyle w:val="2"/>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u w:val="none"/>
                <w:lang w:val="en-US" w:eastAsia="zh-CN"/>
              </w:rPr>
              <w:t>当单台便捷式潜水电泵流量为600m³/h时，扬程≥8米；当单台便捷式潜水电泵流量为500m³/h时，扬程≥14米；</w:t>
            </w:r>
          </w:p>
          <w:p w14:paraId="71E675EE">
            <w:pPr>
              <w:keepNext w:val="0"/>
              <w:keepLines w:val="0"/>
              <w:pageBreakBefore w:val="0"/>
              <w:widowControl/>
              <w:numPr>
                <w:ilvl w:val="0"/>
                <w:numId w:val="0"/>
              </w:numPr>
              <w:suppressLineNumbers w:val="0"/>
              <w:kinsoku/>
              <w:wordWrap/>
              <w:overflowPunct/>
              <w:topLinePunct w:val="0"/>
              <w:autoSpaceDE/>
              <w:autoSpaceDN/>
              <w:bidi w:val="0"/>
              <w:spacing w:line="36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单台便携式潜水电泵电机防护等级≥IP68,绝缘等级</w:t>
            </w:r>
            <w:r>
              <w:rPr>
                <w:rFonts w:hint="eastAsia" w:ascii="宋体" w:hAnsi="宋体" w:eastAsia="宋体" w:cs="宋体"/>
                <w:color w:val="auto"/>
                <w:sz w:val="21"/>
                <w:szCs w:val="21"/>
                <w:highlight w:val="none"/>
                <w:lang w:val="en-US" w:eastAsia="zh-CN"/>
              </w:rPr>
              <w:t>H</w:t>
            </w:r>
            <w:r>
              <w:rPr>
                <w:rFonts w:hint="eastAsia" w:ascii="宋体" w:hAnsi="宋体" w:eastAsia="宋体" w:cs="宋体"/>
                <w:color w:val="auto"/>
                <w:sz w:val="21"/>
                <w:szCs w:val="21"/>
                <w:highlight w:val="none"/>
              </w:rPr>
              <w:t>级；电泵效率≥</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w:t>
            </w:r>
          </w:p>
          <w:p w14:paraId="5FE3BCC8">
            <w:pPr>
              <w:keepNext w:val="0"/>
              <w:keepLines w:val="0"/>
              <w:pageBreakBefore w:val="0"/>
              <w:widowControl/>
              <w:numPr>
                <w:ilvl w:val="0"/>
                <w:numId w:val="0"/>
              </w:numPr>
              <w:suppressLineNumbers w:val="0"/>
              <w:kinsoku/>
              <w:wordWrap/>
              <w:overflowPunct/>
              <w:topLinePunct w:val="0"/>
              <w:autoSpaceDE/>
              <w:autoSpaceDN/>
              <w:bidi w:val="0"/>
              <w:spacing w:line="360" w:lineRule="exact"/>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单台便携式潜水电泵重量≤</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kg（不含电缆及过滤网）；</w:t>
            </w:r>
            <w:r>
              <w:rPr>
                <w:rFonts w:hint="eastAsia" w:ascii="宋体" w:hAnsi="宋体" w:eastAsia="宋体" w:cs="宋体"/>
                <w:b/>
                <w:bCs/>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lang w:val="en-US" w:eastAsia="zh-CN"/>
              </w:rPr>
              <w:t xml:space="preserve">                                            四、水泵控制系统：                                                ▲1.水泵控制系统采用一控一控制柜1台；每台水泵由单独的变频器控制。</w:t>
            </w:r>
          </w:p>
          <w:p w14:paraId="16B26A0C">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2.控制系统配备具有经认证的著作权软件控制系统，能实现在使用中无极调速，通过调节转速从而控制排水量；</w:t>
            </w:r>
          </w:p>
          <w:p w14:paraId="143DC488">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3.控制系统配有液晶显示屏，可精确显示水泵运行电压、电流、转速、功率及故障情况；</w:t>
            </w:r>
          </w:p>
          <w:p w14:paraId="20641DC6">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4.控制系统配有漏电保护装置，当遇到漏电短路、过载等情况时可实现停机保护；</w:t>
            </w:r>
          </w:p>
          <w:p w14:paraId="27E984ED">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▲5.控制柜可以从车上拆卸，可以实现＞50米距离工作。</w:t>
            </w:r>
          </w:p>
          <w:p w14:paraId="7D58DD4F">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6.拆卸后，控制系统和水泵可以使用市电供电正常工作。</w:t>
            </w:r>
          </w:p>
        </w:tc>
      </w:tr>
      <w:tr w14:paraId="392E8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536" w:type="dxa"/>
            <w:noWrap w:val="0"/>
            <w:vAlign w:val="center"/>
          </w:tcPr>
          <w:p w14:paraId="2DE687E1">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57" w:type="dxa"/>
            <w:noWrap w:val="0"/>
            <w:vAlign w:val="center"/>
          </w:tcPr>
          <w:p w14:paraId="6F0CFB20">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应急抢险泵车（1000m³/h）</w:t>
            </w:r>
            <w:r>
              <w:rPr>
                <w:rFonts w:hint="eastAsia" w:ascii="宋体" w:hAnsi="宋体" w:eastAsia="宋体" w:cs="宋体"/>
                <w:b/>
                <w:bCs/>
                <w:i w:val="0"/>
                <w:iCs w:val="0"/>
                <w:color w:val="auto"/>
                <w:kern w:val="0"/>
                <w:sz w:val="21"/>
                <w:szCs w:val="21"/>
                <w:highlight w:val="none"/>
                <w:u w:val="none"/>
                <w:lang w:val="en-US" w:eastAsia="zh-CN" w:bidi="ar"/>
              </w:rPr>
              <w:t>（核心产品）</w:t>
            </w:r>
          </w:p>
        </w:tc>
        <w:tc>
          <w:tcPr>
            <w:tcW w:w="938" w:type="dxa"/>
            <w:noWrap w:val="0"/>
            <w:vAlign w:val="center"/>
          </w:tcPr>
          <w:p w14:paraId="3960B072">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2辆</w:t>
            </w:r>
          </w:p>
        </w:tc>
        <w:tc>
          <w:tcPr>
            <w:tcW w:w="6403" w:type="dxa"/>
            <w:noWrap w:val="0"/>
            <w:vAlign w:val="center"/>
          </w:tcPr>
          <w:p w14:paraId="2F528205">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一、车载系统：                                                             ▲1.提供所投产品车型的专项汽车改装公告且公告型号须与所投产品车型型号一致，公告名称带有“大流量排水抢险车或救险车”整车(包含所有上装设备)改装符合特种作业车辆上牌要求。</w:t>
            </w:r>
            <w:r>
              <w:rPr>
                <w:rFonts w:hint="eastAsia" w:ascii="宋体" w:hAnsi="宋体" w:eastAsia="宋体" w:cs="宋体"/>
                <w:b/>
                <w:bCs/>
                <w:color w:val="auto"/>
                <w:sz w:val="21"/>
                <w:szCs w:val="21"/>
                <w:highlight w:val="none"/>
                <w:u w:val="none"/>
                <w:lang w:val="en-US" w:eastAsia="zh-CN"/>
              </w:rPr>
              <w:t>(提供国家工业和信息化部发布的所投车型的许可公告查询截图佐证)</w:t>
            </w:r>
          </w:p>
          <w:p w14:paraId="0F278050">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.驱动形式：4×2</w:t>
            </w:r>
          </w:p>
          <w:p w14:paraId="0B6CBE6B">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3.排放标准：国六排放，排量≥2490mL</w:t>
            </w:r>
          </w:p>
          <w:p w14:paraId="0C16EFF2">
            <w:pPr>
              <w:pStyle w:val="27"/>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底盘发动机功率≥</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KW，最高车速≥</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km/h</w:t>
            </w:r>
            <w:r>
              <w:rPr>
                <w:rFonts w:hint="eastAsia" w:ascii="宋体" w:hAnsi="宋体" w:eastAsia="宋体" w:cs="宋体"/>
                <w:color w:val="auto"/>
                <w:sz w:val="21"/>
                <w:szCs w:val="21"/>
                <w:highlight w:val="none"/>
                <w:lang w:val="en-US" w:eastAsia="zh-CN"/>
              </w:rPr>
              <w:t>；</w:t>
            </w:r>
          </w:p>
          <w:p w14:paraId="635E5CE7">
            <w:pPr>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整车长≤5</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rPr>
              <w:t>mm，宽≤</w:t>
            </w:r>
            <w:r>
              <w:rPr>
                <w:rFonts w:hint="eastAsia" w:ascii="宋体" w:hAnsi="宋体" w:eastAsia="宋体" w:cs="宋体"/>
                <w:color w:val="auto"/>
                <w:sz w:val="21"/>
                <w:szCs w:val="21"/>
                <w:highlight w:val="none"/>
                <w:lang w:val="en-US" w:eastAsia="zh-CN"/>
              </w:rPr>
              <w:t>210</w:t>
            </w:r>
            <w:r>
              <w:rPr>
                <w:rFonts w:hint="eastAsia" w:ascii="宋体" w:hAnsi="宋体" w:eastAsia="宋体" w:cs="宋体"/>
                <w:color w:val="auto"/>
                <w:sz w:val="21"/>
                <w:szCs w:val="21"/>
                <w:highlight w:val="none"/>
              </w:rPr>
              <w:t>0mm，高≤2</w:t>
            </w:r>
            <w:r>
              <w:rPr>
                <w:rFonts w:hint="eastAsia" w:ascii="宋体" w:hAnsi="宋体" w:eastAsia="宋体" w:cs="宋体"/>
                <w:color w:val="auto"/>
                <w:sz w:val="21"/>
                <w:szCs w:val="21"/>
                <w:highlight w:val="none"/>
                <w:lang w:val="en-US" w:eastAsia="zh-CN"/>
              </w:rPr>
              <w:t>600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轴距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2800</w:t>
            </w:r>
            <w:r>
              <w:rPr>
                <w:rFonts w:hint="eastAsia" w:ascii="宋体" w:hAnsi="宋体" w:eastAsia="宋体" w:cs="宋体"/>
                <w:color w:val="auto"/>
                <w:sz w:val="21"/>
                <w:szCs w:val="21"/>
                <w:highlight w:val="none"/>
              </w:rPr>
              <w:t>mm</w:t>
            </w:r>
            <w:r>
              <w:rPr>
                <w:rFonts w:hint="eastAsia" w:ascii="宋体" w:hAnsi="宋体" w:eastAsia="宋体" w:cs="宋体"/>
                <w:b/>
                <w:bCs/>
                <w:color w:val="auto"/>
                <w:sz w:val="21"/>
                <w:szCs w:val="21"/>
                <w:highlight w:val="none"/>
              </w:rPr>
              <w:t>（提供国家工业和信息化部发布的所投车型的许可公告查询截图佐证）</w:t>
            </w:r>
          </w:p>
          <w:p w14:paraId="43288E9B">
            <w:pPr>
              <w:pStyle w:val="211"/>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6.</w:t>
            </w:r>
            <w:r>
              <w:rPr>
                <w:rFonts w:hint="eastAsia" w:ascii="宋体" w:hAnsi="宋体" w:eastAsia="宋体" w:cs="宋体"/>
                <w:color w:val="auto"/>
                <w:sz w:val="21"/>
                <w:szCs w:val="21"/>
                <w:highlight w:val="none"/>
              </w:rPr>
              <w:t>整车总质量≤4</w:t>
            </w:r>
            <w:r>
              <w:rPr>
                <w:rFonts w:hint="eastAsia" w:ascii="宋体" w:hAnsi="宋体" w:eastAsia="宋体" w:cs="宋体"/>
                <w:color w:val="auto"/>
                <w:sz w:val="21"/>
                <w:szCs w:val="21"/>
                <w:highlight w:val="none"/>
                <w:lang w:val="en-US" w:eastAsia="zh-CN"/>
              </w:rPr>
              <w:t>500</w:t>
            </w:r>
            <w:r>
              <w:rPr>
                <w:rFonts w:hint="eastAsia" w:ascii="宋体" w:hAnsi="宋体" w:eastAsia="宋体" w:cs="宋体"/>
                <w:color w:val="auto"/>
                <w:sz w:val="21"/>
                <w:szCs w:val="21"/>
                <w:highlight w:val="none"/>
              </w:rPr>
              <w:t>Kg</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rPr>
              <w:t>提供国家工业和信息化部发布的所投车型的许可公告查询截图佐证）</w:t>
            </w:r>
          </w:p>
          <w:p w14:paraId="22BCD302">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▲7.燃油类型：柴油                                                             二、发电系统：</w:t>
            </w:r>
          </w:p>
          <w:p w14:paraId="62C5CE8B">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▲1.配备柴油发电机组，机组额定输出功率≥60KW，满足整车满负荷运行所需功率，机组运行稳定，采用三相四线制；</w:t>
            </w:r>
          </w:p>
          <w:p w14:paraId="094DA6DA">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▲2.额定电压：线电压380V±10%，相电压220V±10%；</w:t>
            </w:r>
          </w:p>
          <w:p w14:paraId="47DA9FA3">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3.冷却方式封闭式水循环冷却；</w:t>
            </w:r>
          </w:p>
          <w:p w14:paraId="034F035D">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▲4.发电机组油箱容积满足在额定输出功率下，可以连续工作8小时；机组预留有220V，380V输出接口，方便施工用电。                                三、排水系统：</w:t>
            </w:r>
          </w:p>
          <w:p w14:paraId="449F3121">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▲1.车载排水抢险单元采用便携式潜水电泵；数量2台，总排水量≥1000m³/h；</w:t>
            </w:r>
          </w:p>
          <w:p w14:paraId="2856B414">
            <w:pPr>
              <w:pStyle w:val="2"/>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u w:val="none"/>
                <w:lang w:val="en-US" w:eastAsia="zh-CN"/>
              </w:rPr>
              <w:t>当单台便捷式潜水电泵流量为600m³/h时，扬程≥8米；当单台便捷式潜水电泵流量为500m³/h时，扬程≥14米；</w:t>
            </w:r>
          </w:p>
          <w:p w14:paraId="5AE787F0">
            <w:pPr>
              <w:pageBreakBefore w:val="0"/>
              <w:numPr>
                <w:ilvl w:val="0"/>
                <w:numId w:val="0"/>
              </w:numPr>
              <w:tabs>
                <w:tab w:val="left" w:pos="2182"/>
              </w:tabs>
              <w:kinsoku/>
              <w:wordWrap/>
              <w:overflowPunct/>
              <w:topLinePunct w:val="0"/>
              <w:autoSpaceDE/>
              <w:autoSpaceDN/>
              <w:bidi w:val="0"/>
              <w:spacing w:line="3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单台便携式潜水电泵电机防护等级≥IP68,绝缘等级</w:t>
            </w:r>
            <w:r>
              <w:rPr>
                <w:rFonts w:hint="eastAsia" w:ascii="宋体" w:hAnsi="宋体" w:eastAsia="宋体" w:cs="宋体"/>
                <w:color w:val="auto"/>
                <w:sz w:val="21"/>
                <w:szCs w:val="21"/>
                <w:highlight w:val="none"/>
                <w:lang w:val="en-US" w:eastAsia="zh-CN"/>
              </w:rPr>
              <w:t>H</w:t>
            </w:r>
            <w:r>
              <w:rPr>
                <w:rFonts w:hint="eastAsia" w:ascii="宋体" w:hAnsi="宋体" w:eastAsia="宋体" w:cs="宋体"/>
                <w:color w:val="auto"/>
                <w:sz w:val="21"/>
                <w:szCs w:val="21"/>
                <w:highlight w:val="none"/>
              </w:rPr>
              <w:t>级；电泵效率≥</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 xml:space="preserve"> </w:t>
            </w:r>
          </w:p>
          <w:p w14:paraId="5F21F508">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单台便携式潜水电泵重量≤</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kg（不含电缆及过滤网）；</w:t>
            </w:r>
            <w:r>
              <w:rPr>
                <w:rFonts w:hint="eastAsia" w:ascii="宋体" w:hAnsi="宋体" w:eastAsia="宋体" w:cs="宋体"/>
                <w:b/>
                <w:bCs/>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lang w:val="en-US" w:eastAsia="zh-CN"/>
              </w:rPr>
              <w:t xml:space="preserve">                                          四、水泵控制系统：                                                ▲1.水泵控制系统采用一控二控制柜1台；每台水泵由单独的变频器控制。</w:t>
            </w:r>
          </w:p>
          <w:p w14:paraId="171EAD5B">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2.控制系统配备具有经认证的著作权软件控制系统，能实现在使用中无极调速，通过调节转速从而控制排水量；</w:t>
            </w:r>
          </w:p>
          <w:p w14:paraId="60794A59">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3.控制系统配有液晶显示屏，可精确显示水泵运行电压、电流、转速、功率及故障情况；</w:t>
            </w:r>
          </w:p>
          <w:p w14:paraId="06E05EF2">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4.控制系统配有漏电保护装置，当遇到漏电短路、过载等情况时可实现停机保护；</w:t>
            </w:r>
          </w:p>
          <w:p w14:paraId="546FCEE7">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▲5.控制柜可以从车上拆卸，可以实现＞50米距离工作。</w:t>
            </w:r>
          </w:p>
          <w:p w14:paraId="3607898A">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6.拆卸后，控制系统和水泵可以使用市电供电正常工作。</w:t>
            </w:r>
          </w:p>
        </w:tc>
      </w:tr>
      <w:tr w14:paraId="2AE2C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05DEE088">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57" w:type="dxa"/>
            <w:noWrap w:val="0"/>
            <w:vAlign w:val="center"/>
          </w:tcPr>
          <w:p w14:paraId="3C67C74C">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应急抢险泵车（3000m³/h）</w:t>
            </w:r>
            <w:r>
              <w:rPr>
                <w:rFonts w:hint="eastAsia" w:ascii="宋体" w:hAnsi="宋体" w:eastAsia="宋体" w:cs="宋体"/>
                <w:b/>
                <w:bCs/>
                <w:i w:val="0"/>
                <w:iCs w:val="0"/>
                <w:color w:val="auto"/>
                <w:kern w:val="0"/>
                <w:sz w:val="21"/>
                <w:szCs w:val="21"/>
                <w:highlight w:val="none"/>
                <w:u w:val="none"/>
                <w:lang w:val="en-US" w:eastAsia="zh-CN" w:bidi="ar"/>
              </w:rPr>
              <w:t>（核心产品）</w:t>
            </w:r>
          </w:p>
        </w:tc>
        <w:tc>
          <w:tcPr>
            <w:tcW w:w="938" w:type="dxa"/>
            <w:noWrap w:val="0"/>
            <w:vAlign w:val="center"/>
          </w:tcPr>
          <w:p w14:paraId="66D334B4">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2辆</w:t>
            </w:r>
          </w:p>
        </w:tc>
        <w:tc>
          <w:tcPr>
            <w:tcW w:w="6403" w:type="dxa"/>
            <w:noWrap w:val="0"/>
            <w:vAlign w:val="center"/>
          </w:tcPr>
          <w:p w14:paraId="71A4E857">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一、车载系统：                                                             ▲1.提供所投产品车型的专项汽车改装公告且公告型号须与所投产品车型型号一致，公告名称带有“大流量排水抢险车或救险车”，整车(包含所有上装设备)改装符合特种作业车辆上牌要求。</w:t>
            </w:r>
            <w:r>
              <w:rPr>
                <w:rFonts w:hint="eastAsia" w:ascii="宋体" w:hAnsi="宋体" w:eastAsia="宋体" w:cs="宋体"/>
                <w:b/>
                <w:bCs/>
                <w:color w:val="auto"/>
                <w:sz w:val="21"/>
                <w:szCs w:val="21"/>
                <w:highlight w:val="none"/>
                <w:u w:val="none"/>
                <w:lang w:val="en-US" w:eastAsia="zh-CN"/>
              </w:rPr>
              <w:t>(提供国家工业和信息化部发布的所投车型的许可公告查询截图佐证)</w:t>
            </w:r>
          </w:p>
          <w:p w14:paraId="6FA3124F">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2.驱动形式：4×2</w:t>
            </w:r>
          </w:p>
          <w:p w14:paraId="2C8EB301">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3.排放标准：国六排放，排量≥2900mL</w:t>
            </w:r>
          </w:p>
          <w:p w14:paraId="02482600">
            <w:pPr>
              <w:pStyle w:val="27"/>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底盘发动机功率≥</w:t>
            </w:r>
            <w:r>
              <w:rPr>
                <w:rFonts w:hint="eastAsia" w:ascii="宋体" w:hAnsi="宋体" w:eastAsia="宋体" w:cs="宋体"/>
                <w:color w:val="auto"/>
                <w:sz w:val="21"/>
                <w:szCs w:val="21"/>
                <w:highlight w:val="none"/>
                <w:lang w:val="en-US" w:eastAsia="zh-CN"/>
              </w:rPr>
              <w:t>110</w:t>
            </w:r>
            <w:r>
              <w:rPr>
                <w:rFonts w:hint="eastAsia" w:ascii="宋体" w:hAnsi="宋体" w:eastAsia="宋体" w:cs="宋体"/>
                <w:color w:val="auto"/>
                <w:sz w:val="21"/>
                <w:szCs w:val="21"/>
                <w:highlight w:val="none"/>
              </w:rPr>
              <w:t>KW，最高车速≥</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km/h</w:t>
            </w:r>
            <w:r>
              <w:rPr>
                <w:rFonts w:hint="eastAsia" w:ascii="宋体" w:hAnsi="宋体" w:eastAsia="宋体" w:cs="宋体"/>
                <w:color w:val="auto"/>
                <w:sz w:val="21"/>
                <w:szCs w:val="21"/>
                <w:highlight w:val="none"/>
                <w:lang w:val="en-US" w:eastAsia="zh-CN"/>
              </w:rPr>
              <w:t>；</w:t>
            </w:r>
          </w:p>
          <w:p w14:paraId="7EF20097">
            <w:pPr>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整车长≤ </w:t>
            </w:r>
            <w:r>
              <w:rPr>
                <w:rFonts w:hint="eastAsia" w:ascii="宋体" w:hAnsi="宋体" w:eastAsia="宋体" w:cs="宋体"/>
                <w:color w:val="auto"/>
                <w:sz w:val="21"/>
                <w:szCs w:val="21"/>
                <w:highlight w:val="none"/>
                <w:lang w:val="en-US" w:eastAsia="zh-CN"/>
              </w:rPr>
              <w:t>7500</w:t>
            </w:r>
            <w:r>
              <w:rPr>
                <w:rFonts w:hint="eastAsia" w:ascii="宋体" w:hAnsi="宋体" w:eastAsia="宋体" w:cs="宋体"/>
                <w:color w:val="auto"/>
                <w:sz w:val="21"/>
                <w:szCs w:val="21"/>
                <w:highlight w:val="none"/>
              </w:rPr>
              <w:t>mm，宽≤</w:t>
            </w:r>
            <w:r>
              <w:rPr>
                <w:rFonts w:hint="eastAsia" w:ascii="宋体" w:hAnsi="宋体" w:eastAsia="宋体" w:cs="宋体"/>
                <w:color w:val="auto"/>
                <w:sz w:val="21"/>
                <w:szCs w:val="21"/>
                <w:highlight w:val="none"/>
                <w:lang w:val="en-US" w:eastAsia="zh-CN"/>
              </w:rPr>
              <w:t>250</w:t>
            </w:r>
            <w:r>
              <w:rPr>
                <w:rFonts w:hint="eastAsia" w:ascii="宋体" w:hAnsi="宋体" w:eastAsia="宋体" w:cs="宋体"/>
                <w:color w:val="auto"/>
                <w:sz w:val="21"/>
                <w:szCs w:val="21"/>
                <w:highlight w:val="none"/>
              </w:rPr>
              <w:t>0mm，高≤</w:t>
            </w:r>
            <w:r>
              <w:rPr>
                <w:rFonts w:hint="eastAsia" w:ascii="宋体" w:hAnsi="宋体" w:eastAsia="宋体" w:cs="宋体"/>
                <w:color w:val="auto"/>
                <w:sz w:val="21"/>
                <w:szCs w:val="21"/>
                <w:highlight w:val="none"/>
                <w:lang w:val="en-US" w:eastAsia="zh-CN"/>
              </w:rPr>
              <w:t>3500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，轴距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3800</w:t>
            </w:r>
            <w:r>
              <w:rPr>
                <w:rFonts w:hint="eastAsia" w:ascii="宋体" w:hAnsi="宋体" w:eastAsia="宋体" w:cs="宋体"/>
                <w:color w:val="auto"/>
                <w:sz w:val="21"/>
                <w:szCs w:val="21"/>
                <w:highlight w:val="none"/>
              </w:rPr>
              <w:t>mm</w:t>
            </w:r>
            <w:r>
              <w:rPr>
                <w:rFonts w:hint="eastAsia" w:ascii="宋体" w:hAnsi="宋体" w:eastAsia="宋体" w:cs="宋体"/>
                <w:b/>
                <w:bCs/>
                <w:color w:val="auto"/>
                <w:sz w:val="21"/>
                <w:szCs w:val="21"/>
                <w:highlight w:val="none"/>
              </w:rPr>
              <w:t>（提供国家工业和信息化部发布的所投车型的许可公告查询截图佐证）</w:t>
            </w:r>
          </w:p>
          <w:p w14:paraId="0AAEDAB9">
            <w:pPr>
              <w:pStyle w:val="211"/>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6.</w:t>
            </w:r>
            <w:r>
              <w:rPr>
                <w:rFonts w:hint="eastAsia" w:ascii="宋体" w:hAnsi="宋体" w:eastAsia="宋体" w:cs="宋体"/>
                <w:color w:val="auto"/>
                <w:sz w:val="21"/>
                <w:szCs w:val="21"/>
                <w:highlight w:val="none"/>
              </w:rPr>
              <w:t>整车总质量≤</w:t>
            </w:r>
            <w:r>
              <w:rPr>
                <w:rFonts w:hint="eastAsia" w:ascii="宋体" w:hAnsi="宋体" w:eastAsia="宋体" w:cs="宋体"/>
                <w:color w:val="auto"/>
                <w:sz w:val="21"/>
                <w:szCs w:val="21"/>
                <w:highlight w:val="none"/>
                <w:lang w:val="en-US" w:eastAsia="zh-CN"/>
              </w:rPr>
              <w:t>9500</w:t>
            </w:r>
            <w:r>
              <w:rPr>
                <w:rFonts w:hint="eastAsia" w:ascii="宋体" w:hAnsi="宋体" w:eastAsia="宋体" w:cs="宋体"/>
                <w:color w:val="auto"/>
                <w:sz w:val="21"/>
                <w:szCs w:val="21"/>
                <w:highlight w:val="none"/>
              </w:rPr>
              <w:t>Kg</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rPr>
              <w:t>提供国家工业和信息化部发布的所投车型的许可公告查询截图佐证）</w:t>
            </w:r>
          </w:p>
          <w:p w14:paraId="55ED467E">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▲7.燃油类型：柴油                                                             二、发电系统：</w:t>
            </w:r>
          </w:p>
          <w:p w14:paraId="7516A5BD">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▲1.发电机组额定输出功率≥145KW，满足整车满负荷运行所需功率，机组运行稳定，采用三相四线制；</w:t>
            </w:r>
          </w:p>
          <w:p w14:paraId="0E892795">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▲2.额定电压：线电压380V±10%，相电压220V±10%；</w:t>
            </w:r>
          </w:p>
          <w:p w14:paraId="3FBBECC9">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3.冷却方式：封闭式水循环冷却；</w:t>
            </w:r>
          </w:p>
          <w:p w14:paraId="4C2189D8">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▲4.发电机组油箱容积满足在额定输出功率下，可以连续工作8小时；                              </w:t>
            </w:r>
          </w:p>
          <w:p w14:paraId="5272D450">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三、排水系统：</w:t>
            </w:r>
          </w:p>
          <w:p w14:paraId="6F3771E7">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▲1.车载排水抢险单元采用便携式潜水电泵；数量5台，总排水量3000m³/h；</w:t>
            </w:r>
            <w:r>
              <w:rPr>
                <w:rFonts w:hint="eastAsia" w:ascii="宋体" w:hAnsi="宋体" w:eastAsia="宋体" w:cs="宋体"/>
                <w:b/>
                <w:bCs/>
                <w:color w:val="auto"/>
                <w:sz w:val="21"/>
                <w:szCs w:val="21"/>
                <w:highlight w:val="none"/>
                <w:u w:val="none"/>
                <w:lang w:val="en-US" w:eastAsia="zh-CN"/>
              </w:rPr>
              <w:t xml:space="preserve">  </w:t>
            </w:r>
          </w:p>
          <w:p w14:paraId="77E11EF2">
            <w:pPr>
              <w:pStyle w:val="2"/>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u w:val="none"/>
                <w:lang w:val="en-US" w:eastAsia="zh-CN"/>
              </w:rPr>
              <w:t>当单台便捷式潜水电泵流量为600m³/h时，扬程≥8米；当单台便捷式潜水电泵流量为500m³/h时，扬程≥14米；</w:t>
            </w:r>
          </w:p>
          <w:p w14:paraId="7A852CA5">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单台便携式潜水电泵电机防护等级≥IP68,绝缘等级</w:t>
            </w:r>
            <w:r>
              <w:rPr>
                <w:rFonts w:hint="eastAsia" w:ascii="宋体" w:hAnsi="宋体" w:eastAsia="宋体" w:cs="宋体"/>
                <w:color w:val="auto"/>
                <w:sz w:val="21"/>
                <w:szCs w:val="21"/>
                <w:highlight w:val="none"/>
                <w:lang w:val="en-US" w:eastAsia="zh-CN"/>
              </w:rPr>
              <w:t>H</w:t>
            </w:r>
            <w:r>
              <w:rPr>
                <w:rFonts w:hint="eastAsia" w:ascii="宋体" w:hAnsi="宋体" w:eastAsia="宋体" w:cs="宋体"/>
                <w:color w:val="auto"/>
                <w:sz w:val="21"/>
                <w:szCs w:val="21"/>
                <w:highlight w:val="none"/>
              </w:rPr>
              <w:t>级；电泵效率≥</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u w:val="none"/>
                <w:lang w:val="en-US" w:eastAsia="zh-CN"/>
              </w:rPr>
              <w:t xml:space="preserve">  </w:t>
            </w:r>
          </w:p>
          <w:p w14:paraId="739BBDEB">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单台便携式潜水电泵重量≤</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 xml:space="preserve">kg（不含电缆及过滤网）； </w:t>
            </w:r>
            <w:r>
              <w:rPr>
                <w:rFonts w:hint="eastAsia" w:ascii="宋体" w:hAnsi="宋体" w:eastAsia="宋体" w:cs="宋体"/>
                <w:b/>
                <w:bCs/>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lang w:val="en-US" w:eastAsia="zh-CN"/>
              </w:rPr>
              <w:t xml:space="preserve">                                                                      四、控制系统</w:t>
            </w:r>
          </w:p>
          <w:p w14:paraId="36704400">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▲1.水泵控制系统采用一控二集成柜2台、拉杆箱式控制柜1台，每台水泵由单独的变频器控制；</w:t>
            </w:r>
          </w:p>
          <w:p w14:paraId="39CCD15C">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2.控制系统配备具有经认证的著作权软件控制系统，能实现在使用中无极调速，通过调节转速从而控制排水量；</w:t>
            </w:r>
          </w:p>
          <w:p w14:paraId="2FDC5CAC">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3.控制系统配有液晶显示屏，可精确显示水泵运行电压、电流、转速、功率及故障情况；</w:t>
            </w:r>
          </w:p>
          <w:p w14:paraId="49C67D58">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4.控制系统配有漏电保护装置，当遇到漏电短路、过载等情况时可实现停机保护；</w:t>
            </w:r>
          </w:p>
          <w:p w14:paraId="0DD0658A">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▲5.控制柜可以从车上拆卸，可以实现＞50米距离工作；</w:t>
            </w:r>
          </w:p>
          <w:p w14:paraId="69F78D50">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6.拆卸后，控制系统和水泵可以使用市电供电正常工作。</w:t>
            </w:r>
          </w:p>
        </w:tc>
      </w:tr>
      <w:tr w14:paraId="38AE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36" w:type="dxa"/>
            <w:noWrap w:val="0"/>
            <w:vAlign w:val="center"/>
          </w:tcPr>
          <w:p w14:paraId="73A4FA93">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rPr>
            </w:pPr>
            <w:bookmarkStart w:id="7" w:name="_Toc20895"/>
            <w:r>
              <w:rPr>
                <w:rFonts w:hint="eastAsia" w:ascii="宋体" w:hAnsi="宋体" w:eastAsia="宋体" w:cs="宋体"/>
                <w:i w:val="0"/>
                <w:iCs w:val="0"/>
                <w:color w:val="auto"/>
                <w:kern w:val="0"/>
                <w:sz w:val="21"/>
                <w:szCs w:val="21"/>
                <w:highlight w:val="none"/>
                <w:u w:val="none"/>
                <w:lang w:val="en-US" w:eastAsia="zh-CN" w:bidi="ar"/>
              </w:rPr>
              <w:t>4</w:t>
            </w:r>
          </w:p>
        </w:tc>
        <w:tc>
          <w:tcPr>
            <w:tcW w:w="1457" w:type="dxa"/>
            <w:noWrap w:val="0"/>
            <w:vAlign w:val="center"/>
          </w:tcPr>
          <w:p w14:paraId="2D389289">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移动供电车</w:t>
            </w:r>
          </w:p>
        </w:tc>
        <w:tc>
          <w:tcPr>
            <w:tcW w:w="938" w:type="dxa"/>
            <w:noWrap w:val="0"/>
            <w:vAlign w:val="center"/>
          </w:tcPr>
          <w:p w14:paraId="598B9897">
            <w:pPr>
              <w:keepNext w:val="0"/>
              <w:keepLines w:val="0"/>
              <w:pageBreakBefore w:val="0"/>
              <w:widowControl/>
              <w:suppressLineNumbers w:val="0"/>
              <w:kinsoku/>
              <w:wordWrap/>
              <w:overflowPunct/>
              <w:topLinePunct w:val="0"/>
              <w:autoSpaceDE/>
              <w:autoSpaceDN/>
              <w:bidi w:val="0"/>
              <w:spacing w:line="360" w:lineRule="exact"/>
              <w:ind w:left="0" w:lef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1辆</w:t>
            </w:r>
          </w:p>
        </w:tc>
        <w:tc>
          <w:tcPr>
            <w:tcW w:w="6403" w:type="dxa"/>
            <w:noWrap w:val="0"/>
            <w:vAlign w:val="center"/>
          </w:tcPr>
          <w:p w14:paraId="3AD9323C">
            <w:pPr>
              <w:pageBreakBefore w:val="0"/>
              <w:widowControl w:val="0"/>
              <w:kinsoku/>
              <w:wordWrap/>
              <w:overflowPunct/>
              <w:topLinePunct w:val="0"/>
              <w:autoSpaceDE/>
              <w:autoSpaceDN/>
              <w:bidi w:val="0"/>
              <w:spacing w:line="360" w:lineRule="exact"/>
              <w:ind w:left="0"/>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u w:val="none"/>
                <w:lang w:val="en-US" w:eastAsia="zh-CN"/>
              </w:rPr>
              <w:t>▲1.车辆需具备中华人民共和国工业和信息化部发布的车辆公告、机动车国环环保、国家强制性产品认证证书及列入国家税务总局发布的免征车辆购置税目录，能在采购地合法上牌且可享受免征车辆购置税政策。</w:t>
            </w:r>
          </w:p>
          <w:p w14:paraId="37C33E8D">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2.车辆驱动形式：4×2；</w:t>
            </w:r>
          </w:p>
          <w:p w14:paraId="13D89161">
            <w:pPr>
              <w:keepNext w:val="0"/>
              <w:keepLines w:val="0"/>
              <w:pageBreakBefore w:val="0"/>
              <w:widowControl/>
              <w:suppressLineNumbers w:val="0"/>
              <w:kinsoku/>
              <w:wordWrap/>
              <w:overflowPunct/>
              <w:topLinePunct w:val="0"/>
              <w:autoSpaceDE/>
              <w:autoSpaceDN/>
              <w:bidi w:val="0"/>
              <w:spacing w:line="360" w:lineRule="exact"/>
              <w:ind w:lef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3.车辆排放标准：国六排放；</w:t>
            </w:r>
          </w:p>
          <w:p w14:paraId="34704020">
            <w:pPr>
              <w:pStyle w:val="27"/>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底盘发动机功率≥</w:t>
            </w: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KW，最高车速≥</w:t>
            </w:r>
            <w:r>
              <w:rPr>
                <w:rFonts w:hint="eastAsia" w:ascii="宋体" w:hAnsi="宋体" w:eastAsia="宋体" w:cs="宋体"/>
                <w:color w:val="auto"/>
                <w:sz w:val="21"/>
                <w:szCs w:val="21"/>
                <w:highlight w:val="none"/>
                <w:lang w:val="en-US" w:eastAsia="zh-CN"/>
              </w:rPr>
              <w:t>95</w:t>
            </w:r>
            <w:r>
              <w:rPr>
                <w:rFonts w:hint="eastAsia" w:ascii="宋体" w:hAnsi="宋体" w:eastAsia="宋体" w:cs="宋体"/>
                <w:color w:val="auto"/>
                <w:sz w:val="21"/>
                <w:szCs w:val="21"/>
                <w:highlight w:val="none"/>
              </w:rPr>
              <w:t>km/h</w:t>
            </w:r>
            <w:r>
              <w:rPr>
                <w:rFonts w:hint="eastAsia" w:ascii="宋体" w:hAnsi="宋体" w:eastAsia="宋体" w:cs="宋体"/>
                <w:color w:val="auto"/>
                <w:sz w:val="21"/>
                <w:szCs w:val="21"/>
                <w:highlight w:val="none"/>
                <w:lang w:val="en-US" w:eastAsia="zh-CN"/>
              </w:rPr>
              <w:t>；</w:t>
            </w:r>
          </w:p>
          <w:p w14:paraId="5E8355C9">
            <w:pPr>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整车长≤ </w:t>
            </w:r>
            <w:r>
              <w:rPr>
                <w:rFonts w:hint="eastAsia" w:ascii="宋体" w:hAnsi="宋体" w:eastAsia="宋体" w:cs="宋体"/>
                <w:color w:val="auto"/>
                <w:sz w:val="21"/>
                <w:szCs w:val="21"/>
                <w:highlight w:val="none"/>
                <w:lang w:val="en-US" w:eastAsia="zh-CN"/>
              </w:rPr>
              <w:t>7000</w:t>
            </w:r>
            <w:r>
              <w:rPr>
                <w:rFonts w:hint="eastAsia" w:ascii="宋体" w:hAnsi="宋体" w:eastAsia="宋体" w:cs="宋体"/>
                <w:color w:val="auto"/>
                <w:sz w:val="21"/>
                <w:szCs w:val="21"/>
                <w:highlight w:val="none"/>
              </w:rPr>
              <w:t>mm，宽≤</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0mm，高≤</w:t>
            </w:r>
            <w:r>
              <w:rPr>
                <w:rFonts w:hint="eastAsia" w:ascii="宋体" w:hAnsi="宋体" w:eastAsia="宋体" w:cs="宋体"/>
                <w:color w:val="auto"/>
                <w:sz w:val="21"/>
                <w:szCs w:val="21"/>
                <w:highlight w:val="none"/>
                <w:lang w:val="en-US" w:eastAsia="zh-CN"/>
              </w:rPr>
              <w:t>2900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，轴距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3800</w:t>
            </w:r>
            <w:r>
              <w:rPr>
                <w:rFonts w:hint="eastAsia" w:ascii="宋体" w:hAnsi="宋体" w:eastAsia="宋体" w:cs="宋体"/>
                <w:color w:val="auto"/>
                <w:sz w:val="21"/>
                <w:szCs w:val="21"/>
                <w:highlight w:val="none"/>
              </w:rPr>
              <w:t>mm</w:t>
            </w:r>
            <w:r>
              <w:rPr>
                <w:rFonts w:hint="eastAsia" w:ascii="宋体" w:hAnsi="宋体" w:eastAsia="宋体" w:cs="宋体"/>
                <w:color w:val="auto"/>
                <w:sz w:val="21"/>
                <w:szCs w:val="21"/>
                <w:highlight w:val="none"/>
                <w:lang w:eastAsia="zh-CN"/>
              </w:rPr>
              <w:t>；</w:t>
            </w:r>
          </w:p>
          <w:p w14:paraId="797889E5">
            <w:pPr>
              <w:pStyle w:val="2"/>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6.</w:t>
            </w:r>
            <w:r>
              <w:rPr>
                <w:rFonts w:hint="eastAsia" w:ascii="宋体" w:hAnsi="宋体" w:eastAsia="宋体" w:cs="宋体"/>
                <w:color w:val="auto"/>
                <w:sz w:val="21"/>
                <w:szCs w:val="21"/>
                <w:highlight w:val="none"/>
              </w:rPr>
              <w:t>整车总质量≥</w:t>
            </w:r>
            <w:r>
              <w:rPr>
                <w:rFonts w:hint="eastAsia" w:ascii="宋体" w:hAnsi="宋体" w:eastAsia="宋体" w:cs="宋体"/>
                <w:color w:val="auto"/>
                <w:sz w:val="21"/>
                <w:szCs w:val="21"/>
                <w:highlight w:val="none"/>
                <w:lang w:val="en-US" w:eastAsia="zh-CN"/>
              </w:rPr>
              <w:t>7300</w:t>
            </w:r>
            <w:r>
              <w:rPr>
                <w:rFonts w:hint="eastAsia" w:ascii="宋体" w:hAnsi="宋体" w:eastAsia="宋体" w:cs="宋体"/>
                <w:color w:val="auto"/>
                <w:sz w:val="21"/>
                <w:szCs w:val="21"/>
                <w:highlight w:val="none"/>
              </w:rPr>
              <w:t>Kg</w:t>
            </w:r>
            <w:r>
              <w:rPr>
                <w:rFonts w:hint="eastAsia" w:ascii="宋体" w:hAnsi="宋体" w:eastAsia="宋体" w:cs="宋体"/>
                <w:color w:val="auto"/>
                <w:sz w:val="21"/>
                <w:szCs w:val="21"/>
                <w:highlight w:val="none"/>
                <w:lang w:val="en-US" w:eastAsia="zh-CN"/>
              </w:rPr>
              <w:t>；</w:t>
            </w:r>
          </w:p>
          <w:p w14:paraId="0013E04A">
            <w:pPr>
              <w:pageBreakBefore w:val="0"/>
              <w:widowControl w:val="0"/>
              <w:kinsoku/>
              <w:wordWrap/>
              <w:overflowPunct/>
              <w:topLinePunct w:val="0"/>
              <w:autoSpaceDE/>
              <w:autoSpaceDN/>
              <w:bidi w:val="0"/>
              <w:spacing w:line="360" w:lineRule="exact"/>
              <w:ind w:left="0"/>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7.厢体要求：具备运输、防雨、防火、阻燃、防尘、防锈、降燥，隔震、长期抗震结构。外部钢材为优质冷轧钢板，表面处理平整，内衬优质冷轧钢板折弯骨架，强度牢固，配重合理。</w:t>
            </w:r>
          </w:p>
          <w:p w14:paraId="0B11782D">
            <w:pPr>
              <w:pageBreakBefore w:val="0"/>
              <w:widowControl w:val="0"/>
              <w:kinsoku/>
              <w:wordWrap/>
              <w:overflowPunct/>
              <w:topLinePunct w:val="0"/>
              <w:autoSpaceDE/>
              <w:autoSpaceDN/>
              <w:bidi w:val="0"/>
              <w:spacing w:line="360" w:lineRule="exact"/>
              <w:ind w:left="0"/>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8.移动电源系统：</w:t>
            </w:r>
          </w:p>
          <w:p w14:paraId="01D566A1">
            <w:pPr>
              <w:pageBreakBefore w:val="0"/>
              <w:widowControl w:val="0"/>
              <w:kinsoku/>
              <w:wordWrap/>
              <w:overflowPunct/>
              <w:topLinePunct w:val="0"/>
              <w:autoSpaceDE/>
              <w:autoSpaceDN/>
              <w:bidi w:val="0"/>
              <w:spacing w:line="360" w:lineRule="exact"/>
              <w:ind w:left="0"/>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color w:val="auto"/>
                <w:kern w:val="2"/>
                <w:sz w:val="21"/>
                <w:szCs w:val="21"/>
                <w:highlight w:val="none"/>
                <w:vertAlign w:val="baseline"/>
                <w:lang w:val="en-US" w:eastAsia="zh-CN" w:bidi="ar-SA"/>
              </w:rPr>
              <w:t>（1）额定输出功率150KW，备用功率165KW，满足使用需求；</w:t>
            </w:r>
          </w:p>
          <w:p w14:paraId="2436F899">
            <w:pPr>
              <w:pageBreakBefore w:val="0"/>
              <w:widowControl w:val="0"/>
              <w:kinsoku/>
              <w:wordWrap/>
              <w:overflowPunct/>
              <w:topLinePunct w:val="0"/>
              <w:autoSpaceDE/>
              <w:autoSpaceDN/>
              <w:bidi w:val="0"/>
              <w:spacing w:line="360" w:lineRule="exact"/>
              <w:ind w:left="0"/>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（2）系统三相四线制，额定电压线电压380V±10%，相电压220V±10%；调速/级别：电子/G2 级，高精度电子调速系统。</w:t>
            </w:r>
          </w:p>
          <w:p w14:paraId="1DF53088">
            <w:pPr>
              <w:pageBreakBefore w:val="0"/>
              <w:widowControl w:val="0"/>
              <w:kinsoku/>
              <w:wordWrap/>
              <w:overflowPunct/>
              <w:topLinePunct w:val="0"/>
              <w:autoSpaceDE/>
              <w:autoSpaceDN/>
              <w:bidi w:val="0"/>
              <w:spacing w:line="360" w:lineRule="exact"/>
              <w:ind w:left="0" w:leftChars="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kern w:val="2"/>
                <w:sz w:val="21"/>
                <w:szCs w:val="21"/>
                <w:highlight w:val="none"/>
                <w:vertAlign w:val="baseline"/>
                <w:lang w:val="en-US" w:eastAsia="zh-CN" w:bidi="ar-SA"/>
              </w:rPr>
              <w:t>机组油箱可满足发电机组≥8小时持续使用。</w:t>
            </w:r>
          </w:p>
        </w:tc>
      </w:tr>
      <w:tr w14:paraId="35627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34" w:type="dxa"/>
            <w:gridSpan w:val="4"/>
            <w:tcBorders>
              <w:top w:val="single" w:color="auto" w:sz="4" w:space="0"/>
              <w:left w:val="single" w:color="auto" w:sz="4" w:space="0"/>
              <w:bottom w:val="single" w:color="auto" w:sz="4" w:space="0"/>
              <w:right w:val="single" w:color="auto" w:sz="4" w:space="0"/>
            </w:tcBorders>
            <w:noWrap w:val="0"/>
            <w:vAlign w:val="top"/>
          </w:tcPr>
          <w:p w14:paraId="0F7FF7F6">
            <w:pPr>
              <w:keepNext/>
              <w:keepLines/>
              <w:pageBreakBefore w:val="0"/>
              <w:kinsoku/>
              <w:wordWrap/>
              <w:overflowPunct/>
              <w:topLinePunct w:val="0"/>
              <w:autoSpaceDE/>
              <w:autoSpaceDN/>
              <w:bidi w:val="0"/>
              <w:adjustRightInd w:val="0"/>
              <w:snapToGrid w:val="0"/>
              <w:spacing w:line="360" w:lineRule="exact"/>
              <w:ind w:left="0" w:leftChars="0" w:right="0"/>
              <w:jc w:val="left"/>
              <w:outlineLvl w:val="2"/>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二、</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color w:val="auto"/>
                <w:kern w:val="0"/>
                <w:sz w:val="21"/>
                <w:szCs w:val="21"/>
                <w:highlight w:val="none"/>
              </w:rPr>
              <w:t>商务条款</w:t>
            </w:r>
            <w:bookmarkEnd w:id="7"/>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要求</w:t>
            </w:r>
            <w:r>
              <w:rPr>
                <w:rFonts w:hint="eastAsia" w:ascii="宋体" w:hAnsi="宋体" w:eastAsia="宋体" w:cs="宋体"/>
                <w:b/>
                <w:color w:val="auto"/>
                <w:kern w:val="0"/>
                <w:sz w:val="21"/>
                <w:szCs w:val="21"/>
                <w:highlight w:val="none"/>
                <w:lang w:eastAsia="zh-CN"/>
              </w:rPr>
              <w:t>）</w:t>
            </w:r>
          </w:p>
        </w:tc>
      </w:tr>
      <w:tr w14:paraId="0B38D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0A783CEB">
            <w:pPr>
              <w:pageBreakBefore w:val="0"/>
              <w:kinsoku/>
              <w:wordWrap/>
              <w:overflowPunct/>
              <w:topLinePunct w:val="0"/>
              <w:autoSpaceDE/>
              <w:autoSpaceDN/>
              <w:bidi w:val="0"/>
              <w:adjustRightInd w:val="0"/>
              <w:snapToGrid w:val="0"/>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0B80465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l.中标供应商提供的货物必须是全新、完整、未使用过的原装产品，且在正常安装、使用和保养条件下，其使用寿命期内各项指标均达到质量要求。</w:t>
            </w:r>
          </w:p>
          <w:p w14:paraId="278E370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2.中标供应商负责设备的包装、运输、装卸、就位、安装、调试、保险及通过相关部门的检测验收并上牌，并承担相关的一切费用。</w:t>
            </w:r>
          </w:p>
          <w:p w14:paraId="58F8DE2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3.中标供应商须在交货时提供详细完整的设备相关证书、中文操作手册、产品合格证明材料、使用说明书及提供由国家认可的第三方检测机构出具的“便携式潜水电泵”的检测报告等资料交给采购人。</w:t>
            </w:r>
          </w:p>
          <w:p w14:paraId="2ABBF31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4.设备在国内有维修中心及零配件库，中标供应商应可提供以上设备的零配件供应。</w:t>
            </w:r>
          </w:p>
        </w:tc>
      </w:tr>
      <w:tr w14:paraId="3DE11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C1C734C">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C1DD0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是履行合同的最终价格，必须包含投标货款、标准附件、备品备件、专用工具、包装、运输、装卸、保险、税金、货到就位以及安装、安装所需辅材、调试、检验、验收、上牌等所需的一切使本项目完成验收的费用及供货商对业主承诺技术培训、售前、售后质量保证等相关费用等在内的一切可能发生的费用。</w:t>
            </w:r>
          </w:p>
        </w:tc>
      </w:tr>
      <w:tr w14:paraId="1B19F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66037F0">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641A918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保修期要求：中标供应商对设备提供承诺的保修服务。保修期内设备发生一般故障时，中标供应商应负责维修、更换零配件：设备发生大故障（指主要部件出现质量问题）时，中标供应商应负责更换相同品牌、型号的新设备，设备维修或更换后其保修期相应顺延。所有非故意性损坏以及在要求质量标准范围内的正常使用造成的损坏均要维修。保修期内发生的故障维修服务及更换配件均包含在投标报价中，采购人不再另外支付费用。对因采购人人员的不正当使用所造成的设备损坏不在中标供应商保修范围，但中标供应商也要积极帮助采购人修理设备，并保证提供优惠价格的配件和服务。</w:t>
            </w:r>
          </w:p>
          <w:p w14:paraId="39E493A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2.须在投标文件中提供相关设备的维修工程师姓名及电话号码。</w:t>
            </w:r>
          </w:p>
          <w:p w14:paraId="79917E1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故障响应时间：当接到设备报修通知后2小时内响应，并于12小时内到达现场，12小时内排除故障，12小时故障排除不了，维保期按停机天数期限顺延。每次维修应提供维修报告交给采购人备案。规定时限内中标供应商未能按时响应，采购人有权聘请第三方进行维修处理，由此产生的相关费用由中标供应商承担。</w:t>
            </w:r>
          </w:p>
          <w:p w14:paraId="5049D9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人员培训：设备安装完毕，由中标供应商工程师对采购人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中标供应商承担。</w:t>
            </w:r>
          </w:p>
        </w:tc>
      </w:tr>
      <w:tr w14:paraId="112D9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7AFF2764">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123E0FA">
            <w:pPr>
              <w:pStyle w:val="2"/>
              <w:pageBreakBefore w:val="0"/>
              <w:widowControl w:val="0"/>
              <w:kinsoku/>
              <w:wordWrap/>
              <w:overflowPunct/>
              <w:topLinePunct w:val="0"/>
              <w:autoSpaceDE/>
              <w:autoSpaceDN/>
              <w:bidi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质保期不少于一年，质保期自交货并验收合格之日起计，质保期内免费上门维修，免费更换零配件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满足国家规定的三包要求，另包含货物本身配备的原厂保修进行承诺保修。</w:t>
            </w:r>
          </w:p>
        </w:tc>
      </w:tr>
      <w:tr w14:paraId="04F41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9C4872D">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备品备件及耗材等要求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D2EAB88">
            <w:pPr>
              <w:pStyle w:val="2"/>
              <w:pageBreakBefore w:val="0"/>
              <w:widowControl w:val="0"/>
              <w:kinsoku/>
              <w:wordWrap/>
              <w:overflowPunct/>
              <w:topLinePunct w:val="0"/>
              <w:autoSpaceDE/>
              <w:autoSpaceDN/>
              <w:bidi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投标产品如包括必备的易损易耗备品备件和专用工具，投标人应在交货时提供其清单。</w:t>
            </w:r>
          </w:p>
        </w:tc>
      </w:tr>
      <w:tr w14:paraId="064E1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3DE3472">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04C44DF9">
            <w:pPr>
              <w:pStyle w:val="2"/>
              <w:pageBreakBefore w:val="0"/>
              <w:widowControl w:val="0"/>
              <w:kinsoku/>
              <w:wordWrap/>
              <w:overflowPunct/>
              <w:topLinePunct w:val="0"/>
              <w:autoSpaceDE/>
              <w:autoSpaceDN/>
              <w:bidi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自中标通知书发出之日起25日内。</w:t>
            </w:r>
          </w:p>
        </w:tc>
      </w:tr>
      <w:tr w14:paraId="35822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64E6FBDE">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交货时间及地点</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532142F5">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交货时间：自合同签订之日起120天内全部货物安装调试完毕并交付使用。</w:t>
            </w:r>
          </w:p>
          <w:p w14:paraId="2AF82A2C">
            <w:pPr>
              <w:pStyle w:val="2"/>
              <w:pageBreakBefore w:val="0"/>
              <w:widowControl w:val="0"/>
              <w:numPr>
                <w:ilvl w:val="0"/>
                <w:numId w:val="1"/>
              </w:numPr>
              <w:kinsoku/>
              <w:wordWrap/>
              <w:overflowPunct/>
              <w:topLinePunct w:val="0"/>
              <w:autoSpaceDE/>
              <w:autoSpaceDN/>
              <w:bidi w:val="0"/>
              <w:spacing w:line="360" w:lineRule="exact"/>
              <w:ind w:left="0"/>
              <w:jc w:val="left"/>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交付地点：广西柳州市内采购人指定地点。</w:t>
            </w:r>
          </w:p>
        </w:tc>
      </w:tr>
      <w:tr w14:paraId="28D9E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1D2B913">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43C553D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1．中标供应商提供不符合招标文件（或采购、投标文件）和签订的合同规定的货物，采购人有权拒绝接收。</w:t>
            </w:r>
          </w:p>
          <w:p w14:paraId="32DD2E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2．中标供应商交货前应对产品作出全面检查和对验收文件进行整理，并列出清单，作为采购人收货验收和使用的技术条件依据，检验的结果应随货物交采购人。</w:t>
            </w:r>
          </w:p>
          <w:p w14:paraId="0EFD182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标供应商负责货物的卸货、搬运及安装，按照采购人要求将货物搬运至指定地点并负责安装、组合成套。设备到达现场，确认包装完好性后，由采购人验货。中标供应商应将所提供货物的装箱清单、使用说明书、合格证（境内）、保修卡（境内）、用户手册、原厂保修卡、随机资料、工具和备品、备件等交付给采购人，如有缺失应及时补齐，否则视为逾期交货。中标供应商应按采购人安排的时间派人到现场，对货物进行清点交付，并签字确认。若发现货物与装箱单不符，中标供应商负责补齐或收回。</w:t>
            </w:r>
          </w:p>
          <w:p w14:paraId="4A1ECF8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4．如果在设备交付使用前因事故造成设备损坏、部件短缺，中标供应商要立即予以更换，不得拒绝和延误，以保证设备顺利安装完成。所造成的费用及其他后果由中标供应商负责。</w:t>
            </w:r>
          </w:p>
          <w:p w14:paraId="75EB7A5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对中标供应商提供的货物在使用前进行调试时，中标供应商需负责安装并培训采购人的使用操作人员，并协助采购人一起调试，直到符合技术要求，采购人才做最终验收。因中标供应商与采购人存在对需求理解有差异的可能性，要求所有设备功能及软件功能需求的响应以采购人意见为准。</w:t>
            </w:r>
          </w:p>
        </w:tc>
      </w:tr>
      <w:tr w14:paraId="62893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135A69DE">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042B020A">
            <w:pPr>
              <w:pStyle w:val="2"/>
              <w:pageBreakBefore w:val="0"/>
              <w:widowControl w:val="0"/>
              <w:kinsoku/>
              <w:wordWrap/>
              <w:overflowPunct/>
              <w:topLinePunct w:val="0"/>
              <w:autoSpaceDE/>
              <w:autoSpaceDN/>
              <w:bidi w:val="0"/>
              <w:spacing w:line="360" w:lineRule="exact"/>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合同签订后10个工作日内，采购人向中标供应商支付合同金额的30%；全部货物到货安装调试并验收合格后10个工作日内，采购人向中标供应商支付合同金额的70%，中标供应商需向采购人提供等额正式发票。</w:t>
            </w:r>
          </w:p>
        </w:tc>
      </w:tr>
      <w:tr w14:paraId="4B3F0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5FB93274">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设备调试与验收标准</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92D4A1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一、调试要求</w:t>
            </w:r>
          </w:p>
          <w:p w14:paraId="558525C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调试责任：中标供应商负责全部成套设备、配套部件及材料的现场安装、调试工作，直至验收合格并投入正常运转。</w:t>
            </w:r>
          </w:p>
          <w:p w14:paraId="01AEA74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安装前置沟通：若设备安装有特殊要求，中标供应商应在合同签订后、设备安装前7个工作日内，以书面形式向采购人提出安装场地环境要求，并为采购人提供安装场地环境的咨询技术支持。</w:t>
            </w:r>
          </w:p>
          <w:p w14:paraId="1DF65E7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调试过程配合：安装、调试过程中，中标供应商应对采购人技术人员提出的技术问题给予满意答复，并提供安装调试相关文档资料，确保采购人掌握设备操作及维护方法。</w:t>
            </w:r>
          </w:p>
          <w:p w14:paraId="74457DF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二、验收流程与要求</w:t>
            </w:r>
          </w:p>
          <w:p w14:paraId="00EC7C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（一）验收准备</w:t>
            </w:r>
          </w:p>
          <w:p w14:paraId="7EF806D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供应商在交货前须对设备进行全面检查，并整理验收文件清单（含检测报告），作为采购人验收和使用的技术条件及依据；交货时需同步提供随机备件备品、装箱单、中文随机资料等，确保产品包装完整无破损。</w:t>
            </w:r>
          </w:p>
          <w:p w14:paraId="13C2D8D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中标供应商在完成本合同各阶段交付内容签收后7个工作日内，向采购人提交验收申请。</w:t>
            </w:r>
          </w:p>
          <w:p w14:paraId="5C65A33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（二）验收组织与参与方</w:t>
            </w:r>
          </w:p>
          <w:p w14:paraId="7BF583B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采购人在收到验收申请后7个工作日内组织验收，验收时采购人、中标供应商须共同在场；采购人如有需要，可邀请行业专家参与，也有权委托有资质的质检部门进行抽检，相关费用由中标供应商承担。</w:t>
            </w:r>
          </w:p>
          <w:p w14:paraId="17AD253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对技术复杂的货物，采购人可请国家认定的专业检测机构参与初步验收及最终验收，并由其出具质量检测报告。</w:t>
            </w:r>
          </w:p>
          <w:p w14:paraId="493E284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若为采购人委托第三方组织的验收项目，验收时间以验收方案确定的时间为准，验收结果以验收报告结论为准。</w:t>
            </w:r>
          </w:p>
          <w:p w14:paraId="542ABF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（三）验收依据与标准</w:t>
            </w:r>
          </w:p>
          <w:p w14:paraId="63DA66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到货验收主要核查：数量、外观质量、随机备件备品、装箱单、随机资料完整性及产品包装状况。</w:t>
            </w:r>
          </w:p>
          <w:p w14:paraId="67040CB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性能验收依据：招标文件技术规格要求、投标文件技术参数响应表、配置清单，以及国家或行业相关标准；以满足采购需求为原则，验收小组依据上述文件逐条验收。</w:t>
            </w:r>
          </w:p>
          <w:p w14:paraId="76502CC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涉及国家强制认证（CCC认证）或前置许可、认证的产品，中标供应商供货时须一并提供相关许可、认证材料。</w:t>
            </w:r>
          </w:p>
          <w:p w14:paraId="42AA205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（四）验收结果处理</w:t>
            </w:r>
          </w:p>
          <w:p w14:paraId="46A9B8D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验收合格</w:t>
            </w:r>
          </w:p>
          <w:p w14:paraId="7A42E72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设备各项参数指标及配置达到招标要求和采购人技术需求，性能符合标准的，双方共同签署验收单（或验收报告）并加盖双方公章，各执一份，验收完成。</w:t>
            </w:r>
          </w:p>
          <w:p w14:paraId="2359ED6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 验收不合格</w:t>
            </w:r>
          </w:p>
          <w:p w14:paraId="7483A6E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发现货物短装、次品、损坏或不符合标准及合同约定情形，采购人应做出现场记录或双方签署备忘录，作为补充、缺失和更换损坏部件的有效证据，由此产生的时间延误与费用由中标供应商承担，验收期限相应顺延。</w:t>
            </w:r>
          </w:p>
          <w:p w14:paraId="1B6A9A6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技术参数与招投标文件存在以下不符情形的，作相应处理：①有漏项的，以不实质响应招投标要求论处；②实际负偏离但投标文件标明无偏离/正偏离、实际无偏离但标明正偏离、实际正偏离未达响应范围的，均以虚假应标论处。</w:t>
            </w:r>
          </w:p>
          <w:p w14:paraId="3E4DC03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不合格的，采购人不予签收，后果由中标供应商负责；中标供应商维修后仍不能达到合同约定质量标准的，采购人有权退货，视作中标供应商不能交付货物，中标供应商须支付违约赔偿金，采购人还可依法追究其他违约责任。</w:t>
            </w:r>
          </w:p>
          <w:p w14:paraId="4D557E9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三、责任与其他</w:t>
            </w:r>
          </w:p>
          <w:p w14:paraId="1B8D8D6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验收前责任：产品验收通过前，外包装数量、质量及内部产品数量、质量均由中标供应商负责，出现问题中标供应商应承担“三包”（包修、包换、包退）责任及相关费用。</w:t>
            </w:r>
          </w:p>
          <w:p w14:paraId="4835BD7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违约处理：验收中发现中标供应商违约的，可暂缓资金结算，待违约问题解决后方可办理；若验收时发现设备技术参数达不到投标文件响应内容，属虚假应标行为，采购人将单方面终止合同、拒收货物，追究中标供应商违约责任，要求赔偿因采购时间延长造成的经济损失，并视情形上报政府采购监督管理部门。</w:t>
            </w:r>
          </w:p>
          <w:p w14:paraId="1B5841A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未尽事宜：严格按照《关于印发广西壮族自治区政府采购项目履约验收管理办法的通知》（桂财采〔2015〕22 号）及《财政部关于进一步加强政府采购需求和履约验收管理的指导意见》（财库〔2016〕205 号）规定执行。</w:t>
            </w:r>
          </w:p>
        </w:tc>
      </w:tr>
      <w:tr w14:paraId="2AB861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38899A60">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产品质量要求</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2428EC2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457" w:firstLineChars="218"/>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要求投标货物及其所有零部件、配件必须是符合国家有关质量和安全强制要求和标准的产品。</w:t>
            </w:r>
          </w:p>
        </w:tc>
      </w:tr>
      <w:tr w14:paraId="07D87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3" w:type="dxa"/>
            <w:gridSpan w:val="2"/>
            <w:tcBorders>
              <w:top w:val="single" w:color="auto" w:sz="4" w:space="0"/>
              <w:left w:val="single" w:color="auto" w:sz="4" w:space="0"/>
              <w:bottom w:val="single" w:color="auto" w:sz="4" w:space="0"/>
              <w:right w:val="single" w:color="auto" w:sz="4" w:space="0"/>
            </w:tcBorders>
            <w:noWrap w:val="0"/>
            <w:vAlign w:val="center"/>
          </w:tcPr>
          <w:p w14:paraId="34838552">
            <w:pPr>
              <w:pStyle w:val="2"/>
              <w:pageBreakBefore w:val="0"/>
              <w:widowControl w:val="0"/>
              <w:kinsoku/>
              <w:wordWrap/>
              <w:overflowPunct/>
              <w:topLinePunct w:val="0"/>
              <w:autoSpaceDE/>
              <w:autoSpaceDN/>
              <w:bidi w:val="0"/>
              <w:spacing w:line="360" w:lineRule="exact"/>
              <w:ind w:lef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履约保证金</w:t>
            </w:r>
          </w:p>
        </w:tc>
        <w:tc>
          <w:tcPr>
            <w:tcW w:w="7341" w:type="dxa"/>
            <w:gridSpan w:val="2"/>
            <w:tcBorders>
              <w:top w:val="single" w:color="auto" w:sz="4" w:space="0"/>
              <w:left w:val="single" w:color="auto" w:sz="4" w:space="0"/>
              <w:bottom w:val="single" w:color="auto" w:sz="4" w:space="0"/>
              <w:right w:val="single" w:color="auto" w:sz="4" w:space="0"/>
            </w:tcBorders>
            <w:noWrap w:val="0"/>
            <w:vAlign w:val="center"/>
          </w:tcPr>
          <w:p w14:paraId="69CEDBD2">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1．履约保证金金额：</w:t>
            </w:r>
            <w:r>
              <w:rPr>
                <w:rFonts w:hint="eastAsia" w:ascii="宋体" w:hAnsi="宋体" w:eastAsia="宋体" w:cs="宋体"/>
                <w:color w:val="auto"/>
                <w:sz w:val="21"/>
                <w:szCs w:val="21"/>
                <w:highlight w:val="none"/>
                <w:lang w:eastAsia="zh-CN"/>
              </w:rPr>
              <w:t>合同金额的5%，若中标人是中型企业的，则履约保证金按合同金额的2%收取，若中标人是小微企业的则免收履约保证金。</w:t>
            </w:r>
          </w:p>
          <w:p w14:paraId="77595AF1">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2．履约保证金提交时间及方式：合同签订前5日内，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必须以银行转账、支票、汇票、本票或者金融机构、担保机构出具的保险、保函（含电子保函）等非现金方式向采购人提交履约保证金。</w:t>
            </w:r>
          </w:p>
          <w:p w14:paraId="31D626F1">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3．履约保证金退付条件及时间:自项目验收合格之日起至质保期满无质量问题，采购人收到退付履约保证金申请后15个工作日内退还(无息)。</w:t>
            </w:r>
          </w:p>
          <w:p w14:paraId="7126745B">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4．下列情况因履约保证金不能退还或另行处理，所产生的后果由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w:t>
            </w:r>
          </w:p>
          <w:p w14:paraId="4D3297BA">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（1）履行合同约定权利义务期间，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不按合同履行质量保证义务的，采购人有权对采购标的进行更换、维修维保，所需费用从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提交的履约保证金中扣除，履约保证金不足以抵扣更换、维修维保费用的，不足部分由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承担。同时，采购人保留起诉</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的权利。</w:t>
            </w:r>
          </w:p>
          <w:p w14:paraId="1E245049">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未履行完合同约定权利义务事项前，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变更单位名称、联系方式等不及时告知采购人并提供相关变更材料，造成采购人无法通知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的，视</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自动放弃领回履约保证金权利，采购人有权对履约保证金进行另外处置。</w:t>
            </w:r>
          </w:p>
          <w:p w14:paraId="538A6085">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原因导致履约保证金无法按时退回的情形。</w:t>
            </w:r>
          </w:p>
          <w:p w14:paraId="7D071173">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06C0D5A">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必须在签订合同前，按照规定提交方式，足额缴纳履约保证金。</w:t>
            </w:r>
          </w:p>
          <w:p w14:paraId="51C4917A">
            <w:pPr>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未按规定缴纳履约保证金的，暂缓签订合同，责任由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tc>
      </w:tr>
    </w:tbl>
    <w:p w14:paraId="46EC0764">
      <w:pPr>
        <w:pStyle w:val="21"/>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5821E456">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48"/>
        <w:tblW w:w="9600" w:type="dxa"/>
        <w:jc w:val="center"/>
        <w:tblLayout w:type="fixed"/>
        <w:tblCellMar>
          <w:top w:w="0" w:type="dxa"/>
          <w:left w:w="108" w:type="dxa"/>
          <w:bottom w:w="0" w:type="dxa"/>
          <w:right w:w="108" w:type="dxa"/>
        </w:tblCellMar>
      </w:tblPr>
      <w:tblGrid>
        <w:gridCol w:w="1700"/>
        <w:gridCol w:w="1383"/>
        <w:gridCol w:w="913"/>
        <w:gridCol w:w="1619"/>
        <w:gridCol w:w="2535"/>
        <w:gridCol w:w="1450"/>
      </w:tblGrid>
      <w:tr w14:paraId="405F1010">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69ED2EA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2334CCE1">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14:paraId="5D4255C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noWrap/>
            <w:vAlign w:val="center"/>
          </w:tcPr>
          <w:p w14:paraId="01C1063B">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2536" w:type="dxa"/>
            <w:tcBorders>
              <w:top w:val="single" w:color="auto" w:sz="4" w:space="0"/>
              <w:left w:val="nil"/>
              <w:bottom w:val="single" w:color="auto" w:sz="4" w:space="0"/>
              <w:right w:val="single" w:color="auto" w:sz="4" w:space="0"/>
            </w:tcBorders>
            <w:noWrap/>
            <w:vAlign w:val="center"/>
          </w:tcPr>
          <w:p w14:paraId="1653AF54">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450" w:type="dxa"/>
            <w:tcBorders>
              <w:top w:val="single" w:color="auto" w:sz="4" w:space="0"/>
              <w:left w:val="nil"/>
              <w:bottom w:val="single" w:color="auto" w:sz="4" w:space="0"/>
              <w:right w:val="single" w:color="auto" w:sz="4" w:space="0"/>
            </w:tcBorders>
            <w:noWrap/>
            <w:vAlign w:val="center"/>
          </w:tcPr>
          <w:p w14:paraId="366D982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7623F8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7C3C856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ign w:val="center"/>
          </w:tcPr>
          <w:p w14:paraId="2BB712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0504ED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4D82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76C896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450" w:type="dxa"/>
            <w:tcBorders>
              <w:top w:val="nil"/>
              <w:left w:val="nil"/>
              <w:bottom w:val="single" w:color="auto" w:sz="4" w:space="0"/>
              <w:right w:val="single" w:color="auto" w:sz="4" w:space="0"/>
            </w:tcBorders>
            <w:noWrap/>
            <w:vAlign w:val="center"/>
          </w:tcPr>
          <w:p w14:paraId="23406F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0EBD5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35BFAD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ign w:val="center"/>
          </w:tcPr>
          <w:p w14:paraId="369D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E4CF3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8FA4E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95C13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7443D2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4B6EA9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003000">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E9E20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48B5C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E339D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2536" w:type="dxa"/>
            <w:tcBorders>
              <w:top w:val="nil"/>
              <w:left w:val="nil"/>
              <w:bottom w:val="single" w:color="auto" w:sz="4" w:space="0"/>
              <w:right w:val="single" w:color="auto" w:sz="4" w:space="0"/>
            </w:tcBorders>
            <w:noWrap/>
            <w:vAlign w:val="center"/>
          </w:tcPr>
          <w:p w14:paraId="165C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450" w:type="dxa"/>
            <w:tcBorders>
              <w:top w:val="nil"/>
              <w:left w:val="nil"/>
              <w:bottom w:val="single" w:color="auto" w:sz="4" w:space="0"/>
              <w:right w:val="single" w:color="auto" w:sz="4" w:space="0"/>
            </w:tcBorders>
            <w:noWrap/>
            <w:vAlign w:val="center"/>
          </w:tcPr>
          <w:p w14:paraId="5426DD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6B249D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95B59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ign w:val="center"/>
          </w:tcPr>
          <w:p w14:paraId="42B1BC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5D560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8B67F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2536" w:type="dxa"/>
            <w:tcBorders>
              <w:top w:val="nil"/>
              <w:left w:val="nil"/>
              <w:bottom w:val="single" w:color="auto" w:sz="4" w:space="0"/>
              <w:right w:val="single" w:color="auto" w:sz="4" w:space="0"/>
            </w:tcBorders>
            <w:noWrap/>
            <w:vAlign w:val="center"/>
          </w:tcPr>
          <w:p w14:paraId="292FDF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450" w:type="dxa"/>
            <w:tcBorders>
              <w:top w:val="nil"/>
              <w:left w:val="nil"/>
              <w:bottom w:val="single" w:color="auto" w:sz="4" w:space="0"/>
              <w:right w:val="single" w:color="auto" w:sz="4" w:space="0"/>
            </w:tcBorders>
            <w:noWrap/>
            <w:vAlign w:val="center"/>
          </w:tcPr>
          <w:p w14:paraId="31657B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877867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8ADDE6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EA097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28C222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37048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2536" w:type="dxa"/>
            <w:tcBorders>
              <w:top w:val="nil"/>
              <w:left w:val="nil"/>
              <w:bottom w:val="single" w:color="auto" w:sz="4" w:space="0"/>
              <w:right w:val="single" w:color="auto" w:sz="4" w:space="0"/>
            </w:tcBorders>
            <w:noWrap/>
            <w:vAlign w:val="center"/>
          </w:tcPr>
          <w:p w14:paraId="165C5E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450" w:type="dxa"/>
            <w:tcBorders>
              <w:top w:val="nil"/>
              <w:left w:val="nil"/>
              <w:bottom w:val="single" w:color="auto" w:sz="4" w:space="0"/>
              <w:right w:val="single" w:color="auto" w:sz="4" w:space="0"/>
            </w:tcBorders>
            <w:noWrap/>
            <w:vAlign w:val="center"/>
          </w:tcPr>
          <w:p w14:paraId="167B36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3BE0D81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2792EA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ign w:val="center"/>
          </w:tcPr>
          <w:p w14:paraId="64C8E4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EAD17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26B9C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2536" w:type="dxa"/>
            <w:tcBorders>
              <w:top w:val="nil"/>
              <w:left w:val="nil"/>
              <w:bottom w:val="single" w:color="auto" w:sz="4" w:space="0"/>
              <w:right w:val="single" w:color="auto" w:sz="4" w:space="0"/>
            </w:tcBorders>
            <w:noWrap/>
            <w:vAlign w:val="center"/>
          </w:tcPr>
          <w:p w14:paraId="5DB47F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450" w:type="dxa"/>
            <w:tcBorders>
              <w:top w:val="nil"/>
              <w:left w:val="nil"/>
              <w:bottom w:val="single" w:color="auto" w:sz="4" w:space="0"/>
              <w:right w:val="single" w:color="auto" w:sz="4" w:space="0"/>
            </w:tcBorders>
            <w:noWrap/>
            <w:vAlign w:val="center"/>
          </w:tcPr>
          <w:p w14:paraId="239A9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75F4AC8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889EE94">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536FF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B4903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56A84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2536" w:type="dxa"/>
            <w:tcBorders>
              <w:top w:val="nil"/>
              <w:left w:val="nil"/>
              <w:bottom w:val="single" w:color="auto" w:sz="4" w:space="0"/>
              <w:right w:val="single" w:color="auto" w:sz="4" w:space="0"/>
            </w:tcBorders>
            <w:noWrap/>
            <w:vAlign w:val="center"/>
          </w:tcPr>
          <w:p w14:paraId="542D08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50" w:type="dxa"/>
            <w:tcBorders>
              <w:top w:val="nil"/>
              <w:left w:val="nil"/>
              <w:bottom w:val="single" w:color="auto" w:sz="4" w:space="0"/>
              <w:right w:val="single" w:color="auto" w:sz="4" w:space="0"/>
            </w:tcBorders>
            <w:noWrap/>
            <w:vAlign w:val="center"/>
          </w:tcPr>
          <w:p w14:paraId="1B441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99C108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2470860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ign w:val="center"/>
          </w:tcPr>
          <w:p w14:paraId="68FAE9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5696D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4C0B2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2536" w:type="dxa"/>
            <w:tcBorders>
              <w:top w:val="nil"/>
              <w:left w:val="nil"/>
              <w:bottom w:val="single" w:color="auto" w:sz="4" w:space="0"/>
              <w:right w:val="single" w:color="auto" w:sz="4" w:space="0"/>
            </w:tcBorders>
            <w:noWrap/>
            <w:vAlign w:val="center"/>
          </w:tcPr>
          <w:p w14:paraId="6D1EB5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450" w:type="dxa"/>
            <w:tcBorders>
              <w:top w:val="nil"/>
              <w:left w:val="nil"/>
              <w:bottom w:val="single" w:color="auto" w:sz="4" w:space="0"/>
              <w:right w:val="single" w:color="auto" w:sz="4" w:space="0"/>
            </w:tcBorders>
            <w:noWrap/>
            <w:vAlign w:val="center"/>
          </w:tcPr>
          <w:p w14:paraId="270CFF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3595816">
        <w:tblPrEx>
          <w:tblCellMar>
            <w:top w:w="0" w:type="dxa"/>
            <w:left w:w="108" w:type="dxa"/>
            <w:bottom w:w="0" w:type="dxa"/>
            <w:right w:w="108" w:type="dxa"/>
          </w:tblCellMar>
        </w:tblPrEx>
        <w:trPr>
          <w:trHeight w:val="90"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CF1E21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DF7F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69384D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DF017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2536" w:type="dxa"/>
            <w:tcBorders>
              <w:top w:val="nil"/>
              <w:left w:val="nil"/>
              <w:bottom w:val="single" w:color="auto" w:sz="4" w:space="0"/>
              <w:right w:val="single" w:color="auto" w:sz="4" w:space="0"/>
            </w:tcBorders>
            <w:noWrap/>
            <w:vAlign w:val="center"/>
          </w:tcPr>
          <w:p w14:paraId="53E69F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450" w:type="dxa"/>
            <w:tcBorders>
              <w:top w:val="nil"/>
              <w:left w:val="nil"/>
              <w:bottom w:val="single" w:color="auto" w:sz="4" w:space="0"/>
              <w:right w:val="single" w:color="auto" w:sz="4" w:space="0"/>
            </w:tcBorders>
            <w:noWrap/>
            <w:vAlign w:val="center"/>
          </w:tcPr>
          <w:p w14:paraId="6D18E4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AE344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8F3E1E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ign w:val="center"/>
          </w:tcPr>
          <w:p w14:paraId="071EEB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D4DB9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4C2E4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60E1E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654C4C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A27269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58461D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4ABE65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4E33B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0616B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2536" w:type="dxa"/>
            <w:tcBorders>
              <w:top w:val="nil"/>
              <w:left w:val="nil"/>
              <w:bottom w:val="single" w:color="auto" w:sz="4" w:space="0"/>
              <w:right w:val="single" w:color="auto" w:sz="4" w:space="0"/>
            </w:tcBorders>
            <w:noWrap/>
            <w:vAlign w:val="center"/>
          </w:tcPr>
          <w:p w14:paraId="3BCF7E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450" w:type="dxa"/>
            <w:tcBorders>
              <w:top w:val="nil"/>
              <w:left w:val="nil"/>
              <w:bottom w:val="single" w:color="auto" w:sz="4" w:space="0"/>
              <w:right w:val="single" w:color="auto" w:sz="4" w:space="0"/>
            </w:tcBorders>
            <w:noWrap/>
            <w:vAlign w:val="center"/>
          </w:tcPr>
          <w:p w14:paraId="1440D27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ABF0B9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12041A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ign w:val="center"/>
          </w:tcPr>
          <w:p w14:paraId="47D238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785B8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6F3EA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2536" w:type="dxa"/>
            <w:tcBorders>
              <w:top w:val="nil"/>
              <w:left w:val="nil"/>
              <w:bottom w:val="single" w:color="auto" w:sz="4" w:space="0"/>
              <w:right w:val="single" w:color="auto" w:sz="4" w:space="0"/>
            </w:tcBorders>
            <w:noWrap/>
            <w:vAlign w:val="center"/>
          </w:tcPr>
          <w:p w14:paraId="237E8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450" w:type="dxa"/>
            <w:tcBorders>
              <w:top w:val="nil"/>
              <w:left w:val="nil"/>
              <w:bottom w:val="single" w:color="auto" w:sz="4" w:space="0"/>
              <w:right w:val="single" w:color="auto" w:sz="4" w:space="0"/>
            </w:tcBorders>
            <w:noWrap/>
            <w:vAlign w:val="center"/>
          </w:tcPr>
          <w:p w14:paraId="57807A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0C4E41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29AE76">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42E97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A456C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651071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2536" w:type="dxa"/>
            <w:tcBorders>
              <w:top w:val="nil"/>
              <w:left w:val="nil"/>
              <w:bottom w:val="single" w:color="auto" w:sz="4" w:space="0"/>
              <w:right w:val="single" w:color="auto" w:sz="4" w:space="0"/>
            </w:tcBorders>
            <w:noWrap/>
            <w:vAlign w:val="center"/>
          </w:tcPr>
          <w:p w14:paraId="66D3849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500F3D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EACB1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0DB3E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ign w:val="center"/>
          </w:tcPr>
          <w:p w14:paraId="111B8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61BAB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C93D2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45D6C4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450" w:type="dxa"/>
            <w:tcBorders>
              <w:top w:val="nil"/>
              <w:left w:val="nil"/>
              <w:bottom w:val="single" w:color="auto" w:sz="4" w:space="0"/>
              <w:right w:val="single" w:color="auto" w:sz="4" w:space="0"/>
            </w:tcBorders>
            <w:noWrap/>
            <w:vAlign w:val="center"/>
          </w:tcPr>
          <w:p w14:paraId="39C8AB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8EAB80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6E5664D">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1E65B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7F827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5E1B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2536" w:type="dxa"/>
            <w:tcBorders>
              <w:top w:val="nil"/>
              <w:left w:val="nil"/>
              <w:bottom w:val="single" w:color="auto" w:sz="4" w:space="0"/>
              <w:right w:val="single" w:color="auto" w:sz="4" w:space="0"/>
            </w:tcBorders>
            <w:noWrap/>
            <w:vAlign w:val="center"/>
          </w:tcPr>
          <w:p w14:paraId="4EFD1F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EA06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E9A75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A1C16F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ign w:val="center"/>
          </w:tcPr>
          <w:p w14:paraId="22491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E5536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5462BE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CD2C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64E492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C878F8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82FAEF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711A21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41191C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598DC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4679CA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4144BF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98264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5A1E0E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ign w:val="center"/>
          </w:tcPr>
          <w:p w14:paraId="03C43D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1046C9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46383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136E0A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B393C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1CF88C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C7959A">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01BC07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1E460D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E339A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2536" w:type="dxa"/>
            <w:tcBorders>
              <w:top w:val="nil"/>
              <w:left w:val="nil"/>
              <w:bottom w:val="single" w:color="auto" w:sz="4" w:space="0"/>
              <w:right w:val="single" w:color="auto" w:sz="4" w:space="0"/>
            </w:tcBorders>
            <w:noWrap/>
            <w:vAlign w:val="center"/>
          </w:tcPr>
          <w:p w14:paraId="1E2389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450" w:type="dxa"/>
            <w:tcBorders>
              <w:top w:val="nil"/>
              <w:left w:val="nil"/>
              <w:bottom w:val="single" w:color="auto" w:sz="4" w:space="0"/>
              <w:right w:val="single" w:color="auto" w:sz="4" w:space="0"/>
            </w:tcBorders>
            <w:noWrap/>
            <w:vAlign w:val="center"/>
          </w:tcPr>
          <w:p w14:paraId="6CA548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30F1EE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2AF57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ign w:val="center"/>
          </w:tcPr>
          <w:p w14:paraId="389B96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07F8C1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330842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2536" w:type="dxa"/>
            <w:tcBorders>
              <w:top w:val="nil"/>
              <w:left w:val="nil"/>
              <w:bottom w:val="single" w:color="auto" w:sz="4" w:space="0"/>
              <w:right w:val="single" w:color="auto" w:sz="4" w:space="0"/>
            </w:tcBorders>
            <w:noWrap/>
            <w:vAlign w:val="center"/>
          </w:tcPr>
          <w:p w14:paraId="6AF8E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23217C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885D0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35A8EBB">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AC22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7DC939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5A4F134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2536" w:type="dxa"/>
            <w:tcBorders>
              <w:top w:val="nil"/>
              <w:left w:val="nil"/>
              <w:bottom w:val="single" w:color="auto" w:sz="4" w:space="0"/>
              <w:right w:val="single" w:color="auto" w:sz="4" w:space="0"/>
            </w:tcBorders>
            <w:noWrap/>
            <w:vAlign w:val="center"/>
          </w:tcPr>
          <w:p w14:paraId="1234D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450" w:type="dxa"/>
            <w:tcBorders>
              <w:top w:val="nil"/>
              <w:left w:val="nil"/>
              <w:bottom w:val="single" w:color="auto" w:sz="4" w:space="0"/>
              <w:right w:val="single" w:color="auto" w:sz="4" w:space="0"/>
            </w:tcBorders>
            <w:noWrap/>
            <w:vAlign w:val="center"/>
          </w:tcPr>
          <w:p w14:paraId="7B789E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DA2CEB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643DD6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3C948F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3C2873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1A19B0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F3C52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1BB952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FECE3E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A799DE9">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1252C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7D851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1A02B2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2536" w:type="dxa"/>
            <w:tcBorders>
              <w:top w:val="nil"/>
              <w:left w:val="nil"/>
              <w:bottom w:val="single" w:color="auto" w:sz="4" w:space="0"/>
              <w:right w:val="single" w:color="auto" w:sz="4" w:space="0"/>
            </w:tcBorders>
            <w:noWrap/>
            <w:vAlign w:val="center"/>
          </w:tcPr>
          <w:p w14:paraId="474E7E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450" w:type="dxa"/>
            <w:tcBorders>
              <w:top w:val="nil"/>
              <w:left w:val="nil"/>
              <w:bottom w:val="single" w:color="auto" w:sz="4" w:space="0"/>
              <w:right w:val="single" w:color="auto" w:sz="4" w:space="0"/>
            </w:tcBorders>
            <w:noWrap/>
            <w:vAlign w:val="center"/>
          </w:tcPr>
          <w:p w14:paraId="3D6475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90118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4F4EEF3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ign w:val="center"/>
          </w:tcPr>
          <w:p w14:paraId="570514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3430E4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729692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2536" w:type="dxa"/>
            <w:tcBorders>
              <w:top w:val="nil"/>
              <w:left w:val="nil"/>
              <w:bottom w:val="single" w:color="auto" w:sz="4" w:space="0"/>
              <w:right w:val="single" w:color="auto" w:sz="4" w:space="0"/>
            </w:tcBorders>
            <w:noWrap/>
            <w:vAlign w:val="center"/>
          </w:tcPr>
          <w:p w14:paraId="003773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450" w:type="dxa"/>
            <w:tcBorders>
              <w:top w:val="nil"/>
              <w:left w:val="nil"/>
              <w:bottom w:val="single" w:color="auto" w:sz="4" w:space="0"/>
              <w:right w:val="single" w:color="auto" w:sz="4" w:space="0"/>
            </w:tcBorders>
            <w:noWrap/>
            <w:vAlign w:val="center"/>
          </w:tcPr>
          <w:p w14:paraId="1C2572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1FAA52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0F0E2F8">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6E6094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43617C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3AE5C6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2536" w:type="dxa"/>
            <w:tcBorders>
              <w:top w:val="nil"/>
              <w:left w:val="nil"/>
              <w:bottom w:val="single" w:color="auto" w:sz="4" w:space="0"/>
              <w:right w:val="single" w:color="auto" w:sz="4" w:space="0"/>
            </w:tcBorders>
            <w:noWrap/>
            <w:vAlign w:val="center"/>
          </w:tcPr>
          <w:p w14:paraId="7B428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450" w:type="dxa"/>
            <w:tcBorders>
              <w:top w:val="nil"/>
              <w:left w:val="nil"/>
              <w:bottom w:val="single" w:color="auto" w:sz="4" w:space="0"/>
              <w:right w:val="single" w:color="auto" w:sz="4" w:space="0"/>
            </w:tcBorders>
            <w:noWrap/>
            <w:vAlign w:val="center"/>
          </w:tcPr>
          <w:p w14:paraId="558D88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1C0F997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3F095B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ign w:val="center"/>
          </w:tcPr>
          <w:p w14:paraId="7DE9068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CEE9E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7E4A27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2536" w:type="dxa"/>
            <w:tcBorders>
              <w:top w:val="nil"/>
              <w:left w:val="nil"/>
              <w:bottom w:val="single" w:color="auto" w:sz="4" w:space="0"/>
              <w:right w:val="single" w:color="auto" w:sz="4" w:space="0"/>
            </w:tcBorders>
            <w:noWrap/>
            <w:vAlign w:val="center"/>
          </w:tcPr>
          <w:p w14:paraId="29BBED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50" w:type="dxa"/>
            <w:tcBorders>
              <w:top w:val="nil"/>
              <w:left w:val="nil"/>
              <w:bottom w:val="single" w:color="auto" w:sz="4" w:space="0"/>
              <w:right w:val="single" w:color="auto" w:sz="4" w:space="0"/>
            </w:tcBorders>
            <w:noWrap/>
            <w:vAlign w:val="center"/>
          </w:tcPr>
          <w:p w14:paraId="43B713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705A2D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4D0ED92">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3D9A2B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14:paraId="5FF397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8C40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2536" w:type="dxa"/>
            <w:tcBorders>
              <w:top w:val="nil"/>
              <w:left w:val="nil"/>
              <w:bottom w:val="single" w:color="auto" w:sz="4" w:space="0"/>
              <w:right w:val="single" w:color="auto" w:sz="4" w:space="0"/>
            </w:tcBorders>
            <w:noWrap/>
            <w:vAlign w:val="center"/>
          </w:tcPr>
          <w:p w14:paraId="1CD1BD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450" w:type="dxa"/>
            <w:tcBorders>
              <w:top w:val="nil"/>
              <w:left w:val="nil"/>
              <w:bottom w:val="single" w:color="auto" w:sz="4" w:space="0"/>
              <w:right w:val="single" w:color="auto" w:sz="4" w:space="0"/>
            </w:tcBorders>
            <w:noWrap/>
            <w:vAlign w:val="center"/>
          </w:tcPr>
          <w:p w14:paraId="78336C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077015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14:paraId="143D91E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ign w:val="center"/>
          </w:tcPr>
          <w:p w14:paraId="5109F6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48C09D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4E7FC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57D02F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710FED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E72AA8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5914925">
            <w:pPr>
              <w:widowControl/>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ign w:val="center"/>
          </w:tcPr>
          <w:p w14:paraId="59AE95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14:paraId="083C30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noWrap/>
            <w:vAlign w:val="center"/>
          </w:tcPr>
          <w:p w14:paraId="0D0535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2536" w:type="dxa"/>
            <w:tcBorders>
              <w:top w:val="nil"/>
              <w:left w:val="nil"/>
              <w:bottom w:val="single" w:color="auto" w:sz="4" w:space="0"/>
              <w:right w:val="single" w:color="auto" w:sz="4" w:space="0"/>
            </w:tcBorders>
            <w:noWrap/>
            <w:vAlign w:val="center"/>
          </w:tcPr>
          <w:p w14:paraId="4B573D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450" w:type="dxa"/>
            <w:tcBorders>
              <w:top w:val="nil"/>
              <w:left w:val="nil"/>
              <w:bottom w:val="single" w:color="auto" w:sz="4" w:space="0"/>
              <w:right w:val="single" w:color="auto" w:sz="4" w:space="0"/>
            </w:tcBorders>
            <w:noWrap/>
            <w:vAlign w:val="center"/>
          </w:tcPr>
          <w:p w14:paraId="738AAE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DC8AC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14:paraId="3D1A391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ign w:val="center"/>
          </w:tcPr>
          <w:p w14:paraId="53C482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14:paraId="648E48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noWrap/>
            <w:vAlign w:val="center"/>
          </w:tcPr>
          <w:p w14:paraId="270420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2536" w:type="dxa"/>
            <w:tcBorders>
              <w:top w:val="nil"/>
              <w:left w:val="nil"/>
              <w:bottom w:val="single" w:color="auto" w:sz="4" w:space="0"/>
              <w:right w:val="single" w:color="auto" w:sz="4" w:space="0"/>
            </w:tcBorders>
            <w:noWrap/>
            <w:vAlign w:val="center"/>
          </w:tcPr>
          <w:p w14:paraId="005D5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450" w:type="dxa"/>
            <w:tcBorders>
              <w:top w:val="nil"/>
              <w:left w:val="nil"/>
              <w:bottom w:val="single" w:color="auto" w:sz="4" w:space="0"/>
              <w:right w:val="single" w:color="auto" w:sz="4" w:space="0"/>
            </w:tcBorders>
            <w:noWrap/>
            <w:vAlign w:val="center"/>
          </w:tcPr>
          <w:p w14:paraId="33D0F3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7621B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C36CE19">
      <w:pPr>
        <w:widowControl/>
        <w:spacing w:line="360" w:lineRule="exact"/>
        <w:ind w:left="480"/>
        <w:jc w:val="center"/>
        <w:outlineLvl w:val="0"/>
        <w:rPr>
          <w:rFonts w:hint="eastAsia" w:ascii="宋体" w:hAnsi="宋体" w:eastAsia="宋体" w:cs="宋体"/>
          <w:b/>
          <w:color w:val="auto"/>
          <w:sz w:val="28"/>
          <w:szCs w:val="28"/>
          <w:highlight w:val="none"/>
        </w:rPr>
      </w:pPr>
    </w:p>
    <w:p w14:paraId="1FB484E5">
      <w:pPr>
        <w:widowControl/>
        <w:spacing w:line="360" w:lineRule="exact"/>
        <w:ind w:left="480"/>
        <w:jc w:val="center"/>
        <w:outlineLvl w:val="0"/>
        <w:rPr>
          <w:rFonts w:hint="eastAsia" w:ascii="宋体" w:hAnsi="宋体" w:eastAsia="宋体" w:cs="宋体"/>
          <w:b/>
          <w:color w:val="auto"/>
          <w:sz w:val="28"/>
          <w:szCs w:val="28"/>
          <w:highlight w:val="none"/>
        </w:rPr>
      </w:pPr>
    </w:p>
    <w:p w14:paraId="1D6783CA">
      <w:pPr>
        <w:widowControl/>
        <w:spacing w:line="360" w:lineRule="exact"/>
        <w:ind w:left="480"/>
        <w:jc w:val="center"/>
        <w:outlineLvl w:val="0"/>
        <w:rPr>
          <w:rFonts w:hint="eastAsia" w:ascii="宋体" w:hAnsi="宋体" w:eastAsia="宋体" w:cs="宋体"/>
          <w:b/>
          <w:color w:val="auto"/>
          <w:sz w:val="28"/>
          <w:szCs w:val="28"/>
          <w:highlight w:val="none"/>
        </w:rPr>
      </w:pPr>
    </w:p>
    <w:p w14:paraId="22764479">
      <w:pPr>
        <w:widowControl/>
        <w:spacing w:line="360" w:lineRule="exact"/>
        <w:ind w:left="480"/>
        <w:jc w:val="center"/>
        <w:outlineLvl w:val="0"/>
        <w:rPr>
          <w:rFonts w:hint="eastAsia" w:ascii="宋体" w:hAnsi="宋体" w:eastAsia="宋体" w:cs="宋体"/>
          <w:b/>
          <w:color w:val="auto"/>
          <w:sz w:val="28"/>
          <w:szCs w:val="28"/>
          <w:highlight w:val="none"/>
        </w:rPr>
      </w:pPr>
    </w:p>
    <w:p w14:paraId="639B52D9">
      <w:pPr>
        <w:widowControl/>
        <w:spacing w:line="360" w:lineRule="exact"/>
        <w:ind w:left="480"/>
        <w:jc w:val="center"/>
        <w:outlineLvl w:val="0"/>
        <w:rPr>
          <w:rFonts w:hint="eastAsia" w:ascii="宋体" w:hAnsi="宋体" w:eastAsia="宋体" w:cs="宋体"/>
          <w:b/>
          <w:color w:val="auto"/>
          <w:sz w:val="28"/>
          <w:szCs w:val="28"/>
          <w:highlight w:val="none"/>
        </w:rPr>
      </w:pPr>
    </w:p>
    <w:p w14:paraId="7A2E46C2">
      <w:pPr>
        <w:widowControl/>
        <w:spacing w:line="360" w:lineRule="exact"/>
        <w:ind w:left="480"/>
        <w:jc w:val="center"/>
        <w:outlineLvl w:val="0"/>
        <w:rPr>
          <w:rFonts w:hint="eastAsia" w:ascii="宋体" w:hAnsi="宋体" w:eastAsia="宋体" w:cs="宋体"/>
          <w:b/>
          <w:color w:val="auto"/>
          <w:sz w:val="28"/>
          <w:szCs w:val="28"/>
          <w:highlight w:val="none"/>
        </w:rPr>
      </w:pPr>
    </w:p>
    <w:p w14:paraId="1557889B">
      <w:pPr>
        <w:widowControl/>
        <w:spacing w:line="360" w:lineRule="exact"/>
        <w:ind w:left="480"/>
        <w:jc w:val="center"/>
        <w:outlineLvl w:val="0"/>
        <w:rPr>
          <w:rFonts w:hint="eastAsia" w:ascii="宋体" w:hAnsi="宋体" w:eastAsia="宋体" w:cs="宋体"/>
          <w:b/>
          <w:color w:val="auto"/>
          <w:sz w:val="28"/>
          <w:szCs w:val="28"/>
          <w:highlight w:val="none"/>
        </w:rPr>
      </w:pPr>
    </w:p>
    <w:p w14:paraId="68273E5A">
      <w:pPr>
        <w:widowControl/>
        <w:spacing w:line="360" w:lineRule="exact"/>
        <w:ind w:left="480"/>
        <w:jc w:val="center"/>
        <w:outlineLvl w:val="0"/>
        <w:rPr>
          <w:rFonts w:hint="eastAsia" w:ascii="宋体" w:hAnsi="宋体" w:eastAsia="宋体" w:cs="宋体"/>
          <w:b/>
          <w:color w:val="auto"/>
          <w:sz w:val="28"/>
          <w:szCs w:val="28"/>
          <w:highlight w:val="none"/>
        </w:rPr>
      </w:pPr>
    </w:p>
    <w:p w14:paraId="64A9AE54">
      <w:pPr>
        <w:widowControl/>
        <w:spacing w:line="360" w:lineRule="exact"/>
        <w:ind w:left="480"/>
        <w:jc w:val="center"/>
        <w:outlineLvl w:val="0"/>
        <w:rPr>
          <w:rFonts w:hint="eastAsia" w:ascii="宋体" w:hAnsi="宋体" w:eastAsia="宋体" w:cs="宋体"/>
          <w:b/>
          <w:color w:val="auto"/>
          <w:sz w:val="28"/>
          <w:szCs w:val="28"/>
          <w:highlight w:val="none"/>
        </w:rPr>
      </w:pPr>
    </w:p>
    <w:p w14:paraId="6FE0879D">
      <w:pPr>
        <w:widowControl/>
        <w:spacing w:line="360" w:lineRule="exact"/>
        <w:ind w:left="480"/>
        <w:jc w:val="center"/>
        <w:outlineLvl w:val="0"/>
        <w:rPr>
          <w:rFonts w:hint="eastAsia" w:ascii="宋体" w:hAnsi="宋体" w:eastAsia="宋体" w:cs="宋体"/>
          <w:b/>
          <w:color w:val="auto"/>
          <w:sz w:val="28"/>
          <w:szCs w:val="28"/>
          <w:highlight w:val="none"/>
        </w:rPr>
      </w:pPr>
    </w:p>
    <w:p w14:paraId="46A290FD">
      <w:pPr>
        <w:widowControl/>
        <w:spacing w:line="360" w:lineRule="exact"/>
        <w:ind w:left="480"/>
        <w:jc w:val="center"/>
        <w:outlineLvl w:val="0"/>
        <w:rPr>
          <w:rFonts w:hint="eastAsia" w:ascii="宋体" w:hAnsi="宋体" w:eastAsia="宋体" w:cs="宋体"/>
          <w:b/>
          <w:color w:val="auto"/>
          <w:sz w:val="28"/>
          <w:szCs w:val="28"/>
          <w:highlight w:val="none"/>
        </w:rPr>
      </w:pPr>
    </w:p>
    <w:p w14:paraId="3C89B035">
      <w:pPr>
        <w:widowControl/>
        <w:spacing w:line="360" w:lineRule="exact"/>
        <w:jc w:val="center"/>
        <w:outlineLvl w:val="0"/>
        <w:rPr>
          <w:rFonts w:hint="eastAsia" w:ascii="宋体" w:hAnsi="宋体" w:eastAsia="宋体" w:cs="宋体"/>
          <w:b/>
          <w:color w:val="auto"/>
          <w:sz w:val="30"/>
          <w:szCs w:val="30"/>
          <w:highlight w:val="none"/>
        </w:rPr>
      </w:pPr>
      <w:bookmarkStart w:id="8" w:name="_Toc8327"/>
      <w:r>
        <w:rPr>
          <w:rFonts w:hint="eastAsia" w:ascii="宋体" w:hAnsi="宋体" w:eastAsia="宋体" w:cs="宋体"/>
          <w:b/>
          <w:color w:val="auto"/>
          <w:sz w:val="28"/>
          <w:szCs w:val="28"/>
          <w:highlight w:val="none"/>
        </w:rPr>
        <w:t>第三章  投标人须知</w:t>
      </w:r>
      <w:bookmarkEnd w:id="8"/>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637"/>
      </w:tblGrid>
      <w:tr w14:paraId="398EA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512" w:type="dxa"/>
            <w:gridSpan w:val="2"/>
            <w:tcBorders>
              <w:top w:val="single" w:color="auto" w:sz="4" w:space="0"/>
              <w:left w:val="single" w:color="auto" w:sz="4" w:space="0"/>
              <w:bottom w:val="single" w:color="auto" w:sz="4" w:space="0"/>
              <w:right w:val="single" w:color="auto" w:sz="4" w:space="0"/>
            </w:tcBorders>
            <w:vAlign w:val="center"/>
          </w:tcPr>
          <w:p w14:paraId="2E35FE5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投标人须知前附表</w:t>
            </w:r>
          </w:p>
        </w:tc>
      </w:tr>
      <w:tr w14:paraId="7C3CE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50FA8B2">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637" w:type="dxa"/>
            <w:tcBorders>
              <w:top w:val="single" w:color="auto" w:sz="4" w:space="0"/>
              <w:left w:val="single" w:color="auto" w:sz="4" w:space="0"/>
              <w:bottom w:val="single" w:color="auto" w:sz="4" w:space="0"/>
              <w:right w:val="single" w:color="auto" w:sz="4" w:space="0"/>
            </w:tcBorders>
            <w:vAlign w:val="center"/>
          </w:tcPr>
          <w:p w14:paraId="2043E1C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7D708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CDD393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637" w:type="dxa"/>
            <w:tcBorders>
              <w:top w:val="single" w:color="auto" w:sz="4" w:space="0"/>
              <w:left w:val="single" w:color="auto" w:sz="4" w:space="0"/>
              <w:bottom w:val="single" w:color="auto" w:sz="4" w:space="0"/>
              <w:right w:val="single" w:color="auto" w:sz="4" w:space="0"/>
            </w:tcBorders>
            <w:vAlign w:val="center"/>
          </w:tcPr>
          <w:p w14:paraId="5B1A100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kern w:val="0"/>
                <w:szCs w:val="21"/>
                <w:highlight w:val="none"/>
                <w:lang w:eastAsia="zh-CN"/>
              </w:rPr>
              <w:t>防汛排涝应急设施设备更新工程1标段</w:t>
            </w:r>
          </w:p>
          <w:p w14:paraId="42148C16">
            <w:pPr>
              <w:pStyle w:val="126"/>
              <w:keepNext w:val="0"/>
              <w:keepLines w:val="0"/>
              <w:pageBreakBefore w:val="0"/>
              <w:widowControl w:val="0"/>
              <w:kinsoku/>
              <w:wordWrap/>
              <w:overflowPunct/>
              <w:topLinePunct w:val="0"/>
              <w:bidi w:val="0"/>
              <w:spacing w:afterLines="0" w:line="360" w:lineRule="exact"/>
              <w:ind w:left="0" w:leftChars="0" w:firstLine="0" w:firstLineChars="0"/>
              <w:rPr>
                <w:rFonts w:hint="default"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LZZC2025-G1-990735-GXDY</w:t>
            </w:r>
          </w:p>
        </w:tc>
      </w:tr>
      <w:tr w14:paraId="533AE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CCF7FBE">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637" w:type="dxa"/>
            <w:tcBorders>
              <w:top w:val="single" w:color="auto" w:sz="4" w:space="0"/>
              <w:left w:val="single" w:color="auto" w:sz="4" w:space="0"/>
              <w:bottom w:val="single" w:color="auto" w:sz="4" w:space="0"/>
              <w:right w:val="single" w:color="auto" w:sz="4" w:space="0"/>
            </w:tcBorders>
            <w:vAlign w:val="center"/>
          </w:tcPr>
          <w:p w14:paraId="7F5A58C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投标人资格要求：</w:t>
            </w:r>
          </w:p>
          <w:p w14:paraId="0B1A30E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6119546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r>
              <w:rPr>
                <w:rFonts w:hint="eastAsia" w:asciiTheme="majorEastAsia" w:hAnsiTheme="majorEastAsia" w:eastAsiaTheme="majorEastAsia" w:cstheme="majorEastAsia"/>
                <w:i w:val="0"/>
                <w:iCs w:val="0"/>
                <w:caps w:val="0"/>
                <w:color w:val="auto"/>
                <w:spacing w:val="0"/>
                <w:sz w:val="21"/>
                <w:szCs w:val="21"/>
                <w:highlight w:val="none"/>
              </w:rPr>
              <w:t>无</w:t>
            </w:r>
            <w:r>
              <w:rPr>
                <w:rFonts w:hint="eastAsia" w:ascii="宋体" w:hAnsi="宋体" w:eastAsia="宋体" w:cs="宋体"/>
                <w:bCs/>
                <w:color w:val="auto"/>
                <w:highlight w:val="none"/>
              </w:rPr>
              <w:t>；</w:t>
            </w:r>
          </w:p>
          <w:p w14:paraId="2F32476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iCs/>
                <w:color w:val="auto"/>
                <w:szCs w:val="21"/>
                <w:highlight w:val="none"/>
                <w:u w:val="single"/>
              </w:rPr>
            </w:pPr>
            <w:r>
              <w:rPr>
                <w:rFonts w:hint="eastAsia" w:ascii="宋体" w:hAnsi="宋体" w:eastAsia="宋体" w:cs="宋体"/>
                <w:color w:val="auto"/>
                <w:szCs w:val="21"/>
                <w:highlight w:val="none"/>
              </w:rPr>
              <w:t>3.本项目的特定资格要求：无；</w:t>
            </w:r>
          </w:p>
          <w:p w14:paraId="68637A97">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485E14AF">
            <w:pPr>
              <w:pStyle w:val="2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26F3D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62F073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637" w:type="dxa"/>
            <w:tcBorders>
              <w:top w:val="single" w:color="auto" w:sz="4" w:space="0"/>
              <w:left w:val="single" w:color="auto" w:sz="4" w:space="0"/>
              <w:bottom w:val="single" w:color="auto" w:sz="4" w:space="0"/>
              <w:right w:val="single" w:color="auto" w:sz="4" w:space="0"/>
            </w:tcBorders>
            <w:vAlign w:val="center"/>
          </w:tcPr>
          <w:p w14:paraId="7669EBAE">
            <w:pPr>
              <w:pStyle w:val="207"/>
              <w:keepNext w:val="0"/>
              <w:keepLines w:val="0"/>
              <w:pageBreakBefore w:val="0"/>
              <w:kinsoku/>
              <w:wordWrap/>
              <w:overflowPunct/>
              <w:topLinePunct w:val="0"/>
              <w:bidi w:val="0"/>
              <w:spacing w:line="360" w:lineRule="exact"/>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本项目不收取投标保证金。 </w:t>
            </w:r>
          </w:p>
          <w:p w14:paraId="49BA5EF0">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hAnsi="宋体" w:cs="宋体"/>
                <w:color w:val="auto"/>
                <w:kern w:val="0"/>
                <w:highlight w:val="none"/>
                <w:lang w:eastAsia="zh-CN"/>
              </w:rPr>
              <w:t>☑</w:t>
            </w:r>
            <w:r>
              <w:rPr>
                <w:rFonts w:hint="eastAsia" w:ascii="宋体" w:hAnsi="宋体" w:eastAsia="宋体" w:cs="宋体"/>
                <w:color w:val="auto"/>
                <w:highlight w:val="none"/>
              </w:rPr>
              <w:t xml:space="preserve">本项目收取投标保证金，具体规定如下： </w:t>
            </w:r>
          </w:p>
          <w:p w14:paraId="4850183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w:t>
            </w:r>
            <w:r>
              <w:rPr>
                <w:rFonts w:hint="eastAsia" w:hAnsi="宋体" w:cs="宋体"/>
                <w:color w:val="auto"/>
                <w:szCs w:val="21"/>
                <w:highlight w:val="none"/>
                <w:lang w:val="en-US" w:eastAsia="zh-CN"/>
              </w:rPr>
              <w:t>人民币陆万元整（60000.00元）</w:t>
            </w:r>
            <w:r>
              <w:rPr>
                <w:rFonts w:hint="eastAsia" w:ascii="宋体" w:hAnsi="宋体" w:eastAsia="宋体" w:cs="宋体"/>
                <w:color w:val="auto"/>
                <w:highlight w:val="none"/>
              </w:rPr>
              <w:t>，不得少于规定金额交纳，否则投标无效。投标保证金应在投标有效期内保持有效。</w:t>
            </w:r>
          </w:p>
          <w:p w14:paraId="2077CC0A">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投标保证金的交纳方式：转账、电汇、网上银行、支票、汇票、本票或者银行、保险机构出具的保函，禁止采用现钞方式。采用转账、电汇、网上银行方式的，在投标截止时间前交至</w:t>
            </w:r>
            <w:r>
              <w:rPr>
                <w:rFonts w:hint="eastAsia" w:ascii="宋体" w:hAnsi="宋体" w:eastAsia="宋体" w:cs="宋体"/>
                <w:color w:val="auto"/>
                <w:highlight w:val="none"/>
                <w:u w:val="single"/>
              </w:rPr>
              <w:t>广西德元工程项目管理有限责任公司</w:t>
            </w:r>
            <w:r>
              <w:rPr>
                <w:rFonts w:hint="eastAsia" w:ascii="宋体" w:hAnsi="宋体" w:eastAsia="宋体" w:cs="宋体"/>
                <w:color w:val="auto"/>
                <w:highlight w:val="none"/>
              </w:rPr>
              <w:t>（收款单位名称），开户银行：</w:t>
            </w:r>
            <w:r>
              <w:rPr>
                <w:rFonts w:hint="eastAsia" w:ascii="宋体" w:hAnsi="宋体" w:eastAsia="宋体" w:cs="宋体"/>
                <w:color w:val="auto"/>
                <w:highlight w:val="none"/>
                <w:u w:val="single"/>
              </w:rPr>
              <w:t>柳州银行北站支行营业部</w:t>
            </w: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707002011010900000108</w:t>
            </w:r>
            <w:r>
              <w:rPr>
                <w:rFonts w:hint="eastAsia" w:ascii="宋体" w:hAnsi="宋体" w:eastAsia="宋体" w:cs="宋体"/>
                <w:color w:val="auto"/>
                <w:highlight w:val="none"/>
              </w:rPr>
              <w:t>；采用支票、汇票、本票或者保函等方式的，投标人应当递交单独密封的支票、汇票、本票或者保函原件，</w:t>
            </w:r>
            <w:r>
              <w:rPr>
                <w:rFonts w:hint="eastAsia" w:ascii="宋体" w:hAnsi="宋体" w:eastAsia="宋体" w:cs="宋体"/>
                <w:b/>
                <w:bCs/>
                <w:color w:val="auto"/>
                <w:highlight w:val="none"/>
              </w:rPr>
              <w:t>否则视为无效投标保证金。</w:t>
            </w:r>
            <w:r>
              <w:rPr>
                <w:rFonts w:hint="eastAsia" w:ascii="宋体" w:hAnsi="宋体" w:eastAsia="宋体" w:cs="宋体"/>
                <w:color w:val="auto"/>
                <w:highlight w:val="none"/>
              </w:rPr>
              <w:t>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w:t>
            </w:r>
            <w:r>
              <w:rPr>
                <w:rFonts w:hint="eastAsia" w:hAnsi="宋体" w:cs="宋体"/>
                <w:color w:val="auto"/>
                <w:highlight w:val="none"/>
                <w:lang w:eastAsia="zh-CN"/>
              </w:rPr>
              <w:t>投标保证金规定递交时间内没有收到上述原件的</w:t>
            </w:r>
            <w:r>
              <w:rPr>
                <w:rFonts w:hint="eastAsia" w:ascii="宋体" w:hAnsi="宋体" w:eastAsia="宋体" w:cs="宋体"/>
                <w:color w:val="auto"/>
                <w:highlight w:val="none"/>
              </w:rPr>
              <w:t>，</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w:t>
            </w:r>
            <w:r>
              <w:rPr>
                <w:rFonts w:hint="eastAsia" w:hAnsi="宋体" w:cs="宋体"/>
                <w:color w:val="auto"/>
                <w:highlight w:val="none"/>
                <w:lang w:eastAsia="zh-CN"/>
              </w:rPr>
              <w:t>考虑到达时间，以免影响投标</w:t>
            </w:r>
            <w:r>
              <w:rPr>
                <w:rFonts w:hint="eastAsia" w:ascii="宋体" w:hAnsi="宋体" w:eastAsia="宋体" w:cs="宋体"/>
                <w:color w:val="auto"/>
                <w:highlight w:val="none"/>
              </w:rPr>
              <w:t>。</w:t>
            </w:r>
          </w:p>
        </w:tc>
      </w:tr>
      <w:tr w14:paraId="78B4A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91216CB">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637" w:type="dxa"/>
            <w:tcBorders>
              <w:top w:val="single" w:color="auto" w:sz="4" w:space="0"/>
              <w:left w:val="single" w:color="auto" w:sz="4" w:space="0"/>
              <w:bottom w:val="single" w:color="auto" w:sz="4" w:space="0"/>
              <w:right w:val="single" w:color="auto" w:sz="4" w:space="0"/>
            </w:tcBorders>
            <w:vAlign w:val="center"/>
          </w:tcPr>
          <w:p w14:paraId="313A8BF3">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现场考察或答疑会：</w:t>
            </w:r>
          </w:p>
          <w:p w14:paraId="16F7727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□组织。集中考察时间：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，集中考察地点：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FA2DE5">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不组织。供应商自行考察现场。</w:t>
            </w:r>
          </w:p>
        </w:tc>
      </w:tr>
      <w:tr w14:paraId="2DDD2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D762F01">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637" w:type="dxa"/>
            <w:tcBorders>
              <w:top w:val="single" w:color="auto" w:sz="4" w:space="0"/>
              <w:left w:val="single" w:color="auto" w:sz="4" w:space="0"/>
              <w:bottom w:val="single" w:color="auto" w:sz="4" w:space="0"/>
              <w:right w:val="single" w:color="auto" w:sz="4" w:space="0"/>
            </w:tcBorders>
            <w:vAlign w:val="center"/>
          </w:tcPr>
          <w:p w14:paraId="07D2218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是否需要演示：</w:t>
            </w:r>
          </w:p>
          <w:p w14:paraId="324CCD06">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不需演示。</w:t>
            </w:r>
          </w:p>
          <w:p w14:paraId="3F93FA3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需要演示</w:t>
            </w:r>
          </w:p>
          <w:p w14:paraId="6A3D348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演示时间：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55BA7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D01CC2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637" w:type="dxa"/>
            <w:tcBorders>
              <w:top w:val="single" w:color="auto" w:sz="4" w:space="0"/>
              <w:left w:val="single" w:color="auto" w:sz="4" w:space="0"/>
              <w:bottom w:val="single" w:color="auto" w:sz="4" w:space="0"/>
              <w:right w:val="single" w:color="auto" w:sz="4" w:space="0"/>
            </w:tcBorders>
            <w:vAlign w:val="center"/>
          </w:tcPr>
          <w:p w14:paraId="585180AA">
            <w:pPr>
              <w:keepNext w:val="0"/>
              <w:keepLines w:val="0"/>
              <w:pageBreakBefore w:val="0"/>
              <w:kinsoku/>
              <w:wordWrap/>
              <w:overflowPunct/>
              <w:topLinePunct w:val="0"/>
              <w:bidi w:val="0"/>
              <w:snapToGrid w:val="0"/>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联合体投标：</w:t>
            </w:r>
          </w:p>
          <w:p w14:paraId="1FA8E1D2">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接受联合体投标。</w:t>
            </w:r>
          </w:p>
          <w:p w14:paraId="04C3D8F1">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不接受联合体投标</w:t>
            </w:r>
          </w:p>
        </w:tc>
      </w:tr>
      <w:tr w14:paraId="62116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46204A9">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8637" w:type="dxa"/>
            <w:tcBorders>
              <w:top w:val="single" w:color="auto" w:sz="4" w:space="0"/>
              <w:left w:val="single" w:color="auto" w:sz="4" w:space="0"/>
              <w:bottom w:val="single" w:color="auto" w:sz="4" w:space="0"/>
              <w:right w:val="single" w:color="auto" w:sz="4" w:space="0"/>
            </w:tcBorders>
            <w:vAlign w:val="center"/>
          </w:tcPr>
          <w:p w14:paraId="2B09F408">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是否允许分包：</w:t>
            </w:r>
          </w:p>
          <w:p w14:paraId="1E3CD22E">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☑不允许分包</w:t>
            </w:r>
          </w:p>
          <w:p w14:paraId="1D43C50F">
            <w:pPr>
              <w:keepNext w:val="0"/>
              <w:keepLines w:val="0"/>
              <w:pageBreakBefore w:val="0"/>
              <w:kinsoku/>
              <w:wordWrap/>
              <w:overflowPunct/>
              <w:topLinePunct w:val="0"/>
              <w:autoSpaceDE w:val="0"/>
              <w:autoSpaceDN w:val="0"/>
              <w:bidi w:val="0"/>
              <w:adjustRightInd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□允许分包</w:t>
            </w:r>
          </w:p>
          <w:p w14:paraId="32125BBE">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分包内容：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tc>
      </w:tr>
      <w:tr w14:paraId="7DF6DD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20A0BC3">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8637" w:type="dxa"/>
            <w:tcBorders>
              <w:top w:val="single" w:color="auto" w:sz="4" w:space="0"/>
              <w:left w:val="single" w:color="auto" w:sz="4" w:space="0"/>
              <w:bottom w:val="single" w:color="auto" w:sz="4" w:space="0"/>
              <w:right w:val="single" w:color="auto" w:sz="4" w:space="0"/>
            </w:tcBorders>
            <w:vAlign w:val="center"/>
          </w:tcPr>
          <w:p w14:paraId="24943244">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组成：</w:t>
            </w:r>
            <w:r>
              <w:rPr>
                <w:rFonts w:hint="eastAsia" w:ascii="宋体" w:hAnsi="宋体" w:eastAsia="宋体" w:cs="宋体"/>
                <w:b/>
                <w:bCs/>
                <w:color w:val="auto"/>
                <w:szCs w:val="21"/>
                <w:highlight w:val="none"/>
                <w:lang w:val="en-US" w:eastAsia="zh-CN"/>
              </w:rPr>
              <w:t>投标文件由</w:t>
            </w:r>
            <w:r>
              <w:rPr>
                <w:rFonts w:hint="eastAsia" w:ascii="宋体" w:hAnsi="宋体" w:eastAsia="宋体" w:cs="宋体"/>
                <w:b/>
                <w:bCs/>
                <w:color w:val="auto"/>
                <w:szCs w:val="21"/>
                <w:highlight w:val="none"/>
              </w:rPr>
              <w:t>资格文件、</w:t>
            </w:r>
            <w:r>
              <w:rPr>
                <w:rFonts w:hint="eastAsia" w:ascii="宋体" w:hAnsi="宋体" w:eastAsia="宋体" w:cs="宋体"/>
                <w:b/>
                <w:bCs/>
                <w:color w:val="auto"/>
                <w:szCs w:val="21"/>
                <w:highlight w:val="none"/>
                <w:lang w:eastAsia="zh-CN"/>
              </w:rPr>
              <w:t>报价文件</w:t>
            </w:r>
            <w:r>
              <w:rPr>
                <w:rFonts w:hint="eastAsia" w:ascii="宋体" w:hAnsi="宋体" w:eastAsia="宋体" w:cs="宋体"/>
                <w:b/>
                <w:bCs/>
                <w:color w:val="auto"/>
                <w:szCs w:val="21"/>
                <w:highlight w:val="none"/>
              </w:rPr>
              <w:t>、商务技术文件</w:t>
            </w:r>
            <w:r>
              <w:rPr>
                <w:rFonts w:hint="eastAsia" w:ascii="宋体" w:hAnsi="宋体" w:eastAsia="宋体" w:cs="宋体"/>
                <w:b/>
                <w:bCs/>
                <w:color w:val="auto"/>
                <w:szCs w:val="21"/>
                <w:highlight w:val="none"/>
                <w:lang w:val="en-US" w:eastAsia="zh-CN"/>
              </w:rPr>
              <w:t>组成</w:t>
            </w:r>
            <w:r>
              <w:rPr>
                <w:rFonts w:hint="eastAsia" w:ascii="宋体" w:hAnsi="宋体" w:eastAsia="宋体" w:cs="宋体"/>
                <w:b/>
                <w:bCs/>
                <w:color w:val="auto"/>
                <w:szCs w:val="21"/>
                <w:highlight w:val="none"/>
              </w:rPr>
              <w:t>。</w:t>
            </w:r>
          </w:p>
          <w:p w14:paraId="4867A535">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1.资格文件（以下文件标注“▲”的必须提供，否则投标无效，其他可根据实际情况提供）</w:t>
            </w:r>
          </w:p>
          <w:p w14:paraId="5503B06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05"/>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▲注：以下标注“▲”均要加盖投标人单位电子公章或自然人加盖手指指印，否则其投标无效。</w:t>
            </w:r>
          </w:p>
          <w:p w14:paraId="5F7531C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▲（1）投标声明书（按第六章要求格式填写）；</w:t>
            </w:r>
          </w:p>
          <w:p w14:paraId="1479388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▲（2）投标人</w:t>
            </w:r>
            <w:r>
              <w:rPr>
                <w:rFonts w:hint="eastAsia" w:ascii="宋体" w:hAnsi="宋体" w:eastAsia="宋体" w:cs="宋体"/>
                <w:color w:val="auto"/>
                <w:highlight w:val="none"/>
              </w:rPr>
              <w:t>合法的主体资格证明（如营业执照、事业单位法人证书、执业许可证、个体工商户营业执照、自然人身份证等）复印件</w:t>
            </w:r>
            <w:r>
              <w:rPr>
                <w:rFonts w:hint="eastAsia" w:ascii="宋体" w:hAnsi="宋体" w:eastAsia="宋体" w:cs="宋体"/>
                <w:bCs/>
                <w:color w:val="auto"/>
                <w:szCs w:val="21"/>
                <w:highlight w:val="none"/>
              </w:rPr>
              <w:t>；</w:t>
            </w:r>
          </w:p>
          <w:p w14:paraId="3D92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szCs w:val="21"/>
                <w:highlight w:val="none"/>
              </w:rPr>
              <w:t>（按第六章要求格式填写）；</w:t>
            </w:r>
          </w:p>
          <w:p w14:paraId="44F26C6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▲（4）参加政府采购活动前三年内在经营活动中没有重大违法记录和不良信用记录的书面声明书（格式自拟）</w:t>
            </w:r>
            <w:r>
              <w:rPr>
                <w:rFonts w:hint="eastAsia" w:ascii="宋体" w:hAnsi="宋体" w:eastAsia="宋体" w:cs="宋体"/>
                <w:color w:val="auto"/>
                <w:highlight w:val="none"/>
                <w:lang w:eastAsia="zh-CN"/>
              </w:rPr>
              <w:t>；</w:t>
            </w:r>
          </w:p>
          <w:p w14:paraId="4C1C881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投标人如为分支机构投标的，须提供其总公司“营业执照”副本复印件和总公司对投标人参与本项目投标的授权书原件</w:t>
            </w:r>
            <w:r>
              <w:rPr>
                <w:rFonts w:hint="eastAsia" w:ascii="宋体" w:hAnsi="宋体" w:eastAsia="宋体" w:cs="宋体"/>
                <w:color w:val="auto"/>
                <w:szCs w:val="21"/>
                <w:highlight w:val="none"/>
                <w:lang w:eastAsia="zh-CN"/>
              </w:rPr>
              <w:t>；</w:t>
            </w:r>
          </w:p>
          <w:p w14:paraId="58131C3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szCs w:val="21"/>
                <w:highlight w:val="none"/>
              </w:rPr>
              <w:t>投标人直接控股、管理关系信息表（按第六章要求格式填写）；</w:t>
            </w:r>
          </w:p>
          <w:p w14:paraId="0224E47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bCs/>
                <w:color w:val="auto"/>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highlight w:val="none"/>
              </w:rPr>
              <w:t>特定资格条件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无</w:t>
            </w:r>
            <w:r>
              <w:rPr>
                <w:rFonts w:hint="eastAsia" w:ascii="宋体" w:hAnsi="宋体" w:eastAsia="宋体" w:cs="宋体"/>
                <w:color w:val="auto"/>
                <w:szCs w:val="21"/>
                <w:highlight w:val="none"/>
                <w:lang w:eastAsia="zh-CN"/>
              </w:rPr>
              <w:t>。</w:t>
            </w:r>
          </w:p>
          <w:p w14:paraId="365F992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报价文件</w:t>
            </w:r>
            <w:r>
              <w:rPr>
                <w:rFonts w:hint="eastAsia" w:ascii="宋体" w:hAnsi="宋体" w:eastAsia="宋体" w:cs="宋体"/>
                <w:b/>
                <w:color w:val="auto"/>
                <w:szCs w:val="21"/>
                <w:highlight w:val="none"/>
              </w:rPr>
              <w:t>（以下文件标注“▲”的必须提供，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r>
              <w:rPr>
                <w:rFonts w:hint="eastAsia" w:ascii="宋体" w:hAnsi="宋体" w:eastAsia="宋体" w:cs="宋体"/>
                <w:color w:val="auto"/>
                <w:szCs w:val="21"/>
                <w:highlight w:val="none"/>
              </w:rPr>
              <w:t>）</w:t>
            </w:r>
          </w:p>
          <w:p w14:paraId="295F60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w:t>
            </w:r>
          </w:p>
          <w:p w14:paraId="2321B7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（1）投标函（按第六章要求格式填写）；</w:t>
            </w:r>
          </w:p>
          <w:p w14:paraId="5DD672C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jc w:val="left"/>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（2）开标一览表（按第六章要求格式填写）；</w:t>
            </w:r>
            <w:r>
              <w:rPr>
                <w:rFonts w:hint="eastAsia" w:ascii="宋体" w:hAnsi="宋体" w:eastAsia="宋体" w:cs="宋体"/>
                <w:b/>
                <w:bCs/>
                <w:color w:val="auto"/>
                <w:szCs w:val="21"/>
                <w:highlight w:val="none"/>
              </w:rPr>
              <w:t xml:space="preserve"> </w:t>
            </w:r>
          </w:p>
          <w:p w14:paraId="720520E0">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（3）中小企业声明函</w:t>
            </w:r>
            <w:r>
              <w:rPr>
                <w:rFonts w:hint="eastAsia" w:ascii="宋体" w:hAnsi="宋体" w:eastAsia="宋体" w:cs="宋体"/>
                <w:bCs/>
                <w:color w:val="auto"/>
                <w:highlight w:val="none"/>
              </w:rPr>
              <w:t>（</w:t>
            </w:r>
            <w:r>
              <w:rPr>
                <w:rFonts w:hint="eastAsia" w:ascii="宋体" w:hAnsi="宋体" w:eastAsia="宋体" w:cs="宋体"/>
                <w:color w:val="auto"/>
                <w:kern w:val="0"/>
                <w:highlight w:val="none"/>
              </w:rPr>
              <w:t>各货物制造商</w:t>
            </w:r>
            <w:r>
              <w:rPr>
                <w:rFonts w:hint="eastAsia" w:ascii="宋体" w:hAnsi="宋体" w:eastAsia="宋体" w:cs="宋体"/>
                <w:bCs/>
                <w:color w:val="auto"/>
                <w:highlight w:val="none"/>
              </w:rPr>
              <w:t>如为中小微型企业的请按第六章要求的格式提供，否则不予享受优惠政策）；</w:t>
            </w:r>
          </w:p>
          <w:p w14:paraId="54047BC2">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color w:val="auto"/>
                <w:highlight w:val="none"/>
              </w:rPr>
            </w:pPr>
            <w:r>
              <w:rPr>
                <w:rFonts w:hint="eastAsia" w:ascii="宋体" w:hAnsi="宋体" w:eastAsia="宋体" w:cs="宋体"/>
                <w:bCs/>
                <w:color w:val="auto"/>
                <w:highlight w:val="none"/>
              </w:rPr>
              <w:t>（4）监狱企业由省级以上监狱管理局、戒毒管理局（含新疆生产建设兵团）出具的属于监狱企业的证明文件；</w:t>
            </w:r>
          </w:p>
          <w:p w14:paraId="4C3C7C49">
            <w:pPr>
              <w:pStyle w:val="27"/>
              <w:keepNext w:val="0"/>
              <w:keepLines w:val="0"/>
              <w:pageBreakBefore w:val="0"/>
              <w:kinsoku/>
              <w:wordWrap/>
              <w:overflowPunct/>
              <w:topLinePunct w:val="0"/>
              <w:bidi w:val="0"/>
              <w:spacing w:line="360" w:lineRule="exact"/>
              <w:ind w:firstLine="417" w:firstLineChars="199"/>
              <w:rPr>
                <w:rFonts w:hint="eastAsia" w:ascii="宋体" w:hAnsi="宋体" w:eastAsia="宋体" w:cs="宋体"/>
                <w:bCs/>
                <w:color w:val="auto"/>
                <w:highlight w:val="none"/>
              </w:rPr>
            </w:pPr>
            <w:r>
              <w:rPr>
                <w:rFonts w:hint="eastAsia" w:ascii="宋体" w:hAnsi="宋体" w:eastAsia="宋体" w:cs="宋体"/>
                <w:color w:val="auto"/>
                <w:highlight w:val="none"/>
              </w:rPr>
              <w:t>（5）</w:t>
            </w:r>
            <w:r>
              <w:rPr>
                <w:rFonts w:hint="eastAsia" w:ascii="宋体" w:hAnsi="宋体" w:eastAsia="宋体" w:cs="宋体"/>
                <w:bCs/>
                <w:color w:val="auto"/>
                <w:highlight w:val="none"/>
              </w:rPr>
              <w:t>残疾人福利性单位声明函（投标人如为残疾人福利性单位的请按第六章要求的格式提供，否则不予享受优惠政策）；</w:t>
            </w:r>
          </w:p>
          <w:p w14:paraId="449B7795">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（6）投标人针对报价需要说明的其他文件和说明（如有，格式自拟）</w:t>
            </w:r>
          </w:p>
          <w:p w14:paraId="45F84C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3.商务技术文件（以下文件标注“▲”的必须提供，</w:t>
            </w:r>
            <w:r>
              <w:rPr>
                <w:rFonts w:hint="eastAsia" w:ascii="宋体" w:hAnsi="宋体" w:eastAsia="宋体" w:cs="宋体"/>
                <w:b/>
                <w:color w:val="auto"/>
                <w:highlight w:val="none"/>
              </w:rPr>
              <w:t>否则投标无效，</w:t>
            </w:r>
            <w:r>
              <w:rPr>
                <w:rFonts w:hint="eastAsia" w:ascii="宋体" w:hAnsi="宋体" w:eastAsia="宋体" w:cs="宋体"/>
                <w:b/>
                <w:color w:val="auto"/>
                <w:szCs w:val="21"/>
                <w:highlight w:val="none"/>
              </w:rPr>
              <w:t>其他可根据实际情况提供。</w:t>
            </w:r>
          </w:p>
          <w:p w14:paraId="1109E4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3.1商务部分</w:t>
            </w:r>
          </w:p>
          <w:p w14:paraId="2D15A5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highlight w:val="none"/>
              </w:rPr>
              <w:t>▲注：以下标注“▲”均要加盖投标人单位电子公章</w:t>
            </w:r>
            <w:r>
              <w:rPr>
                <w:rFonts w:hint="eastAsia" w:ascii="宋体" w:hAnsi="宋体" w:eastAsia="宋体" w:cs="宋体"/>
                <w:b/>
                <w:bCs/>
                <w:color w:val="auto"/>
                <w:szCs w:val="21"/>
                <w:highlight w:val="none"/>
              </w:rPr>
              <w:t>或</w:t>
            </w:r>
            <w:r>
              <w:rPr>
                <w:rFonts w:hint="eastAsia" w:ascii="宋体" w:hAnsi="宋体" w:eastAsia="宋体" w:cs="宋体"/>
                <w:b/>
                <w:color w:val="auto"/>
                <w:highlight w:val="none"/>
              </w:rPr>
              <w:t>自然人加盖手指指印，否则其投标无效。第</w:t>
            </w:r>
            <w:r>
              <w:rPr>
                <w:rFonts w:hint="eastAsia" w:ascii="宋体" w:hAnsi="宋体" w:eastAsia="宋体" w:cs="宋体"/>
                <w:b/>
                <w:color w:val="auto"/>
                <w:szCs w:val="21"/>
                <w:highlight w:val="none"/>
              </w:rPr>
              <w:t>（1）、（2）项由法定代表人签名，否则其投标无效</w:t>
            </w:r>
            <w:r>
              <w:rPr>
                <w:rFonts w:hint="eastAsia" w:ascii="宋体" w:hAnsi="宋体" w:eastAsia="宋体" w:cs="宋体"/>
                <w:color w:val="auto"/>
                <w:szCs w:val="21"/>
                <w:highlight w:val="none"/>
                <w:lang w:eastAsia="zh-CN"/>
              </w:rPr>
              <w:t>。</w:t>
            </w:r>
          </w:p>
          <w:p w14:paraId="16D1347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color w:val="auto"/>
                <w:highlight w:val="none"/>
              </w:rPr>
            </w:pPr>
          </w:p>
          <w:p w14:paraId="2B6DD3D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▲（1）法定代表人身份证明书（按第六章要求格式填写）； </w:t>
            </w:r>
          </w:p>
          <w:p w14:paraId="2D96FD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▲（2）法定代表人授权委托书及被授权委托人身份证复印件（委托代理时，按第六章要求格式填写）；</w:t>
            </w:r>
          </w:p>
          <w:p w14:paraId="4E1B21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▲（3）投标保证金缴纳证明材料复印件（按第六章要求格式填写）；</w:t>
            </w:r>
          </w:p>
          <w:p w14:paraId="5B78CF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▲（4）商务响应表（按第六章要求格式填写）；</w:t>
            </w:r>
          </w:p>
          <w:p w14:paraId="413015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▲（5）代理服务费承诺书(按第六章要求格式填写)</w:t>
            </w:r>
            <w:r>
              <w:rPr>
                <w:rFonts w:hint="eastAsia" w:ascii="宋体" w:hAnsi="宋体" w:eastAsia="宋体" w:cs="宋体"/>
                <w:color w:val="auto"/>
                <w:highlight w:val="none"/>
                <w:lang w:eastAsia="zh-CN"/>
              </w:rPr>
              <w:t>；</w:t>
            </w:r>
          </w:p>
          <w:p w14:paraId="09DFB1B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cs="宋体"/>
                <w:color w:val="auto"/>
                <w:highlight w:val="none"/>
                <w:lang w:eastAsia="zh-CN"/>
              </w:rPr>
              <w:t>投标人同类项目业绩一览表</w:t>
            </w:r>
            <w:r>
              <w:rPr>
                <w:rFonts w:hint="eastAsia" w:ascii="宋体" w:hAnsi="宋体" w:eastAsia="宋体" w:cs="宋体"/>
                <w:color w:val="auto"/>
                <w:highlight w:val="none"/>
              </w:rPr>
              <w:t>（按第六章要求格式填写）；</w:t>
            </w:r>
          </w:p>
          <w:p w14:paraId="5932F63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）投标人认为需要提供的其他证明材料。</w:t>
            </w:r>
          </w:p>
          <w:p w14:paraId="0A990B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3.2技术部分</w:t>
            </w:r>
          </w:p>
          <w:p w14:paraId="4AFB9059">
            <w:pPr>
              <w:keepNext w:val="0"/>
              <w:keepLines w:val="0"/>
              <w:pageBreakBefore w:val="0"/>
              <w:kinsoku/>
              <w:wordWrap/>
              <w:overflowPunct/>
              <w:topLinePunct w:val="0"/>
              <w:bidi w:val="0"/>
              <w:snapToGrid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（1）设备配置清单(按第六章要求格式填写)；</w:t>
            </w:r>
          </w:p>
          <w:p w14:paraId="47D1461B">
            <w:pPr>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（2）技术响应表(按第六章要求格式填写</w:t>
            </w:r>
            <w:r>
              <w:rPr>
                <w:rFonts w:hint="eastAsia" w:ascii="宋体" w:hAnsi="宋体" w:eastAsia="宋体" w:cs="宋体"/>
                <w:bCs/>
                <w:color w:val="auto"/>
                <w:szCs w:val="21"/>
                <w:highlight w:val="none"/>
              </w:rPr>
              <w:t>，附“第</w:t>
            </w:r>
            <w:r>
              <w:rPr>
                <w:rFonts w:hint="eastAsia" w:ascii="宋体" w:hAnsi="宋体" w:cs="宋体"/>
                <w:bCs/>
                <w:color w:val="auto"/>
                <w:szCs w:val="21"/>
                <w:highlight w:val="none"/>
                <w:lang w:val="en-US" w:eastAsia="zh-CN"/>
              </w:rPr>
              <w:t>二</w:t>
            </w:r>
            <w:r>
              <w:rPr>
                <w:rFonts w:hint="eastAsia" w:ascii="宋体" w:hAnsi="宋体" w:eastAsia="宋体" w:cs="宋体"/>
                <w:bCs/>
                <w:color w:val="auto"/>
                <w:szCs w:val="21"/>
                <w:highlight w:val="none"/>
              </w:rPr>
              <w:t>章</w:t>
            </w:r>
            <w:r>
              <w:rPr>
                <w:rFonts w:hint="eastAsia" w:ascii="宋体" w:hAnsi="宋体" w:cs="宋体"/>
                <w:bCs/>
                <w:color w:val="auto"/>
                <w:szCs w:val="21"/>
                <w:highlight w:val="none"/>
                <w:lang w:val="en-US" w:eastAsia="zh-CN"/>
              </w:rPr>
              <w:t xml:space="preserve"> </w:t>
            </w:r>
            <w:r>
              <w:rPr>
                <w:rFonts w:hint="eastAsia" w:ascii="宋体" w:hAnsi="宋体" w:eastAsia="宋体" w:cs="宋体"/>
                <w:bCs/>
                <w:color w:val="auto"/>
                <w:szCs w:val="21"/>
                <w:highlight w:val="none"/>
              </w:rPr>
              <w:t>招标项目采购需求”中要求提供的相关材料</w:t>
            </w:r>
            <w:r>
              <w:rPr>
                <w:rFonts w:hint="eastAsia" w:ascii="宋体" w:hAnsi="宋体" w:eastAsia="宋体" w:cs="宋体"/>
                <w:color w:val="auto"/>
                <w:szCs w:val="21"/>
                <w:highlight w:val="none"/>
              </w:rPr>
              <w:t>)；</w:t>
            </w:r>
          </w:p>
          <w:p w14:paraId="53FB21AA">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（3）项目实施方案；(按第六章要求格式填写)；</w:t>
            </w:r>
          </w:p>
          <w:p w14:paraId="0D257B8D">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▲（4）售后服务方案及承诺书(按第六章要求格式填写)；</w:t>
            </w:r>
          </w:p>
          <w:p w14:paraId="0CDE9713">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▲（5）选配件、专用耗材、售后服务优惠表(按第六章要求格式填写)；</w:t>
            </w:r>
          </w:p>
          <w:p w14:paraId="1574AC5F">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（6）投标人对本项目的合理化建议和改进措施（格式自拟）；</w:t>
            </w:r>
          </w:p>
          <w:p w14:paraId="73221E52">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（7）投标人需要说明的其他文件和说明（格式自拟）。</w:t>
            </w:r>
          </w:p>
          <w:p w14:paraId="7F180C2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199"/>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注：若招标文件中有专门标注的某关联点，并要求供应商在电子投标系统中作出响应的，如供应商未对关联点进行响应或者在投标文件其它内容进行描述，造成电子评审不能查询的责任由供应商自行承担。 </w:t>
            </w:r>
          </w:p>
        </w:tc>
      </w:tr>
      <w:tr w14:paraId="732FC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E6FDC0D">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8637" w:type="dxa"/>
            <w:tcBorders>
              <w:top w:val="single" w:color="auto" w:sz="4" w:space="0"/>
              <w:left w:val="single" w:color="auto" w:sz="4" w:space="0"/>
              <w:bottom w:val="single" w:color="auto" w:sz="4" w:space="0"/>
              <w:right w:val="single" w:color="auto" w:sz="4" w:space="0"/>
            </w:tcBorders>
            <w:vAlign w:val="center"/>
          </w:tcPr>
          <w:p w14:paraId="0DAC9F0D">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答疑与澄清：投标人如认为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招标采购单位可以视采购具体情况，延长投标截止时间和开标时间，将变更时间书面通知所有招标文件收受人，并在财政部门指定的政府采购信息发布媒体上发布更正公告。</w:t>
            </w:r>
          </w:p>
        </w:tc>
      </w:tr>
      <w:tr w14:paraId="28FB8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449F0B6">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8637" w:type="dxa"/>
            <w:tcBorders>
              <w:top w:val="single" w:color="auto" w:sz="4" w:space="0"/>
              <w:left w:val="single" w:color="auto" w:sz="4" w:space="0"/>
              <w:bottom w:val="single" w:color="auto" w:sz="4" w:space="0"/>
              <w:right w:val="single" w:color="auto" w:sz="4" w:space="0"/>
            </w:tcBorders>
            <w:vAlign w:val="center"/>
          </w:tcPr>
          <w:p w14:paraId="10F014EB">
            <w:pPr>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最高限价：</w:t>
            </w:r>
            <w:r>
              <w:rPr>
                <w:rFonts w:hint="eastAsia" w:ascii="宋体" w:hAnsi="宋体" w:eastAsia="宋体" w:cs="宋体"/>
                <w:color w:val="auto"/>
                <w:szCs w:val="21"/>
                <w:highlight w:val="none"/>
              </w:rPr>
              <w:t>人民币</w:t>
            </w:r>
            <w:r>
              <w:rPr>
                <w:rFonts w:hint="eastAsia" w:ascii="宋体" w:hAnsi="宋体" w:cs="宋体"/>
                <w:color w:val="auto"/>
                <w:szCs w:val="21"/>
                <w:highlight w:val="none"/>
                <w:lang w:val="en-US" w:eastAsia="zh-CN"/>
              </w:rPr>
              <w:t>陆佰陆拾壹万贰仟贰佰元整</w:t>
            </w: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612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200.00</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w:t>
            </w:r>
          </w:p>
        </w:tc>
      </w:tr>
      <w:tr w14:paraId="2CD28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3A0067">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637" w:type="dxa"/>
            <w:tcBorders>
              <w:top w:val="single" w:color="auto" w:sz="4" w:space="0"/>
              <w:left w:val="single" w:color="auto" w:sz="4" w:space="0"/>
              <w:bottom w:val="single" w:color="auto" w:sz="4" w:space="0"/>
              <w:right w:val="single" w:color="auto" w:sz="4" w:space="0"/>
            </w:tcBorders>
            <w:vAlign w:val="center"/>
          </w:tcPr>
          <w:p w14:paraId="6C86F15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投标报价及费用：</w:t>
            </w:r>
          </w:p>
          <w:p w14:paraId="2F9382AB">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1、本项目投标应以人民币报价；</w:t>
            </w:r>
          </w:p>
          <w:p w14:paraId="5DC15937">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2、不论投标结果如何，投标人均应自行承担所有与投标有关的全部费用；</w:t>
            </w:r>
          </w:p>
          <w:p w14:paraId="694FD742">
            <w:pPr>
              <w:pStyle w:val="27"/>
              <w:keepNext w:val="0"/>
              <w:keepLines w:val="0"/>
              <w:pageBreakBefore w:val="0"/>
              <w:kinsoku/>
              <w:wordWrap/>
              <w:overflowPunct/>
              <w:topLinePunct w:val="0"/>
              <w:bidi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hAnsi="宋体" w:cs="宋体"/>
                <w:color w:val="auto"/>
                <w:highlight w:val="none"/>
                <w:lang w:eastAsia="zh-CN"/>
              </w:rPr>
              <w:t>代理服务费以中标金额</w:t>
            </w:r>
            <w:r>
              <w:rPr>
                <w:rFonts w:hint="eastAsia" w:ascii="宋体" w:hAnsi="宋体" w:eastAsia="宋体" w:cs="宋体"/>
                <w:color w:val="auto"/>
                <w:highlight w:val="none"/>
              </w:rPr>
              <w:t>作为计费额，参照国家发展计划委员会文件计价格（2002）1980号“国家计委关于印发《招标代理服务收费管理暂行办法》的通知”规定的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w:t>
            </w:r>
          </w:p>
        </w:tc>
      </w:tr>
      <w:tr w14:paraId="12E4C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A23886C">
            <w:pPr>
              <w:keepNext w:val="0"/>
              <w:keepLines w:val="0"/>
              <w:pageBreakBefore w:val="0"/>
              <w:kinsoku/>
              <w:wordWrap/>
              <w:overflowPunct/>
              <w:topLinePunct w:val="0"/>
              <w:bidi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8637" w:type="dxa"/>
            <w:tcBorders>
              <w:top w:val="single" w:color="auto" w:sz="4" w:space="0"/>
              <w:left w:val="single" w:color="auto" w:sz="4" w:space="0"/>
              <w:bottom w:val="single" w:color="auto" w:sz="4" w:space="0"/>
              <w:right w:val="single" w:color="auto" w:sz="4" w:space="0"/>
            </w:tcBorders>
            <w:vAlign w:val="center"/>
          </w:tcPr>
          <w:p w14:paraId="7DB053C8">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w:t>
            </w:r>
            <w:r>
              <w:rPr>
                <w:rFonts w:hint="eastAsia" w:ascii="宋体" w:hAnsi="宋体" w:cs="宋体"/>
                <w:color w:val="auto"/>
                <w:szCs w:val="21"/>
                <w:highlight w:val="none"/>
                <w:lang w:eastAsia="zh-CN"/>
              </w:rPr>
              <w:t>2025年10月21日</w:t>
            </w:r>
            <w:r>
              <w:rPr>
                <w:rFonts w:hint="eastAsia" w:ascii="宋体" w:hAnsi="宋体" w:eastAsia="宋体" w:cs="宋体"/>
                <w:color w:val="auto"/>
                <w:szCs w:val="21"/>
                <w:highlight w:val="none"/>
              </w:rPr>
              <w:t xml:space="preserve"> 09:20（北京时间）</w:t>
            </w:r>
          </w:p>
          <w:p w14:paraId="55BC2ABD">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投标地点（网址）：登录广西政府采购云平台在线提交。</w:t>
            </w:r>
          </w:p>
          <w:p w14:paraId="73C81247">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2025年10月21日</w:t>
            </w:r>
            <w:r>
              <w:rPr>
                <w:rFonts w:hint="eastAsia" w:ascii="宋体" w:hAnsi="宋体" w:eastAsia="宋体" w:cs="宋体"/>
                <w:color w:val="auto"/>
                <w:szCs w:val="21"/>
                <w:highlight w:val="none"/>
              </w:rPr>
              <w:t>09:20</w:t>
            </w:r>
          </w:p>
          <w:p w14:paraId="2DA5913E">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开标地点：本次招标在广西政府采购云平台电子开标大厅开标。</w:t>
            </w:r>
          </w:p>
          <w:p w14:paraId="30FD3B6C">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CA 证书在线解密：供应商投标时，需携带制作投标文件时用来加密的有效数字证书（CA 认证）登录广西政府采购云平台电子开标大厅现场按规定时间对加密的投标文件进行解密，否则后果自负。</w:t>
            </w:r>
          </w:p>
          <w:p w14:paraId="2AFCEC1A">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在首次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广西政府采购云平台将予以拒收。</w:t>
            </w:r>
          </w:p>
        </w:tc>
      </w:tr>
      <w:tr w14:paraId="16C14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E24552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637" w:type="dxa"/>
            <w:tcBorders>
              <w:top w:val="single" w:color="auto" w:sz="4" w:space="0"/>
              <w:left w:val="single" w:color="auto" w:sz="4" w:space="0"/>
              <w:bottom w:val="single" w:color="auto" w:sz="4" w:space="0"/>
              <w:right w:val="single" w:color="auto" w:sz="4" w:space="0"/>
            </w:tcBorders>
            <w:vAlign w:val="center"/>
          </w:tcPr>
          <w:p w14:paraId="19CD2D25">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评标办法及评分标准：综合评分法</w:t>
            </w:r>
          </w:p>
        </w:tc>
      </w:tr>
      <w:tr w14:paraId="37E0B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503628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637" w:type="dxa"/>
            <w:tcBorders>
              <w:top w:val="single" w:color="auto" w:sz="4" w:space="0"/>
              <w:left w:val="single" w:color="auto" w:sz="4" w:space="0"/>
              <w:bottom w:val="single" w:color="auto" w:sz="4" w:space="0"/>
              <w:right w:val="single" w:color="auto" w:sz="4" w:space="0"/>
            </w:tcBorders>
            <w:vAlign w:val="center"/>
          </w:tcPr>
          <w:p w14:paraId="35061B60">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发布媒体：http://www.ccgp.gov.cn/（中国政府采购网）、http://zfcg.gxzf.gov.cn（</w:t>
            </w:r>
            <w:r>
              <w:rPr>
                <w:rFonts w:hint="eastAsia" w:ascii="宋体" w:hAnsi="宋体" w:eastAsia="宋体" w:cs="宋体"/>
                <w:color w:val="auto"/>
                <w:highlight w:val="none"/>
              </w:rPr>
              <w:t>广西政府采购网</w:t>
            </w:r>
            <w:r>
              <w:rPr>
                <w:rFonts w:hint="eastAsia" w:ascii="宋体" w:hAnsi="宋体" w:eastAsia="宋体" w:cs="宋体"/>
                <w:color w:val="auto"/>
                <w:szCs w:val="21"/>
                <w:highlight w:val="none"/>
              </w:rPr>
              <w:t>）、http://www.zfcg.lzscz.liuzhou.gov.cn（</w:t>
            </w:r>
            <w:r>
              <w:rPr>
                <w:rFonts w:hint="eastAsia" w:ascii="宋体" w:hAnsi="宋体" w:eastAsia="宋体" w:cs="宋体"/>
                <w:color w:val="auto"/>
                <w:highlight w:val="none"/>
              </w:rPr>
              <w:t>广西柳州政府采购网</w:t>
            </w:r>
            <w:r>
              <w:rPr>
                <w:rFonts w:hint="eastAsia" w:ascii="宋体" w:hAnsi="宋体" w:eastAsia="宋体" w:cs="宋体"/>
                <w:color w:val="auto"/>
                <w:szCs w:val="21"/>
                <w:highlight w:val="none"/>
              </w:rPr>
              <w:t>）</w:t>
            </w:r>
          </w:p>
        </w:tc>
      </w:tr>
      <w:tr w14:paraId="538C0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C72C0D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8637" w:type="dxa"/>
            <w:tcBorders>
              <w:top w:val="single" w:color="auto" w:sz="4" w:space="0"/>
              <w:left w:val="single" w:color="auto" w:sz="4" w:space="0"/>
              <w:bottom w:val="single" w:color="auto" w:sz="4" w:space="0"/>
              <w:right w:val="single" w:color="auto" w:sz="4" w:space="0"/>
            </w:tcBorders>
            <w:vAlign w:val="center"/>
          </w:tcPr>
          <w:p w14:paraId="16B22572">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中标公告及中标通知书：</w:t>
            </w:r>
            <w:r>
              <w:rPr>
                <w:rFonts w:hint="eastAsia" w:ascii="宋体" w:hAnsi="宋体" w:eastAsia="宋体" w:cs="宋体"/>
                <w:color w:val="auto"/>
                <w:highlight w:val="none"/>
              </w:rPr>
              <w:t>中标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柳州市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14:paraId="07F51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9989C4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8637" w:type="dxa"/>
            <w:tcBorders>
              <w:top w:val="single" w:color="auto" w:sz="4" w:space="0"/>
              <w:left w:val="single" w:color="auto" w:sz="4" w:space="0"/>
              <w:bottom w:val="single" w:color="auto" w:sz="4" w:space="0"/>
              <w:right w:val="single" w:color="auto" w:sz="4" w:space="0"/>
            </w:tcBorders>
            <w:vAlign w:val="center"/>
          </w:tcPr>
          <w:p w14:paraId="2B11CD33">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签订合同时间：中标通知书发出之日起二十五日内。</w:t>
            </w:r>
          </w:p>
        </w:tc>
      </w:tr>
      <w:tr w14:paraId="52982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246E1F2">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637" w:type="dxa"/>
            <w:tcBorders>
              <w:top w:val="single" w:color="auto" w:sz="4" w:space="0"/>
              <w:left w:val="single" w:color="auto" w:sz="4" w:space="0"/>
              <w:bottom w:val="single" w:color="auto" w:sz="4" w:space="0"/>
              <w:right w:val="single" w:color="auto" w:sz="4" w:space="0"/>
            </w:tcBorders>
            <w:vAlign w:val="center"/>
          </w:tcPr>
          <w:p w14:paraId="1B680E7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p w14:paraId="4C4BD904">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不需要提交</w:t>
            </w:r>
          </w:p>
          <w:p w14:paraId="07558A69">
            <w:pPr>
              <w:keepNext w:val="0"/>
              <w:keepLines w:val="0"/>
              <w:pageBreakBefore w:val="0"/>
              <w:kinsoku/>
              <w:wordWrap/>
              <w:overflowPunct/>
              <w:topLinePunct w:val="0"/>
              <w:bidi w:val="0"/>
              <w:spacing w:line="360" w:lineRule="exact"/>
              <w:rPr>
                <w:rFonts w:hint="eastAsia" w:ascii="宋体" w:hAnsi="宋体" w:eastAsia="宋体" w:cs="宋体"/>
                <w:color w:val="auto"/>
                <w:szCs w:val="21"/>
                <w:highlight w:val="none"/>
              </w:rPr>
            </w:pPr>
            <w:r>
              <w:rPr>
                <w:rFonts w:hint="eastAsia" w:hAnsi="宋体" w:cs="宋体"/>
                <w:color w:val="auto"/>
                <w:kern w:val="0"/>
                <w:highlight w:val="none"/>
                <w:lang w:eastAsia="zh-CN"/>
              </w:rPr>
              <w:t>☑</w:t>
            </w:r>
            <w:r>
              <w:rPr>
                <w:rFonts w:hint="eastAsia" w:ascii="宋体" w:hAnsi="宋体" w:eastAsia="宋体" w:cs="宋体"/>
                <w:color w:val="auto"/>
                <w:szCs w:val="21"/>
                <w:highlight w:val="none"/>
              </w:rPr>
              <w:t>需要提交</w:t>
            </w:r>
          </w:p>
          <w:p w14:paraId="77E807D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1．履约保证金金额：合同金额的5%，若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标人是中型企业的，</w:t>
            </w:r>
            <w:r>
              <w:rPr>
                <w:rFonts w:hint="eastAsia" w:ascii="宋体" w:hAnsi="宋体" w:cs="宋体"/>
                <w:color w:val="auto"/>
                <w:szCs w:val="21"/>
                <w:highlight w:val="none"/>
              </w:rPr>
              <w:t>则履约保证金按合同金额的2%收取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若</w:t>
            </w:r>
            <w:r>
              <w:rPr>
                <w:rFonts w:hint="eastAsia" w:ascii="宋体" w:hAnsi="宋体" w:cs="宋体"/>
                <w:color w:val="auto"/>
                <w:szCs w:val="21"/>
                <w:highlight w:val="none"/>
                <w:lang w:eastAsia="zh-CN"/>
              </w:rPr>
              <w:t>中</w:t>
            </w:r>
            <w:r>
              <w:rPr>
                <w:rFonts w:hint="eastAsia" w:ascii="宋体" w:hAnsi="宋体" w:eastAsia="宋体" w:cs="宋体"/>
                <w:color w:val="auto"/>
                <w:szCs w:val="21"/>
                <w:highlight w:val="none"/>
                <w:lang w:eastAsia="zh-CN"/>
              </w:rPr>
              <w:t>标人</w:t>
            </w:r>
            <w:r>
              <w:rPr>
                <w:rFonts w:hint="eastAsia" w:ascii="宋体" w:hAnsi="宋体" w:eastAsia="宋体" w:cs="宋体"/>
                <w:color w:val="auto"/>
                <w:szCs w:val="21"/>
                <w:highlight w:val="none"/>
                <w:lang w:val="en-US" w:eastAsia="zh-CN"/>
              </w:rPr>
              <w:t>是</w:t>
            </w:r>
            <w:r>
              <w:rPr>
                <w:rFonts w:hint="eastAsia" w:ascii="宋体" w:hAnsi="宋体" w:cs="宋体"/>
                <w:color w:val="auto"/>
                <w:szCs w:val="21"/>
                <w:highlight w:val="none"/>
                <w:lang w:eastAsia="zh-CN"/>
              </w:rPr>
              <w:t>小微企业的</w:t>
            </w:r>
            <w:r>
              <w:rPr>
                <w:rFonts w:hint="eastAsia" w:ascii="宋体" w:hAnsi="宋体" w:cs="宋体"/>
                <w:color w:val="auto"/>
                <w:szCs w:val="21"/>
                <w:highlight w:val="none"/>
              </w:rPr>
              <w:t>则</w:t>
            </w:r>
            <w:r>
              <w:rPr>
                <w:rFonts w:hint="eastAsia" w:ascii="宋体" w:hAnsi="宋体" w:cs="宋体"/>
                <w:color w:val="auto"/>
                <w:szCs w:val="21"/>
                <w:highlight w:val="none"/>
                <w:lang w:eastAsia="zh-CN"/>
              </w:rPr>
              <w:t>免收履约保证金</w:t>
            </w:r>
            <w:r>
              <w:rPr>
                <w:rFonts w:hint="eastAsia" w:ascii="宋体" w:hAnsi="宋体" w:cs="宋体"/>
                <w:color w:val="auto"/>
                <w:szCs w:val="21"/>
                <w:highlight w:val="none"/>
              </w:rPr>
              <w:t>。</w:t>
            </w:r>
          </w:p>
          <w:p w14:paraId="7730017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必须以银行转账、支票、汇票、本票或者金融机构、担保机构出具的保险、保函（含电子保函）等非现金方式向采购人提交履约保证金。</w:t>
            </w:r>
          </w:p>
          <w:p w14:paraId="3B4EC0D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3．履约保证金退付条件及时间:自项目验收合格之日起至质保期满无质量问题，采购人收到退付履约保证金申请后15个工作日内退还(无息)。</w:t>
            </w:r>
          </w:p>
          <w:p w14:paraId="30A0B20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w:t>
            </w:r>
          </w:p>
          <w:p w14:paraId="05472D1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不按合同履行质量保证义务的，采购人有权对采购标的进行更换、维修维保，所需费用从</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承担。同时，采购人保留起诉</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的权利。</w:t>
            </w:r>
          </w:p>
          <w:p w14:paraId="02C5048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变更单位名称、联系方式等不及时告知采购人并提供相关变更材料，造成采购人无法通知</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自动放弃领回履约保证金权利，采购人有权对履约保证金进行另外处置。</w:t>
            </w:r>
          </w:p>
          <w:p w14:paraId="21181B4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原因导致履约保证金无法按时退回的情形。</w:t>
            </w:r>
          </w:p>
          <w:p w14:paraId="48F3E42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p w14:paraId="796CDA2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必须在签订合同前，按照规定提交方式，足额缴纳履约保证金。</w:t>
            </w:r>
          </w:p>
          <w:p w14:paraId="03ABC272">
            <w:pPr>
              <w:spacing w:line="36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未按规定缴纳履约保证金的，暂缓签订合同，责任由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承担。</w:t>
            </w:r>
          </w:p>
        </w:tc>
      </w:tr>
      <w:tr w14:paraId="31FE4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CEF7E6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637" w:type="dxa"/>
            <w:tcBorders>
              <w:top w:val="single" w:color="auto" w:sz="4" w:space="0"/>
              <w:left w:val="single" w:color="auto" w:sz="4" w:space="0"/>
              <w:bottom w:val="single" w:color="auto" w:sz="4" w:space="0"/>
              <w:right w:val="single" w:color="auto" w:sz="4" w:space="0"/>
            </w:tcBorders>
            <w:vAlign w:val="center"/>
          </w:tcPr>
          <w:p w14:paraId="26FDE9D8">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内容中涉及商业秘密的部分，未注明的视为投标文件中不涉及商业秘密。</w:t>
            </w:r>
          </w:p>
        </w:tc>
      </w:tr>
      <w:tr w14:paraId="06A95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3C476D0">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637" w:type="dxa"/>
            <w:tcBorders>
              <w:top w:val="single" w:color="auto" w:sz="4" w:space="0"/>
              <w:left w:val="single" w:color="auto" w:sz="4" w:space="0"/>
              <w:bottom w:val="single" w:color="auto" w:sz="4" w:space="0"/>
              <w:right w:val="single" w:color="auto" w:sz="4" w:space="0"/>
            </w:tcBorders>
            <w:vAlign w:val="center"/>
          </w:tcPr>
          <w:p w14:paraId="6E9A4AE6">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采购资金来源：</w:t>
            </w:r>
            <w:r>
              <w:rPr>
                <w:rFonts w:hint="eastAsia" w:ascii="宋体" w:hAnsi="宋体" w:cs="宋体"/>
                <w:color w:val="auto"/>
                <w:kern w:val="0"/>
                <w:szCs w:val="21"/>
                <w:highlight w:val="none"/>
                <w:lang w:eastAsia="zh-CN"/>
              </w:rPr>
              <w:t>☑</w:t>
            </w:r>
            <w:r>
              <w:rPr>
                <w:color w:val="auto"/>
                <w:highlight w:val="none"/>
              </w:rPr>
              <w:t>预算资金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预算外资金</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其他资金</w:t>
            </w:r>
          </w:p>
        </w:tc>
      </w:tr>
      <w:tr w14:paraId="42114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3CFC035">
            <w:pPr>
              <w:keepNext w:val="0"/>
              <w:keepLines w:val="0"/>
              <w:pageBreakBefore w:val="0"/>
              <w:kinsoku/>
              <w:wordWrap/>
              <w:overflowPunct/>
              <w:topLinePunct w:val="0"/>
              <w:bidi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7" w:type="dxa"/>
            <w:tcBorders>
              <w:top w:val="single" w:color="auto" w:sz="4" w:space="0"/>
              <w:left w:val="single" w:color="auto" w:sz="4" w:space="0"/>
              <w:bottom w:val="single" w:color="auto" w:sz="4" w:space="0"/>
              <w:right w:val="single" w:color="auto" w:sz="4" w:space="0"/>
            </w:tcBorders>
            <w:vAlign w:val="center"/>
          </w:tcPr>
          <w:p w14:paraId="60C5A6CF">
            <w:pPr>
              <w:autoSpaceDE w:val="0"/>
              <w:autoSpaceDN w:val="0"/>
              <w:snapToGrid w:val="0"/>
              <w:spacing w:line="360" w:lineRule="exact"/>
              <w:textAlignment w:val="bottom"/>
              <w:rPr>
                <w:rFonts w:hint="eastAsia" w:ascii="宋体" w:hAnsi="宋体" w:eastAsia="宋体" w:cs="宋体"/>
                <w:color w:val="auto"/>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lang w:eastAsia="zh-CN"/>
              </w:rPr>
              <w:t>☑</w:t>
            </w:r>
            <w:r>
              <w:rPr>
                <w:color w:val="auto"/>
                <w:highlight w:val="none"/>
              </w:rPr>
              <w:t>国库集中支付或采购专户支付</w:t>
            </w:r>
            <w:r>
              <w:rPr>
                <w:rFonts w:hint="eastAsia"/>
                <w:color w:val="auto"/>
                <w:highlight w:val="none"/>
                <w:lang w:val="en-US" w:eastAsia="zh-CN"/>
              </w:rPr>
              <w:t xml:space="preserve">  </w:t>
            </w:r>
            <w:r>
              <w:rPr>
                <w:rFonts w:hint="eastAsia" w:ascii="宋体" w:hAnsi="宋体" w:eastAsia="宋体" w:cs="宋体"/>
                <w:color w:val="auto"/>
                <w:kern w:val="0"/>
                <w:szCs w:val="21"/>
                <w:highlight w:val="none"/>
              </w:rPr>
              <w:t>□</w:t>
            </w:r>
            <w:r>
              <w:rPr>
                <w:color w:val="auto"/>
                <w:highlight w:val="none"/>
              </w:rPr>
              <w:t>采购人自行支付</w:t>
            </w:r>
          </w:p>
        </w:tc>
      </w:tr>
      <w:tr w14:paraId="20E69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6561FE5">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8637" w:type="dxa"/>
            <w:tcBorders>
              <w:top w:val="single" w:color="auto" w:sz="4" w:space="0"/>
              <w:left w:val="single" w:color="auto" w:sz="4" w:space="0"/>
              <w:bottom w:val="single" w:color="auto" w:sz="4" w:space="0"/>
              <w:right w:val="single" w:color="auto" w:sz="4" w:space="0"/>
            </w:tcBorders>
            <w:vAlign w:val="center"/>
          </w:tcPr>
          <w:p w14:paraId="50F36A29">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投标有效期：投标截止日期后60天。</w:t>
            </w:r>
          </w:p>
        </w:tc>
      </w:tr>
      <w:tr w14:paraId="06944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BA06E57">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8637" w:type="dxa"/>
            <w:tcBorders>
              <w:top w:val="single" w:color="auto" w:sz="4" w:space="0"/>
              <w:left w:val="single" w:color="auto" w:sz="4" w:space="0"/>
              <w:bottom w:val="single" w:color="auto" w:sz="4" w:space="0"/>
              <w:right w:val="single" w:color="auto" w:sz="4" w:space="0"/>
            </w:tcBorders>
            <w:vAlign w:val="center"/>
          </w:tcPr>
          <w:p w14:paraId="57DA4B5F">
            <w:pPr>
              <w:keepNext w:val="0"/>
              <w:keepLines w:val="0"/>
              <w:pageBreakBefore w:val="0"/>
              <w:kinsoku/>
              <w:wordWrap/>
              <w:overflowPunct/>
              <w:topLinePunct w:val="0"/>
              <w:bidi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解释：本招标文件的解释权属于采购单位。</w:t>
            </w:r>
          </w:p>
        </w:tc>
      </w:tr>
      <w:tr w14:paraId="6EC51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474E346">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8637" w:type="dxa"/>
            <w:tcBorders>
              <w:top w:val="single" w:color="auto" w:sz="4" w:space="0"/>
              <w:left w:val="single" w:color="auto" w:sz="4" w:space="0"/>
              <w:bottom w:val="single" w:color="auto" w:sz="4" w:space="0"/>
              <w:right w:val="single" w:color="auto" w:sz="4" w:space="0"/>
            </w:tcBorders>
            <w:vAlign w:val="center"/>
          </w:tcPr>
          <w:p w14:paraId="25379E5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注意事项：</w:t>
            </w:r>
          </w:p>
          <w:p w14:paraId="24AAA05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www.gcy.zfcg.gxzf.gov.cn）实行在线电子投标，供应商应按照本项目招标文件和广西政府采购云平台的要求编制、加密后在提交投标文件截止时间前通过网络上传至广西政府采购云平台，</w:t>
            </w:r>
            <w:r>
              <w:rPr>
                <w:rFonts w:hint="eastAsia" w:ascii="宋体" w:hAnsi="宋体" w:eastAsia="宋体" w:cs="宋体"/>
                <w:b/>
                <w:bCs/>
                <w:color w:val="auto"/>
                <w:szCs w:val="21"/>
                <w:highlight w:val="none"/>
              </w:rPr>
              <w:t>供应商在广西政府采购云平台提交电子投标文件时，请填写参加远程采购活动经办人联系方式。</w:t>
            </w:r>
            <w:r>
              <w:rPr>
                <w:rFonts w:hint="eastAsia" w:ascii="宋体" w:hAnsi="宋体" w:eastAsia="宋体" w:cs="宋体"/>
                <w:color w:val="auto"/>
                <w:szCs w:val="21"/>
                <w:highlight w:val="none"/>
              </w:rPr>
              <w:t>供应商登录广西政府采购云平台，依次进入“服务中心-项目采购-操作流程-电子招投标-政府采购项目电子交易管理操作指南-供应商”查看电子投标具体操作流程。</w:t>
            </w:r>
          </w:p>
          <w:p w14:paraId="0506F60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供应商应当在提交投标文件截止时间前，完成电子交易平台上的CA数字证书办理及投标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5F03E3F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（3）CA证书在线解密：投标截止时间后，需携带制作投标文件时用来加密的有效数字证书（CA认证）登录广西政府采购云平台电子开标大厅现场按规定时间对加密的投标文件进行解密，否则后果自负。</w:t>
            </w:r>
          </w:p>
          <w:p w14:paraId="36AD67F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0D6AF4CA">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（4）供应商需要在具备有摄像头及语音功能且互联网网络状况良好的电脑登录广西政府采购云平台远程开标大厅参与本次投标，否则后果自负。</w:t>
            </w:r>
          </w:p>
          <w:p w14:paraId="063F2349">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为电子标项目，不要求参与投标的供应商到达现场，但投标人应派法定代表人或委托代理人在线准时出席电子标评审，随时关注项目评审进度，在评审过程中对评标小组发出的询标函于规定的时间内进行确认回复。</w:t>
            </w:r>
          </w:p>
          <w:p w14:paraId="664B3C6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540D3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457347D">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8637" w:type="dxa"/>
            <w:tcBorders>
              <w:top w:val="single" w:color="auto" w:sz="4" w:space="0"/>
              <w:left w:val="single" w:color="auto" w:sz="4" w:space="0"/>
              <w:bottom w:val="single" w:color="auto" w:sz="4" w:space="0"/>
              <w:right w:val="single" w:color="auto" w:sz="4" w:space="0"/>
            </w:tcBorders>
            <w:vAlign w:val="center"/>
          </w:tcPr>
          <w:p w14:paraId="25B35A87">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电子投标文件的制作、加密：</w:t>
            </w:r>
          </w:p>
          <w:p w14:paraId="735F6A6E">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1、供应商制作电子投标文件前，应登陆“广西政府采购云平台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”进行“申请获取采购文件”操作，否则，有可能导致无法在线编制投标文件并参与投标，其不利后果由供应商自行承担。</w:t>
            </w:r>
          </w:p>
          <w:p w14:paraId="7B416A4D">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2、供应商下载或获取招标文件后，登录“广西政府采购云平台电子投标客户端”，按照本招标文件规定的投标文件格式、顺序以及“广西政府采购云平台</w:t>
            </w:r>
            <w:r>
              <w:rPr>
                <w:rFonts w:hint="eastAsia" w:ascii="宋体" w:hAnsi="宋体" w:eastAsia="宋体" w:cs="宋体"/>
                <w:color w:val="auto"/>
                <w:sz w:val="21"/>
                <w:szCs w:val="21"/>
                <w:highlight w:val="none"/>
              </w:rPr>
              <w:t>（https://www.gcy.zfcg.gxzf.gov.cn/）</w:t>
            </w:r>
            <w:r>
              <w:rPr>
                <w:rFonts w:hint="eastAsia" w:ascii="宋体" w:hAnsi="宋体" w:eastAsia="宋体" w:cs="宋体"/>
                <w:color w:val="auto"/>
                <w:kern w:val="2"/>
                <w:sz w:val="21"/>
                <w:szCs w:val="21"/>
                <w:highlight w:val="none"/>
              </w:rPr>
              <w:t>”的要求，通过“广西政府采购云平台电子投标客户端”编制电子投标文件。</w:t>
            </w:r>
          </w:p>
          <w:p w14:paraId="7404F9E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应按“广西政府采购云平台电子投标客户端”载明的“标书关联”功能进行电子投标文件的关联定位，以便评标小组在评审时点击相应评审项可直接定位到该评审内容；如供应商的电子投标文件未能关联定位相应内容，或者关联定位的内容与该评审项不符，导致评标小组无法查询并做出对供应商不利的评审，相关后果由供应商自行承担。</w:t>
            </w:r>
          </w:p>
          <w:p w14:paraId="48201644">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电子投标文件不得涂改，若有修改错漏处，须由法定代表人（负责人、自然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29476203">
            <w:pPr>
              <w:pStyle w:val="43"/>
              <w:keepNext w:val="0"/>
              <w:keepLines w:val="0"/>
              <w:pageBreakBefore w:val="0"/>
              <w:kinsoku/>
              <w:wordWrap/>
              <w:overflowPunct/>
              <w:topLinePunct w:val="0"/>
              <w:bidi w:val="0"/>
              <w:spacing w:before="0" w:beforeAutospacing="0" w:after="0" w:afterAutospacing="0" w:line="3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5、供应商编制、生成电子投标文件后应当加密投标文件。供应商未按规定编制并加密的投标文件，“广西政府采购云平台”将予以拒收。</w:t>
            </w:r>
          </w:p>
        </w:tc>
      </w:tr>
      <w:tr w14:paraId="711A4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B8F592B">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25</w:t>
            </w:r>
          </w:p>
        </w:tc>
        <w:tc>
          <w:tcPr>
            <w:tcW w:w="8637" w:type="dxa"/>
            <w:tcBorders>
              <w:top w:val="single" w:color="auto" w:sz="4" w:space="0"/>
              <w:left w:val="single" w:color="auto" w:sz="4" w:space="0"/>
              <w:bottom w:val="single" w:color="auto" w:sz="4" w:space="0"/>
              <w:right w:val="single" w:color="auto" w:sz="4" w:space="0"/>
            </w:tcBorders>
            <w:vAlign w:val="center"/>
          </w:tcPr>
          <w:p w14:paraId="11913809">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供应商公章及签字：</w:t>
            </w:r>
          </w:p>
          <w:p w14:paraId="7C0C944A">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1、本招标文件中描述供应商的“公章”是指供应商通过指定电子化政府采购平台办理数字证书（CA认证证书）获得的以法定主体行为名称制作的电子印章。</w:t>
            </w:r>
          </w:p>
          <w:p w14:paraId="0AB7E8F6">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2、本招标文件中要求供应商对其电子投标文件的相关内容加盖公章的，均指采用CA证书签章。</w:t>
            </w:r>
          </w:p>
          <w:p w14:paraId="2EB0C4E8">
            <w:pPr>
              <w:pStyle w:val="206"/>
              <w:keepNext w:val="0"/>
              <w:keepLines w:val="0"/>
              <w:pageBreakBefore w:val="0"/>
              <w:kinsoku/>
              <w:wordWrap/>
              <w:overflowPunct/>
              <w:topLinePunct w:val="0"/>
              <w:autoSpaceDE w:val="0"/>
              <w:autoSpaceDN w:val="0"/>
              <w:bidi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7861A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7F79084">
            <w:pPr>
              <w:keepNext w:val="0"/>
              <w:keepLines w:val="0"/>
              <w:pageBreakBefore w:val="0"/>
              <w:kinsoku/>
              <w:wordWrap/>
              <w:overflowPunct/>
              <w:topLinePunct w:val="0"/>
              <w:bidi w:val="0"/>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w:t>
            </w:r>
          </w:p>
        </w:tc>
        <w:tc>
          <w:tcPr>
            <w:tcW w:w="8637" w:type="dxa"/>
            <w:tcBorders>
              <w:top w:val="single" w:color="auto" w:sz="4" w:space="0"/>
              <w:left w:val="single" w:color="auto" w:sz="4" w:space="0"/>
              <w:bottom w:val="single" w:color="auto" w:sz="4" w:space="0"/>
              <w:right w:val="single" w:color="auto" w:sz="4" w:space="0"/>
            </w:tcBorders>
            <w:vAlign w:val="center"/>
          </w:tcPr>
          <w:p w14:paraId="5D544C9F">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投标文件的解密：</w:t>
            </w:r>
          </w:p>
          <w:p w14:paraId="3CDDA1B4">
            <w:pPr>
              <w:keepNext w:val="0"/>
              <w:keepLines w:val="0"/>
              <w:pageBreakBefore w:val="0"/>
              <w:kinsoku/>
              <w:wordWrap/>
              <w:overflowPunct/>
              <w:topLinePunct w:val="0"/>
              <w:autoSpaceDE w:val="0"/>
              <w:autoSpaceDN w:val="0"/>
              <w:bidi w:val="0"/>
              <w:snapToGrid w:val="0"/>
              <w:spacing w:line="36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采购代理机构将在“招标公告”规定的时间通过电子交易平台组织投标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投标文件在线解密。发起解密指令之时起5分钟内供应商还未进行解密的，代理机构通知供应商，供应商没预留联系方式或预留联系方式无效，非代理机构原因导致代理机构无法联系到供应商进行解密的，视为投标文件无效。(解密异常情况处理：</w:t>
            </w:r>
            <w:r>
              <w:rPr>
                <w:rFonts w:hint="eastAsia" w:ascii="宋体" w:hAnsi="宋体" w:eastAsia="宋体" w:cs="宋体"/>
                <w:bCs/>
                <w:color w:val="auto"/>
                <w:highlight w:val="none"/>
              </w:rPr>
              <w:t>详见本章第五点（九）电子交易活动的中止</w:t>
            </w:r>
            <w:r>
              <w:rPr>
                <w:rFonts w:hint="eastAsia" w:ascii="宋体" w:hAnsi="宋体" w:eastAsia="宋体" w:cs="宋体"/>
                <w:color w:val="auto"/>
                <w:highlight w:val="none"/>
              </w:rPr>
              <w:t>。)</w:t>
            </w:r>
          </w:p>
        </w:tc>
      </w:tr>
    </w:tbl>
    <w:p w14:paraId="3E3B5466">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C2E2B90">
      <w:pPr>
        <w:pStyle w:val="27"/>
        <w:snapToGrid w:val="0"/>
        <w:spacing w:before="120" w:after="120"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投标人须知正文</w:t>
      </w:r>
    </w:p>
    <w:p w14:paraId="44C181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一、总  则</w:t>
      </w:r>
    </w:p>
    <w:p w14:paraId="4464C9B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9" w:name="_Toc254970668"/>
      <w:bookmarkStart w:id="10" w:name="_Toc254970527"/>
      <w:r>
        <w:rPr>
          <w:rFonts w:hint="eastAsia" w:ascii="宋体" w:hAnsi="宋体" w:eastAsia="宋体" w:cs="宋体"/>
          <w:b/>
          <w:color w:val="auto"/>
          <w:szCs w:val="21"/>
          <w:highlight w:val="none"/>
        </w:rPr>
        <w:t>（一） 适用范围</w:t>
      </w:r>
      <w:bookmarkEnd w:id="9"/>
      <w:bookmarkEnd w:id="10"/>
    </w:p>
    <w:p w14:paraId="5465351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本招标文件适用于本项目的招标、投标、评标、定标、验收、合同履约、付款等行为（法律、法规另有规定的，从其规定）。</w:t>
      </w:r>
    </w:p>
    <w:p w14:paraId="329C636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10" w:firstLineChars="147"/>
        <w:jc w:val="left"/>
        <w:textAlignment w:val="auto"/>
        <w:rPr>
          <w:rFonts w:hint="eastAsia" w:ascii="宋体" w:hAnsi="宋体" w:eastAsia="宋体" w:cs="宋体"/>
          <w:b/>
          <w:color w:val="auto"/>
          <w:szCs w:val="21"/>
          <w:highlight w:val="none"/>
        </w:rPr>
      </w:pPr>
      <w:bookmarkStart w:id="11" w:name="_Toc254970669"/>
      <w:bookmarkStart w:id="12" w:name="_Toc254970528"/>
      <w:r>
        <w:rPr>
          <w:rFonts w:hint="eastAsia" w:ascii="宋体" w:hAnsi="宋体" w:eastAsia="宋体" w:cs="宋体"/>
          <w:b/>
          <w:color w:val="auto"/>
          <w:szCs w:val="21"/>
          <w:highlight w:val="none"/>
        </w:rPr>
        <w:t>（二）定义</w:t>
      </w:r>
      <w:bookmarkEnd w:id="11"/>
      <w:bookmarkEnd w:id="12"/>
    </w:p>
    <w:p w14:paraId="170D4CA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1.招标采购单位系指组织本次招标的采购人及代理机构。</w:t>
      </w:r>
    </w:p>
    <w:p w14:paraId="43EBFB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2.“投标人”系指向招标方提交投标文件的法人、其他组织或者自然人。</w:t>
      </w:r>
    </w:p>
    <w:p w14:paraId="3E32A0F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3.“货物”系指各种形态和种类的物品，包括原材料、燃料、设备、产品等。</w:t>
      </w:r>
    </w:p>
    <w:p w14:paraId="2F2D76C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4.“服务”系指是指除货物和工程以外的其他政府采购对象。</w:t>
      </w:r>
    </w:p>
    <w:p w14:paraId="569B27A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5.“项目”系指投标人按招标文件规定向采购人提供的产品和服务。</w:t>
      </w:r>
    </w:p>
    <w:p w14:paraId="7F9C92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6.“书面形式”包括是指合同书、信件和数据电文（包括电报、电传、传真、电子数据交换和电子邮件）等可以有形地表现所载内容的形式。</w:t>
      </w:r>
    </w:p>
    <w:p w14:paraId="54AA31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7.“▲”系指实质性要求条款。</w:t>
      </w:r>
    </w:p>
    <w:p w14:paraId="1A05E61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16DE3E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9. 本招标文件中描述投标人的“签字/签名”是指</w:t>
      </w:r>
      <w:r>
        <w:rPr>
          <w:rFonts w:hint="eastAsia" w:ascii="宋体" w:hAnsi="宋体" w:eastAsia="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0FC667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 本招标文件中描述供应商的“公章”是指供应商通过指定电子化政府采购平台办理数字证书（CA认证证书）获得的以法定主体行为名称制作的电子印章。本招标文件中要求供应商对其电子投标文件的相关内容加盖公章的，均指采用CA证书签章。</w:t>
      </w:r>
    </w:p>
    <w:p w14:paraId="7482B9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本招标文件所称的“以上”“以下”“以内”“届满”，包括本数；所称的“不满”“超过”“以外”，不包括本数；如招标文件另有特殊规定的从其规定。 </w:t>
      </w:r>
    </w:p>
    <w:p w14:paraId="000993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highlight w:val="none"/>
        </w:rPr>
        <w:t>“复印件”包含“扫描件”。</w:t>
      </w:r>
    </w:p>
    <w:p w14:paraId="7436DE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13" w:name="_Toc254970529"/>
      <w:bookmarkStart w:id="14" w:name="_Toc254970670"/>
      <w:r>
        <w:rPr>
          <w:rFonts w:hint="eastAsia" w:ascii="宋体" w:hAnsi="宋体" w:eastAsia="宋体" w:cs="宋体"/>
          <w:b/>
          <w:color w:val="auto"/>
          <w:szCs w:val="21"/>
          <w:highlight w:val="none"/>
        </w:rPr>
        <w:t>（三）</w:t>
      </w:r>
      <w:bookmarkEnd w:id="13"/>
      <w:bookmarkEnd w:id="14"/>
      <w:r>
        <w:rPr>
          <w:rFonts w:hint="eastAsia" w:ascii="宋体" w:hAnsi="宋体" w:eastAsia="宋体" w:cs="宋体"/>
          <w:b/>
          <w:color w:val="auto"/>
          <w:szCs w:val="21"/>
          <w:highlight w:val="none"/>
        </w:rPr>
        <w:t>投标人的资格要求</w:t>
      </w:r>
    </w:p>
    <w:p w14:paraId="3C2E10C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kern w:val="0"/>
          <w:szCs w:val="21"/>
          <w:highlight w:val="none"/>
        </w:rPr>
      </w:pPr>
      <w:bookmarkStart w:id="15" w:name="_Toc254970530"/>
      <w:bookmarkStart w:id="16" w:name="_Toc254970671"/>
      <w:r>
        <w:rPr>
          <w:rFonts w:hint="eastAsia" w:ascii="宋体" w:hAnsi="宋体" w:eastAsia="宋体" w:cs="宋体"/>
          <w:color w:val="auto"/>
          <w:kern w:val="0"/>
          <w:szCs w:val="21"/>
          <w:highlight w:val="none"/>
        </w:rPr>
        <w:t>投标人的资格要求详见“投标人须知前附表”。</w:t>
      </w:r>
    </w:p>
    <w:p w14:paraId="4C5FD3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（四）投标委托</w:t>
      </w:r>
      <w:bookmarkEnd w:id="15"/>
      <w:bookmarkEnd w:id="16"/>
    </w:p>
    <w:p w14:paraId="6216A26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如投标人代表为法定代表人须提供法人身份证明书及身份证，如投标人代表不是法定代表人，须有法定代表人出具的授权委托书及身份证（格式见第六章投标文件格式）。</w:t>
      </w:r>
    </w:p>
    <w:p w14:paraId="5F60FD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17" w:name="_Toc254970531"/>
      <w:bookmarkStart w:id="18" w:name="_Toc254970672"/>
      <w:r>
        <w:rPr>
          <w:rFonts w:hint="eastAsia" w:ascii="宋体" w:hAnsi="宋体" w:eastAsia="宋体" w:cs="宋体"/>
          <w:b/>
          <w:color w:val="auto"/>
          <w:szCs w:val="21"/>
          <w:highlight w:val="none"/>
        </w:rPr>
        <w:t>（五）投标费用</w:t>
      </w:r>
      <w:bookmarkEnd w:id="17"/>
      <w:bookmarkEnd w:id="18"/>
    </w:p>
    <w:p w14:paraId="00B77E8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投标人均应自行承担所有与投标有关的全部费用（招标文件有相关的规定除外）。</w:t>
      </w:r>
    </w:p>
    <w:p w14:paraId="7C65BCE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（六）联合体投标</w:t>
      </w:r>
    </w:p>
    <w:p w14:paraId="77BFE47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本项目是否接受联合体投标，详见“投标人须知前附表”</w:t>
      </w:r>
      <w:r>
        <w:rPr>
          <w:rFonts w:hint="eastAsia" w:ascii="宋体" w:hAnsi="宋体" w:eastAsia="宋体" w:cs="宋体"/>
          <w:color w:val="auto"/>
          <w:szCs w:val="21"/>
          <w:highlight w:val="none"/>
        </w:rPr>
        <w:t>。</w:t>
      </w:r>
    </w:p>
    <w:p w14:paraId="2A96F9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19" w:name="_Toc4545"/>
      <w:r>
        <w:rPr>
          <w:rFonts w:hint="eastAsia" w:ascii="宋体" w:hAnsi="宋体" w:eastAsia="宋体" w:cs="宋体"/>
          <w:bCs/>
          <w:color w:val="auto"/>
          <w:highlight w:val="none"/>
        </w:rPr>
        <w:t>2.联合体要求（联合体投标时应满足下列要求）：</w:t>
      </w:r>
      <w:bookmarkEnd w:id="19"/>
    </w:p>
    <w:p w14:paraId="50E51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0" w:name="_Toc1084"/>
      <w:r>
        <w:rPr>
          <w:rFonts w:hint="eastAsia" w:ascii="宋体" w:hAnsi="宋体" w:eastAsia="宋体" w:cs="宋体"/>
          <w:bCs/>
          <w:color w:val="auto"/>
          <w:highlight w:val="none"/>
        </w:rPr>
        <w:t>（1）两个以上供应商可以组成一个投标联合体，以一个投标人的身份共同参加投标，联合体投标人的名称应统一按“XXX公司与XXX公司的联合体”的规则填写。</w:t>
      </w:r>
      <w:bookmarkEnd w:id="20"/>
    </w:p>
    <w:p w14:paraId="5F78B45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1" w:name="_Toc29316"/>
      <w:r>
        <w:rPr>
          <w:rFonts w:hint="eastAsia" w:ascii="宋体" w:hAnsi="宋体" w:eastAsia="宋体" w:cs="宋体"/>
          <w:bCs/>
          <w:color w:val="auto"/>
          <w:highlight w:val="none"/>
        </w:rPr>
        <w:t>（2）以联合体形式参加投标的，联合体各方均应当符合“具有独立承担民事责任的能力”的条件。 本项目有特殊要求规定投标人特定条件的，联合体各方中至少应当有一方符合招标文件规定的特定条件。</w:t>
      </w:r>
      <w:bookmarkEnd w:id="21"/>
    </w:p>
    <w:p w14:paraId="1E0D300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2" w:name="_Toc19959"/>
      <w:r>
        <w:rPr>
          <w:rFonts w:hint="eastAsia" w:ascii="宋体" w:hAnsi="宋体" w:eastAsia="宋体" w:cs="宋体"/>
          <w:bCs/>
          <w:color w:val="auto"/>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bookmarkEnd w:id="22"/>
    </w:p>
    <w:p w14:paraId="5015CB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3" w:name="_Toc8813"/>
      <w:r>
        <w:rPr>
          <w:rFonts w:hint="eastAsia" w:ascii="宋体" w:hAnsi="宋体" w:eastAsia="宋体" w:cs="宋体"/>
          <w:bCs/>
          <w:color w:val="auto"/>
          <w:highlight w:val="none"/>
        </w:rPr>
        <w:t>（4）以联合体形式参加政府采购活动的，联合体各方不得再单独参加或者与其他投标人另外组成联合体参加同一合同项下的政府采购活动，否则与之相关的投标文件作废。</w:t>
      </w:r>
      <w:bookmarkEnd w:id="23"/>
    </w:p>
    <w:p w14:paraId="28C2E5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4" w:name="_Toc9098"/>
      <w:r>
        <w:rPr>
          <w:rFonts w:hint="eastAsia" w:ascii="宋体" w:hAnsi="宋体" w:eastAsia="宋体" w:cs="宋体"/>
          <w:bCs/>
          <w:color w:val="auto"/>
          <w:highlight w:val="none"/>
        </w:rPr>
        <w:t>（5）联合体中有同类资质的投标人按照联合体分工承担相同工作的，应当按照资质等级较低的投标人确定资质等级。</w:t>
      </w:r>
      <w:bookmarkEnd w:id="24"/>
    </w:p>
    <w:p w14:paraId="74937F6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5" w:name="_Toc19429"/>
      <w:r>
        <w:rPr>
          <w:rFonts w:hint="eastAsia" w:ascii="宋体" w:hAnsi="宋体" w:eastAsia="宋体" w:cs="宋体"/>
          <w:bCs/>
          <w:color w:val="auto"/>
          <w:highlight w:val="none"/>
        </w:rPr>
        <w:t>（6）联合体投标业绩、履约能力按照联合体各方其中较高的一方认定并计算（招标文件另有规定的除外）。</w:t>
      </w:r>
      <w:bookmarkEnd w:id="25"/>
    </w:p>
    <w:p w14:paraId="61EA14D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6" w:name="_Toc6707"/>
      <w:r>
        <w:rPr>
          <w:rFonts w:hint="eastAsia" w:ascii="宋体" w:hAnsi="宋体" w:eastAsia="宋体" w:cs="宋体"/>
          <w:bCs/>
          <w:color w:val="auto"/>
          <w:highlight w:val="none"/>
        </w:rPr>
        <w:t>（7）联合体各方均应按照招标文件的规定提交资格证明文件。</w:t>
      </w:r>
      <w:bookmarkEnd w:id="26"/>
    </w:p>
    <w:p w14:paraId="5EC342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27" w:name="_Toc14809"/>
      <w:r>
        <w:rPr>
          <w:rFonts w:hint="eastAsia" w:ascii="宋体" w:hAnsi="宋体" w:eastAsia="宋体" w:cs="宋体"/>
          <w:bCs/>
          <w:color w:val="auto"/>
          <w:highlight w:val="none"/>
        </w:rPr>
        <w:t>3. 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bookmarkEnd w:id="27"/>
    </w:p>
    <w:p w14:paraId="13A108D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（七）分包与转包</w:t>
      </w:r>
      <w:r>
        <w:rPr>
          <w:rFonts w:hint="eastAsia" w:ascii="宋体" w:hAnsi="宋体" w:eastAsia="宋体" w:cs="宋体"/>
          <w:b/>
          <w:color w:val="auto"/>
          <w:kern w:val="0"/>
          <w:szCs w:val="21"/>
          <w:highlight w:val="none"/>
        </w:rPr>
        <w:t xml:space="preserve"> </w:t>
      </w:r>
    </w:p>
    <w:p w14:paraId="26C66BC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2BE74F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2D9881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3.本项目不允许转包。</w:t>
      </w:r>
    </w:p>
    <w:p w14:paraId="740CF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jc w:val="left"/>
        <w:textAlignment w:val="auto"/>
        <w:rPr>
          <w:rFonts w:hint="eastAsia" w:ascii="宋体" w:hAnsi="宋体" w:eastAsia="宋体" w:cs="宋体"/>
          <w:b/>
          <w:color w:val="auto"/>
          <w:szCs w:val="21"/>
          <w:highlight w:val="none"/>
        </w:rPr>
      </w:pPr>
      <w:bookmarkStart w:id="28" w:name="_Toc254970673"/>
      <w:bookmarkStart w:id="29" w:name="_Toc254970532"/>
      <w:bookmarkStart w:id="30" w:name="_Toc254970533"/>
      <w:bookmarkStart w:id="31" w:name="_Toc254970674"/>
      <w:r>
        <w:rPr>
          <w:rFonts w:hint="eastAsia" w:ascii="宋体" w:hAnsi="宋体" w:eastAsia="宋体" w:cs="宋体"/>
          <w:b/>
          <w:color w:val="auto"/>
          <w:szCs w:val="21"/>
          <w:highlight w:val="none"/>
        </w:rPr>
        <w:t>（八）特别说明：</w:t>
      </w:r>
      <w:bookmarkEnd w:id="28"/>
      <w:bookmarkEnd w:id="29"/>
    </w:p>
    <w:p w14:paraId="55FFD2F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2" w:name="_Toc22826"/>
      <w:r>
        <w:rPr>
          <w:rFonts w:hint="eastAsia" w:ascii="宋体" w:hAnsi="宋体" w:eastAsia="宋体" w:cs="宋体"/>
          <w:bCs/>
          <w:color w:val="auto"/>
          <w:highlight w:val="none"/>
        </w:rPr>
        <w:t>1.</w:t>
      </w:r>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出现下列情形之一的，在评审过程中，按一家投标人计算，评审后得分最高的同品牌投标人获得中标人推荐资格；评审得分相同的，以报价最低的投标人获得中标人推荐资格；评审得分及投标报价相同的，以技术得分最高的投标人获得中标人推荐资格；其他同品牌投标人不作为中标候选人：</w:t>
      </w:r>
      <w:bookmarkEnd w:id="32"/>
    </w:p>
    <w:p w14:paraId="4F1566C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33" w:name="_Toc26268"/>
      <w:r>
        <w:rPr>
          <w:rFonts w:hint="eastAsia" w:ascii="宋体" w:hAnsi="宋体" w:eastAsia="宋体" w:cs="宋体"/>
          <w:b/>
          <w:bCs w:val="0"/>
          <w:color w:val="auto"/>
          <w:highlight w:val="none"/>
        </w:rPr>
        <w:t>（1）提供相同品牌产品且通过资格审查、符合性审查的不同投标人参加单一产品的同一合同项下的政府采购活动的。</w:t>
      </w:r>
      <w:bookmarkEnd w:id="33"/>
    </w:p>
    <w:p w14:paraId="4E6D3A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outlineLvl w:val="1"/>
        <w:rPr>
          <w:rFonts w:hint="eastAsia" w:ascii="宋体" w:hAnsi="宋体" w:eastAsia="宋体" w:cs="宋体"/>
          <w:b/>
          <w:bCs w:val="0"/>
          <w:color w:val="auto"/>
          <w:highlight w:val="none"/>
        </w:rPr>
      </w:pPr>
      <w:bookmarkStart w:id="34" w:name="_Toc2441"/>
      <w:r>
        <w:rPr>
          <w:rFonts w:hint="eastAsia" w:ascii="宋体" w:hAnsi="宋体" w:eastAsia="宋体" w:cs="宋体"/>
          <w:b/>
          <w:bCs w:val="0"/>
          <w:color w:val="auto"/>
          <w:highlight w:val="none"/>
        </w:rPr>
        <w:t>（2）非单一产品采购项目中，多家投标人提供的核心产品品牌相同的，视为提供相同品牌产品。核心产品的名称应当在招标文件中载明。</w:t>
      </w:r>
      <w:bookmarkEnd w:id="34"/>
    </w:p>
    <w:p w14:paraId="44D8EF8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5" w:name="_Toc22187"/>
      <w:r>
        <w:rPr>
          <w:rFonts w:hint="eastAsia" w:ascii="宋体" w:hAnsi="宋体" w:eastAsia="宋体" w:cs="宋体"/>
          <w:bCs/>
          <w:color w:val="auto"/>
          <w:highlight w:val="none"/>
        </w:rPr>
        <w:t>2.投标人投标所使用的资格、信誉、荣誉、业绩与企业认证必须为本投标人所拥有。</w:t>
      </w:r>
      <w:bookmarkEnd w:id="35"/>
    </w:p>
    <w:p w14:paraId="4ABCAE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6" w:name="_Toc18040"/>
      <w:r>
        <w:rPr>
          <w:rFonts w:hint="eastAsia" w:ascii="宋体" w:hAnsi="宋体" w:eastAsia="宋体" w:cs="宋体"/>
          <w:bCs/>
          <w:color w:val="auto"/>
          <w:highlight w:val="none"/>
        </w:rPr>
        <w:t>3.投标人应仔细阅读招标文件的所有内容，按照招标文件的要求提交投标文件，并对所提供的全部资料的真实性承担法律责任。</w:t>
      </w:r>
      <w:bookmarkEnd w:id="36"/>
    </w:p>
    <w:p w14:paraId="23E62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7" w:name="_Toc18087"/>
      <w:r>
        <w:rPr>
          <w:rFonts w:hint="eastAsia" w:ascii="宋体" w:hAnsi="宋体" w:eastAsia="宋体" w:cs="宋体"/>
          <w:bCs/>
          <w:color w:val="auto"/>
          <w:highlight w:val="none"/>
        </w:rPr>
        <w:t>4.投标人在投标活动中提供任何虚假材料</w:t>
      </w:r>
      <w:r>
        <w:rPr>
          <w:rFonts w:hint="eastAsia" w:hAnsi="宋体" w:cs="宋体"/>
          <w:bCs/>
          <w:color w:val="auto"/>
          <w:highlight w:val="none"/>
          <w:lang w:eastAsia="zh-CN"/>
        </w:rPr>
        <w:t>，</w:t>
      </w:r>
      <w:r>
        <w:rPr>
          <w:rFonts w:hint="eastAsia" w:ascii="宋体" w:hAnsi="宋体" w:eastAsia="宋体" w:cs="宋体"/>
          <w:bCs/>
          <w:color w:val="auto"/>
          <w:highlight w:val="none"/>
        </w:rPr>
        <w:t>其投标无效，并报监管部门查处；中标后发现的</w:t>
      </w:r>
      <w:r>
        <w:rPr>
          <w:rFonts w:hint="eastAsia" w:hAnsi="宋体" w:cs="宋体"/>
          <w:bCs/>
          <w:color w:val="auto"/>
          <w:highlight w:val="none"/>
          <w:lang w:eastAsia="zh-CN"/>
        </w:rPr>
        <w:t>，</w:t>
      </w:r>
      <w:r>
        <w:rPr>
          <w:rFonts w:hint="eastAsia" w:ascii="宋体" w:hAnsi="宋体" w:eastAsia="宋体" w:cs="宋体"/>
          <w:bCs/>
          <w:color w:val="auto"/>
          <w:highlight w:val="none"/>
        </w:rPr>
        <w:t>中标供应商须依照《中华人民共和国消费者权益保护法》规定赔偿采购人，且民事赔偿并不免除违法投标人的行政与刑事责任。</w:t>
      </w:r>
      <w:bookmarkEnd w:id="37"/>
    </w:p>
    <w:p w14:paraId="01338D7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8" w:name="_Toc6090"/>
      <w:r>
        <w:rPr>
          <w:rFonts w:hint="eastAsia" w:ascii="宋体" w:hAnsi="宋体" w:eastAsia="宋体" w:cs="宋体"/>
          <w:bCs/>
          <w:color w:val="auto"/>
          <w:highlight w:val="none"/>
        </w:rPr>
        <w:t>5.在政府采购活动中，采购人员及相关人员与投标人有下列利害关系之一的，应当回避：</w:t>
      </w:r>
      <w:bookmarkEnd w:id="38"/>
    </w:p>
    <w:p w14:paraId="155E41D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39" w:name="_Toc11777"/>
      <w:r>
        <w:rPr>
          <w:rFonts w:hint="eastAsia" w:ascii="宋体" w:hAnsi="宋体" w:eastAsia="宋体" w:cs="宋体"/>
          <w:bCs/>
          <w:color w:val="auto"/>
          <w:highlight w:val="none"/>
        </w:rPr>
        <w:t>（1）参加采购活动前3年内与投标人存在劳动关系；</w:t>
      </w:r>
      <w:bookmarkEnd w:id="39"/>
    </w:p>
    <w:p w14:paraId="7B8A6E8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0" w:name="_Toc4715"/>
      <w:r>
        <w:rPr>
          <w:rFonts w:hint="eastAsia" w:ascii="宋体" w:hAnsi="宋体" w:eastAsia="宋体" w:cs="宋体"/>
          <w:bCs/>
          <w:color w:val="auto"/>
          <w:highlight w:val="none"/>
        </w:rPr>
        <w:t>（2）参加采购活动前3年内担任投标人的董事、监事；</w:t>
      </w:r>
      <w:bookmarkEnd w:id="40"/>
    </w:p>
    <w:p w14:paraId="452DAA6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1" w:name="_Toc25646"/>
      <w:r>
        <w:rPr>
          <w:rFonts w:hint="eastAsia" w:ascii="宋体" w:hAnsi="宋体" w:eastAsia="宋体" w:cs="宋体"/>
          <w:bCs/>
          <w:color w:val="auto"/>
          <w:highlight w:val="none"/>
        </w:rPr>
        <w:t>（3）参加采购活动前3年内是投标人的控股股东或者实际控制人；</w:t>
      </w:r>
      <w:bookmarkEnd w:id="41"/>
    </w:p>
    <w:p w14:paraId="6893F12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2" w:name="_Toc21838"/>
      <w:r>
        <w:rPr>
          <w:rFonts w:hint="eastAsia" w:ascii="宋体" w:hAnsi="宋体" w:eastAsia="宋体" w:cs="宋体"/>
          <w:bCs/>
          <w:color w:val="auto"/>
          <w:highlight w:val="none"/>
        </w:rPr>
        <w:t>（4）与投标人的法定代表人或者负责人有夫妻、直系血亲、三代以内旁系血亲或者近姻亲关系；</w:t>
      </w:r>
      <w:bookmarkEnd w:id="42"/>
    </w:p>
    <w:p w14:paraId="3210CF6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3" w:name="_Toc25698"/>
      <w:r>
        <w:rPr>
          <w:rFonts w:hint="eastAsia" w:ascii="宋体" w:hAnsi="宋体" w:eastAsia="宋体" w:cs="宋体"/>
          <w:bCs/>
          <w:color w:val="auto"/>
          <w:highlight w:val="none"/>
        </w:rPr>
        <w:t>（5）与投标人有其他可能影响政府采购活动公平、公正进行的关系。</w:t>
      </w:r>
      <w:bookmarkEnd w:id="43"/>
    </w:p>
    <w:p w14:paraId="4210BE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4" w:name="_Toc3773"/>
      <w:r>
        <w:rPr>
          <w:rFonts w:hint="eastAsia" w:ascii="宋体" w:hAnsi="宋体" w:eastAsia="宋体" w:cs="宋体"/>
          <w:bCs/>
          <w:color w:val="auto"/>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bookmarkEnd w:id="44"/>
    </w:p>
    <w:p w14:paraId="0F18BB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5" w:name="_Toc19479"/>
      <w:r>
        <w:rPr>
          <w:rFonts w:hint="eastAsia" w:ascii="宋体" w:hAnsi="宋体" w:eastAsia="宋体" w:cs="宋体"/>
          <w:bCs/>
          <w:color w:val="auto"/>
          <w:highlight w:val="none"/>
        </w:rPr>
        <w:t>6.有下列情形之一的视为投标人相互串通投标，其投标无效：</w:t>
      </w:r>
      <w:bookmarkEnd w:id="45"/>
    </w:p>
    <w:p w14:paraId="00577C7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6" w:name="_Toc21817"/>
      <w:r>
        <w:rPr>
          <w:rFonts w:hint="eastAsia" w:ascii="宋体" w:hAnsi="宋体" w:eastAsia="宋体" w:cs="宋体"/>
          <w:bCs/>
          <w:color w:val="auto"/>
          <w:highlight w:val="none"/>
        </w:rPr>
        <w:t>（1）不同投标人的投标文件由同一单位或者个人编制；</w:t>
      </w:r>
      <w:bookmarkEnd w:id="46"/>
      <w:r>
        <w:rPr>
          <w:rFonts w:hint="eastAsia" w:ascii="宋体" w:hAnsi="宋体" w:eastAsia="宋体" w:cs="宋体"/>
          <w:bCs/>
          <w:color w:val="auto"/>
          <w:highlight w:val="none"/>
        </w:rPr>
        <w:t xml:space="preserve"> </w:t>
      </w:r>
    </w:p>
    <w:p w14:paraId="511503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7" w:name="_Toc21237"/>
      <w:r>
        <w:rPr>
          <w:rFonts w:hint="eastAsia" w:ascii="宋体" w:hAnsi="宋体" w:eastAsia="宋体" w:cs="宋体"/>
          <w:bCs/>
          <w:color w:val="auto"/>
          <w:highlight w:val="none"/>
        </w:rPr>
        <w:t>（2）不同投标人委托同一单位或者个人办理投标事宜；</w:t>
      </w:r>
      <w:bookmarkEnd w:id="47"/>
    </w:p>
    <w:p w14:paraId="686BDD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8" w:name="_Toc14412"/>
      <w:r>
        <w:rPr>
          <w:rFonts w:hint="eastAsia" w:ascii="宋体" w:hAnsi="宋体" w:eastAsia="宋体" w:cs="宋体"/>
          <w:bCs/>
          <w:color w:val="auto"/>
          <w:highlight w:val="none"/>
        </w:rPr>
        <w:t>（3）不同投标人的投标文件载明的项目管理成员或者联系人员为同一人；</w:t>
      </w:r>
      <w:bookmarkEnd w:id="48"/>
    </w:p>
    <w:p w14:paraId="29406DE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49" w:name="_Toc11989"/>
      <w:r>
        <w:rPr>
          <w:rFonts w:hint="eastAsia" w:ascii="宋体" w:hAnsi="宋体" w:eastAsia="宋体" w:cs="宋体"/>
          <w:bCs/>
          <w:color w:val="auto"/>
          <w:highlight w:val="none"/>
        </w:rPr>
        <w:t>（4）不同投标人的投标文件异常一致或投标报价呈规律性差异；</w:t>
      </w:r>
      <w:bookmarkEnd w:id="49"/>
    </w:p>
    <w:p w14:paraId="63CC6B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0" w:name="_Toc20733"/>
      <w:r>
        <w:rPr>
          <w:rFonts w:hint="eastAsia" w:ascii="宋体" w:hAnsi="宋体" w:eastAsia="宋体" w:cs="宋体"/>
          <w:bCs/>
          <w:color w:val="auto"/>
          <w:highlight w:val="none"/>
        </w:rPr>
        <w:t>（5）不同投标人的投标文件相互混装；</w:t>
      </w:r>
      <w:bookmarkEnd w:id="50"/>
    </w:p>
    <w:p w14:paraId="2108A5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1" w:name="_Toc11504"/>
      <w:r>
        <w:rPr>
          <w:rFonts w:hint="eastAsia" w:ascii="宋体" w:hAnsi="宋体" w:eastAsia="宋体" w:cs="宋体"/>
          <w:bCs/>
          <w:color w:val="auto"/>
          <w:highlight w:val="none"/>
        </w:rPr>
        <w:t>（6）不同投标人的投标保证金从同一单位或者个人账户转出。</w:t>
      </w:r>
      <w:bookmarkEnd w:id="51"/>
    </w:p>
    <w:p w14:paraId="215A089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2" w:name="_Toc5825"/>
      <w:r>
        <w:rPr>
          <w:rFonts w:hint="eastAsia" w:ascii="宋体" w:hAnsi="宋体" w:eastAsia="宋体" w:cs="宋体"/>
          <w:bCs/>
          <w:color w:val="auto"/>
          <w:highlight w:val="none"/>
        </w:rPr>
        <w:t>7.供应商有下列情形之一的，属于恶意串通行为：</w:t>
      </w:r>
      <w:bookmarkEnd w:id="52"/>
    </w:p>
    <w:p w14:paraId="208173B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3" w:name="_Toc20864"/>
      <w:r>
        <w:rPr>
          <w:rFonts w:hint="eastAsia" w:ascii="宋体" w:hAnsi="宋体" w:eastAsia="宋体" w:cs="宋体"/>
          <w:bCs/>
          <w:color w:val="auto"/>
          <w:highlight w:val="none"/>
        </w:rPr>
        <w:t>（1）供应商直接或者间接从采购人或者采购代理机构处获得其他供应商的相关信息并修改其投标文件或者投标文件：</w:t>
      </w:r>
      <w:bookmarkEnd w:id="53"/>
    </w:p>
    <w:p w14:paraId="155F6E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4" w:name="_Toc9504"/>
      <w:r>
        <w:rPr>
          <w:rFonts w:hint="eastAsia" w:ascii="宋体" w:hAnsi="宋体" w:eastAsia="宋体" w:cs="宋体"/>
          <w:bCs/>
          <w:color w:val="auto"/>
          <w:highlight w:val="none"/>
        </w:rPr>
        <w:t>（2）供应商按照采购人或者采购代理机构的授意撤换、修改投标文件或者投标文件；</w:t>
      </w:r>
      <w:bookmarkEnd w:id="54"/>
    </w:p>
    <w:p w14:paraId="417F8D7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5" w:name="_Toc6484"/>
      <w:r>
        <w:rPr>
          <w:rFonts w:hint="eastAsia" w:ascii="宋体" w:hAnsi="宋体" w:eastAsia="宋体" w:cs="宋体"/>
          <w:bCs/>
          <w:color w:val="auto"/>
          <w:highlight w:val="none"/>
        </w:rPr>
        <w:t>（3）供应商之间协商报价、技术方案等投标文件或者投标文件的实质性内容；</w:t>
      </w:r>
      <w:bookmarkEnd w:id="55"/>
    </w:p>
    <w:p w14:paraId="776106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6" w:name="_Toc16239"/>
      <w:r>
        <w:rPr>
          <w:rFonts w:hint="eastAsia" w:ascii="宋体" w:hAnsi="宋体" w:eastAsia="宋体" w:cs="宋体"/>
          <w:bCs/>
          <w:color w:val="auto"/>
          <w:highlight w:val="none"/>
        </w:rPr>
        <w:t>（4）属于同一集团、协会、商会等组织成员的供应商按照该组织要求协同参加政府采购活动；</w:t>
      </w:r>
      <w:bookmarkEnd w:id="56"/>
    </w:p>
    <w:p w14:paraId="3572880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7" w:name="_Toc5419"/>
      <w:r>
        <w:rPr>
          <w:rFonts w:hint="eastAsia" w:ascii="宋体" w:hAnsi="宋体" w:eastAsia="宋体" w:cs="宋体"/>
          <w:bCs/>
          <w:color w:val="auto"/>
          <w:highlight w:val="none"/>
        </w:rPr>
        <w:t>（5）供应商之间事先约定一致抬高或者压低投标报价</w:t>
      </w:r>
      <w:r>
        <w:rPr>
          <w:rFonts w:hint="eastAsia" w:hAnsi="宋体" w:cs="宋体"/>
          <w:bCs/>
          <w:color w:val="auto"/>
          <w:highlight w:val="none"/>
          <w:lang w:eastAsia="zh-CN"/>
        </w:rPr>
        <w:t>，</w:t>
      </w:r>
      <w:r>
        <w:rPr>
          <w:rFonts w:hint="eastAsia" w:ascii="宋体" w:hAnsi="宋体" w:eastAsia="宋体" w:cs="宋体"/>
          <w:bCs/>
          <w:color w:val="auto"/>
          <w:highlight w:val="none"/>
        </w:rPr>
        <w:t>或者在招标项目中事先约定轮流以高价位或者低价位中标</w:t>
      </w:r>
      <w:r>
        <w:rPr>
          <w:rFonts w:hint="eastAsia" w:hAnsi="宋体" w:cs="宋体"/>
          <w:bCs/>
          <w:color w:val="auto"/>
          <w:highlight w:val="none"/>
          <w:lang w:eastAsia="zh-CN"/>
        </w:rPr>
        <w:t>，</w:t>
      </w:r>
      <w:r>
        <w:rPr>
          <w:rFonts w:hint="eastAsia" w:ascii="宋体" w:hAnsi="宋体" w:eastAsia="宋体" w:cs="宋体"/>
          <w:bCs/>
          <w:color w:val="auto"/>
          <w:highlight w:val="none"/>
        </w:rPr>
        <w:t>或者事先约定由某一特定供应商中标</w:t>
      </w:r>
      <w:r>
        <w:rPr>
          <w:rFonts w:hint="eastAsia" w:hAnsi="宋体" w:cs="宋体"/>
          <w:bCs/>
          <w:color w:val="auto"/>
          <w:highlight w:val="none"/>
          <w:lang w:eastAsia="zh-CN"/>
        </w:rPr>
        <w:t>，</w:t>
      </w:r>
      <w:r>
        <w:rPr>
          <w:rFonts w:hint="eastAsia" w:ascii="宋体" w:hAnsi="宋体" w:eastAsia="宋体" w:cs="宋体"/>
          <w:bCs/>
          <w:color w:val="auto"/>
          <w:highlight w:val="none"/>
        </w:rPr>
        <w:t>然后再参加投标；</w:t>
      </w:r>
      <w:bookmarkEnd w:id="57"/>
    </w:p>
    <w:p w14:paraId="647F8B1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8" w:name="_Toc2880"/>
      <w:r>
        <w:rPr>
          <w:rFonts w:hint="eastAsia" w:ascii="宋体" w:hAnsi="宋体" w:eastAsia="宋体" w:cs="宋体"/>
          <w:bCs/>
          <w:color w:val="auto"/>
          <w:highlight w:val="none"/>
        </w:rPr>
        <w:t>（6）供应商之间商定部分供应商放弃参加政府采购活动或者放弃中标；</w:t>
      </w:r>
      <w:bookmarkEnd w:id="58"/>
    </w:p>
    <w:p w14:paraId="171F77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59" w:name="_Toc5336"/>
      <w:r>
        <w:rPr>
          <w:rFonts w:hint="eastAsia" w:ascii="宋体" w:hAnsi="宋体" w:eastAsia="宋体" w:cs="宋体"/>
          <w:bCs/>
          <w:color w:val="auto"/>
          <w:highlight w:val="none"/>
        </w:rPr>
        <w:t>（7）供应商与采购人或者采购代理机构之间、供应商相互之间，为谋求特定供应商中标或者排斥其他供应商的其他串通行为。</w:t>
      </w:r>
      <w:bookmarkEnd w:id="59"/>
    </w:p>
    <w:p w14:paraId="05ED7C4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60" w:name="_Toc32638"/>
      <w:r>
        <w:rPr>
          <w:rFonts w:hint="eastAsia" w:ascii="宋体" w:hAnsi="宋体" w:eastAsia="宋体" w:cs="宋体"/>
          <w:bCs/>
          <w:color w:val="auto"/>
          <w:highlight w:val="none"/>
        </w:rPr>
        <w:t>8.关联供应商不得参加同一合同项下政府采购活动，否则投标文件将被视为无效：</w:t>
      </w:r>
      <w:bookmarkEnd w:id="60"/>
    </w:p>
    <w:p w14:paraId="1DCB3B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61" w:name="_Toc2162"/>
      <w:r>
        <w:rPr>
          <w:rFonts w:hint="eastAsia" w:ascii="宋体" w:hAnsi="宋体" w:eastAsia="宋体" w:cs="宋体"/>
          <w:bCs/>
          <w:color w:val="auto"/>
          <w:highlight w:val="none"/>
        </w:rPr>
        <w:t>（1）单位负责人为同一人或者存在直接控股、管理关系的不同的供应商，不得参加同一合同项下的政府采购活动；</w:t>
      </w:r>
      <w:bookmarkEnd w:id="61"/>
    </w:p>
    <w:p w14:paraId="41F1C19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62" w:name="_Toc13652"/>
      <w:r>
        <w:rPr>
          <w:rFonts w:hint="eastAsia" w:ascii="宋体" w:hAnsi="宋体" w:eastAsia="宋体" w:cs="宋体"/>
          <w:bCs/>
          <w:color w:val="auto"/>
          <w:highlight w:val="none"/>
        </w:rPr>
        <w:t>（2）生产厂商授权给供应商后自己不得参加同一合同项下的政府采购活动；生产厂商对同一品牌同一型号的货物，仅能委托一个代理商参加投标。</w:t>
      </w:r>
      <w:bookmarkEnd w:id="62"/>
    </w:p>
    <w:p w14:paraId="627DC3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outlineLvl w:val="1"/>
        <w:rPr>
          <w:rFonts w:hint="eastAsia" w:ascii="宋体" w:hAnsi="宋体" w:eastAsia="宋体" w:cs="宋体"/>
          <w:bCs/>
          <w:color w:val="auto"/>
          <w:highlight w:val="none"/>
        </w:rPr>
      </w:pPr>
      <w:bookmarkStart w:id="63" w:name="_Toc12322"/>
      <w:r>
        <w:rPr>
          <w:rFonts w:hint="eastAsia" w:ascii="宋体" w:hAnsi="宋体" w:eastAsia="宋体" w:cs="宋体"/>
          <w:bCs/>
          <w:color w:val="auto"/>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bookmarkEnd w:id="63"/>
    </w:p>
    <w:p w14:paraId="5941FA6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（九）质疑和投诉</w:t>
      </w:r>
      <w:bookmarkEnd w:id="30"/>
      <w:bookmarkEnd w:id="31"/>
    </w:p>
    <w:p w14:paraId="1E8AF25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ascii="宋体" w:hAnsi="宋体" w:eastAsia="宋体" w:cs="宋体"/>
          <w:color w:val="auto"/>
          <w:highlight w:val="none"/>
        </w:rPr>
        <w:t>投标人对招标采购单位的质疑答复不满意或者招标采购单位未在规定时间内作出答复的，可以在答复期满后十五个工作日内向同级采购监管部门投诉。</w:t>
      </w:r>
    </w:p>
    <w:p w14:paraId="7269F6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64" w:name="_Toc97376589"/>
      <w:bookmarkStart w:id="65" w:name="_Toc97353125"/>
      <w:bookmarkStart w:id="66" w:name="_Toc139774543"/>
      <w:bookmarkStart w:id="67" w:name="_Toc97352470"/>
      <w:bookmarkStart w:id="68" w:name="_Toc109205409"/>
      <w:bookmarkStart w:id="69" w:name="_Toc97370512"/>
    </w:p>
    <w:p w14:paraId="2095E8F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3.质疑和投诉书面要求</w:t>
      </w:r>
      <w:bookmarkEnd w:id="64"/>
      <w:bookmarkEnd w:id="65"/>
      <w:bookmarkEnd w:id="66"/>
      <w:bookmarkEnd w:id="67"/>
      <w:bookmarkEnd w:id="68"/>
      <w:bookmarkEnd w:id="69"/>
    </w:p>
    <w:p w14:paraId="3A003CE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质疑人或投诉人提供的书面材料（如材料中有外文资料须同时附上中文译本）至少包括以下内容：</w:t>
      </w:r>
    </w:p>
    <w:p w14:paraId="6FB90C0A">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质疑人或投诉人的姓名或者名称、地址、邮编、联系人及联系电话；</w:t>
      </w:r>
    </w:p>
    <w:p w14:paraId="7FEBE12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质疑项目的名称、编号；</w:t>
      </w:r>
    </w:p>
    <w:p w14:paraId="3D760B41">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具体、明确的质疑事项和与质疑事项相关的请求；</w:t>
      </w:r>
    </w:p>
    <w:p w14:paraId="6097708B">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事实依据；</w:t>
      </w:r>
    </w:p>
    <w:p w14:paraId="533249A2">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color w:val="auto"/>
          <w:kern w:val="0"/>
          <w:highlight w:val="none"/>
        </w:rPr>
        <w:t>必要的法律依据；</w:t>
      </w:r>
    </w:p>
    <w:p w14:paraId="1BB7767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质疑人或投诉人的签章及质疑或投诉时间；</w:t>
      </w:r>
    </w:p>
    <w:p w14:paraId="488692A3">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质疑或投诉的书面材料须提供法定代表人签名和加盖单位公章的原件。</w:t>
      </w:r>
    </w:p>
    <w:p w14:paraId="67961226">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质疑人须一次性提出针对同一采购程序环节的质疑。</w:t>
      </w:r>
    </w:p>
    <w:p w14:paraId="1EDF6CE5">
      <w:pPr>
        <w:pStyle w:val="27"/>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3A88D0B">
      <w:pPr>
        <w:pStyle w:val="27"/>
        <w:keepNext w:val="0"/>
        <w:keepLines w:val="0"/>
        <w:pageBreakBefore w:val="0"/>
        <w:kinsoku/>
        <w:wordWrap/>
        <w:overflowPunct/>
        <w:topLinePunct w:val="0"/>
        <w:autoSpaceDE/>
        <w:autoSpaceDN/>
        <w:bidi w:val="0"/>
        <w:adjustRightInd/>
        <w:snapToGrid w:val="0"/>
        <w:spacing w:beforeAutospacing="0" w:afterAutospacing="0" w:line="36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未持有有效授权委托书的代理人提交的质疑函或不在法定质疑期内提交的质疑函，将不予受理。</w:t>
      </w:r>
    </w:p>
    <w:p w14:paraId="646846C8">
      <w:pPr>
        <w:pStyle w:val="27"/>
        <w:keepNext w:val="0"/>
        <w:keepLines w:val="0"/>
        <w:pageBreakBefore w:val="0"/>
        <w:widowControl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w:t>
      </w:r>
      <w:r>
        <w:rPr>
          <w:rFonts w:hint="eastAsia" w:ascii="宋体" w:hAnsi="宋体" w:eastAsia="宋体" w:cs="宋体"/>
          <w:color w:val="auto"/>
          <w:highlight w:val="none"/>
        </w:rPr>
        <w:t>接受质疑函的联系方式等详见招标公告中采购人、采购代理机构的联系方式。</w:t>
      </w:r>
    </w:p>
    <w:p w14:paraId="078824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70" w:name="_Toc254970534"/>
      <w:bookmarkStart w:id="71" w:name="_Toc254970675"/>
      <w:r>
        <w:rPr>
          <w:rFonts w:hint="eastAsia" w:ascii="宋体" w:hAnsi="宋体" w:eastAsia="宋体" w:cs="宋体"/>
          <w:b/>
          <w:color w:val="auto"/>
          <w:sz w:val="28"/>
          <w:szCs w:val="28"/>
          <w:highlight w:val="none"/>
        </w:rPr>
        <w:t>二、招标文件</w:t>
      </w:r>
      <w:bookmarkEnd w:id="70"/>
      <w:bookmarkEnd w:id="71"/>
    </w:p>
    <w:p w14:paraId="7BF9B5C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（一）招标文件的构成。</w:t>
      </w:r>
    </w:p>
    <w:p w14:paraId="3EA8E89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招标公告；</w:t>
      </w:r>
    </w:p>
    <w:p w14:paraId="4C86E8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招标项目采购需求；</w:t>
      </w:r>
    </w:p>
    <w:p w14:paraId="3ACB4FF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投标人须知；</w:t>
      </w:r>
    </w:p>
    <w:p w14:paraId="453B01F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评标方法及评标标准；</w:t>
      </w:r>
    </w:p>
    <w:p w14:paraId="65F910A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合同主要条款格式；</w:t>
      </w:r>
    </w:p>
    <w:p w14:paraId="265D3B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投标文件格式。</w:t>
      </w:r>
    </w:p>
    <w:p w14:paraId="343F05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（二）投标人的风险</w:t>
      </w:r>
    </w:p>
    <w:p w14:paraId="7AADC007">
      <w:pPr>
        <w:pStyle w:val="39"/>
        <w:keepNext w:val="0"/>
        <w:keepLines w:val="0"/>
        <w:pageBreakBefore w:val="0"/>
        <w:kinsoku/>
        <w:wordWrap/>
        <w:overflowPunct/>
        <w:topLinePunct w:val="0"/>
        <w:autoSpaceDE/>
        <w:autoSpaceDN/>
        <w:bidi w:val="0"/>
        <w:adjustRightInd/>
        <w:spacing w:beforeAutospacing="0" w:after="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06601AC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（三）招标文件的澄清与修改 </w:t>
      </w:r>
    </w:p>
    <w:p w14:paraId="2B9449A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投标人应认真阅读本招标文件，发现</w:t>
      </w:r>
      <w:r>
        <w:rPr>
          <w:rFonts w:hint="eastAsia" w:ascii="宋体" w:hAnsi="宋体" w:eastAsia="宋体" w:cs="宋体"/>
          <w:color w:val="auto"/>
          <w:highlight w:val="none"/>
        </w:rPr>
        <w:t>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如澄清或者修改的内容影响投标文件编制的，应当在招标文件要求提交投标文件截止时间十五日前，并以书面形式通知所有招标文件收受人；不足15日的，采购代理机构应当顺延提交投标文件的截止时间；该澄清或者修改的内容为招标文件的组成部分。</w:t>
      </w:r>
    </w:p>
    <w:p w14:paraId="543B1A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2.采购代理机构必须以书面形式答复投标人要求澄清的问题，并将不包含问题来源的答复书面通知所有购买招标文件的投标人；除书面答复以外的其他澄清方式及澄清内容均无效。</w:t>
      </w:r>
    </w:p>
    <w:p w14:paraId="23FCB3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3.招标文件澄清、答复、修改、补充的内容为招标文件的组成部分。当招标文件与招标文件的答复、澄清、修改、补充通知就同一内容的表述不一致时，以最后发出的书面文件为准。</w:t>
      </w:r>
    </w:p>
    <w:p w14:paraId="285F9B3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4.招标文件的澄清、答复、修改或补充都应该通过本代理机构以法定形式发布，采购人非通过本机构，不得擅自澄清、答复、修改或补充招标文件。</w:t>
      </w:r>
    </w:p>
    <w:p w14:paraId="2CEC1D6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5.采购人可以视采购具体情况，延长投标截止时间和开标时间，并在财政部门指定的政府采购信息发布媒体上发布更正公告。</w:t>
      </w:r>
    </w:p>
    <w:p w14:paraId="77C019B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 采购人或者采购代理机构可以在招标文件提供期限截止后，组织已获取招标文件的潜在投标人现场考察或者召开开标前答疑会，具体详见“投标人须知前附表”。供应商考察现场或参加答疑会发生的费用自理，并自行负责在考察现场或参加答疑会中所发生的人员伤亡和财产损失。</w:t>
      </w:r>
    </w:p>
    <w:p w14:paraId="379429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51" w:firstLineChars="196"/>
        <w:textAlignment w:val="auto"/>
        <w:rPr>
          <w:rFonts w:hint="eastAsia" w:ascii="宋体" w:hAnsi="宋体" w:eastAsia="宋体" w:cs="宋体"/>
          <w:b/>
          <w:color w:val="auto"/>
          <w:sz w:val="28"/>
          <w:szCs w:val="28"/>
          <w:highlight w:val="none"/>
        </w:rPr>
      </w:pPr>
      <w:bookmarkStart w:id="72" w:name="_Toc254970676"/>
      <w:bookmarkStart w:id="73" w:name="_Toc254970535"/>
      <w:r>
        <w:rPr>
          <w:rFonts w:hint="eastAsia" w:ascii="宋体" w:hAnsi="宋体" w:eastAsia="宋体" w:cs="宋体"/>
          <w:b/>
          <w:color w:val="auto"/>
          <w:sz w:val="28"/>
          <w:szCs w:val="28"/>
          <w:highlight w:val="none"/>
        </w:rPr>
        <w:t>三、投标文件的编制</w:t>
      </w:r>
      <w:bookmarkEnd w:id="72"/>
      <w:bookmarkEnd w:id="73"/>
    </w:p>
    <w:p w14:paraId="4B0F279C">
      <w:pPr>
        <w:keepNext w:val="0"/>
        <w:keepLines w:val="0"/>
        <w:pageBreakBefore w:val="0"/>
        <w:kinsoku/>
        <w:wordWrap/>
        <w:overflowPunct/>
        <w:topLinePunct w:val="0"/>
        <w:autoSpaceDE/>
        <w:autoSpaceDN/>
        <w:bidi w:val="0"/>
        <w:adjustRightInd/>
        <w:spacing w:beforeAutospacing="0" w:afterAutospacing="0" w:line="360" w:lineRule="exact"/>
        <w:ind w:left="0" w:leftChars="0" w:firstLine="482" w:firstLineChars="200"/>
        <w:textAlignment w:val="auto"/>
        <w:rPr>
          <w:rFonts w:hint="eastAsia" w:ascii="宋体" w:hAnsi="宋体" w:eastAsia="宋体" w:cs="宋体"/>
          <w:bCs/>
          <w:color w:val="auto"/>
          <w:szCs w:val="21"/>
          <w:highlight w:val="none"/>
        </w:rPr>
      </w:pPr>
      <w:bookmarkStart w:id="74" w:name="_Toc254970677"/>
      <w:bookmarkStart w:id="75" w:name="_Toc254970536"/>
      <w:r>
        <w:rPr>
          <w:rFonts w:hint="eastAsia" w:ascii="宋体" w:hAnsi="宋体" w:eastAsia="宋体" w:cs="宋体"/>
          <w:b/>
          <w:color w:val="auto"/>
          <w:sz w:val="24"/>
          <w:highlight w:val="none"/>
        </w:rPr>
        <w:t>（一）投标文件的组成</w:t>
      </w:r>
      <w:bookmarkEnd w:id="74"/>
      <w:bookmarkEnd w:id="75"/>
    </w:p>
    <w:p w14:paraId="20B7E7A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投标文件由资格文件、</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商务技术文件组成。</w:t>
      </w:r>
      <w:r>
        <w:rPr>
          <w:rFonts w:hint="eastAsia" w:ascii="宋体" w:hAnsi="宋体" w:eastAsia="宋体" w:cs="宋体"/>
          <w:color w:val="auto"/>
          <w:szCs w:val="21"/>
          <w:highlight w:val="none"/>
          <w:lang w:val="en-US" w:eastAsia="zh-CN"/>
        </w:rPr>
        <w:t>具体要求</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w:t>
      </w:r>
    </w:p>
    <w:p w14:paraId="7B4AB7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6" w:name="_Toc254970537"/>
      <w:bookmarkStart w:id="77" w:name="_Toc254970678"/>
      <w:r>
        <w:rPr>
          <w:rFonts w:hint="eastAsia" w:ascii="宋体" w:hAnsi="宋体" w:eastAsia="宋体" w:cs="宋体"/>
          <w:b/>
          <w:color w:val="auto"/>
          <w:sz w:val="24"/>
          <w:highlight w:val="none"/>
        </w:rPr>
        <w:t>（二）投标文件的语言及计量</w:t>
      </w:r>
      <w:bookmarkEnd w:id="76"/>
      <w:bookmarkEnd w:id="77"/>
    </w:p>
    <w:p w14:paraId="53D7A53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18B858D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28745D7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78" w:name="_Toc254970679"/>
      <w:bookmarkStart w:id="79" w:name="_Toc254970538"/>
      <w:r>
        <w:rPr>
          <w:rFonts w:hint="eastAsia" w:ascii="宋体" w:hAnsi="宋体" w:eastAsia="宋体" w:cs="宋体"/>
          <w:b/>
          <w:color w:val="auto"/>
          <w:sz w:val="24"/>
          <w:highlight w:val="none"/>
        </w:rPr>
        <w:t>（三）投标报价</w:t>
      </w:r>
      <w:bookmarkEnd w:id="78"/>
      <w:bookmarkEnd w:id="79"/>
    </w:p>
    <w:p w14:paraId="0E97677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投标报价应按招标文件中相关附表格式填写</w:t>
      </w:r>
      <w:r>
        <w:rPr>
          <w:rFonts w:hint="eastAsia" w:ascii="宋体" w:hAnsi="宋体" w:eastAsia="宋体" w:cs="宋体"/>
          <w:color w:val="auto"/>
          <w:szCs w:val="21"/>
          <w:highlight w:val="none"/>
        </w:rPr>
        <w:t>。</w:t>
      </w:r>
    </w:p>
    <w:p w14:paraId="2A6FB5A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2．本项目投标应以</w:t>
      </w:r>
      <w:r>
        <w:rPr>
          <w:rFonts w:hint="eastAsia" w:ascii="宋体" w:hAnsi="宋体" w:eastAsia="宋体" w:cs="宋体"/>
          <w:color w:val="auto"/>
          <w:szCs w:val="21"/>
          <w:highlight w:val="none"/>
          <w:lang w:val="en-US" w:eastAsia="zh-CN"/>
        </w:rPr>
        <w:t>人民币</w:t>
      </w:r>
      <w:r>
        <w:rPr>
          <w:rFonts w:hint="eastAsia" w:ascii="宋体" w:hAnsi="宋体" w:eastAsia="宋体" w:cs="宋体"/>
          <w:color w:val="auto"/>
          <w:szCs w:val="21"/>
          <w:highlight w:val="none"/>
        </w:rPr>
        <w:t>报价；</w:t>
      </w:r>
    </w:p>
    <w:p w14:paraId="1CF9D5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投标报价是履行合同的最终价格，应包括货款、标准附件、备品备件、专用工具、包装、运输、装卸、保险、税金、货到就位以及安装、安装所需辅材、调试、检验、验收</w:t>
      </w:r>
      <w:r>
        <w:rPr>
          <w:rFonts w:hint="eastAsia" w:asciiTheme="majorEastAsia" w:hAnsiTheme="majorEastAsia" w:eastAsiaTheme="majorEastAsia" w:cstheme="majorEastAsia"/>
          <w:color w:val="auto"/>
          <w:sz w:val="21"/>
          <w:szCs w:val="21"/>
          <w:highlight w:val="none"/>
          <w:lang w:val="en-US" w:eastAsia="zh-CN"/>
        </w:rPr>
        <w:t>、上牌</w:t>
      </w:r>
      <w:r>
        <w:rPr>
          <w:rFonts w:hint="eastAsia" w:ascii="宋体" w:hAnsi="宋体" w:eastAsia="宋体" w:cs="宋体"/>
          <w:color w:val="auto"/>
          <w:szCs w:val="21"/>
          <w:highlight w:val="none"/>
          <w:lang w:eastAsia="zh-CN"/>
        </w:rPr>
        <w:t>等所需的一切使本项目完成验收的费用及供货商对业主承诺培训、售前、售后质量保证等相关费用等在内的一切可能发生的费用</w:t>
      </w:r>
      <w:r>
        <w:rPr>
          <w:rFonts w:hint="eastAsia" w:ascii="宋体" w:hAnsi="宋体" w:eastAsia="宋体" w:cs="宋体"/>
          <w:color w:val="auto"/>
          <w:szCs w:val="21"/>
          <w:highlight w:val="none"/>
        </w:rPr>
        <w:t>。投标人自行考虑投标报价会出现的其他风险。</w:t>
      </w:r>
    </w:p>
    <w:p w14:paraId="623F648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3．投标文件只允许有一个报价，有选择的或有条件的报价将不予接受。</w:t>
      </w:r>
    </w:p>
    <w:p w14:paraId="6A96080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投标人可就《招标项目采购需求》中的某一个分标内容报出完整且唯一报价，也可就某几个或所有分标内容分别报出完整且唯一报价。</w:t>
      </w:r>
    </w:p>
    <w:p w14:paraId="216CA45A">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72" w:firstLineChars="196"/>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（四）投标文件的有效期</w:t>
      </w:r>
    </w:p>
    <w:p w14:paraId="2843DB33">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1.投标文件有效期：详见投标人须知前附表。有效期不足的投标文件将被拒绝。</w:t>
      </w:r>
    </w:p>
    <w:p w14:paraId="008F1755">
      <w:pPr>
        <w:pStyle w:val="15"/>
        <w:keepNext w:val="0"/>
        <w:keepLines w:val="0"/>
        <w:pageBreakBefore w:val="0"/>
        <w:widowControl w:val="0"/>
        <w:tabs>
          <w:tab w:val="clear" w:pos="454"/>
        </w:tabs>
        <w:kinsoku/>
        <w:wordWrap/>
        <w:overflowPunct/>
        <w:topLinePunct w:val="0"/>
        <w:autoSpaceDE/>
        <w:autoSpaceDN/>
        <w:bidi w:val="0"/>
        <w:adjustRightInd/>
        <w:snapToGrid w:val="0"/>
        <w:spacing w:beforeAutospacing="0" w:afterLines="0" w:afterAutospacing="0"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2.在特殊情况下，招标人可与投标人协商延长投标书的有效期，这种要求和答复均以书面形式进行。</w:t>
      </w:r>
    </w:p>
    <w:p w14:paraId="05CF91E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80" w:name="_Toc254970539"/>
      <w:bookmarkStart w:id="81" w:name="_Toc254970680"/>
      <w:r>
        <w:rPr>
          <w:rFonts w:hint="eastAsia" w:ascii="宋体" w:hAnsi="宋体" w:eastAsia="宋体" w:cs="宋体"/>
          <w:color w:val="auto"/>
          <w:szCs w:val="21"/>
          <w:highlight w:val="none"/>
        </w:rPr>
        <w:t>3.投标人可拒绝接受延期要求而不会导致投标保证金被没收。同意延长有效期的投标人需要相应延长投标保证金的有效期，但不能修改投标文件。</w:t>
      </w:r>
      <w:bookmarkEnd w:id="80"/>
      <w:bookmarkEnd w:id="81"/>
      <w:r>
        <w:rPr>
          <w:rFonts w:hint="eastAsia" w:ascii="宋体" w:hAnsi="宋体" w:eastAsia="宋体" w:cs="宋体"/>
          <w:b/>
          <w:color w:val="auto"/>
          <w:szCs w:val="21"/>
          <w:highlight w:val="none"/>
        </w:rPr>
        <w:t xml:space="preserve"> </w:t>
      </w:r>
    </w:p>
    <w:p w14:paraId="44B06FE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b/>
          <w:color w:val="auto"/>
          <w:szCs w:val="21"/>
          <w:highlight w:val="none"/>
        </w:rPr>
      </w:pPr>
      <w:bookmarkStart w:id="82" w:name="_Toc254970540"/>
      <w:bookmarkStart w:id="83" w:name="_Toc254970681"/>
      <w:r>
        <w:rPr>
          <w:rFonts w:hint="eastAsia" w:ascii="宋体" w:hAnsi="宋体" w:eastAsia="宋体" w:cs="宋体"/>
          <w:color w:val="auto"/>
          <w:szCs w:val="21"/>
          <w:highlight w:val="none"/>
        </w:rPr>
        <w:t>4.中标人的投标文件自开标之日起至合同履行完毕止均应保持有效。</w:t>
      </w:r>
      <w:bookmarkEnd w:id="82"/>
      <w:bookmarkEnd w:id="83"/>
    </w:p>
    <w:p w14:paraId="021634F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highlight w:val="none"/>
        </w:rPr>
      </w:pPr>
      <w:bookmarkStart w:id="84" w:name="_Toc254970682"/>
      <w:bookmarkStart w:id="85" w:name="_Toc254970541"/>
      <w:r>
        <w:rPr>
          <w:rFonts w:hint="eastAsia" w:ascii="宋体" w:hAnsi="宋体" w:eastAsia="宋体" w:cs="宋体"/>
          <w:b/>
          <w:color w:val="auto"/>
          <w:sz w:val="24"/>
          <w:highlight w:val="none"/>
        </w:rPr>
        <w:t>（五）投标保证金</w:t>
      </w:r>
      <w:bookmarkEnd w:id="84"/>
      <w:bookmarkEnd w:id="85"/>
    </w:p>
    <w:p w14:paraId="3AC66A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投标保证金金额：</w:t>
      </w:r>
      <w:r>
        <w:rPr>
          <w:rFonts w:hint="eastAsia" w:ascii="宋体" w:hAnsi="宋体" w:eastAsia="宋体" w:cs="宋体"/>
          <w:color w:val="auto"/>
          <w:szCs w:val="21"/>
          <w:highlight w:val="none"/>
        </w:rPr>
        <w:t>详见投标人须知前附表</w:t>
      </w:r>
      <w:r>
        <w:rPr>
          <w:rFonts w:hint="eastAsia" w:ascii="宋体" w:hAnsi="宋体" w:eastAsia="宋体" w:cs="宋体"/>
          <w:color w:val="auto"/>
          <w:kern w:val="0"/>
          <w:szCs w:val="21"/>
          <w:highlight w:val="none"/>
        </w:rPr>
        <w:t>。投标保证金应在投标有效期内保持有效。</w:t>
      </w:r>
    </w:p>
    <w:p w14:paraId="4190633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投标人须按规定于投标截止前足额提交投标保证金，</w:t>
      </w:r>
      <w:r>
        <w:rPr>
          <w:rFonts w:hint="eastAsia" w:ascii="宋体" w:hAnsi="宋体" w:eastAsia="宋体" w:cs="宋体"/>
          <w:b/>
          <w:color w:val="auto"/>
          <w:kern w:val="0"/>
          <w:szCs w:val="21"/>
          <w:highlight w:val="none"/>
        </w:rPr>
        <w:t>否则，其投标将被拒绝。</w:t>
      </w:r>
    </w:p>
    <w:p w14:paraId="5E2F5D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投标保证金交纳形式：</w:t>
      </w:r>
      <w:r>
        <w:rPr>
          <w:rFonts w:hint="eastAsia" w:ascii="宋体" w:hAnsi="宋体" w:eastAsia="宋体" w:cs="宋体"/>
          <w:color w:val="auto"/>
          <w:highlight w:val="none"/>
        </w:rPr>
        <w:t>转账、电汇、网上银行、支票、汇票、本票或者银行、保险机构出具的保函，禁止采用现钞方式。</w:t>
      </w:r>
    </w:p>
    <w:p w14:paraId="58C55F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采用转账、电汇、网上银行方式的，在投标截止时间前交至广西德元工程项目管理有限责任公司（收款单位名称），开户银行：柳州银行北站支行营业部，银行账号：707002011010900000108</w:t>
      </w:r>
      <w:r>
        <w:rPr>
          <w:rFonts w:hint="eastAsia" w:ascii="宋体" w:hAnsi="宋体" w:eastAsia="宋体" w:cs="宋体"/>
          <w:color w:val="auto"/>
          <w:kern w:val="0"/>
          <w:szCs w:val="21"/>
          <w:highlight w:val="none"/>
        </w:rPr>
        <w:t>。</w:t>
      </w:r>
    </w:p>
    <w:p w14:paraId="5ABB091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采用</w:t>
      </w:r>
      <w:r>
        <w:rPr>
          <w:rFonts w:hint="eastAsia" w:ascii="宋体" w:hAnsi="宋体" w:eastAsia="宋体" w:cs="宋体"/>
          <w:color w:val="auto"/>
          <w:highlight w:val="none"/>
        </w:rPr>
        <w:t>转账、电汇、网上银行方式的</w:t>
      </w:r>
      <w:r>
        <w:rPr>
          <w:rFonts w:hint="eastAsia" w:ascii="宋体" w:hAnsi="宋体" w:eastAsia="宋体" w:cs="宋体"/>
          <w:color w:val="auto"/>
          <w:kern w:val="0"/>
          <w:highlight w:val="none"/>
        </w:rPr>
        <w:t>，由投标人按上条中明确的全称、帐号、开户行，在保证金规定递交时间内转入（汇入）广西德元工程项目管理有限责任公司保证金专户上，</w:t>
      </w:r>
      <w:r>
        <w:rPr>
          <w:rFonts w:hint="eastAsia" w:ascii="宋体" w:hAnsi="宋体" w:eastAsia="宋体" w:cs="宋体"/>
          <w:color w:val="auto"/>
          <w:highlight w:val="none"/>
        </w:rPr>
        <w:t>并将银行转账底单的复印件作为投标保证金提交凭证，放置于投标文件中</w:t>
      </w:r>
      <w:r>
        <w:rPr>
          <w:rFonts w:hint="eastAsia" w:ascii="宋体" w:hAnsi="宋体" w:eastAsia="宋体" w:cs="宋体"/>
          <w:color w:val="auto"/>
          <w:kern w:val="0"/>
          <w:highlight w:val="none"/>
        </w:rPr>
        <w:t>，</w:t>
      </w:r>
      <w:r>
        <w:rPr>
          <w:rFonts w:hint="eastAsia" w:ascii="宋体" w:hAnsi="宋体" w:eastAsia="宋体" w:cs="宋体"/>
          <w:b/>
          <w:color w:val="auto"/>
          <w:kern w:val="0"/>
          <w:highlight w:val="none"/>
        </w:rPr>
        <w:t>否则其投标无效</w:t>
      </w:r>
      <w:r>
        <w:rPr>
          <w:rFonts w:hint="eastAsia" w:ascii="宋体" w:hAnsi="宋体" w:eastAsia="宋体" w:cs="宋体"/>
          <w:color w:val="auto"/>
          <w:kern w:val="0"/>
          <w:highlight w:val="none"/>
        </w:rPr>
        <w:t>。若广西德元工程项目管理有限责任公司保证金专户在保证金规定递交时间内没有收到投标人足额交纳的投标保证金，</w:t>
      </w:r>
      <w:r>
        <w:rPr>
          <w:rFonts w:hint="eastAsia" w:ascii="宋体" w:hAnsi="宋体" w:eastAsia="宋体" w:cs="宋体"/>
          <w:b/>
          <w:color w:val="auto"/>
          <w:kern w:val="0"/>
          <w:highlight w:val="none"/>
        </w:rPr>
        <w:t>其投标无效</w:t>
      </w:r>
      <w:r>
        <w:rPr>
          <w:rFonts w:hint="eastAsia" w:ascii="宋体" w:hAnsi="宋体" w:eastAsia="宋体" w:cs="宋体"/>
          <w:color w:val="auto"/>
          <w:kern w:val="0"/>
          <w:highlight w:val="none"/>
        </w:rPr>
        <w:t>；因此投标人在缴纳投标保证金时应充分考虑保证金到达本公司保证金专户上的时间，以免影响投标。办理投标保证金手续时，</w:t>
      </w:r>
      <w:r>
        <w:rPr>
          <w:rFonts w:hint="eastAsia" w:ascii="宋体" w:hAnsi="宋体" w:eastAsia="宋体" w:cs="宋体"/>
          <w:b/>
          <w:color w:val="auto"/>
          <w:kern w:val="0"/>
          <w:highlight w:val="none"/>
        </w:rPr>
        <w:t>请务必在银行进帐单的用途或空白栏上注明项目名称或项目编号，</w:t>
      </w:r>
      <w:r>
        <w:rPr>
          <w:rFonts w:hint="eastAsia" w:hAnsi="宋体" w:cs="宋体"/>
          <w:b/>
          <w:color w:val="auto"/>
          <w:kern w:val="0"/>
          <w:highlight w:val="none"/>
          <w:lang w:eastAsia="zh-CN"/>
        </w:rPr>
        <w:t>并注明分标号（如有分标时）</w:t>
      </w:r>
      <w:r>
        <w:rPr>
          <w:rFonts w:hint="eastAsia" w:ascii="宋体" w:hAnsi="宋体" w:eastAsia="宋体" w:cs="宋体"/>
          <w:b/>
          <w:color w:val="auto"/>
          <w:kern w:val="0"/>
          <w:highlight w:val="none"/>
        </w:rPr>
        <w:t>，如遇受字符限制的情况，项目名称可简写。</w:t>
      </w:r>
    </w:p>
    <w:p w14:paraId="1710A383">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采用支票、汇票、本票或银行、保险机构出具的保函交纳方式的，投标人应将支票、汇票、本票或银行、保险机构出具的保函的复印件作为投标保证金提交凭证，放置于投标文件中</w:t>
      </w:r>
      <w:r>
        <w:rPr>
          <w:rFonts w:hint="eastAsia" w:ascii="宋体" w:hAnsi="宋体" w:eastAsia="宋体" w:cs="宋体"/>
          <w:b/>
          <w:color w:val="auto"/>
          <w:kern w:val="0"/>
          <w:highlight w:val="none"/>
        </w:rPr>
        <w:t>，否则其投标无效</w:t>
      </w:r>
      <w:r>
        <w:rPr>
          <w:rFonts w:hint="eastAsia" w:ascii="宋体" w:hAnsi="宋体" w:eastAsia="宋体" w:cs="宋体"/>
          <w:color w:val="auto"/>
          <w:highlight w:val="none"/>
        </w:rPr>
        <w:t>。并于投标截止时间前，递交支票、汇票、本票或银行、保险机构出具的保函原件；原件递交的形式是在线下开标现场</w:t>
      </w:r>
      <w:r>
        <w:rPr>
          <w:rFonts w:hint="eastAsia" w:ascii="宋体" w:hAnsi="宋体" w:eastAsia="宋体" w:cs="宋体"/>
          <w:b/>
          <w:bCs/>
          <w:color w:val="auto"/>
          <w:highlight w:val="none"/>
        </w:rPr>
        <w:t>【广西柳州市龙湖路13号柳州市民服务中心北楼4楼柳州市公共资源交易服务中心开标区对应开标室（具体开标室根据电子屏幕显示的安排）】</w:t>
      </w:r>
      <w:r>
        <w:rPr>
          <w:rFonts w:hint="eastAsia" w:ascii="宋体" w:hAnsi="宋体" w:eastAsia="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保证金规定递交时间内没有收到上述原件的，</w:t>
      </w:r>
      <w:r>
        <w:rPr>
          <w:rFonts w:hint="eastAsia" w:ascii="宋体" w:hAnsi="宋体" w:eastAsia="宋体" w:cs="宋体"/>
          <w:b/>
          <w:color w:val="auto"/>
          <w:highlight w:val="none"/>
        </w:rPr>
        <w:t>其投标无效</w:t>
      </w:r>
      <w:r>
        <w:rPr>
          <w:rFonts w:hint="eastAsia" w:ascii="宋体" w:hAnsi="宋体" w:eastAsia="宋体" w:cs="宋体"/>
          <w:color w:val="auto"/>
          <w:highlight w:val="none"/>
        </w:rPr>
        <w:t>；因此供应商递交上述原件时应充分考虑到达时间，以免影响</w:t>
      </w:r>
      <w:r>
        <w:rPr>
          <w:rFonts w:hint="eastAsia" w:hAnsi="宋体" w:cs="宋体"/>
          <w:color w:val="auto"/>
          <w:highlight w:val="none"/>
          <w:lang w:val="en-US" w:eastAsia="zh-CN"/>
        </w:rPr>
        <w:t>投标</w:t>
      </w:r>
      <w:r>
        <w:rPr>
          <w:rFonts w:hint="eastAsia" w:ascii="宋体" w:hAnsi="宋体" w:eastAsia="宋体" w:cs="宋体"/>
          <w:color w:val="auto"/>
          <w:highlight w:val="none"/>
        </w:rPr>
        <w:t>。</w:t>
      </w:r>
    </w:p>
    <w:p w14:paraId="594CF076">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4. </w:t>
      </w:r>
      <w:r>
        <w:rPr>
          <w:rFonts w:hint="eastAsia" w:ascii="宋体" w:hAnsi="宋体" w:eastAsia="宋体" w:cs="宋体"/>
          <w:b/>
          <w:color w:val="auto"/>
          <w:spacing w:val="-2"/>
          <w:highlight w:val="none"/>
        </w:rPr>
        <w:t>投标截止时间后提交的，或未足额交纳的，或保函额度不足的，视为无效投标保证金</w:t>
      </w:r>
      <w:r>
        <w:rPr>
          <w:rFonts w:hint="eastAsia" w:ascii="宋体" w:hAnsi="宋体" w:eastAsia="宋体" w:cs="宋体"/>
          <w:b/>
          <w:color w:val="auto"/>
          <w:highlight w:val="none"/>
        </w:rPr>
        <w:t>。</w:t>
      </w:r>
    </w:p>
    <w:p w14:paraId="070A04E7">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5. </w:t>
      </w:r>
      <w:r>
        <w:rPr>
          <w:rFonts w:hint="eastAsia" w:ascii="宋体" w:hAnsi="宋体" w:eastAsia="宋体" w:cs="宋体"/>
          <w:b/>
          <w:color w:val="auto"/>
          <w:highlight w:val="none"/>
        </w:rPr>
        <w:t>投标人采用现钞方式或从个人账户（</w:t>
      </w:r>
      <w:r>
        <w:rPr>
          <w:rFonts w:hint="eastAsia" w:ascii="宋体" w:hAnsi="宋体" w:eastAsia="宋体" w:cs="宋体"/>
          <w:b/>
          <w:color w:val="auto"/>
          <w:kern w:val="0"/>
          <w:highlight w:val="none"/>
        </w:rPr>
        <w:t>个体工商户及自然人投标除外</w:t>
      </w:r>
      <w:r>
        <w:rPr>
          <w:rFonts w:hint="eastAsia" w:ascii="宋体" w:hAnsi="宋体" w:eastAsia="宋体" w:cs="宋体"/>
          <w:b/>
          <w:color w:val="auto"/>
          <w:highlight w:val="none"/>
        </w:rPr>
        <w:t>）转出的投标保证金，视为无效投标保证金。</w:t>
      </w:r>
    </w:p>
    <w:p w14:paraId="4977A5AE">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6. </w:t>
      </w:r>
      <w:r>
        <w:rPr>
          <w:rFonts w:hint="eastAsia" w:ascii="宋体" w:hAnsi="宋体" w:eastAsia="宋体" w:cs="宋体"/>
          <w:b/>
          <w:color w:val="auto"/>
          <w:highlight w:val="none"/>
        </w:rPr>
        <w:t>支票、汇票、本票出现背书情形，或者有条件支付的，或者支票、汇票、本票无效的，视为无效投标保证金。</w:t>
      </w:r>
    </w:p>
    <w:p w14:paraId="29F3847B">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r>
        <w:rPr>
          <w:rFonts w:hint="eastAsia" w:ascii="宋体" w:hAnsi="宋体" w:eastAsia="宋体" w:cs="宋体"/>
          <w:b/>
          <w:color w:val="auto"/>
          <w:highlight w:val="none"/>
        </w:rPr>
        <w:t xml:space="preserve"> 保函有效期低于投标有效期的，视为无效投标保证金。</w:t>
      </w:r>
    </w:p>
    <w:p w14:paraId="213E0509">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b/>
          <w:color w:val="auto"/>
          <w:highlight w:val="none"/>
        </w:rPr>
      </w:pPr>
      <w:r>
        <w:rPr>
          <w:rFonts w:hint="eastAsia" w:ascii="宋体" w:hAnsi="宋体" w:eastAsia="宋体" w:cs="宋体"/>
          <w:color w:val="auto"/>
          <w:kern w:val="0"/>
          <w:highlight w:val="none"/>
        </w:rPr>
        <w:t>8.</w:t>
      </w:r>
      <w:r>
        <w:rPr>
          <w:rFonts w:hint="eastAsia" w:ascii="宋体" w:hAnsi="宋体" w:eastAsia="宋体" w:cs="宋体"/>
          <w:b/>
          <w:color w:val="auto"/>
          <w:highlight w:val="none"/>
        </w:rPr>
        <w:t xml:space="preserve"> 投标保证金采用金融机构、担保机构出具的保函为有条件保函的，视为无效投标保证金。</w:t>
      </w:r>
    </w:p>
    <w:p w14:paraId="4D0A4EF0">
      <w:pPr>
        <w:pStyle w:val="27"/>
        <w:keepNext w:val="0"/>
        <w:keepLines w:val="0"/>
        <w:pageBreakBefore w:val="0"/>
        <w:kinsoku/>
        <w:wordWrap/>
        <w:overflowPunct/>
        <w:topLinePunct w:val="0"/>
        <w:autoSpaceDE/>
        <w:autoSpaceDN/>
        <w:bidi w:val="0"/>
        <w:adjustRightInd/>
        <w:spacing w:beforeAutospacing="0" w:afterAutospacing="0" w:line="360" w:lineRule="exact"/>
        <w:ind w:left="0" w:leftChars="0" w:firstLine="315" w:firstLineChars="15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9. 投标保</w:t>
      </w:r>
      <w:r>
        <w:rPr>
          <w:rFonts w:hint="eastAsia" w:ascii="宋体" w:hAnsi="宋体" w:eastAsia="宋体" w:cs="宋体"/>
          <w:color w:val="auto"/>
          <w:highlight w:val="none"/>
        </w:rPr>
        <w:t>证金的退还</w:t>
      </w:r>
    </w:p>
    <w:p w14:paraId="18CE9BF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（1）未中标人的投标保证金自中标通知书发出之日起4个工作日内退还，退还方式如下：</w:t>
      </w:r>
    </w:p>
    <w:p w14:paraId="08527D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①采用银行转账方式的，以转账方式退回到投标人银行账户。</w:t>
      </w:r>
    </w:p>
    <w:p w14:paraId="59A3E2E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②采用支票、汇票或本票方式的，以转账方式退回到投标人银行账户或由投标人代表持相关授权证明材料至采购人或采购代理机构办理支票、汇票或本票原件退还手续。</w:t>
      </w:r>
    </w:p>
    <w:p w14:paraId="174E74E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③采用银行、保险机构出具的保函方式的，由投标人代表持相关授权证明材料在采购结果公告公布之日起四个工作日内至采购人或采购代理机构办理保函原件退还手续，投标人逾期领取所造成的后果由投标人自行承担。</w:t>
      </w:r>
    </w:p>
    <w:p w14:paraId="2CD03C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（2）中标人应在合同签订之日起2个工作日内向采购代理机构提供</w:t>
      </w:r>
      <w:r>
        <w:rPr>
          <w:rFonts w:hint="eastAsia" w:ascii="宋体" w:hAnsi="宋体" w:eastAsia="宋体" w:cs="宋体"/>
          <w:color w:val="auto"/>
          <w:highlight w:val="none"/>
          <w:u w:val="single"/>
        </w:rPr>
        <w:t xml:space="preserve"> 壹 </w:t>
      </w:r>
      <w:r>
        <w:rPr>
          <w:rFonts w:hint="eastAsia" w:ascii="宋体" w:hAnsi="宋体" w:eastAsia="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中标人的投标保证金。对无法在上述要求期限内将合同送达采购代理机构的中标人，采购代理机构须凭中标人出具加盖公章的情况说明才能退还其投标保证金。投标保证金退还方式同未中标人的投标保证金的退还方式。</w:t>
      </w:r>
    </w:p>
    <w:p w14:paraId="06B50D9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（3）投标保证金不计息。</w:t>
      </w:r>
    </w:p>
    <w:p w14:paraId="3E0E156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 投标人有下列情形之一的，投标保证金将不予退还：</w:t>
      </w:r>
    </w:p>
    <w:p w14:paraId="1E93495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（1）投标人在投标有效期内撤回投标文件的；</w:t>
      </w:r>
    </w:p>
    <w:p w14:paraId="37C4411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（2）未按规定提交履约保证金的；</w:t>
      </w:r>
    </w:p>
    <w:p w14:paraId="6F77F88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（3）投标人在投标过程中弄虚作假，提供虚假材料的；</w:t>
      </w:r>
    </w:p>
    <w:p w14:paraId="2FE72D9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（4）中标人无正当理由不与采购人签订合同的；</w:t>
      </w:r>
    </w:p>
    <w:p w14:paraId="503D69B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（5）将中标项目转让给他人或者在投标文件中未说明且未经招标采购单位同意，将中标项目分包给他人的；</w:t>
      </w:r>
    </w:p>
    <w:p w14:paraId="1A35CA8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（6）拒绝履行合同义务的；</w:t>
      </w:r>
    </w:p>
    <w:p w14:paraId="1DA62FA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（7）其他严重扰乱招投标程序的；</w:t>
      </w:r>
    </w:p>
    <w:p w14:paraId="48A1453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jc w:val="left"/>
        <w:textAlignment w:val="auto"/>
        <w:rPr>
          <w:rFonts w:hint="eastAsia" w:ascii="宋体" w:hAnsi="宋体" w:eastAsia="宋体" w:cs="宋体"/>
          <w:b/>
          <w:color w:val="auto"/>
          <w:sz w:val="24"/>
          <w:szCs w:val="20"/>
          <w:highlight w:val="none"/>
        </w:rPr>
      </w:pPr>
      <w:bookmarkStart w:id="86" w:name="_Toc254970542"/>
      <w:bookmarkStart w:id="87" w:name="_Toc254970683"/>
      <w:r>
        <w:rPr>
          <w:rFonts w:hint="eastAsia" w:ascii="宋体" w:hAnsi="宋体" w:eastAsia="宋体" w:cs="宋体"/>
          <w:b/>
          <w:color w:val="auto"/>
          <w:sz w:val="24"/>
          <w:highlight w:val="none"/>
        </w:rPr>
        <w:t>（六）投标文件的</w:t>
      </w:r>
      <w:bookmarkEnd w:id="86"/>
      <w:bookmarkEnd w:id="87"/>
      <w:r>
        <w:rPr>
          <w:rFonts w:hint="eastAsia" w:ascii="宋体" w:hAnsi="宋体" w:eastAsia="宋体" w:cs="宋体"/>
          <w:b/>
          <w:color w:val="auto"/>
          <w:sz w:val="24"/>
          <w:highlight w:val="none"/>
        </w:rPr>
        <w:t>编制</w:t>
      </w:r>
    </w:p>
    <w:p w14:paraId="1C713D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1.投标人应按本招标文件规定的格式和顺序编制、装订投标文件并标注页码，投标文件内容不完整、编排混乱导致投标文件被误读、漏读或者查找不到相关内容的，是投标人的责任。</w:t>
      </w:r>
    </w:p>
    <w:p w14:paraId="554FFF6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2.投标文件按照招标文件第六章格式要求在规定位置进行签署、盖章。投标人的投标文件未按照招标文件要求签署、盖章的，其投标无效。骑缝盖公章不视为在规定位置盖章。</w:t>
      </w:r>
    </w:p>
    <w:p w14:paraId="54655AE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3.为确保网上操作合法、有效和安全，投标人应当在投标截止时间前完成在广西政府采购云平台的身份认证，确保在电子投标过程中能够对相关数据电文进行加密和使用电子签名。</w:t>
      </w:r>
    </w:p>
    <w:p w14:paraId="48FC3F4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4.投标文件中标注的投标人名称应与主体资格证明（如营业执照、事业单位法人证书、执业许可证、自然人身份证等）及公章一致，</w:t>
      </w:r>
      <w:r>
        <w:rPr>
          <w:rFonts w:hint="eastAsia" w:ascii="宋体" w:hAnsi="宋体" w:eastAsia="宋体" w:cs="宋体"/>
          <w:b/>
          <w:color w:val="auto"/>
          <w:highlight w:val="none"/>
        </w:rPr>
        <w:t>否则作无效投标处理。</w:t>
      </w:r>
    </w:p>
    <w:p w14:paraId="4D28C5F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5.对招标文件的实质性要求和条件作出响应是指投标人必须对招标文件中标注为实质性要求和条件的技术服务需求、商务要求及其它内容作出满足或者优于原要求和条件的承诺。</w:t>
      </w:r>
    </w:p>
    <w:p w14:paraId="3EF5F59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6.本项目为全流程电子化项目，异常情况见“第三章 投标人须知正文”中“四、（三）开标程序。</w:t>
      </w:r>
    </w:p>
    <w:p w14:paraId="1FB58B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7.投标人参加多个分标投标的，应分别制作各分标的投标文件，并按照电子标分标格式要求提交对应分标的投标文件。本项目只接受电子版</w:t>
      </w:r>
      <w:r>
        <w:rPr>
          <w:rFonts w:hint="eastAsia" w:ascii="宋体" w:hAnsi="宋体" w:eastAsia="宋体" w:cs="宋体"/>
          <w:b/>
          <w:bCs/>
          <w:color w:val="auto"/>
          <w:highlight w:val="none"/>
          <w:lang w:eastAsia="zh-CN"/>
        </w:rPr>
        <w:t>投标文件</w:t>
      </w:r>
      <w:r>
        <w:rPr>
          <w:rFonts w:hint="eastAsia" w:ascii="宋体" w:hAnsi="宋体" w:eastAsia="宋体" w:cs="宋体"/>
          <w:b/>
          <w:bCs/>
          <w:color w:val="auto"/>
          <w:highlight w:val="none"/>
        </w:rPr>
        <w:t>。</w:t>
      </w:r>
    </w:p>
    <w:p w14:paraId="6C6F297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354" w:firstLineChars="147"/>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（七）投标文件的提交</w:t>
      </w:r>
    </w:p>
    <w:p w14:paraId="7E5EE00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w:t>
      </w:r>
    </w:p>
    <w:p w14:paraId="3062052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2.未在规定时间内提交或者未按照招标文件要求密封或者标记的电子投标文件，广西政府采购云平台将拒收。</w:t>
      </w:r>
    </w:p>
    <w:p w14:paraId="25B2F18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3.电子版投标文件提交方式见“招标公告”中“四、提交投标文件截止时间、开标时间和地点”。</w:t>
      </w:r>
    </w:p>
    <w:p w14:paraId="05CDE35C">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82"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（八）</w:t>
      </w:r>
      <w:r>
        <w:rPr>
          <w:rFonts w:hint="eastAsia" w:ascii="宋体" w:hAnsi="宋体" w:eastAsia="宋体" w:cs="宋体"/>
          <w:b/>
          <w:color w:val="auto"/>
          <w:kern w:val="0"/>
          <w:sz w:val="24"/>
          <w:highlight w:val="none"/>
        </w:rPr>
        <w:t>投标文件的补充、修改、撤回与退回</w:t>
      </w:r>
    </w:p>
    <w:p w14:paraId="6B674C8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AF84A4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2.广西政府采购云平台收到投标文件，将妥善保存并即时向供应商发出确认回执通知。在投标截止时间前，除供应商补充、修改或者撤回投标文件外，任何单位和个人不得解密或提取投标文件。</w:t>
      </w:r>
    </w:p>
    <w:p w14:paraId="55D3790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3.在投标截止时间止提交电子版投标文件的投标人不足3家时，电子版投标文件由代理机构在广西政府采购云平台操作退回，除此之外采购人和采购代理机构对已提交的投标文件概不退回。</w:t>
      </w:r>
    </w:p>
    <w:p w14:paraId="2F1F40E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72" w:firstLineChars="196"/>
        <w:textAlignment w:val="auto"/>
        <w:rPr>
          <w:rFonts w:hint="eastAsia" w:ascii="宋体" w:hAnsi="宋体" w:eastAsia="宋体" w:cs="宋体"/>
          <w:b/>
          <w:color w:val="auto"/>
          <w:sz w:val="24"/>
          <w:szCs w:val="20"/>
          <w:highlight w:val="none"/>
        </w:rPr>
      </w:pPr>
      <w:bookmarkStart w:id="88" w:name="_Toc254970543"/>
      <w:bookmarkStart w:id="89" w:name="_Toc254970684"/>
      <w:r>
        <w:rPr>
          <w:rFonts w:hint="eastAsia" w:ascii="宋体" w:hAnsi="宋体" w:eastAsia="宋体" w:cs="宋体"/>
          <w:b/>
          <w:color w:val="auto"/>
          <w:sz w:val="24"/>
          <w:highlight w:val="none"/>
        </w:rPr>
        <w:t>（九）投标无效的情形</w:t>
      </w:r>
      <w:bookmarkEnd w:id="88"/>
      <w:bookmarkEnd w:id="89"/>
    </w:p>
    <w:p w14:paraId="130A864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质上没有响应招标文件要求的投标将被视为无效投标。投标人不得通过修正或撤消不合要求的偏离或保留从而使其投标成为实质上响应的投标，修改或者补正投标文件必须以书面形式进行。限期内不补正或经补正后仍不符合招标文件要求的，应认定其投标无效。投标人修改、补正投标文件后，不影响评标委员会对其投标文件所作的评价和评分结果。</w:t>
      </w:r>
    </w:p>
    <w:p w14:paraId="6DB4E5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1、在资格审查时，如发现下列情形之一的，投标文件将被视为无效：</w:t>
      </w:r>
    </w:p>
    <w:p w14:paraId="4E96E5DB">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（1）不具备招标文件中规定的资格要求的；（注：其中信用查询由采购人于资格审查时</w:t>
      </w:r>
      <w:r>
        <w:rPr>
          <w:rFonts w:hint="eastAsia" w:ascii="宋体" w:hAnsi="宋体" w:eastAsia="宋体" w:cs="宋体"/>
          <w:color w:val="auto"/>
          <w:szCs w:val="21"/>
          <w:highlight w:val="none"/>
        </w:rPr>
        <w:t>在“信用中国”网站和“中国政府采购网”</w:t>
      </w:r>
      <w:r>
        <w:rPr>
          <w:rFonts w:hint="eastAsia" w:ascii="宋体" w:hAnsi="宋体" w:eastAsia="宋体" w:cs="宋体"/>
          <w:bCs/>
          <w:color w:val="auto"/>
          <w:szCs w:val="21"/>
          <w:highlight w:val="none"/>
        </w:rPr>
        <w:t>对投标人进行信用查询，联合体成员存在不良信用记录的视同联合体存在不良信用记录。）</w:t>
      </w:r>
    </w:p>
    <w:p w14:paraId="3B867FC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（2）未提供招标文件中“（一）投标文件的组成1.资格文件”要求必须提供的资料的；</w:t>
      </w:r>
    </w:p>
    <w:p w14:paraId="0E531A2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08"/>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（3）法律、法规和招标文件规定的其他无效情形。</w:t>
      </w:r>
    </w:p>
    <w:p w14:paraId="267D926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bCs/>
          <w:color w:val="auto"/>
          <w:szCs w:val="21"/>
          <w:highlight w:val="none"/>
        </w:rPr>
      </w:pPr>
      <w:bookmarkStart w:id="90" w:name="_Toc254970544"/>
      <w:bookmarkStart w:id="91" w:name="_Toc254970685"/>
      <w:r>
        <w:rPr>
          <w:rFonts w:hint="eastAsia" w:ascii="宋体" w:hAnsi="宋体" w:eastAsia="宋体" w:cs="宋体"/>
          <w:b/>
          <w:bCs/>
          <w:color w:val="auto"/>
          <w:szCs w:val="21"/>
          <w:highlight w:val="none"/>
        </w:rPr>
        <w:t>2、在符合性审查时，如发现下列情形之一的，投标文件将被视为无效：</w:t>
      </w:r>
    </w:p>
    <w:p w14:paraId="47D947FD">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（1）未按照招标文件的规定提交投标保证金的；</w:t>
      </w:r>
    </w:p>
    <w:p w14:paraId="6053ECE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（2）投标文件未按招标文件要求签署、盖章的；</w:t>
      </w:r>
    </w:p>
    <w:p w14:paraId="7470A0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rPr>
        <w:t>投标代表人未能出具身份证明或与法定代表人授权委托人身份不符的；</w:t>
      </w:r>
    </w:p>
    <w:p w14:paraId="0ABD109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7391F3E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75860980">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投标有效期、交货时间、质保期等商务条款不能满足招标文件要求的；</w:t>
      </w:r>
    </w:p>
    <w:p w14:paraId="12EB937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19C4900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1590543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B80C69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0BDEB89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630E12A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）投标技术方案不明确，存在一个或一个以上备选（替代）投标方案的；</w:t>
      </w:r>
    </w:p>
    <w:p w14:paraId="13ECA71D">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4701A61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）报价超过招标文件中规定的预算金额或者最高限价的；</w:t>
      </w:r>
    </w:p>
    <w:p w14:paraId="2219A8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D3F433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7EC26AC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w:t>
      </w:r>
      <w:r>
        <w:rPr>
          <w:rFonts w:hint="eastAsia" w:ascii="宋体" w:hAnsi="宋体" w:eastAsia="宋体" w:cs="宋体"/>
          <w:bCs/>
          <w:color w:val="auto"/>
          <w:highlight w:val="none"/>
        </w:rPr>
        <w:t>修正后的报价，投标人不确认的；</w:t>
      </w:r>
    </w:p>
    <w:p w14:paraId="47B46B7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）属于投标人须知正文（八）特别说明第6点情形的；</w:t>
      </w:r>
    </w:p>
    <w:p w14:paraId="226E4F42">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）法律、法规和招标文件规定的其他无效情形。</w:t>
      </w:r>
    </w:p>
    <w:p w14:paraId="43FE699D">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3、被拒绝的投标文件为无效；</w:t>
      </w:r>
    </w:p>
    <w:p w14:paraId="32B49E42">
      <w:pPr>
        <w:pStyle w:val="22"/>
        <w:keepNext w:val="0"/>
        <w:keepLines w:val="0"/>
        <w:pageBreakBefore w:val="0"/>
        <w:kinsoku/>
        <w:wordWrap/>
        <w:overflowPunct/>
        <w:topLinePunct w:val="0"/>
        <w:autoSpaceDE/>
        <w:autoSpaceDN/>
        <w:bidi w:val="0"/>
        <w:adjustRightInd/>
        <w:snapToGrid w:val="0"/>
        <w:spacing w:beforeAutospacing="0" w:after="0" w:afterAutospacing="0" w:line="360" w:lineRule="exact"/>
        <w:ind w:left="0" w:leftChars="0" w:firstLine="551" w:firstLineChars="196"/>
        <w:textAlignment w:val="auto"/>
        <w:rPr>
          <w:rFonts w:hint="eastAsia" w:ascii="宋体" w:hAnsi="宋体" w:eastAsia="宋体" w:cs="宋体"/>
          <w:b/>
          <w:snapToGrid w:val="0"/>
          <w:color w:val="auto"/>
          <w:sz w:val="28"/>
          <w:szCs w:val="28"/>
          <w:highlight w:val="none"/>
        </w:rPr>
      </w:pPr>
      <w:r>
        <w:rPr>
          <w:rFonts w:hint="eastAsia" w:ascii="宋体" w:hAnsi="宋体" w:eastAsia="宋体" w:cs="宋体"/>
          <w:b/>
          <w:color w:val="auto"/>
          <w:sz w:val="28"/>
          <w:szCs w:val="28"/>
          <w:highlight w:val="none"/>
        </w:rPr>
        <w:t>四、开标</w:t>
      </w:r>
      <w:bookmarkEnd w:id="90"/>
      <w:bookmarkEnd w:id="91"/>
    </w:p>
    <w:p w14:paraId="4F41DF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（一）开标时间和地点</w:t>
      </w:r>
    </w:p>
    <w:p w14:paraId="0A5E56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1.开标时间及地点详见“投标人须知前附表”</w:t>
      </w:r>
    </w:p>
    <w:p w14:paraId="7AA1FD1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2.如投标人成功解密投标文件，但未在“广西政府采购云平台”电子开标大厅参加开标的，视同认可开标过程和结果，由此产生的后果由投标人自行负责。投标人不足3家的，不得开标。</w:t>
      </w:r>
    </w:p>
    <w:p w14:paraId="53134B7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（二）开标准备</w:t>
      </w:r>
    </w:p>
    <w:p w14:paraId="5FFB29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530E15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 开标程序：</w:t>
      </w:r>
    </w:p>
    <w:p w14:paraId="3B36070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解密电子投标文件。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须携带加密时所用的CA锁准时登录到广西政府采购云平台电子开标大厅签到并对电子投标文件解密。开标后5分钟投标人还未进行解密的，代理机构通知投标人。通知后，投标文件仍未按时解密，或者投标人没预留联系方式或预留联系方式无效，</w:t>
      </w:r>
      <w:r>
        <w:rPr>
          <w:rFonts w:hint="eastAsia" w:ascii="宋体" w:hAnsi="宋体" w:eastAsia="宋体" w:cs="宋体"/>
          <w:color w:val="auto"/>
          <w:szCs w:val="24"/>
          <w:highlight w:val="none"/>
        </w:rPr>
        <w:t>非代理机构原因导致代理机构无法联系到供应商进行解密的</w:t>
      </w:r>
      <w:r>
        <w:rPr>
          <w:rFonts w:hint="eastAsia" w:ascii="宋体" w:hAnsi="宋体" w:eastAsia="宋体" w:cs="宋体"/>
          <w:bCs/>
          <w:color w:val="auto"/>
          <w:highlight w:val="none"/>
        </w:rPr>
        <w:t>，均视为无效投标。</w:t>
      </w:r>
    </w:p>
    <w:p w14:paraId="2341A03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（解密异常情况处理：详见本章第五点（九）电子交易活动的中止。）</w:t>
      </w:r>
    </w:p>
    <w:p w14:paraId="728AB39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（2）电子唱标。投标文件解密结束，各投标人报价均在广西政府采购云平台远程不见面开标大厅展示；</w:t>
      </w:r>
    </w:p>
    <w:p w14:paraId="33DB2B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（3）签署电子《政府采购活动现场确认声明书》。通过邮件形式在远程不见面开标大厅发送各投标人签署电子《政府采购活动现场确认声明书》。</w:t>
      </w:r>
    </w:p>
    <w:p w14:paraId="4258C24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7DC10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146755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（6）开标结束。</w:t>
      </w:r>
    </w:p>
    <w:p w14:paraId="7E47E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特别说明：如遇广西政府采购云平台电子化开标或评审程序调整的，按调整后执行。</w:t>
      </w:r>
    </w:p>
    <w:p w14:paraId="71370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81" w:leftChars="0" w:hanging="281" w:hangingChars="100"/>
        <w:textAlignment w:val="auto"/>
        <w:rPr>
          <w:rFonts w:hint="eastAsia" w:ascii="宋体" w:hAnsi="宋体" w:eastAsia="宋体" w:cs="宋体"/>
          <w:b/>
          <w:color w:val="auto"/>
          <w:sz w:val="28"/>
          <w:szCs w:val="28"/>
          <w:highlight w:val="none"/>
        </w:rPr>
      </w:pPr>
      <w:bookmarkStart w:id="92" w:name="_Toc254970686"/>
      <w:bookmarkStart w:id="93" w:name="_Toc254970545"/>
      <w:r>
        <w:rPr>
          <w:rFonts w:hint="eastAsia" w:ascii="宋体" w:hAnsi="宋体" w:eastAsia="宋体" w:cs="宋体"/>
          <w:b/>
          <w:color w:val="auto"/>
          <w:sz w:val="28"/>
          <w:szCs w:val="28"/>
          <w:highlight w:val="none"/>
        </w:rPr>
        <w:t>五、评标</w:t>
      </w:r>
      <w:bookmarkEnd w:id="92"/>
      <w:bookmarkEnd w:id="93"/>
    </w:p>
    <w:p w14:paraId="4F921D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（一）组建评标委员会</w:t>
      </w:r>
    </w:p>
    <w:p w14:paraId="41032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本项目评标委员会由政府采购评审专家</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4</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人和采购人代表</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人，共</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人组成。</w:t>
      </w:r>
    </w:p>
    <w:p w14:paraId="1850DF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（二）评标的方式</w:t>
      </w:r>
    </w:p>
    <w:p w14:paraId="660658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本项目采用不公开方式评标，评标的依据为招标文件和投标文件。</w:t>
      </w:r>
    </w:p>
    <w:p w14:paraId="1A5B43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bCs/>
          <w:color w:val="auto"/>
          <w:highlight w:val="none"/>
        </w:rPr>
        <w:t>评标程序</w:t>
      </w:r>
    </w:p>
    <w:p w14:paraId="0529AE1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7" w:firstLineChars="245"/>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1.资格审查</w:t>
      </w:r>
    </w:p>
    <w:p w14:paraId="1F9B3E7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采购人依法通过电子投标文件对投标人的资格进行线上审查</w:t>
      </w:r>
      <w:r>
        <w:rPr>
          <w:rFonts w:hint="eastAsia" w:ascii="宋体" w:hAnsi="宋体" w:eastAsia="宋体" w:cs="宋体"/>
          <w:color w:val="auto"/>
          <w:szCs w:val="21"/>
          <w:highlight w:val="none"/>
        </w:rPr>
        <w:t>。合格投标人不足3家的，不得评标。</w:t>
      </w:r>
    </w:p>
    <w:p w14:paraId="7B8616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523" w:firstLineChars="248"/>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2.实质审查与比较</w:t>
      </w:r>
    </w:p>
    <w:p w14:paraId="01D022F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（1）评标委员会审查投标文件的实质性内容是否符合招标文件的实质性要求。</w:t>
      </w:r>
    </w:p>
    <w:p w14:paraId="1E55632A">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（2）评标委员会将根据投标人的投标文件进行审查、核对，如有疑问，</w:t>
      </w:r>
      <w:r>
        <w:rPr>
          <w:rFonts w:hint="eastAsia" w:ascii="宋体" w:hAnsi="宋体" w:eastAsia="宋体" w:cs="宋体"/>
          <w:color w:val="auto"/>
          <w:highlight w:val="none"/>
        </w:rPr>
        <w:t>评标委员会将通过广西政府采购云平台，以询标函的方式要求投标人在线对相关问题进行澄清或者说明。</w:t>
      </w:r>
    </w:p>
    <w:p w14:paraId="4113E0E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（3）评标委员会按照招标文件中规定的评标方法和标准，对符合性审查合格的投标文件进行商务、技术和报价评估，综合比较与评价。</w:t>
      </w:r>
    </w:p>
    <w:p w14:paraId="12437A4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评标委员会独立对每个投标人的投标文件进行评价，并汇总每个投标人的得分。对畸高、畸低的重大差异评分提示评标委员会复核或书面说明理由。</w:t>
      </w:r>
    </w:p>
    <w:p w14:paraId="055E22B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（5）评标委员会按照招标文件中规定的评标方法和标准计算各投标人的报价得分。在计算过程中，不得去掉最高报价或者最低报价。</w:t>
      </w:r>
    </w:p>
    <w:p w14:paraId="27C6A6C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（6）各投标人的得分为所有评委的有效评分的算术平均数。</w:t>
      </w:r>
    </w:p>
    <w:p w14:paraId="50CAF9D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（7）评标委员会按评标原则推荐中标候选人同时起草评标报告。</w:t>
      </w:r>
    </w:p>
    <w:p w14:paraId="7010A5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3.起草并签署评标报告。</w:t>
      </w:r>
      <w:r>
        <w:rPr>
          <w:rFonts w:hint="eastAsia" w:ascii="宋体" w:hAnsi="宋体" w:eastAsia="宋体" w:cs="宋体"/>
          <w:color w:val="auto"/>
          <w:highlight w:val="none"/>
        </w:rPr>
        <w:t>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087EB4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（四）澄清问题的形式</w:t>
      </w:r>
    </w:p>
    <w:p w14:paraId="0004CD0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C21A29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66CDB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（五）错误修正</w:t>
      </w:r>
    </w:p>
    <w:p w14:paraId="0922CD8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投标文件如果出现计算上的错误，修正错误的原则如下：</w:t>
      </w:r>
    </w:p>
    <w:p w14:paraId="0845118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1.投标文件中开标一览表内容与投标文件中相应内容不一致的，以开标一览表为准；</w:t>
      </w:r>
    </w:p>
    <w:p w14:paraId="6499A5E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39A6AB6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3.单价金额小数点或者百分比有明显错位的，以开标一览表的总价为准，并修改单价；</w:t>
      </w:r>
    </w:p>
    <w:p w14:paraId="3795CBD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53A9D11">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color w:val="auto"/>
          <w:highlight w:val="none"/>
        </w:rPr>
        <w:t>同时出现两种以上不一致的，按照前款规定的顺序修正。</w:t>
      </w:r>
      <w:r>
        <w:rPr>
          <w:rFonts w:hint="eastAsia" w:ascii="宋体" w:hAnsi="宋体" w:eastAsia="宋体" w:cs="宋体"/>
          <w:b/>
          <w:bCs/>
          <w:color w:val="auto"/>
          <w:highlight w:val="none"/>
        </w:rPr>
        <w:t>评标委员会通过广西政府采购云平台发起询标函，投标人在规定时间内通过广西政府采购云平台确认，投标人的确认应当加盖CA电子签章。</w:t>
      </w:r>
      <w:r>
        <w:rPr>
          <w:rFonts w:hint="eastAsia" w:ascii="宋体" w:hAnsi="宋体" w:eastAsia="宋体" w:cs="宋体"/>
          <w:b/>
          <w:color w:val="auto"/>
          <w:highlight w:val="none"/>
        </w:rPr>
        <w:t>修正后的报价经投标人确认并加盖</w:t>
      </w:r>
      <w:r>
        <w:rPr>
          <w:rFonts w:hint="eastAsia" w:ascii="宋体" w:hAnsi="宋体" w:eastAsia="宋体" w:cs="宋体"/>
          <w:b/>
          <w:bCs/>
          <w:color w:val="auto"/>
          <w:highlight w:val="none"/>
        </w:rPr>
        <w:t>CA电子签章</w:t>
      </w:r>
      <w:r>
        <w:rPr>
          <w:rFonts w:hint="eastAsia" w:ascii="宋体" w:hAnsi="宋体" w:eastAsia="宋体" w:cs="宋体"/>
          <w:b/>
          <w:color w:val="auto"/>
          <w:highlight w:val="none"/>
        </w:rPr>
        <w:t>后产生约束力，投标人不确认的，其投标无效。</w:t>
      </w:r>
    </w:p>
    <w:p w14:paraId="23948B3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1" w:leftChars="0" w:hanging="211" w:hangingChars="1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（六）评委表决</w:t>
      </w:r>
    </w:p>
    <w:p w14:paraId="72FE81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210" w:leftChars="0" w:hanging="210" w:hanging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在评标过程中出现法律法规和招标文件均没有明确规定的情形时，由评标委员会现场协商解决，协</w:t>
      </w:r>
    </w:p>
    <w:p w14:paraId="78D901F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688" w:leftChars="0" w:hanging="688" w:hangingChars="328"/>
        <w:textAlignment w:val="auto"/>
        <w:rPr>
          <w:rFonts w:hint="eastAsia" w:ascii="宋体" w:hAnsi="宋体" w:eastAsia="宋体" w:cs="宋体"/>
          <w:color w:val="auto"/>
          <w:highlight w:val="none"/>
        </w:rPr>
      </w:pPr>
      <w:r>
        <w:rPr>
          <w:rFonts w:hint="eastAsia" w:ascii="宋体" w:hAnsi="宋体" w:eastAsia="宋体" w:cs="宋体"/>
          <w:color w:val="auto"/>
          <w:highlight w:val="none"/>
        </w:rPr>
        <w:t>商不一致的，由全体评委投票表决，以得票率二分之一以上专家的意见为准。</w:t>
      </w:r>
    </w:p>
    <w:p w14:paraId="4DE3B692">
      <w:pPr>
        <w:pStyle w:val="27"/>
        <w:keepNext w:val="0"/>
        <w:keepLines w:val="0"/>
        <w:pageBreakBefore w:val="0"/>
        <w:tabs>
          <w:tab w:val="left" w:pos="630"/>
        </w:tabs>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（七）评标原则和评标办法</w:t>
      </w:r>
    </w:p>
    <w:p w14:paraId="784C8CE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r>
        <w:rPr>
          <w:rFonts w:hint="eastAsia" w:ascii="宋体" w:hAnsi="宋体" w:eastAsia="宋体" w:cs="宋体"/>
          <w:color w:val="auto"/>
          <w:kern w:val="0"/>
          <w:highlight w:val="none"/>
        </w:rPr>
        <w:t>不得收受利害关系人的财物或者其他好处</w:t>
      </w:r>
      <w:r>
        <w:rPr>
          <w:rFonts w:hint="eastAsia" w:ascii="宋体" w:hAnsi="宋体" w:eastAsia="宋体" w:cs="宋体"/>
          <w:color w:val="auto"/>
          <w:highlight w:val="none"/>
        </w:rPr>
        <w:t>。</w:t>
      </w:r>
    </w:p>
    <w:p w14:paraId="0670C0E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2.评标办法。本项目评标办法是</w:t>
      </w:r>
      <w:r>
        <w:rPr>
          <w:rFonts w:hint="eastAsia" w:ascii="宋体" w:hAnsi="宋体" w:eastAsia="宋体" w:cs="宋体"/>
          <w:b/>
          <w:bCs/>
          <w:color w:val="auto"/>
          <w:highlight w:val="none"/>
          <w:u w:val="single"/>
        </w:rPr>
        <w:t>综合评分法</w:t>
      </w:r>
      <w:r>
        <w:rPr>
          <w:rFonts w:hint="eastAsia" w:ascii="宋体" w:hAnsi="宋体" w:eastAsia="宋体" w:cs="宋体"/>
          <w:color w:val="auto"/>
          <w:highlight w:val="none"/>
        </w:rPr>
        <w:t>，具体评标内容及评分标准等详见《第四章：评标办法及评分标准》。</w:t>
      </w:r>
    </w:p>
    <w:p w14:paraId="23E876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 评标的保密。采购人、采购代理机构应当采取必要措施，保证评标在严格保密（封闭式评标）的情况下进行。除采购人代表、评标现场组织人员外，采购人的其他工作人员以及与评标工作无关的人员不</w:t>
      </w:r>
      <w:r>
        <w:rPr>
          <w:rFonts w:hint="eastAsia" w:ascii="宋体" w:hAnsi="宋体" w:eastAsia="宋体" w:cs="宋体"/>
          <w:color w:val="auto"/>
          <w:kern w:val="0"/>
          <w:highlight w:val="none"/>
        </w:rPr>
        <w:t>得进入评标现场。有关人员对评标情况以及在评标过程中获悉的国家秘密、商业秘密负有保密责任。</w:t>
      </w:r>
    </w:p>
    <w:p w14:paraId="662463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（八）评标过程的监控</w:t>
      </w:r>
    </w:p>
    <w:p w14:paraId="72CA6B8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本项目电子评标过程实行网上留痕、全程录音、录像监控，投标人在评标过程中所进行的试图影响评标结果的不公正活动，可能导致其投标按无效处理。</w:t>
      </w:r>
    </w:p>
    <w:p w14:paraId="72F4DB8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（九）电子交易活动的中止</w:t>
      </w:r>
    </w:p>
    <w:p w14:paraId="5367BD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1.采购过程中出现以下情形，导致电子交易平台无法正常运行，或者无法保证电子交易的公平、公正和安全时，采购机构可中止电子交易活动：</w:t>
      </w:r>
    </w:p>
    <w:p w14:paraId="4DEA529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617D992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08711B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30FB3C3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190BB7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4FACF56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D99316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4" w:name="_Toc254970546"/>
      <w:bookmarkStart w:id="95" w:name="_Toc254970687"/>
      <w:r>
        <w:rPr>
          <w:rFonts w:hint="eastAsia" w:ascii="宋体" w:hAnsi="宋体" w:eastAsia="宋体" w:cs="宋体"/>
          <w:b/>
          <w:color w:val="auto"/>
          <w:highlight w:val="none"/>
        </w:rPr>
        <w:t>六、</w:t>
      </w:r>
      <w:bookmarkEnd w:id="94"/>
      <w:bookmarkEnd w:id="95"/>
      <w:r>
        <w:rPr>
          <w:rFonts w:hint="eastAsia" w:ascii="宋体" w:hAnsi="宋体" w:eastAsia="宋体" w:cs="宋体"/>
          <w:b/>
          <w:color w:val="auto"/>
          <w:highlight w:val="none"/>
        </w:rPr>
        <w:t>评标结果</w:t>
      </w:r>
    </w:p>
    <w:p w14:paraId="297E7F6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（一）采购代理机构在评标结束后二个工作日内将评标报告送采购人，采购人在五个工作日内按照评标报告中推荐的中标候选供应商顺序确定中标供应商。采购人也可以事先授权评标委员会直接确定中标供应商。</w:t>
      </w:r>
    </w:p>
    <w:p w14:paraId="2F9AC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（二）中标供应商确定后二个工作日内，采购代理机构或采购人</w:t>
      </w:r>
      <w:r>
        <w:rPr>
          <w:rFonts w:hint="eastAsia" w:ascii="宋体" w:hAnsi="宋体" w:eastAsia="宋体" w:cs="宋体"/>
          <w:color w:val="auto"/>
          <w:kern w:val="0"/>
          <w:highlight w:val="none"/>
        </w:rPr>
        <w:t>应当对中标人信用进行核实</w:t>
      </w:r>
      <w:r>
        <w:rPr>
          <w:rFonts w:hint="eastAsia" w:ascii="宋体" w:hAnsi="宋体" w:eastAsia="宋体" w:cs="宋体"/>
          <w:color w:val="auto"/>
          <w:highlight w:val="none"/>
        </w:rPr>
        <w:t>，如其未被列入失信被执行人、重大税收违法案件当事人名单、政府采购严重违法失信行为记录名单，则采购代理机构在中国政府采购网、广西政府采购网、柳州市政府采购网发布中标公告；如其被列入失信被执行人、重大税收违法案件当事人名单、政府采购严重违法失信行为记录名单，则取消其中标资格，</w:t>
      </w:r>
      <w:r>
        <w:rPr>
          <w:rFonts w:hint="eastAsia" w:ascii="宋体" w:hAnsi="宋体" w:eastAsia="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ascii="宋体" w:hAnsi="宋体" w:eastAsia="宋体" w:cs="宋体"/>
          <w:color w:val="auto"/>
          <w:highlight w:val="none"/>
        </w:rPr>
        <w:t>及相关证据与采购文件一并保存。</w:t>
      </w:r>
    </w:p>
    <w:p w14:paraId="2BD63A4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（三）在发布中标公告的同时，</w:t>
      </w:r>
      <w:r>
        <w:rPr>
          <w:rFonts w:hint="eastAsia" w:ascii="宋体" w:hAnsi="宋体" w:eastAsia="宋体" w:cs="宋体"/>
          <w:color w:val="auto"/>
          <w:kern w:val="0"/>
          <w:highlight w:val="none"/>
        </w:rPr>
        <w:t>采购代理机构向中标人通过广西政府采购云平台发出电子中标通知书</w:t>
      </w:r>
      <w:r>
        <w:rPr>
          <w:rFonts w:hint="eastAsia" w:ascii="宋体" w:hAnsi="宋体" w:eastAsia="宋体" w:cs="宋体"/>
          <w:color w:val="auto"/>
          <w:highlight w:val="none"/>
        </w:rPr>
        <w:t>。</w:t>
      </w:r>
    </w:p>
    <w:p w14:paraId="058F20A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（四）对未通过资格审查的投标人，采购人或采购机构应当告知其未通过的原因；采用综合评分办法评审的，采购人或采购机构还应当告知未中标人本人的评审得分与排序。</w:t>
      </w:r>
    </w:p>
    <w:p w14:paraId="1F8A0B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（五）投标人认为招标文件、招标工程和中标结果使自己的权益受到损害的，可以在知道或者应知其权益受到损害之日起七个工作日内，以书面形式向采购代理机构提出质疑，并及时索要书面回执。</w:t>
      </w:r>
    </w:p>
    <w:p w14:paraId="42CAD6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（六）采购代理机构应当按照有关规定就采购人委托范围内的事项在收到投标人的书面质疑后七个工作日内做出答复，但答复的内容不得涉及商业秘密。</w:t>
      </w:r>
    </w:p>
    <w:p w14:paraId="32EFE95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bookmarkStart w:id="96" w:name="_Toc254970688"/>
      <w:bookmarkStart w:id="97" w:name="_Toc254970547"/>
      <w:r>
        <w:rPr>
          <w:rFonts w:hint="eastAsia" w:ascii="宋体" w:hAnsi="宋体" w:eastAsia="宋体" w:cs="宋体"/>
          <w:b/>
          <w:color w:val="auto"/>
          <w:highlight w:val="none"/>
        </w:rPr>
        <w:t>七、</w:t>
      </w:r>
      <w:bookmarkEnd w:id="96"/>
      <w:bookmarkEnd w:id="97"/>
      <w:r>
        <w:rPr>
          <w:rFonts w:hint="eastAsia" w:ascii="宋体" w:hAnsi="宋体" w:eastAsia="宋体" w:cs="宋体"/>
          <w:b/>
          <w:color w:val="auto"/>
          <w:highlight w:val="none"/>
        </w:rPr>
        <w:t>签订合同</w:t>
      </w:r>
    </w:p>
    <w:p w14:paraId="47B609A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（一）合同授予标准</w:t>
      </w:r>
    </w:p>
    <w:p w14:paraId="08AE69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合同将授予被确定实质上响应招标文件要求，具备履行合同能力，综合评分排名第一的投标人。</w:t>
      </w:r>
    </w:p>
    <w:p w14:paraId="68A244D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（二）签订合同、合同存档及合同公告</w:t>
      </w:r>
    </w:p>
    <w:p w14:paraId="0C4FAC2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（1）投标人领取电子中标通知书后，应按中标通知书规定的时间、地点与采购人签订电子采购合同。</w:t>
      </w:r>
      <w:r>
        <w:rPr>
          <w:rFonts w:hint="eastAsia" w:ascii="宋体" w:hAnsi="宋体" w:eastAsia="宋体" w:cs="宋体"/>
          <w:color w:val="auto"/>
          <w:kern w:val="0"/>
          <w:highlight w:val="none"/>
        </w:rPr>
        <w:t>电子采购合同需要供应商通过有效CA证书进行电子签名与签章。</w:t>
      </w:r>
    </w:p>
    <w:p w14:paraId="6E64B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（2）如中标供应商不按中标通知书的规定签订合同，则按中标供应商违约处理，采购代理机构将没收中标供应商投标的全部投标保证金并上缴同级财政国库。</w:t>
      </w:r>
    </w:p>
    <w:p w14:paraId="0C2788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（3）中标供应商因不可抗力或者自身原因不能履行采购合同的，采购人可以与中标供应商之后排名第一的中标候选供应商签订采购合同，以此类推，也可以重新组织采购。</w:t>
      </w:r>
    </w:p>
    <w:p w14:paraId="28C123D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政府采购合同公告：采购人或者受托采购代理机构应当自政府采购合同签订之日起2个工作日内，将政府采购合同在“广西政府采购网”（http://zfcg.gxzf.gov.cn）上发布公告，但政府采购合同中涉及国家秘密、商业秘密的内容除外。因此请各投标人应在投标文件中注明投标内容中涉及商业秘密的部分，未注明的视为投标文件中不涉及商业秘密。</w:t>
      </w:r>
    </w:p>
    <w:p w14:paraId="76E9CE8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（三）履约保证金</w:t>
      </w:r>
    </w:p>
    <w:p w14:paraId="1249FA2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1.履约保证金金额：详见投标人须知前附</w:t>
      </w:r>
      <w:r>
        <w:rPr>
          <w:rFonts w:hint="eastAsia" w:ascii="宋体" w:hAnsi="宋体" w:eastAsia="宋体" w:cs="宋体"/>
          <w:color w:val="auto"/>
          <w:szCs w:val="21"/>
          <w:highlight w:val="none"/>
        </w:rPr>
        <w:t>表</w:t>
      </w:r>
      <w:r>
        <w:rPr>
          <w:rFonts w:hint="eastAsia" w:ascii="宋体" w:hAnsi="宋体" w:eastAsia="宋体" w:cs="宋体"/>
          <w:color w:val="auto"/>
          <w:kern w:val="0"/>
          <w:szCs w:val="21"/>
          <w:highlight w:val="none"/>
        </w:rPr>
        <w:t>。</w:t>
      </w:r>
    </w:p>
    <w:p w14:paraId="01DF4E2F">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2.履约保证金递交时间：详见投标人须知前附</w:t>
      </w:r>
      <w:r>
        <w:rPr>
          <w:rFonts w:hint="eastAsia" w:ascii="宋体" w:hAnsi="宋体" w:eastAsia="宋体" w:cs="宋体"/>
          <w:color w:val="auto"/>
          <w:szCs w:val="21"/>
          <w:highlight w:val="none"/>
        </w:rPr>
        <w:t>表，未在规定时间内足额缴纳履约保证金的，不予签订合同</w:t>
      </w:r>
      <w:r>
        <w:rPr>
          <w:rFonts w:hint="eastAsia" w:ascii="宋体" w:hAnsi="宋体" w:eastAsia="宋体" w:cs="宋体"/>
          <w:color w:val="auto"/>
          <w:kern w:val="0"/>
          <w:szCs w:val="21"/>
          <w:highlight w:val="none"/>
        </w:rPr>
        <w:t>。</w:t>
      </w:r>
    </w:p>
    <w:p w14:paraId="15FA127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3.在履约保证金退还日期前，若中标供应商的开户名称、开户银行、帐号有变动的，请以书面形式通知保证金收取单位，否则由此产生的后果由中标供应商自负。</w:t>
      </w:r>
    </w:p>
    <w:p w14:paraId="1F55ED7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八、验收</w:t>
      </w:r>
    </w:p>
    <w:p w14:paraId="2ACC3D4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49CB7E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2.采购人可以邀请参加本项目的其他投标人或者第三方机构参与验收。参与验收的投标人或者第三方机构的意见作为验收书的参考资料一并存档。</w:t>
      </w:r>
    </w:p>
    <w:p w14:paraId="11C7EB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3.严格按照采购合同开展履约验收。采购人成立验收小组，按照采购合同的约定对供应商履约情况进行验收。验收时，按照采购合同的约定对每一项技术、</w:t>
      </w:r>
      <w:r>
        <w:rPr>
          <w:rFonts w:hint="eastAsia" w:ascii="宋体" w:hAnsi="宋体" w:eastAsia="宋体" w:cs="宋体"/>
          <w:color w:val="auto"/>
          <w:highlight w:val="none"/>
          <w:lang w:val="en-US" w:eastAsia="zh-CN"/>
        </w:rPr>
        <w:t>货物</w:t>
      </w:r>
      <w:r>
        <w:rPr>
          <w:rFonts w:hint="eastAsia" w:ascii="宋体" w:hAnsi="宋体" w:eastAsia="宋体" w:cs="宋体"/>
          <w:color w:val="auto"/>
          <w:highlight w:val="none"/>
        </w:rPr>
        <w:t>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C6EAD3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F7D9AB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 项目验收完毕，中标供应商将壹份《广西壮族自治区政府采购项目合同验收书》（格式详见附件）送采购代理机构存档。</w:t>
      </w:r>
    </w:p>
    <w:p w14:paraId="45B1401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3"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九、其他事项</w:t>
      </w:r>
    </w:p>
    <w:p w14:paraId="768BC6C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（一）需要补充的其他内容</w:t>
      </w:r>
    </w:p>
    <w:p w14:paraId="5745AC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1.本招标文件解释规则详见“投标人须知前附表”。</w:t>
      </w:r>
    </w:p>
    <w:p w14:paraId="0D8A1D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2.其他事项详见“投标人须知前附表”。</w:t>
      </w:r>
    </w:p>
    <w:p w14:paraId="51A300C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（二）代理服务费</w:t>
      </w:r>
    </w:p>
    <w:p w14:paraId="6331E1CA">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hAnsi="宋体" w:cs="宋体"/>
          <w:color w:val="auto"/>
          <w:highlight w:val="none"/>
          <w:lang w:eastAsia="zh-CN"/>
        </w:rPr>
        <w:t>代理服务费以中标金额</w:t>
      </w:r>
      <w:r>
        <w:rPr>
          <w:rFonts w:hint="eastAsia" w:ascii="宋体" w:hAnsi="宋体" w:eastAsia="宋体" w:cs="宋体"/>
          <w:color w:val="auto"/>
          <w:highlight w:val="none"/>
        </w:rPr>
        <w:t>作为计费额，参照国家发展计划委员会文件计价格（2002）1980号“国家计委关于印发《招标代理服务收费管理暂行办法》的通知”规定的</w:t>
      </w:r>
      <w:r>
        <w:rPr>
          <w:rFonts w:hint="eastAsia" w:ascii="宋体" w:hAnsi="宋体" w:eastAsia="宋体" w:cs="宋体"/>
          <w:color w:val="auto"/>
          <w:highlight w:val="none"/>
          <w:lang w:val="en-US" w:eastAsia="zh-CN"/>
        </w:rPr>
        <w:t>货物类</w:t>
      </w:r>
      <w:r>
        <w:rPr>
          <w:rFonts w:hint="eastAsia" w:ascii="宋体" w:hAnsi="宋体" w:eastAsia="宋体" w:cs="宋体"/>
          <w:color w:val="auto"/>
          <w:highlight w:val="none"/>
        </w:rPr>
        <w:t>标准</w:t>
      </w:r>
      <w:r>
        <w:rPr>
          <w:rFonts w:hint="eastAsia" w:ascii="宋体" w:hAnsi="宋体" w:eastAsia="宋体" w:cs="宋体"/>
          <w:color w:val="auto"/>
          <w:highlight w:val="none"/>
          <w:lang w:val="en-US" w:eastAsia="zh-CN"/>
        </w:rPr>
        <w:t>下浮30%</w:t>
      </w:r>
      <w:r>
        <w:rPr>
          <w:rFonts w:hint="eastAsia" w:ascii="宋体" w:hAnsi="宋体" w:eastAsia="宋体" w:cs="宋体"/>
          <w:color w:val="auto"/>
          <w:highlight w:val="none"/>
        </w:rPr>
        <w:t>向中标人收取。领取中标通知书时，中标人应向采购代理机构一次付清代理服务费。</w:t>
      </w:r>
    </w:p>
    <w:p w14:paraId="5130E16E">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715"/>
        <w:gridCol w:w="1955"/>
        <w:gridCol w:w="1910"/>
      </w:tblGrid>
      <w:tr w14:paraId="17E1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68" w:type="dxa"/>
          </w:tcPr>
          <w:p w14:paraId="5B70A4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347345</wp:posOffset>
                      </wp:positionH>
                      <wp:positionV relativeFrom="paragraph">
                        <wp:posOffset>29210</wp:posOffset>
                      </wp:positionV>
                      <wp:extent cx="1595755" cy="920115"/>
                      <wp:effectExtent l="2540" t="3810" r="1905" b="9525"/>
                      <wp:wrapNone/>
                      <wp:docPr id="2" name="Line 21"/>
                      <wp:cNvGraphicFramePr/>
                      <a:graphic xmlns:a="http://schemas.openxmlformats.org/drawingml/2006/main">
                        <a:graphicData uri="http://schemas.microsoft.com/office/word/2010/wordprocessingShape">
                          <wps:wsp>
                            <wps:cNvCnPr/>
                            <wps:spPr>
                              <a:xfrm>
                                <a:off x="0" y="0"/>
                                <a:ext cx="1595755" cy="9201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27.35pt;margin-top:2.3pt;height:72.45pt;width:125.65pt;z-index:251661312;mso-width-relative:page;mso-height-relative:page;" filled="f" stroked="t" coordsize="21600,21600" o:gfxdata="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PVhd1wAAAAgBAAAPAAAAAAAAAAEAIAAA&#10;ACIAAABkcnMvZG93bnJldi54bWxQSwECFAAUAAAACACHTuJAtA97cNQBAADT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A/3zG/OAQAAyQMAAA4AAAAAAAAAAQAgAAAAJA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服</w:t>
            </w:r>
          </w:p>
          <w:p w14:paraId="31BAFED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516" w:firstLineChars="246"/>
              <w:textAlignment w:val="auto"/>
              <w:rPr>
                <w:rFonts w:hint="eastAsia" w:ascii="宋体" w:hAnsi="宋体" w:eastAsia="宋体" w:cs="宋体"/>
                <w:color w:val="auto"/>
                <w:highlight w:val="none"/>
              </w:rPr>
            </w:pPr>
            <w:r>
              <w:rPr>
                <w:rFonts w:hint="eastAsia" w:ascii="宋体" w:hAnsi="宋体" w:eastAsia="宋体" w:cs="宋体"/>
                <w:color w:val="auto"/>
                <w:highlight w:val="none"/>
              </w:rPr>
              <w:t>费　　　　　   务</w:t>
            </w:r>
          </w:p>
          <w:p w14:paraId="189232E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041" w:firstLineChars="496"/>
              <w:textAlignment w:val="auto"/>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1943100" cy="594360"/>
                      <wp:effectExtent l="1270" t="4445" r="17780" b="10795"/>
                      <wp:wrapNone/>
                      <wp:docPr id="3" name="Line 22"/>
                      <wp:cNvGraphicFramePr/>
                      <a:graphic xmlns:a="http://schemas.openxmlformats.org/drawingml/2006/main">
                        <a:graphicData uri="http://schemas.microsoft.com/office/word/2010/wordprocessingShape">
                          <wps:wsp>
                            <wps:cNvCnPr/>
                            <wps:spPr>
                              <a:xfrm>
                                <a:off x="0" y="0"/>
                                <a:ext cx="1943100" cy="5943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0.75pt;height:46.8pt;width:153pt;z-index:251662336;mso-width-relative:page;mso-height-relative:page;" filled="f" stroked="t" coordsize="21600,21600" o:gfxdata="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tMTndQAAAAFAQAADwAAAAAAAAABACAA&#10;AAAiAAAAZHJzL2Rvd25yZXYueG1sUEsBAhQAFAAAAAgAh07iQMA6ZdfYAQAA0wMAAA4AAAAAAAAA&#10;AQAgAAAAIw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color w:val="auto"/>
                <w:highlight w:val="none"/>
              </w:rPr>
              <w:t>率           类</w:t>
            </w:r>
          </w:p>
          <w:p w14:paraId="14FF13F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1671" w:firstLineChars="796"/>
              <w:textAlignment w:val="auto"/>
              <w:rPr>
                <w:rFonts w:hint="eastAsia" w:ascii="宋体" w:hAnsi="宋体" w:eastAsia="宋体" w:cs="宋体"/>
                <w:color w:val="auto"/>
                <w:highlight w:val="none"/>
              </w:rPr>
            </w:pPr>
            <w:r>
              <w:rPr>
                <w:rFonts w:hint="eastAsia" w:ascii="宋体" w:hAnsi="宋体" w:eastAsia="宋体" w:cs="宋体"/>
                <w:color w:val="auto"/>
                <w:highlight w:val="none"/>
              </w:rPr>
              <w:t>型        型</w:t>
            </w:r>
          </w:p>
          <w:p w14:paraId="787342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中标金额（万元）</w:t>
            </w:r>
          </w:p>
        </w:tc>
        <w:tc>
          <w:tcPr>
            <w:tcW w:w="1715" w:type="dxa"/>
            <w:vAlign w:val="center"/>
          </w:tcPr>
          <w:p w14:paraId="41B8B40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货物招标</w:t>
            </w:r>
          </w:p>
        </w:tc>
        <w:tc>
          <w:tcPr>
            <w:tcW w:w="1955" w:type="dxa"/>
            <w:vAlign w:val="center"/>
          </w:tcPr>
          <w:p w14:paraId="755FAD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服务招标</w:t>
            </w:r>
          </w:p>
        </w:tc>
        <w:tc>
          <w:tcPr>
            <w:tcW w:w="1910" w:type="dxa"/>
            <w:vAlign w:val="center"/>
          </w:tcPr>
          <w:p w14:paraId="63FC587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工程招标</w:t>
            </w:r>
          </w:p>
        </w:tc>
      </w:tr>
      <w:tr w14:paraId="69E8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4A7372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715" w:type="dxa"/>
            <w:vAlign w:val="center"/>
          </w:tcPr>
          <w:p w14:paraId="189FDE1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55" w:type="dxa"/>
            <w:vAlign w:val="center"/>
          </w:tcPr>
          <w:p w14:paraId="7A8A2D2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910" w:type="dxa"/>
            <w:vAlign w:val="center"/>
          </w:tcPr>
          <w:p w14:paraId="1A1B940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197D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64199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1715" w:type="dxa"/>
            <w:vAlign w:val="center"/>
          </w:tcPr>
          <w:p w14:paraId="16CC47E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955" w:type="dxa"/>
            <w:vAlign w:val="center"/>
          </w:tcPr>
          <w:p w14:paraId="465E543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10" w:type="dxa"/>
            <w:vAlign w:val="center"/>
          </w:tcPr>
          <w:p w14:paraId="5CE9F0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62A1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F556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500-1000</w:t>
            </w:r>
          </w:p>
        </w:tc>
        <w:tc>
          <w:tcPr>
            <w:tcW w:w="1715" w:type="dxa"/>
            <w:vAlign w:val="center"/>
          </w:tcPr>
          <w:p w14:paraId="62CFDF7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955" w:type="dxa"/>
            <w:vAlign w:val="center"/>
          </w:tcPr>
          <w:p w14:paraId="5BE687B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910" w:type="dxa"/>
            <w:vAlign w:val="center"/>
          </w:tcPr>
          <w:p w14:paraId="6E7EDA9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0.55%</w:t>
            </w:r>
          </w:p>
        </w:tc>
      </w:tr>
      <w:tr w14:paraId="7CBB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805B7F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1000-5000</w:t>
            </w:r>
          </w:p>
        </w:tc>
        <w:tc>
          <w:tcPr>
            <w:tcW w:w="1715" w:type="dxa"/>
            <w:vAlign w:val="center"/>
          </w:tcPr>
          <w:p w14:paraId="5B2D944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0.5%</w:t>
            </w:r>
          </w:p>
        </w:tc>
        <w:tc>
          <w:tcPr>
            <w:tcW w:w="1955" w:type="dxa"/>
            <w:vAlign w:val="center"/>
          </w:tcPr>
          <w:p w14:paraId="4C5E064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10" w:type="dxa"/>
            <w:vAlign w:val="center"/>
          </w:tcPr>
          <w:p w14:paraId="72C8AF4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6EC8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EDFCDA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5000-10000</w:t>
            </w:r>
          </w:p>
        </w:tc>
        <w:tc>
          <w:tcPr>
            <w:tcW w:w="1715" w:type="dxa"/>
            <w:vAlign w:val="center"/>
          </w:tcPr>
          <w:p w14:paraId="79055B1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955" w:type="dxa"/>
            <w:vAlign w:val="center"/>
          </w:tcPr>
          <w:p w14:paraId="5E98E8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910" w:type="dxa"/>
            <w:vAlign w:val="center"/>
          </w:tcPr>
          <w:p w14:paraId="3F9EA00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0.2%</w:t>
            </w:r>
          </w:p>
        </w:tc>
      </w:tr>
      <w:tr w14:paraId="0EFF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6917C37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10000-100000</w:t>
            </w:r>
          </w:p>
        </w:tc>
        <w:tc>
          <w:tcPr>
            <w:tcW w:w="1715" w:type="dxa"/>
            <w:vAlign w:val="center"/>
          </w:tcPr>
          <w:p w14:paraId="3B78BB2C">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55" w:type="dxa"/>
            <w:vAlign w:val="center"/>
          </w:tcPr>
          <w:p w14:paraId="6F1A36B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c>
          <w:tcPr>
            <w:tcW w:w="1910" w:type="dxa"/>
            <w:vAlign w:val="center"/>
          </w:tcPr>
          <w:p w14:paraId="205CD01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0.05%</w:t>
            </w:r>
          </w:p>
        </w:tc>
      </w:tr>
      <w:tr w14:paraId="6469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F2A8D8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1000000以上</w:t>
            </w:r>
          </w:p>
        </w:tc>
        <w:tc>
          <w:tcPr>
            <w:tcW w:w="1715" w:type="dxa"/>
            <w:vAlign w:val="center"/>
          </w:tcPr>
          <w:p w14:paraId="60FDDFC8">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55" w:type="dxa"/>
            <w:vAlign w:val="center"/>
          </w:tcPr>
          <w:p w14:paraId="26DDB7C4">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c>
          <w:tcPr>
            <w:tcW w:w="1910" w:type="dxa"/>
            <w:vAlign w:val="center"/>
          </w:tcPr>
          <w:p w14:paraId="14B2C25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C3858F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注：招标代理服务费收费按差额定率累进法计算。</w:t>
      </w:r>
    </w:p>
    <w:p w14:paraId="4335082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（三）投标人信用查询相关规定：</w:t>
      </w:r>
    </w:p>
    <w:p w14:paraId="086C57F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1.信用查询渠道：“信用中国”网站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w:t>
      </w:r>
    </w:p>
    <w:p w14:paraId="5A1C17B9">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2.信用查询截止时点：资格审查时。</w:t>
      </w:r>
    </w:p>
    <w:p w14:paraId="044A7C0D">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3.信用信息查询记录：“列入失信被执行人”、“ 重大税收违法案件当事人名单”、“政府采购严重违法失信行为记录名单”。</w:t>
      </w:r>
    </w:p>
    <w:p w14:paraId="2CCA6386">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4.信用信息的使用规则：如投标人被列入“列入失信被执行人”、“ 重大税收违法案件当事 人名单”、“政府采购严重违法失信行为记录名单”等名单内的，将按照信用信息使用规则处理。</w:t>
      </w:r>
    </w:p>
    <w:p w14:paraId="4BFB08D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5.证据留存方式：在查询网站中直接截图查询记录，截图作为在广西政府采购云平台作为附件上传保存。</w:t>
      </w:r>
    </w:p>
    <w:p w14:paraId="4893A54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（四）关于中小企业的相关规定</w:t>
      </w:r>
    </w:p>
    <w:p w14:paraId="22C87F11">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6362812">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4CB3F1A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3.在货物采购项目中，供应商提供的货物既有中小企业制造货物，也有大型企业制造货物的，不享受中小企业扶持政策。</w:t>
      </w:r>
    </w:p>
    <w:p w14:paraId="658B0F1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4.以联合体形式参加政府采购活动，联合体各方均为中小企业的，联合体视同中小企业。其中，联合体各方均为小微企业的，联合体视同小微企业。</w:t>
      </w:r>
    </w:p>
    <w:p w14:paraId="4FFC204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3563CA45">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5.享受中小企业扶持政策获得政府采购合同的，小微企业不得将合同分包给大中型企业，中型企业不得将合同分包给大型企业。</w:t>
      </w:r>
    </w:p>
    <w:p w14:paraId="0B1E8F23">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577E67F">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4C9621CB">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p>
    <w:p w14:paraId="14C2193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6F3F7E9">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附件1：</w:t>
      </w:r>
    </w:p>
    <w:p w14:paraId="1A81DB08">
      <w:pPr>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广西壮族自治区政府采购项目</w:t>
      </w:r>
      <w:r>
        <w:rPr>
          <w:rFonts w:hint="eastAsia" w:ascii="宋体" w:hAnsi="宋体" w:eastAsia="宋体" w:cs="宋体"/>
          <w:b/>
          <w:color w:val="auto"/>
          <w:kern w:val="0"/>
          <w:szCs w:val="21"/>
          <w:highlight w:val="none"/>
        </w:rPr>
        <w:t>合同验收书（格式）</w:t>
      </w:r>
    </w:p>
    <w:p w14:paraId="5E3781D5">
      <w:pPr>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24F1DBCC">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4A5EA25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6F06458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604488E4">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6F69D3E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1317D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524E439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118AE581">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17DF23F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671FFB67">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62AF1E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908B667">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3DF5B27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902981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11B8FC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1B7E0C0">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6E99DE9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22570EA">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244FC83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7D7857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3B3CC2">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0E94B86">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7BA06AE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7371DA0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76D397DD">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2058606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5387FE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CBEA84">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70D809BE">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5"/>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59D7765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B7443C4">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F7D3CDC">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4CD6E78B">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DE35003">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47515AB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2"/>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2FE8572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63EC4D9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6"/>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7773DD79">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FADBDA2">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7FBCC676">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5D23D5A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7014C0D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1C210933">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CFE555A">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20508C">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54B3BBF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在安装调试等方面是否违反合同约定或服务规范要求、提供的质量保证证明材料是否齐全、应有的配件及附件是否达到合同约定等。可附件)</w:t>
            </w:r>
          </w:p>
        </w:tc>
      </w:tr>
      <w:tr w14:paraId="33700EFA">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86649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61EA36CA">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验收结论性意见：</w:t>
            </w:r>
          </w:p>
          <w:p w14:paraId="110627C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8AD3A82">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24B45EC3">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57BDFF44">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96"/>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810717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签字：</w:t>
            </w:r>
          </w:p>
        </w:tc>
      </w:tr>
      <w:tr w14:paraId="1F2D18B6">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DAA82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6FC07AF3">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45FEC66">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5865EF99">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74"/>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324F8575">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01103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w:t>
            </w:r>
            <w:r>
              <w:rPr>
                <w:rFonts w:hint="eastAsia" w:ascii="宋体" w:hAnsi="宋体" w:eastAsia="宋体" w:cs="宋体"/>
                <w:color w:val="auto"/>
                <w:kern w:val="0"/>
                <w:szCs w:val="21"/>
                <w:highlight w:val="none"/>
                <w:lang w:eastAsia="zh-CN"/>
              </w:rPr>
              <w:t>中标供应商</w:t>
            </w:r>
            <w:r>
              <w:rPr>
                <w:rFonts w:hint="eastAsia" w:ascii="宋体" w:hAnsi="宋体" w:eastAsia="宋体" w:cs="宋体"/>
                <w:color w:val="auto"/>
                <w:kern w:val="0"/>
                <w:szCs w:val="21"/>
                <w:highlight w:val="none"/>
              </w:rPr>
              <w:t>负责人签字或盖章：</w:t>
            </w:r>
          </w:p>
          <w:p w14:paraId="6845637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171DE62C">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14:paraId="26FA0DAB">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739BD090">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37919D37">
      <w:pPr>
        <w:pStyle w:val="27"/>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textAlignment w:val="auto"/>
        <w:rPr>
          <w:rFonts w:hint="eastAsia" w:ascii="宋体" w:hAnsi="宋体" w:eastAsia="宋体" w:cs="宋体"/>
          <w:color w:val="auto"/>
          <w:highlight w:val="none"/>
        </w:rPr>
      </w:pPr>
    </w:p>
    <w:p w14:paraId="655F0C71">
      <w:pPr>
        <w:widowControl/>
        <w:spacing w:line="360" w:lineRule="exact"/>
        <w:ind w:left="480"/>
        <w:jc w:val="center"/>
        <w:outlineLvl w:val="0"/>
        <w:rPr>
          <w:rFonts w:hint="eastAsia" w:ascii="宋体" w:hAnsi="宋体" w:eastAsia="宋体" w:cs="宋体"/>
          <w:b/>
          <w:color w:val="auto"/>
          <w:sz w:val="28"/>
          <w:szCs w:val="28"/>
          <w:highlight w:val="none"/>
        </w:rPr>
      </w:pPr>
    </w:p>
    <w:p w14:paraId="7E85E8C1">
      <w:pPr>
        <w:widowControl/>
        <w:spacing w:line="360" w:lineRule="exact"/>
        <w:ind w:left="480"/>
        <w:jc w:val="center"/>
        <w:outlineLvl w:val="0"/>
        <w:rPr>
          <w:rFonts w:hint="eastAsia" w:ascii="宋体" w:hAnsi="宋体" w:eastAsia="宋体" w:cs="宋体"/>
          <w:b/>
          <w:color w:val="auto"/>
          <w:sz w:val="28"/>
          <w:szCs w:val="28"/>
          <w:highlight w:val="none"/>
        </w:rPr>
      </w:pPr>
    </w:p>
    <w:p w14:paraId="322B7BA5">
      <w:pPr>
        <w:widowControl/>
        <w:spacing w:line="360" w:lineRule="exact"/>
        <w:ind w:left="480"/>
        <w:jc w:val="center"/>
        <w:outlineLvl w:val="0"/>
        <w:rPr>
          <w:rFonts w:hint="eastAsia" w:ascii="宋体" w:hAnsi="宋体" w:eastAsia="宋体" w:cs="宋体"/>
          <w:b/>
          <w:color w:val="auto"/>
          <w:sz w:val="28"/>
          <w:szCs w:val="28"/>
          <w:highlight w:val="none"/>
        </w:rPr>
      </w:pPr>
      <w:bookmarkStart w:id="98" w:name="_Toc29000"/>
      <w:r>
        <w:rPr>
          <w:rFonts w:hint="eastAsia" w:ascii="宋体" w:hAnsi="宋体" w:eastAsia="宋体" w:cs="宋体"/>
          <w:b/>
          <w:color w:val="auto"/>
          <w:sz w:val="28"/>
          <w:szCs w:val="28"/>
          <w:highlight w:val="none"/>
        </w:rPr>
        <w:t>第四章 评标办法及评分标准</w:t>
      </w:r>
      <w:bookmarkEnd w:id="98"/>
    </w:p>
    <w:p w14:paraId="09AEA38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一、评标原则</w:t>
      </w:r>
    </w:p>
    <w:p w14:paraId="6CF3E634">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(一)评委构成：评标委员会由采购人代表和评审专家组成，成员人数应当为</w:t>
      </w:r>
      <w:r>
        <w:rPr>
          <w:rFonts w:hint="eastAsia" w:hAnsi="宋体" w:cs="宋体"/>
          <w:color w:val="auto"/>
          <w:highlight w:val="none"/>
          <w:lang w:val="en-US" w:eastAsia="zh-CN"/>
        </w:rPr>
        <w:t>5</w:t>
      </w:r>
      <w:r>
        <w:rPr>
          <w:rFonts w:hint="eastAsia" w:ascii="宋体" w:hAnsi="宋体" w:eastAsia="宋体" w:cs="宋体"/>
          <w:color w:val="auto"/>
          <w:highlight w:val="none"/>
        </w:rPr>
        <w:t>人以上单数，其中评审专家不得少于成员总数的三分之二。</w:t>
      </w:r>
    </w:p>
    <w:p w14:paraId="4682154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(二)评标依据：</w:t>
      </w:r>
    </w:p>
    <w:p w14:paraId="45C079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1、评委将以招投标文件为评标依据，对投标人的投标报价、</w:t>
      </w:r>
      <w:r>
        <w:rPr>
          <w:rFonts w:hint="eastAsia" w:ascii="宋体" w:hAnsi="宋体" w:eastAsia="宋体" w:cs="宋体"/>
          <w:color w:val="auto"/>
          <w:highlight w:val="none"/>
          <w:lang w:val="en-US" w:eastAsia="zh-CN"/>
        </w:rPr>
        <w:t>技术分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商务分、政策功能分</w:t>
      </w:r>
      <w:r>
        <w:rPr>
          <w:rFonts w:hint="eastAsia" w:ascii="宋体" w:hAnsi="宋体" w:eastAsia="宋体" w:cs="宋体"/>
          <w:color w:val="auto"/>
          <w:highlight w:val="none"/>
        </w:rPr>
        <w:t>等方面内容按百分制打分。</w:t>
      </w:r>
    </w:p>
    <w:p w14:paraId="107BC173">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2、</w:t>
      </w:r>
      <w:r>
        <w:rPr>
          <w:rFonts w:hint="eastAsia" w:ascii="宋体" w:hAnsi="宋体" w:eastAsia="宋体" w:cs="宋体"/>
          <w:color w:val="auto"/>
          <w:kern w:val="0"/>
          <w:szCs w:val="21"/>
          <w:highlight w:val="none"/>
        </w:rPr>
        <w:t>评标报价为投标人的投标报价进行政策性扣除后的价格，评标报价只是作为评标时使用。最终中标人的中标金额等于投标报价。</w:t>
      </w:r>
    </w:p>
    <w:p w14:paraId="231106EB">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按照《政府采购促进中小企业发展管理办法》（财库〔2020〕46号）的规定，投标人在其投标文件中按照格式要求提供《中小企业声明函》，且其投标产品均为小型企业</w:t>
      </w:r>
      <w:r>
        <w:rPr>
          <w:rFonts w:hint="eastAsia" w:ascii="宋体" w:hAnsi="宋体" w:eastAsia="宋体" w:cs="宋体"/>
          <w:b/>
          <w:bCs/>
          <w:color w:val="auto"/>
          <w:highlight w:val="none"/>
          <w:lang w:val="en-US" w:eastAsia="zh-CN"/>
        </w:rPr>
        <w:t>或</w:t>
      </w:r>
      <w:r>
        <w:rPr>
          <w:rFonts w:hint="eastAsia" w:ascii="宋体" w:hAnsi="宋体" w:eastAsia="宋体" w:cs="宋体"/>
          <w:b/>
          <w:bCs/>
          <w:color w:val="auto"/>
          <w:highlight w:val="none"/>
        </w:rPr>
        <w:t>微型企业制造的产品，对其最后报价给予</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0%的扣除。</w:t>
      </w:r>
    </w:p>
    <w:p w14:paraId="0BAFDA1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B1CB111">
      <w:pPr>
        <w:adjustRightInd w:val="0"/>
        <w:snapToGri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0030EB1">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在货物采购项目中，投标人投标全部货物（除招标文件明确的配件及辅材不做为主要标的物外）由小型企业</w:t>
      </w:r>
      <w:r>
        <w:rPr>
          <w:rFonts w:hint="eastAsia" w:hAnsi="宋体" w:cs="宋体"/>
          <w:b/>
          <w:bCs/>
          <w:color w:val="auto"/>
          <w:highlight w:val="none"/>
          <w:lang w:val="en-US" w:eastAsia="zh-CN"/>
        </w:rPr>
        <w:t>或</w:t>
      </w:r>
      <w:r>
        <w:rPr>
          <w:rFonts w:hint="eastAsia" w:ascii="宋体" w:hAnsi="宋体" w:eastAsia="宋体" w:cs="宋体"/>
          <w:b/>
          <w:bCs/>
          <w:color w:val="auto"/>
          <w:highlight w:val="none"/>
        </w:rPr>
        <w:t>微型企业制造；对符合上述要求的投标人的投标报价给予</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%的扣除，扣除后的价格为评标报价，即评标报价=投标报价×（1-</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0%）。</w:t>
      </w:r>
    </w:p>
    <w:p w14:paraId="4D2B6F4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%（范围为4%-6%）的扣除，用扣除后的价格参加评审，扣除后的价格为评标报价，即评标报价=投标报价×（1-</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6</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%）。除上述情况外，评标报价=投标报价。</w:t>
      </w:r>
    </w:p>
    <w:p w14:paraId="30DAE8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满足招标文件要求且评标报价最低的评标报价为评标基准价，其价格分为满分。</w:t>
      </w:r>
    </w:p>
    <w:p w14:paraId="59B8D4CC">
      <w:pPr>
        <w:pStyle w:val="27"/>
        <w:snapToGrid w:val="0"/>
        <w:spacing w:line="36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、评标委员会认为投标人的报价明显低于其他通过符合性审查投标人的报价，有可能影响产品质量或者不能诚信履约的，可要求其在评标现场合理的时间</w:t>
      </w:r>
      <w:r>
        <w:rPr>
          <w:rFonts w:hint="eastAsia" w:ascii="宋体" w:hAnsi="宋体" w:eastAsia="宋体" w:cs="宋体"/>
          <w:b/>
          <w:bCs/>
          <w:color w:val="auto"/>
          <w:szCs w:val="21"/>
          <w:highlight w:val="none"/>
        </w:rPr>
        <w:t>（30分钟）</w:t>
      </w:r>
      <w:r>
        <w:rPr>
          <w:rFonts w:hint="eastAsia" w:ascii="宋体" w:hAnsi="宋体" w:eastAsia="宋体" w:cs="宋体"/>
          <w:b/>
          <w:color w:val="auto"/>
          <w:szCs w:val="21"/>
          <w:highlight w:val="none"/>
        </w:rPr>
        <w:t>内按以下成本构成科目以书面方式提供计算数据及计算方法作为报价合理性的证明资料：包括所需材料、管理费用、人员成本构成、税收等所有成本和利润。投标人也可直接在投标文件中提供上述资料以避免因无法及时提供说明而导致可能被评标委员会作为无效响应处理。如果投标人不能合理说明或者提供的有关证明材料不完整，不能证明其报价合理性的，评标委员会将其作为无效投标处理。投标人书面说明应当签字确认或者加盖公章，否则无效。</w:t>
      </w:r>
    </w:p>
    <w:p w14:paraId="07E3D9A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(三)评标方式：以封闭方式进行。</w:t>
      </w:r>
    </w:p>
    <w:p w14:paraId="5B86482A">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二、评定方法</w:t>
      </w:r>
    </w:p>
    <w:p w14:paraId="6BD8C5E8">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（一）资格审查</w:t>
      </w:r>
    </w:p>
    <w:p w14:paraId="338F2CA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开标结束后，采购人依法对投标人的资格进行审查。</w:t>
      </w:r>
    </w:p>
    <w:tbl>
      <w:tblPr>
        <w:tblStyle w:val="48"/>
        <w:tblW w:w="500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29"/>
        <w:gridCol w:w="3189"/>
        <w:gridCol w:w="5102"/>
      </w:tblGrid>
      <w:tr w14:paraId="3A05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F6D878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FBB57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1CBDFED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检查内容</w:t>
            </w:r>
          </w:p>
        </w:tc>
      </w:tr>
      <w:tr w14:paraId="6268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vAlign w:val="center"/>
          </w:tcPr>
          <w:p w14:paraId="40124C0D">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（一）</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5CFAF877">
            <w:pPr>
              <w:pStyle w:val="27"/>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投投标人应符合的基本资格条件</w:t>
            </w:r>
          </w:p>
        </w:tc>
        <w:tc>
          <w:tcPr>
            <w:tcW w:w="3116" w:type="dxa"/>
            <w:tcBorders>
              <w:top w:val="single" w:color="auto" w:sz="4" w:space="0"/>
              <w:left w:val="single" w:color="auto" w:sz="4" w:space="0"/>
              <w:bottom w:val="single" w:color="auto" w:sz="4" w:space="0"/>
              <w:right w:val="single" w:color="auto" w:sz="4" w:space="0"/>
            </w:tcBorders>
            <w:vAlign w:val="center"/>
          </w:tcPr>
          <w:p w14:paraId="0E07D05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493C877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7ADB2E7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2.如为分支机构投标的，须提供其总公司“营业执照”副本复印件和总公司对投标人参与本项目投标的授权书原件。</w:t>
            </w:r>
          </w:p>
        </w:tc>
      </w:tr>
      <w:tr w14:paraId="48A1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10144A1D">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55674017">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5926A19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2.具有良好的商业信誉和健全的财务会计制度、有依法缴纳税收和社会保障金的良好记录、具有履行合同所必需的设备和专业技术能力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6A837E06">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bCs/>
                <w:color w:val="auto"/>
                <w:highlight w:val="none"/>
              </w:rPr>
              <w:t>政府采购供应商资格信用承诺函</w:t>
            </w:r>
            <w:r>
              <w:rPr>
                <w:rFonts w:hint="eastAsia" w:ascii="宋体" w:hAnsi="宋体" w:eastAsia="宋体" w:cs="宋体"/>
                <w:color w:val="auto"/>
                <w:highlight w:val="none"/>
              </w:rPr>
              <w:t>。</w:t>
            </w:r>
          </w:p>
        </w:tc>
      </w:tr>
      <w:tr w14:paraId="38BF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66365E96">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0997A210">
            <w:pPr>
              <w:widowControl/>
              <w:jc w:val="left"/>
              <w:rPr>
                <w:rFonts w:hint="eastAsia" w:ascii="宋体" w:hAnsi="宋体" w:eastAsia="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61BE5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6B446E35">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1.提供参加政府采购活动前三年内在经营活动中没有重大违法记录和不良信用记录的书面声明书。</w:t>
            </w:r>
          </w:p>
          <w:p w14:paraId="307378D1">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人在资格审查时，将通过“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0ACD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2136FA6A">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126A593E">
            <w:pPr>
              <w:widowControl/>
              <w:jc w:val="left"/>
              <w:rPr>
                <w:rFonts w:hint="eastAsia" w:ascii="宋体" w:hAnsi="宋体" w:eastAsia="宋体" w:cs="宋体"/>
                <w:color w:val="auto"/>
                <w:szCs w:val="21"/>
                <w:highlight w:val="none"/>
              </w:rPr>
            </w:pPr>
          </w:p>
        </w:tc>
        <w:tc>
          <w:tcPr>
            <w:tcW w:w="3116" w:type="dxa"/>
            <w:vMerge w:val="restart"/>
            <w:tcBorders>
              <w:top w:val="single" w:color="auto" w:sz="4" w:space="0"/>
              <w:left w:val="single" w:color="auto" w:sz="4" w:space="0"/>
              <w:bottom w:val="single" w:color="auto" w:sz="4" w:space="0"/>
              <w:right w:val="single" w:color="auto" w:sz="4" w:space="0"/>
            </w:tcBorders>
            <w:vAlign w:val="center"/>
          </w:tcPr>
          <w:p w14:paraId="6D3A73D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093708A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1.单位负责人为同一人或者存在直接控股、管理关系的不同供应商，不得参加同一合同项下的政府采购活动。提供投标人直接控股、管理关系信息表。</w:t>
            </w:r>
          </w:p>
        </w:tc>
      </w:tr>
      <w:tr w14:paraId="3201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02BBB77">
            <w:pPr>
              <w:widowControl/>
              <w:jc w:val="center"/>
              <w:rPr>
                <w:rFonts w:hint="eastAsia" w:ascii="宋体" w:hAnsi="宋体" w:eastAsia="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6458A3EF">
            <w:pPr>
              <w:widowControl/>
              <w:jc w:val="left"/>
              <w:rPr>
                <w:rFonts w:hint="eastAsia" w:ascii="宋体" w:hAnsi="宋体" w:eastAsia="宋体" w:cs="宋体"/>
                <w:color w:val="auto"/>
                <w:szCs w:val="21"/>
                <w:highlight w:val="none"/>
              </w:rPr>
            </w:pPr>
          </w:p>
        </w:tc>
        <w:tc>
          <w:tcPr>
            <w:tcW w:w="3116" w:type="dxa"/>
            <w:vMerge w:val="continue"/>
            <w:tcBorders>
              <w:top w:val="single" w:color="auto" w:sz="4" w:space="0"/>
              <w:left w:val="single" w:color="auto" w:sz="4" w:space="0"/>
              <w:bottom w:val="single" w:color="auto" w:sz="4" w:space="0"/>
              <w:right w:val="single" w:color="auto" w:sz="4" w:space="0"/>
            </w:tcBorders>
            <w:vAlign w:val="center"/>
          </w:tcPr>
          <w:p w14:paraId="41552ED3">
            <w:pPr>
              <w:widowControl/>
              <w:jc w:val="left"/>
              <w:rPr>
                <w:rFonts w:hint="eastAsia" w:ascii="宋体" w:hAnsi="宋体" w:eastAsia="宋体" w:cs="宋体"/>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137070C0">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2.为本项目提供过整体设计、规范编制或者项目管理、监理、检测等服务的供应商，不得再参加本项目上述服务以外的其他采购活动。提供投标声明书。</w:t>
            </w:r>
          </w:p>
        </w:tc>
      </w:tr>
      <w:tr w14:paraId="0E07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2DA94C9">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49BDAE4E">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1F9DD9E3">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w:t>
            </w:r>
          </w:p>
        </w:tc>
      </w:tr>
      <w:tr w14:paraId="1C09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03F7E8">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C412B52">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5F640BF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按招标公告“二、申请人的资格要求3.本项目的特定资格要求”的要求提交（如有）。</w:t>
            </w:r>
          </w:p>
        </w:tc>
      </w:tr>
    </w:tbl>
    <w:p w14:paraId="12CD814F">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（二）符合性审查</w:t>
      </w:r>
    </w:p>
    <w:p w14:paraId="5CE49739">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评标委员会根据采购文件要求各投标人投标文件的有效性、完整性、响应性等进行审查，以确定是否对采购文件的实质性要求作出响应。</w:t>
      </w:r>
    </w:p>
    <w:tbl>
      <w:tblPr>
        <w:tblStyle w:val="48"/>
        <w:tblW w:w="50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56"/>
        <w:gridCol w:w="6819"/>
      </w:tblGrid>
      <w:tr w14:paraId="5819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3FE7A9D9">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2" w:type="dxa"/>
            <w:tcBorders>
              <w:top w:val="single" w:color="auto" w:sz="4" w:space="0"/>
              <w:left w:val="single" w:color="auto" w:sz="4" w:space="0"/>
              <w:bottom w:val="single" w:color="auto" w:sz="4" w:space="0"/>
              <w:right w:val="single" w:color="auto" w:sz="4" w:space="0"/>
            </w:tcBorders>
            <w:vAlign w:val="center"/>
          </w:tcPr>
          <w:p w14:paraId="49B3924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评审因素</w:t>
            </w:r>
          </w:p>
        </w:tc>
        <w:tc>
          <w:tcPr>
            <w:tcW w:w="6663" w:type="dxa"/>
            <w:tcBorders>
              <w:top w:val="single" w:color="auto" w:sz="4" w:space="0"/>
              <w:left w:val="single" w:color="auto" w:sz="4" w:space="0"/>
              <w:bottom w:val="single" w:color="auto" w:sz="4" w:space="0"/>
              <w:right w:val="single" w:color="auto" w:sz="4" w:space="0"/>
            </w:tcBorders>
            <w:vAlign w:val="center"/>
          </w:tcPr>
          <w:p w14:paraId="40EF883D">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评审标准</w:t>
            </w:r>
          </w:p>
        </w:tc>
      </w:tr>
      <w:tr w14:paraId="61AB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5" w:type="dxa"/>
            <w:tcBorders>
              <w:top w:val="single" w:color="auto" w:sz="4" w:space="0"/>
              <w:left w:val="single" w:color="auto" w:sz="4" w:space="0"/>
              <w:bottom w:val="single" w:color="auto" w:sz="4" w:space="0"/>
              <w:right w:val="single" w:color="auto" w:sz="4" w:space="0"/>
            </w:tcBorders>
            <w:vAlign w:val="center"/>
          </w:tcPr>
          <w:p w14:paraId="218E4035">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302" w:type="dxa"/>
            <w:tcBorders>
              <w:top w:val="single" w:color="auto" w:sz="4" w:space="0"/>
              <w:left w:val="single" w:color="auto" w:sz="4" w:space="0"/>
              <w:bottom w:val="single" w:color="auto" w:sz="4" w:space="0"/>
              <w:right w:val="single" w:color="auto" w:sz="4" w:space="0"/>
            </w:tcBorders>
            <w:vAlign w:val="center"/>
          </w:tcPr>
          <w:p w14:paraId="235148FD">
            <w:pPr>
              <w:pStyle w:val="27"/>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商务部分审查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29EB11D5">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未按照招标文件的规定提交投标保证金的；</w:t>
            </w:r>
          </w:p>
          <w:p w14:paraId="74B300F8">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投标文件未按招标文件要求签署、盖章的；</w:t>
            </w:r>
          </w:p>
          <w:p w14:paraId="312B08E9">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color w:val="auto"/>
                <w:szCs w:val="21"/>
                <w:highlight w:val="none"/>
              </w:rPr>
              <w:t>投标代表人未能出具身份证明或与法定代表人授权委托人身份不符的；</w:t>
            </w:r>
          </w:p>
          <w:p w14:paraId="2ACBD0C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投标文件的实质性内容未使用中文表述、意思表述不明确、前后矛盾或者使用计量单位不符合招标文件要求的（经评标委员会认定并允许其当场更正的笔误除外）；</w:t>
            </w:r>
          </w:p>
          <w:p w14:paraId="0C4B824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highlight w:val="none"/>
              </w:rPr>
              <w:t>投标文件中的文件资料因填写不齐全或者内容虚假或者出现其他情形而导致被评标委员会认定无效的；</w:t>
            </w:r>
          </w:p>
          <w:p w14:paraId="04503D5D">
            <w:pPr>
              <w:snapToGrid w:val="0"/>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color w:val="auto"/>
                <w:szCs w:val="21"/>
                <w:highlight w:val="none"/>
              </w:rPr>
              <w:t>投标有效期、交货时间、质保期等商务条款不能满足招标文件要求的；</w:t>
            </w:r>
          </w:p>
          <w:p w14:paraId="67846CC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未提供招标文件中“（一）投标文件的组成3.商务技术文件3.1商务部分”要求必须提供的资料的；</w:t>
            </w:r>
          </w:p>
          <w:p w14:paraId="0FF15586">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highlight w:val="none"/>
              </w:rPr>
              <w:t>投标文件未实质性响应招标文件要求或者投标文件有采购人不能接受的附加条件的</w:t>
            </w:r>
            <w:r>
              <w:rPr>
                <w:rFonts w:hint="eastAsia" w:ascii="宋体" w:hAnsi="宋体" w:eastAsia="宋体" w:cs="宋体"/>
                <w:color w:val="auto"/>
                <w:szCs w:val="21"/>
                <w:highlight w:val="none"/>
              </w:rPr>
              <w:t>；</w:t>
            </w:r>
          </w:p>
          <w:p w14:paraId="4FDCE5F4">
            <w:pPr>
              <w:pStyle w:val="27"/>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属于投标人须知正文（八）特别说明第6点情形的；</w:t>
            </w:r>
          </w:p>
          <w:p w14:paraId="58433A45">
            <w:pPr>
              <w:pStyle w:val="27"/>
              <w:snapToGrid w:val="0"/>
              <w:spacing w:line="360" w:lineRule="exact"/>
              <w:ind w:firstLine="420" w:firstLineChars="200"/>
              <w:rPr>
                <w:rFonts w:hint="eastAsia" w:ascii="宋体" w:hAnsi="宋体" w:eastAsia="宋体" w:cs="宋体"/>
                <w:color w:val="auto"/>
                <w:highlight w:val="none"/>
              </w:rPr>
            </w:pPr>
            <w:r>
              <w:rPr>
                <w:rFonts w:hint="eastAsia" w:hAnsi="宋体" w:cs="宋体"/>
                <w:color w:val="auto"/>
                <w:highlight w:val="none"/>
                <w:lang w:val="en-US" w:eastAsia="zh-CN"/>
              </w:rPr>
              <w:t>10</w:t>
            </w:r>
            <w:r>
              <w:rPr>
                <w:rFonts w:hint="eastAsia" w:ascii="宋体" w:hAnsi="宋体" w:eastAsia="宋体" w:cs="宋体"/>
                <w:color w:val="auto"/>
                <w:highlight w:val="none"/>
              </w:rPr>
              <w:t>.法律、法规和招标文件规定的其他无效情形。</w:t>
            </w:r>
          </w:p>
        </w:tc>
      </w:tr>
      <w:tr w14:paraId="2C92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535E3BC3">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302" w:type="dxa"/>
            <w:tcBorders>
              <w:top w:val="single" w:color="auto" w:sz="4" w:space="0"/>
              <w:left w:val="single" w:color="auto" w:sz="4" w:space="0"/>
              <w:bottom w:val="single" w:color="auto" w:sz="4" w:space="0"/>
              <w:right w:val="single" w:color="auto" w:sz="4" w:space="0"/>
            </w:tcBorders>
            <w:vAlign w:val="center"/>
          </w:tcPr>
          <w:p w14:paraId="367A7B5D">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技术部分审查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08B8DD8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未提供招标文件中“（一）投标文件的组成3.商务技术文件3.2技术部分”要求必须提供的资料的；</w:t>
            </w:r>
          </w:p>
          <w:p w14:paraId="3F217347">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未提供或未如实提供投标货物的技术参数，或者投标文件标明的响应或偏离与事实不符或虚假投标的</w:t>
            </w:r>
            <w:r>
              <w:rPr>
                <w:rFonts w:hint="eastAsia" w:ascii="宋体" w:hAnsi="宋体" w:eastAsia="宋体" w:cs="宋体"/>
                <w:color w:val="auto"/>
                <w:szCs w:val="21"/>
                <w:highlight w:val="none"/>
                <w:lang w:eastAsia="zh-CN"/>
              </w:rPr>
              <w:t>；</w:t>
            </w:r>
          </w:p>
          <w:p w14:paraId="4625F323">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eastAsia="zh-CN"/>
              </w:rPr>
              <w:t>与招标文件中标注“▲”的技术参数及其性能（配置）发生负偏离的</w:t>
            </w:r>
            <w:r>
              <w:rPr>
                <w:rFonts w:hint="eastAsia" w:ascii="宋体" w:hAnsi="宋体" w:eastAsia="宋体" w:cs="宋体"/>
                <w:color w:val="auto"/>
                <w:highlight w:val="none"/>
              </w:rPr>
              <w:t>；</w:t>
            </w:r>
          </w:p>
          <w:p w14:paraId="7CC7F22E">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投标技术方案不明确，存在一个或一个以上备选（替代）投标方案的；</w:t>
            </w:r>
          </w:p>
        </w:tc>
      </w:tr>
      <w:tr w14:paraId="0381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61C51612">
            <w:pPr>
              <w:pStyle w:val="27"/>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302" w:type="dxa"/>
            <w:tcBorders>
              <w:top w:val="single" w:color="auto" w:sz="4" w:space="0"/>
              <w:left w:val="single" w:color="auto" w:sz="4" w:space="0"/>
              <w:bottom w:val="single" w:color="auto" w:sz="4" w:space="0"/>
              <w:right w:val="single" w:color="auto" w:sz="4" w:space="0"/>
            </w:tcBorders>
            <w:vAlign w:val="center"/>
          </w:tcPr>
          <w:p w14:paraId="48FB78E0">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报价文件</w:t>
            </w:r>
            <w:r>
              <w:rPr>
                <w:rFonts w:hint="eastAsia" w:ascii="宋体" w:hAnsi="宋体" w:eastAsia="宋体" w:cs="宋体"/>
                <w:color w:val="auto"/>
                <w:highlight w:val="none"/>
              </w:rPr>
              <w:t>审查</w:t>
            </w:r>
          </w:p>
        </w:tc>
        <w:tc>
          <w:tcPr>
            <w:tcW w:w="6663" w:type="dxa"/>
            <w:tcBorders>
              <w:top w:val="single" w:color="auto" w:sz="4" w:space="0"/>
              <w:left w:val="single" w:color="auto" w:sz="4" w:space="0"/>
              <w:bottom w:val="single" w:color="auto" w:sz="4" w:space="0"/>
              <w:right w:val="single" w:color="auto" w:sz="4" w:space="0"/>
            </w:tcBorders>
            <w:vAlign w:val="center"/>
          </w:tcPr>
          <w:p w14:paraId="75CAD040">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bCs/>
                <w:color w:val="auto"/>
                <w:szCs w:val="21"/>
                <w:highlight w:val="none"/>
              </w:rPr>
              <w:t>未提供招标文件中“（一）投标文件的组成2.</w:t>
            </w:r>
            <w:r>
              <w:rPr>
                <w:rFonts w:hint="eastAsia" w:ascii="宋体" w:hAnsi="宋体" w:eastAsia="宋体" w:cs="宋体"/>
                <w:bCs/>
                <w:color w:val="auto"/>
                <w:szCs w:val="21"/>
                <w:highlight w:val="none"/>
                <w:lang w:eastAsia="zh-CN"/>
              </w:rPr>
              <w:t>报价文件</w:t>
            </w:r>
            <w:r>
              <w:rPr>
                <w:rFonts w:hint="eastAsia" w:ascii="宋体" w:hAnsi="宋体" w:eastAsia="宋体" w:cs="宋体"/>
                <w:bCs/>
                <w:color w:val="auto"/>
                <w:szCs w:val="21"/>
                <w:highlight w:val="none"/>
              </w:rPr>
              <w:t>”要求必须提供的资料的；</w:t>
            </w:r>
          </w:p>
          <w:p w14:paraId="5DDB0F48">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报价超过招标文件中规定的预算金额或者最高限价的；</w:t>
            </w:r>
          </w:p>
          <w:p w14:paraId="3E1A2E44">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未采用人民币报价或者未按照招标文件标明的币种报价的</w:t>
            </w:r>
            <w:r>
              <w:rPr>
                <w:rFonts w:hint="eastAsia" w:ascii="宋体" w:hAnsi="宋体" w:eastAsia="宋体" w:cs="宋体"/>
                <w:color w:val="auto"/>
                <w:highlight w:val="none"/>
              </w:rPr>
              <w:t>；</w:t>
            </w:r>
          </w:p>
          <w:p w14:paraId="62666CD5">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投标报价具有选择性，或者开标价格与投标文件承诺的优惠（折扣）价格不一致的</w:t>
            </w:r>
            <w:r>
              <w:rPr>
                <w:rFonts w:hint="eastAsia" w:ascii="宋体" w:hAnsi="宋体" w:eastAsia="宋体" w:cs="宋体"/>
                <w:color w:val="auto"/>
                <w:highlight w:val="none"/>
              </w:rPr>
              <w:t>；未就所投的全部内容作唯一总价报价；存在有选择、有条件报价的（招标文件允许有备选方案或者其他约定的除外）；</w:t>
            </w:r>
          </w:p>
          <w:p w14:paraId="16CF31B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highlight w:val="none"/>
              </w:rPr>
              <w:t>修正后的报价，投标人不确认的；</w:t>
            </w:r>
          </w:p>
          <w:p w14:paraId="74A06AD1">
            <w:pPr>
              <w:keepNext w:val="0"/>
              <w:keepLines w:val="0"/>
              <w:pageBreakBefore w:val="0"/>
              <w:kinsoku/>
              <w:wordWrap/>
              <w:overflowPunct/>
              <w:topLinePunct w:val="0"/>
              <w:autoSpaceDE/>
              <w:autoSpaceDN/>
              <w:bidi w:val="0"/>
              <w:adjustRightInd/>
              <w:snapToGrid w:val="0"/>
              <w:spacing w:beforeAutospacing="0" w:afterAutospacing="0" w:line="360" w:lineRule="exact"/>
              <w:ind w:left="0" w:leftChars="0" w:firstLine="411" w:firstLineChars="196"/>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法律、法规和招标文件规定的其他无效情形。</w:t>
            </w:r>
          </w:p>
        </w:tc>
      </w:tr>
    </w:tbl>
    <w:p w14:paraId="2E1BE45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（三）详细评审</w:t>
      </w:r>
    </w:p>
    <w:p w14:paraId="62AD262B">
      <w:pPr>
        <w:pStyle w:val="27"/>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对进入详评的，采用百分制综合评分法，计分办法（按四舍五入取至百分位）：</w:t>
      </w:r>
    </w:p>
    <w:tbl>
      <w:tblPr>
        <w:tblStyle w:val="48"/>
        <w:tblW w:w="9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1402"/>
        <w:gridCol w:w="7019"/>
      </w:tblGrid>
      <w:tr w14:paraId="5C60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57469C2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评标项目</w:t>
            </w:r>
          </w:p>
        </w:tc>
        <w:tc>
          <w:tcPr>
            <w:tcW w:w="1402" w:type="dxa"/>
            <w:tcBorders>
              <w:top w:val="single" w:color="auto" w:sz="4" w:space="0"/>
              <w:left w:val="single" w:color="auto" w:sz="4" w:space="0"/>
              <w:bottom w:val="single" w:color="auto" w:sz="4" w:space="0"/>
              <w:right w:val="single" w:color="auto" w:sz="4" w:space="0"/>
            </w:tcBorders>
            <w:vAlign w:val="center"/>
          </w:tcPr>
          <w:p w14:paraId="7EF97CD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7019" w:type="dxa"/>
            <w:tcBorders>
              <w:top w:val="single" w:color="auto" w:sz="4" w:space="0"/>
              <w:left w:val="single" w:color="auto" w:sz="4" w:space="0"/>
              <w:bottom w:val="single" w:color="auto" w:sz="4" w:space="0"/>
              <w:right w:val="single" w:color="auto" w:sz="4" w:space="0"/>
            </w:tcBorders>
            <w:vAlign w:val="center"/>
          </w:tcPr>
          <w:p w14:paraId="1FAE94F9">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评标方法描述</w:t>
            </w:r>
          </w:p>
        </w:tc>
      </w:tr>
      <w:tr w14:paraId="3F3D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tcBorders>
            <w:vAlign w:val="center"/>
          </w:tcPr>
          <w:p w14:paraId="217B34A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lang w:eastAsia="zh-CN"/>
              </w:rPr>
            </w:pPr>
            <w:r>
              <w:rPr>
                <w:rStyle w:val="209"/>
                <w:rFonts w:hint="eastAsia" w:ascii="宋体" w:hAnsi="宋体" w:eastAsia="宋体" w:cs="宋体"/>
                <w:b w:val="0"/>
                <w:bCs w:val="0"/>
                <w:color w:val="auto"/>
                <w:szCs w:val="21"/>
                <w:highlight w:val="none"/>
                <w:lang w:val="en-US" w:eastAsia="zh-CN"/>
              </w:rPr>
              <w:t>1.</w:t>
            </w:r>
            <w:r>
              <w:rPr>
                <w:rStyle w:val="209"/>
                <w:rFonts w:hint="eastAsia" w:ascii="宋体" w:hAnsi="宋体" w:eastAsia="宋体" w:cs="宋体"/>
                <w:b w:val="0"/>
                <w:bCs w:val="0"/>
                <w:color w:val="auto"/>
                <w:szCs w:val="21"/>
                <w:highlight w:val="none"/>
              </w:rPr>
              <w:t>价格分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Style w:val="209"/>
                <w:rFonts w:hint="eastAsia" w:ascii="宋体" w:hAnsi="宋体" w:eastAsia="宋体" w:cs="宋体"/>
                <w:b w:val="0"/>
                <w:bCs w:val="0"/>
                <w:color w:val="auto"/>
                <w:szCs w:val="21"/>
                <w:highlight w:val="none"/>
              </w:rPr>
              <w:t>30分</w:t>
            </w:r>
            <w:r>
              <w:rPr>
                <w:rStyle w:val="209"/>
                <w:rFonts w:hint="eastAsia" w:ascii="宋体" w:hAnsi="宋体" w:eastAsia="宋体" w:cs="宋体"/>
                <w:b w:val="0"/>
                <w:bCs w:val="0"/>
                <w:color w:val="auto"/>
                <w:szCs w:val="21"/>
                <w:highlight w:val="none"/>
                <w:lang w:eastAsia="zh-CN"/>
              </w:rPr>
              <w:t>）</w:t>
            </w:r>
          </w:p>
        </w:tc>
        <w:tc>
          <w:tcPr>
            <w:tcW w:w="1402" w:type="dxa"/>
            <w:tcBorders>
              <w:top w:val="single" w:color="auto" w:sz="4" w:space="0"/>
            </w:tcBorders>
            <w:vAlign w:val="center"/>
          </w:tcPr>
          <w:p w14:paraId="080C3BF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Style w:val="209"/>
                <w:rFonts w:hint="eastAsia" w:ascii="宋体" w:hAnsi="宋体" w:eastAsia="宋体" w:cs="宋体"/>
                <w:b w:val="0"/>
                <w:bCs w:val="0"/>
                <w:color w:val="auto"/>
                <w:szCs w:val="21"/>
                <w:highlight w:val="none"/>
                <w:lang w:eastAsia="zh-CN"/>
              </w:rPr>
              <w:t>投标报价</w:t>
            </w:r>
          </w:p>
        </w:tc>
        <w:tc>
          <w:tcPr>
            <w:tcW w:w="7019" w:type="dxa"/>
            <w:tcBorders>
              <w:top w:val="single" w:color="auto" w:sz="4" w:space="0"/>
            </w:tcBorders>
            <w:vAlign w:val="center"/>
          </w:tcPr>
          <w:p w14:paraId="2BAAE27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shd w:val="clear" w:color="auto" w:fill="FFFFFF"/>
              </w:rPr>
              <w:t>价格分采用低价优先法计算，即满足招标文件要求且报价最低的投标人的投标报价为评标基准价，其价格分为满分。</w:t>
            </w:r>
          </w:p>
          <w:p w14:paraId="741A714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（2）价格分计算公式：</w:t>
            </w:r>
            <w:r>
              <w:rPr>
                <w:rFonts w:hint="eastAsia" w:ascii="宋体" w:hAnsi="宋体" w:eastAsia="宋体" w:cs="宋体"/>
                <w:color w:val="auto"/>
                <w:szCs w:val="21"/>
                <w:highlight w:val="none"/>
              </w:rPr>
              <w:t>某投标人的价格</w:t>
            </w:r>
            <w:r>
              <w:rPr>
                <w:rFonts w:hint="eastAsia" w:ascii="宋体" w:hAnsi="宋体" w:eastAsia="宋体" w:cs="宋体"/>
                <w:color w:val="auto"/>
                <w:szCs w:val="21"/>
                <w:highlight w:val="none"/>
                <w:lang w:val="en-US" w:eastAsia="zh-CN"/>
              </w:rPr>
              <w:t>得分=</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评标基准价/某投标人的投标报价）×</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分。</w:t>
            </w:r>
          </w:p>
          <w:p w14:paraId="5813E0DB">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kern w:val="2"/>
                <w:sz w:val="21"/>
                <w:highlight w:val="none"/>
              </w:rPr>
              <w:t>按照《政府采购促进中小企业发展管理办法》（财库〔2020〕46号）的规定，供应商在其</w:t>
            </w:r>
            <w:r>
              <w:rPr>
                <w:rFonts w:hint="eastAsia" w:ascii="宋体" w:hAnsi="宋体" w:eastAsia="宋体" w:cs="宋体"/>
                <w:color w:val="auto"/>
                <w:kern w:val="2"/>
                <w:sz w:val="21"/>
                <w:highlight w:val="none"/>
                <w:lang w:eastAsia="zh-CN"/>
              </w:rPr>
              <w:t>投标文件</w:t>
            </w:r>
            <w:r>
              <w:rPr>
                <w:rFonts w:hint="eastAsia" w:ascii="宋体" w:hAnsi="宋体" w:eastAsia="宋体" w:cs="宋体"/>
                <w:color w:val="auto"/>
                <w:kern w:val="2"/>
                <w:sz w:val="21"/>
                <w:highlight w:val="none"/>
              </w:rPr>
              <w:t>中按照格式要求提供《中小企业声明函》，且其提供的全部货物（除招标文件明确的配件及辅材不做为主要标的物外）由小型企业</w:t>
            </w:r>
            <w:r>
              <w:rPr>
                <w:rFonts w:hint="eastAsia" w:hAnsi="宋体" w:cs="宋体"/>
                <w:color w:val="auto"/>
                <w:kern w:val="2"/>
                <w:sz w:val="21"/>
                <w:highlight w:val="none"/>
                <w:lang w:val="en-US" w:eastAsia="zh-CN"/>
              </w:rPr>
              <w:t>或</w:t>
            </w:r>
            <w:r>
              <w:rPr>
                <w:rFonts w:hint="eastAsia" w:ascii="宋体" w:hAnsi="宋体" w:eastAsia="宋体" w:cs="宋体"/>
                <w:color w:val="auto"/>
                <w:kern w:val="2"/>
                <w:sz w:val="21"/>
                <w:highlight w:val="none"/>
              </w:rPr>
              <w:t>微型企业制造，对其最后报价给予10%的扣除，扣除后的价格为评标报价，即评标报价=</w:t>
            </w:r>
            <w:r>
              <w:rPr>
                <w:rFonts w:hint="eastAsia" w:ascii="宋体" w:hAnsi="宋体" w:eastAsia="宋体" w:cs="宋体"/>
                <w:color w:val="auto"/>
                <w:kern w:val="2"/>
                <w:sz w:val="21"/>
                <w:highlight w:val="none"/>
                <w:lang w:val="en-US" w:eastAsia="zh-CN"/>
              </w:rPr>
              <w:t>投标</w:t>
            </w:r>
            <w:r>
              <w:rPr>
                <w:rFonts w:hint="eastAsia" w:ascii="宋体" w:hAnsi="宋体" w:eastAsia="宋体" w:cs="宋体"/>
                <w:color w:val="auto"/>
                <w:kern w:val="2"/>
                <w:sz w:val="21"/>
                <w:highlight w:val="none"/>
              </w:rPr>
              <w:t>报价×（1-10%）。</w:t>
            </w:r>
          </w:p>
        </w:tc>
      </w:tr>
      <w:tr w14:paraId="6A23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6" w:hRule="atLeast"/>
          <w:jc w:val="center"/>
        </w:trPr>
        <w:tc>
          <w:tcPr>
            <w:tcW w:w="1200" w:type="dxa"/>
            <w:vMerge w:val="restart"/>
            <w:vAlign w:val="center"/>
          </w:tcPr>
          <w:p w14:paraId="5C4A3E83">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Style w:val="209"/>
                <w:rFonts w:hint="eastAsia" w:ascii="宋体" w:hAnsi="宋体" w:eastAsia="宋体" w:cs="宋体"/>
                <w:b w:val="0"/>
                <w:bCs w:val="0"/>
                <w:color w:val="auto"/>
                <w:szCs w:val="21"/>
                <w:highlight w:val="none"/>
                <w:lang w:val="en-US" w:eastAsia="zh-CN"/>
              </w:rPr>
              <w:t>2.</w:t>
            </w:r>
            <w:r>
              <w:rPr>
                <w:rStyle w:val="209"/>
                <w:rFonts w:hint="eastAsia" w:ascii="宋体" w:hAnsi="宋体" w:eastAsia="宋体" w:cs="宋体"/>
                <w:b w:val="0"/>
                <w:bCs w:val="0"/>
                <w:color w:val="auto"/>
                <w:szCs w:val="21"/>
                <w:highlight w:val="none"/>
              </w:rPr>
              <w:t>技术分</w:t>
            </w:r>
            <w:r>
              <w:rPr>
                <w:rStyle w:val="209"/>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满分</w:t>
            </w:r>
            <w:r>
              <w:rPr>
                <w:rFonts w:hint="eastAsia" w:ascii="宋体" w:hAnsi="宋体" w:cs="宋体"/>
                <w:b w:val="0"/>
                <w:bCs w:val="0"/>
                <w:color w:val="auto"/>
                <w:szCs w:val="21"/>
                <w:highlight w:val="none"/>
                <w:u w:val="none"/>
                <w:lang w:val="en-US" w:eastAsia="zh-CN"/>
              </w:rPr>
              <w:t>40</w:t>
            </w:r>
            <w:r>
              <w:rPr>
                <w:rFonts w:hint="eastAsia" w:ascii="宋体" w:hAnsi="宋体" w:eastAsia="宋体" w:cs="宋体"/>
                <w:b w:val="0"/>
                <w:bCs w:val="0"/>
                <w:color w:val="auto"/>
                <w:szCs w:val="21"/>
                <w:highlight w:val="none"/>
              </w:rPr>
              <w:t>分</w:t>
            </w:r>
            <w:r>
              <w:rPr>
                <w:rStyle w:val="209"/>
                <w:rFonts w:hint="eastAsia" w:ascii="宋体" w:hAnsi="宋体" w:eastAsia="宋体" w:cs="宋体"/>
                <w:b w:val="0"/>
                <w:bCs w:val="0"/>
                <w:color w:val="auto"/>
                <w:szCs w:val="21"/>
                <w:highlight w:val="none"/>
                <w:lang w:eastAsia="zh-CN"/>
              </w:rPr>
              <w:t>）</w:t>
            </w:r>
          </w:p>
        </w:tc>
        <w:tc>
          <w:tcPr>
            <w:tcW w:w="1402" w:type="dxa"/>
            <w:vAlign w:val="center"/>
          </w:tcPr>
          <w:p w14:paraId="66DE79C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rPr>
              <w:t>技术性能分</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val="en-US" w:eastAsia="zh-CN"/>
              </w:rPr>
              <w:t>15</w:t>
            </w:r>
            <w:r>
              <w:rPr>
                <w:rFonts w:hint="eastAsia" w:ascii="宋体" w:hAnsi="宋体" w:eastAsia="宋体" w:cs="宋体"/>
                <w:b w:val="0"/>
                <w:bCs w:val="0"/>
                <w:color w:val="auto"/>
                <w:szCs w:val="21"/>
                <w:highlight w:val="none"/>
              </w:rPr>
              <w:t>分）</w:t>
            </w:r>
          </w:p>
          <w:p w14:paraId="2647545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p>
        </w:tc>
        <w:tc>
          <w:tcPr>
            <w:tcW w:w="7019" w:type="dxa"/>
            <w:vAlign w:val="center"/>
          </w:tcPr>
          <w:p w14:paraId="69DDA5FA">
            <w:pPr>
              <w:pStyle w:val="27"/>
              <w:snapToGrid w:val="0"/>
              <w:spacing w:line="360" w:lineRule="exact"/>
              <w:ind w:firstLine="420" w:firstLineChars="200"/>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rPr>
              <w:t>未标注“</w:t>
            </w:r>
            <w:bookmarkStart w:id="99" w:name="OLE_LINK1"/>
            <w:r>
              <w:rPr>
                <w:rFonts w:hint="eastAsia" w:hAnsi="宋体"/>
                <w:color w:val="auto"/>
                <w:highlight w:val="none"/>
              </w:rPr>
              <w:t>▲</w:t>
            </w:r>
            <w:bookmarkEnd w:id="99"/>
            <w:r>
              <w:rPr>
                <w:rFonts w:hint="eastAsia" w:hAnsi="宋体"/>
                <w:color w:val="auto"/>
                <w:highlight w:val="none"/>
              </w:rPr>
              <w:t>”号</w:t>
            </w:r>
            <w:r>
              <w:rPr>
                <w:rFonts w:hint="eastAsia" w:hAnsi="宋体"/>
                <w:color w:val="auto"/>
                <w:highlight w:val="none"/>
                <w:lang w:val="en-US" w:eastAsia="zh-CN"/>
              </w:rPr>
              <w:t>的</w:t>
            </w:r>
            <w:r>
              <w:rPr>
                <w:rFonts w:hint="eastAsia" w:hAnsi="宋体"/>
                <w:color w:val="auto"/>
                <w:highlight w:val="none"/>
              </w:rPr>
              <w:t>技术参数及其性能（配置）无负偏离的，得</w:t>
            </w:r>
            <w:r>
              <w:rPr>
                <w:rFonts w:hint="eastAsia" w:hAnsi="宋体"/>
                <w:color w:val="auto"/>
                <w:highlight w:val="none"/>
                <w:lang w:val="en-US" w:eastAsia="zh-CN"/>
              </w:rPr>
              <w:t>15</w:t>
            </w:r>
            <w:r>
              <w:rPr>
                <w:rFonts w:hint="eastAsia" w:hAnsi="宋体"/>
                <w:color w:val="auto"/>
                <w:highlight w:val="none"/>
              </w:rPr>
              <w:t>分</w:t>
            </w:r>
            <w:r>
              <w:rPr>
                <w:rFonts w:hint="eastAsia" w:hAnsi="宋体"/>
                <w:color w:val="auto"/>
                <w:highlight w:val="none"/>
                <w:lang w:eastAsia="zh-CN"/>
              </w:rPr>
              <w:t>，</w:t>
            </w:r>
            <w:r>
              <w:rPr>
                <w:rFonts w:hint="eastAsia" w:hAnsi="宋体"/>
                <w:color w:val="auto"/>
                <w:highlight w:val="none"/>
                <w:lang w:val="en-US" w:eastAsia="zh-CN"/>
              </w:rPr>
              <w:t>若有任何一项负偏离的</w:t>
            </w:r>
            <w:r>
              <w:rPr>
                <w:rFonts w:hint="eastAsia" w:hAnsi="宋体"/>
                <w:color w:val="auto"/>
                <w:highlight w:val="none"/>
              </w:rPr>
              <w:t>，则</w:t>
            </w:r>
            <w:r>
              <w:rPr>
                <w:rFonts w:hint="eastAsia" w:hAnsi="宋体"/>
                <w:color w:val="auto"/>
                <w:highlight w:val="none"/>
                <w:lang w:eastAsia="zh-CN"/>
              </w:rPr>
              <w:t>“</w:t>
            </w:r>
            <w:r>
              <w:rPr>
                <w:rFonts w:hint="eastAsia" w:hAnsi="宋体"/>
                <w:color w:val="auto"/>
                <w:highlight w:val="none"/>
              </w:rPr>
              <w:t>技术性能分</w:t>
            </w:r>
            <w:r>
              <w:rPr>
                <w:rFonts w:hint="eastAsia" w:hAnsi="宋体"/>
                <w:color w:val="auto"/>
                <w:highlight w:val="none"/>
                <w:lang w:eastAsia="zh-CN"/>
              </w:rPr>
              <w:t>”</w:t>
            </w:r>
            <w:r>
              <w:rPr>
                <w:rFonts w:hint="eastAsia" w:hAnsi="宋体"/>
                <w:color w:val="auto"/>
                <w:highlight w:val="none"/>
                <w:lang w:val="en-US" w:eastAsia="zh-CN"/>
              </w:rPr>
              <w:t>得分为0分</w:t>
            </w:r>
            <w:r>
              <w:rPr>
                <w:rFonts w:hint="eastAsia" w:hAnsi="宋体"/>
                <w:color w:val="auto"/>
                <w:highlight w:val="none"/>
              </w:rPr>
              <w:t>。</w:t>
            </w:r>
          </w:p>
          <w:p w14:paraId="3B6E7147">
            <w:pPr>
              <w:pStyle w:val="27"/>
              <w:snapToGrid w:val="0"/>
              <w:spacing w:line="360" w:lineRule="exact"/>
              <w:ind w:firstLine="420" w:firstLineChars="200"/>
              <w:rPr>
                <w:rFonts w:hint="eastAsia" w:ascii="宋体" w:hAnsi="宋体" w:eastAsia="宋体"/>
                <w:color w:val="auto"/>
                <w:highlight w:val="none"/>
                <w:lang w:eastAsia="zh-CN"/>
              </w:rPr>
            </w:pPr>
            <w:r>
              <w:rPr>
                <w:rFonts w:hint="eastAsia" w:hAnsi="宋体"/>
                <w:color w:val="auto"/>
                <w:highlight w:val="none"/>
              </w:rPr>
              <w:t>注：</w:t>
            </w:r>
            <w:r>
              <w:rPr>
                <w:rFonts w:hint="eastAsia" w:hAnsi="宋体"/>
                <w:color w:val="auto"/>
                <w:highlight w:val="none"/>
                <w:lang w:val="en-US" w:eastAsia="zh-CN"/>
              </w:rPr>
              <w:t>（1）</w:t>
            </w:r>
            <w:r>
              <w:rPr>
                <w:rFonts w:hint="eastAsia" w:ascii="宋体" w:hAnsi="宋体" w:eastAsia="宋体"/>
                <w:color w:val="auto"/>
                <w:highlight w:val="none"/>
              </w:rPr>
              <w:t>对于偏离</w:t>
            </w:r>
            <w:r>
              <w:rPr>
                <w:rFonts w:hint="eastAsia" w:hAnsi="宋体"/>
                <w:color w:val="auto"/>
                <w:highlight w:val="none"/>
                <w:lang w:val="en-US" w:eastAsia="zh-CN"/>
              </w:rPr>
              <w:t>情况</w:t>
            </w:r>
            <w:r>
              <w:rPr>
                <w:rFonts w:hint="eastAsia" w:ascii="宋体" w:hAnsi="宋体" w:eastAsia="宋体"/>
                <w:color w:val="auto"/>
                <w:highlight w:val="none"/>
              </w:rPr>
              <w:t>的</w:t>
            </w:r>
            <w:r>
              <w:rPr>
                <w:rFonts w:hint="eastAsia" w:hAnsi="宋体"/>
                <w:color w:val="auto"/>
                <w:highlight w:val="none"/>
                <w:lang w:val="en-US" w:eastAsia="zh-CN"/>
              </w:rPr>
              <w:t>定义</w:t>
            </w:r>
            <w:r>
              <w:rPr>
                <w:rFonts w:hint="eastAsia" w:ascii="宋体" w:hAnsi="宋体" w:eastAsia="宋体"/>
                <w:color w:val="auto"/>
                <w:highlight w:val="none"/>
              </w:rPr>
              <w:t>，例“长度≥50cm”，若响应为50cm</w:t>
            </w:r>
            <w:r>
              <w:rPr>
                <w:rFonts w:hint="eastAsia" w:ascii="宋体" w:hAnsi="宋体" w:eastAsia="宋体"/>
                <w:color w:val="auto"/>
                <w:highlight w:val="none"/>
                <w:lang w:eastAsia="zh-CN"/>
              </w:rPr>
              <w:t>的</w:t>
            </w:r>
            <w:r>
              <w:rPr>
                <w:rFonts w:hint="eastAsia" w:ascii="宋体" w:hAnsi="宋体" w:eastAsia="宋体"/>
                <w:color w:val="auto"/>
                <w:highlight w:val="none"/>
              </w:rPr>
              <w:t>视为无偏离</w:t>
            </w:r>
            <w:r>
              <w:rPr>
                <w:rFonts w:hint="eastAsia" w:ascii="宋体" w:hAnsi="宋体" w:eastAsia="宋体"/>
                <w:color w:val="auto"/>
                <w:highlight w:val="none"/>
                <w:lang w:eastAsia="zh-CN"/>
              </w:rPr>
              <w:t>，</w:t>
            </w:r>
            <w:r>
              <w:rPr>
                <w:rFonts w:hint="eastAsia" w:ascii="宋体" w:hAnsi="宋体" w:eastAsia="宋体"/>
                <w:color w:val="auto"/>
                <w:highlight w:val="none"/>
              </w:rPr>
              <w:t>若响应为50cm</w:t>
            </w:r>
            <w:r>
              <w:rPr>
                <w:rFonts w:hint="eastAsia" w:ascii="宋体" w:hAnsi="宋体" w:eastAsia="宋体"/>
                <w:color w:val="auto"/>
                <w:highlight w:val="none"/>
                <w:lang w:val="en-US" w:eastAsia="zh-CN"/>
              </w:rPr>
              <w:t>以上</w:t>
            </w:r>
            <w:r>
              <w:rPr>
                <w:rFonts w:hint="eastAsia" w:ascii="宋体" w:hAnsi="宋体" w:eastAsia="宋体"/>
                <w:color w:val="auto"/>
                <w:highlight w:val="none"/>
              </w:rPr>
              <w:t>任意一个数值</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ascii="宋体" w:hAnsi="宋体" w:eastAsia="宋体"/>
                <w:color w:val="auto"/>
                <w:highlight w:val="none"/>
                <w:lang w:val="en-US" w:eastAsia="zh-CN"/>
              </w:rPr>
              <w:t>正</w:t>
            </w:r>
            <w:r>
              <w:rPr>
                <w:rFonts w:hint="eastAsia" w:ascii="宋体" w:hAnsi="宋体" w:eastAsia="宋体"/>
                <w:color w:val="auto"/>
                <w:highlight w:val="none"/>
              </w:rPr>
              <w:t>偏离</w:t>
            </w:r>
            <w:r>
              <w:rPr>
                <w:rFonts w:hint="eastAsia" w:hAnsi="宋体"/>
                <w:color w:val="auto"/>
                <w:highlight w:val="none"/>
                <w:lang w:eastAsia="zh-CN"/>
              </w:rPr>
              <w:t>，</w:t>
            </w:r>
            <w:r>
              <w:rPr>
                <w:rFonts w:hint="eastAsia" w:ascii="宋体" w:hAnsi="宋体" w:eastAsia="宋体"/>
                <w:color w:val="auto"/>
                <w:highlight w:val="none"/>
              </w:rPr>
              <w:t>若响应</w:t>
            </w:r>
            <w:r>
              <w:rPr>
                <w:rFonts w:hint="eastAsia" w:hAnsi="宋体"/>
                <w:color w:val="auto"/>
                <w:highlight w:val="none"/>
                <w:lang w:val="en-US" w:eastAsia="zh-CN"/>
              </w:rPr>
              <w:t>小于</w:t>
            </w:r>
            <w:r>
              <w:rPr>
                <w:rFonts w:hint="eastAsia" w:ascii="宋体" w:hAnsi="宋体" w:eastAsia="宋体"/>
                <w:color w:val="auto"/>
                <w:highlight w:val="none"/>
              </w:rPr>
              <w:t>50cm</w:t>
            </w:r>
            <w:r>
              <w:rPr>
                <w:rFonts w:hint="eastAsia" w:ascii="宋体" w:hAnsi="宋体" w:eastAsia="宋体"/>
                <w:color w:val="auto"/>
                <w:highlight w:val="none"/>
                <w:lang w:eastAsia="zh-CN"/>
              </w:rPr>
              <w:t>的</w:t>
            </w:r>
            <w:r>
              <w:rPr>
                <w:rFonts w:hint="eastAsia" w:ascii="宋体" w:hAnsi="宋体" w:eastAsia="宋体"/>
                <w:color w:val="auto"/>
                <w:highlight w:val="none"/>
              </w:rPr>
              <w:t>视为</w:t>
            </w:r>
            <w:r>
              <w:rPr>
                <w:rFonts w:hint="eastAsia" w:hAnsi="宋体"/>
                <w:color w:val="auto"/>
                <w:highlight w:val="none"/>
                <w:lang w:val="en-US" w:eastAsia="zh-CN"/>
              </w:rPr>
              <w:t>负</w:t>
            </w:r>
            <w:r>
              <w:rPr>
                <w:rFonts w:hint="eastAsia" w:ascii="宋体" w:hAnsi="宋体" w:eastAsia="宋体"/>
                <w:color w:val="auto"/>
                <w:highlight w:val="none"/>
              </w:rPr>
              <w:t>偏离</w:t>
            </w:r>
            <w:r>
              <w:rPr>
                <w:rFonts w:hint="eastAsia" w:ascii="宋体" w:hAnsi="宋体" w:eastAsia="宋体"/>
                <w:color w:val="auto"/>
                <w:highlight w:val="none"/>
                <w:lang w:eastAsia="zh-CN"/>
              </w:rPr>
              <w:t>。</w:t>
            </w:r>
          </w:p>
          <w:p w14:paraId="7CC07F66">
            <w:pPr>
              <w:pStyle w:val="27"/>
              <w:snapToGrid w:val="0"/>
              <w:spacing w:line="360" w:lineRule="exact"/>
              <w:ind w:firstLine="420" w:firstLineChars="200"/>
              <w:rPr>
                <w:rFonts w:hint="eastAsia" w:ascii="宋体" w:hAnsi="宋体" w:eastAsia="宋体"/>
                <w:color w:val="auto"/>
                <w:highlight w:val="none"/>
              </w:rPr>
            </w:pPr>
            <w:r>
              <w:rPr>
                <w:rFonts w:hint="eastAsia" w:hAnsi="宋体"/>
                <w:color w:val="auto"/>
                <w:highlight w:val="none"/>
                <w:lang w:val="en-US" w:eastAsia="zh-CN"/>
              </w:rPr>
              <w:t>（2）</w:t>
            </w:r>
            <w:r>
              <w:rPr>
                <w:rFonts w:hint="eastAsia" w:ascii="宋体" w:hAnsi="宋体" w:eastAsia="宋体"/>
                <w:color w:val="auto"/>
                <w:highlight w:val="none"/>
              </w:rPr>
              <w:t>对于固定参数，响应与采购需求中技术参数一致，视为无偏离，其他均视为负偏离。</w:t>
            </w:r>
          </w:p>
          <w:p w14:paraId="098FF0BE">
            <w:pPr>
              <w:pStyle w:val="27"/>
              <w:snapToGrid w:val="0"/>
              <w:spacing w:line="360" w:lineRule="exact"/>
              <w:ind w:firstLine="420" w:firstLineChars="200"/>
              <w:rPr>
                <w:rFonts w:hint="default" w:ascii="宋体" w:hAnsi="宋体" w:eastAsia="宋体"/>
                <w:color w:val="auto"/>
                <w:highlight w:val="none"/>
                <w:lang w:val="en-US" w:eastAsia="zh-CN"/>
              </w:rPr>
            </w:pPr>
            <w:r>
              <w:rPr>
                <w:rFonts w:hint="eastAsia" w:hAnsi="宋体"/>
                <w:color w:val="auto"/>
                <w:highlight w:val="none"/>
                <w:lang w:val="en-US" w:eastAsia="zh-CN"/>
              </w:rPr>
              <w:t>（3）</w:t>
            </w:r>
            <w:r>
              <w:rPr>
                <w:rFonts w:hint="eastAsia" w:ascii="宋体" w:hAnsi="宋体" w:eastAsia="宋体"/>
                <w:color w:val="auto"/>
                <w:highlight w:val="none"/>
                <w:lang w:val="en-US" w:eastAsia="zh-CN"/>
              </w:rPr>
              <w:t>对于区间任意值参数，例“5mm≤间距≤10mm”或“间距7.5±2.5mm”，若间距响应值为5mm-10mm中任意区间值或任意一个数值（含本数）时为无偏离，例：“6mm≤间距≤8mm”、“8±2mm”、“8mm”。超过区间范围视为负偏离，例：“3mm≤间距≤12mm”、“8±4mm”、“3-12mm”、“3mm”。</w:t>
            </w:r>
          </w:p>
        </w:tc>
      </w:tr>
      <w:tr w14:paraId="01699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60391B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1BA79522">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none"/>
                <w:lang w:val="en-US" w:eastAsia="zh-CN"/>
              </w:rPr>
              <w:t>（2）项目</w:t>
            </w:r>
            <w:r>
              <w:rPr>
                <w:rFonts w:hint="eastAsia" w:ascii="宋体" w:hAnsi="宋体" w:eastAsia="宋体" w:cs="宋体"/>
                <w:b w:val="0"/>
                <w:bCs w:val="0"/>
                <w:color w:val="auto"/>
                <w:szCs w:val="21"/>
                <w:highlight w:val="none"/>
                <w:u w:val="none"/>
                <w:lang w:eastAsia="zh-CN"/>
              </w:rPr>
              <w:t>实施方案（满分</w:t>
            </w:r>
            <w:r>
              <w:rPr>
                <w:rFonts w:hint="eastAsia" w:ascii="宋体" w:hAnsi="宋体" w:cs="宋体"/>
                <w:b w:val="0"/>
                <w:bCs w:val="0"/>
                <w:color w:val="auto"/>
                <w:szCs w:val="21"/>
                <w:highlight w:val="none"/>
                <w:u w:val="none"/>
                <w:lang w:val="en-US" w:eastAsia="zh-CN"/>
              </w:rPr>
              <w:t>15</w:t>
            </w:r>
            <w:r>
              <w:rPr>
                <w:rFonts w:hint="eastAsia" w:ascii="宋体" w:hAnsi="宋体" w:eastAsia="宋体" w:cs="宋体"/>
                <w:b w:val="0"/>
                <w:bCs w:val="0"/>
                <w:color w:val="auto"/>
                <w:szCs w:val="21"/>
                <w:highlight w:val="none"/>
                <w:u w:val="none"/>
                <w:lang w:eastAsia="zh-CN"/>
              </w:rPr>
              <w:t>分）</w:t>
            </w:r>
          </w:p>
        </w:tc>
        <w:tc>
          <w:tcPr>
            <w:tcW w:w="7019" w:type="dxa"/>
            <w:vAlign w:val="center"/>
          </w:tcPr>
          <w:p w14:paraId="7104F24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项目实施方案进行评审，方案包括但不限于以下各项内容：①实施步骤与流程规划、②整体计划与风险应对、③组织架构与职责分工、④人员配备方案、⑤安装调试与技术服务培训方案、⑥质量保障方案、⑦交货期承诺与保障计划。投标人每提供一项得</w:t>
            </w:r>
            <w:r>
              <w:rPr>
                <w:rFonts w:hint="eastAsia"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77678F2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（2）加分项评审细则（满分11.5分）</w:t>
            </w:r>
          </w:p>
          <w:p w14:paraId="28E710F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default"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①实施步骤与流程规划</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：投标人提供的实施步骤每个环节都有时间节点和操作规范的，时间节点有5个以上且有操作规范的，得2分</w:t>
            </w:r>
            <w:r>
              <w:rPr>
                <w:rFonts w:hint="eastAsia" w:hAnsi="宋体" w:cs="宋体"/>
                <w:color w:val="auto"/>
                <w:sz w:val="21"/>
                <w:szCs w:val="21"/>
                <w:highlight w:val="none"/>
                <w:lang w:val="en-US" w:eastAsia="zh-CN"/>
              </w:rPr>
              <w:t>；时间节点有3个以上且有操作规范的，得1分；时间节点有1个以上且有操作规范的，得0.5分。</w:t>
            </w:r>
          </w:p>
          <w:p w14:paraId="36104E48">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②整体计划与风险应对（满分1分）</w:t>
            </w:r>
            <w:r>
              <w:rPr>
                <w:rFonts w:hint="eastAsia" w:ascii="宋体" w:hAnsi="宋体" w:eastAsia="宋体" w:cs="宋体"/>
                <w:color w:val="auto"/>
                <w:sz w:val="21"/>
                <w:szCs w:val="21"/>
                <w:highlight w:val="none"/>
                <w:lang w:val="en-US" w:eastAsia="zh-CN"/>
              </w:rPr>
              <w:t>：整体计划包含“启动-执行-验收-交付”全流程，识别潜在风险</w:t>
            </w:r>
            <w:r>
              <w:rPr>
                <w:rFonts w:hint="eastAsia" w:hAnsi="宋体" w:cs="宋体"/>
                <w:color w:val="auto"/>
                <w:sz w:val="21"/>
                <w:szCs w:val="21"/>
                <w:highlight w:val="none"/>
                <w:lang w:val="en-US" w:eastAsia="zh-CN"/>
              </w:rPr>
              <w:t>有5个以上且有</w:t>
            </w:r>
            <w:r>
              <w:rPr>
                <w:rFonts w:hint="eastAsia" w:ascii="宋体" w:hAnsi="宋体" w:eastAsia="宋体" w:cs="宋体"/>
                <w:color w:val="auto"/>
                <w:sz w:val="21"/>
                <w:szCs w:val="21"/>
                <w:highlight w:val="none"/>
                <w:lang w:val="en-US" w:eastAsia="zh-CN"/>
              </w:rPr>
              <w:t>应对措施的，得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p>
          <w:p w14:paraId="65CEDBE1">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③组织架构与职责分工（满分1分）</w:t>
            </w:r>
            <w:r>
              <w:rPr>
                <w:rFonts w:hint="eastAsia" w:ascii="宋体" w:hAnsi="宋体" w:eastAsia="宋体" w:cs="宋体"/>
                <w:color w:val="auto"/>
                <w:sz w:val="21"/>
                <w:szCs w:val="21"/>
                <w:highlight w:val="none"/>
                <w:lang w:val="en-US" w:eastAsia="zh-CN"/>
              </w:rPr>
              <w:t>：架构含“项目组-技术组-质控组-交付组”等核心部门，职责分工无重叠/遗漏，协作流程含各个时间节点的，得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969557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④人员配备方案（满分</w:t>
            </w:r>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8人以上，且有岗位设置清单、职责说明书、协作流程的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各岗位人员分工无重叠的，得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核心岗位(如项目负责人、技术负责人、售后负责人等)及实施团队</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人以上，且有岗位设置清单、职责说明书、协作流程的，各岗位人员分工无重叠的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17C7EB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⑤安装调试与技术服务培训方案（满分</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：安装调试步骤≥5步，培训含“理论+ 实操”，且有培训考核标准的，得1分；</w:t>
            </w:r>
          </w:p>
          <w:p w14:paraId="5B4007DB">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⑥质量保障方案</w:t>
            </w:r>
            <w:r>
              <w:rPr>
                <w:rFonts w:hint="eastAsia" w:hAnsi="宋体" w:cs="宋体"/>
                <w:b/>
                <w:bCs/>
                <w:color w:val="auto"/>
                <w:sz w:val="21"/>
                <w:szCs w:val="21"/>
                <w:highlight w:val="none"/>
                <w:lang w:val="en-US" w:eastAsia="zh-CN"/>
              </w:rPr>
              <w:t>（满分2分）</w:t>
            </w:r>
            <w:r>
              <w:rPr>
                <w:rFonts w:hint="eastAsia" w:ascii="宋体" w:hAnsi="宋体" w:eastAsia="宋体" w:cs="宋体"/>
                <w:color w:val="auto"/>
                <w:sz w:val="21"/>
                <w:szCs w:val="21"/>
                <w:highlight w:val="none"/>
                <w:lang w:val="en-US" w:eastAsia="zh-CN"/>
              </w:rPr>
              <w:t>：涵盖“采购-生产-安装-验收”全周期，质量控制节点≥5个且每个节点有质量保证措施、检测标准与责任人的，得2分；</w:t>
            </w:r>
          </w:p>
          <w:p w14:paraId="0D45115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⑦交货期承诺与保障计划</w:t>
            </w:r>
            <w:r>
              <w:rPr>
                <w:rFonts w:hint="eastAsia" w:hAnsi="宋体" w:cs="宋体"/>
                <w:b/>
                <w:bCs/>
                <w:color w:val="auto"/>
                <w:sz w:val="21"/>
                <w:szCs w:val="21"/>
                <w:highlight w:val="none"/>
                <w:lang w:val="en-US" w:eastAsia="zh-CN"/>
              </w:rPr>
              <w:t>（满分2.5分）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交货期比采购文件要求提前≥30%，保障计划含“资源调配-进度监控-应急补位”等3项及以上具体措施的，得</w:t>
            </w:r>
            <w:r>
              <w:rPr>
                <w:rFonts w:hint="eastAsia"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交货期比采购文件要求提前≥20%，保障计划含“资源调配-进度监控-应急补位”等3项及以上措施的，得2分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交货期比采购文件要求提前≥10%，保障计划含“资源调配-进度监控-应急补位”等3项及以上措施的，得1分。</w:t>
            </w:r>
          </w:p>
          <w:p w14:paraId="1FDB50B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77AA3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548ED809">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p>
        </w:tc>
        <w:tc>
          <w:tcPr>
            <w:tcW w:w="1402" w:type="dxa"/>
            <w:vAlign w:val="center"/>
          </w:tcPr>
          <w:p w14:paraId="7F2D706D">
            <w:pPr>
              <w:spacing w:line="360" w:lineRule="exact"/>
              <w:jc w:val="center"/>
              <w:outlineLvl w:val="0"/>
              <w:rPr>
                <w:rStyle w:val="209"/>
                <w:rFonts w:hint="eastAsia" w:ascii="宋体" w:hAnsi="宋体" w:eastAsia="宋体" w:cs="宋体"/>
                <w:b w:val="0"/>
                <w:bCs w:val="0"/>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应急方案（满分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7019" w:type="dxa"/>
            <w:vAlign w:val="center"/>
          </w:tcPr>
          <w:p w14:paraId="3072A1DE">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基本分（满分2.5分）</w:t>
            </w:r>
            <w:r>
              <w:rPr>
                <w:rFonts w:hint="eastAsia" w:hAnsi="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u w:val="none"/>
                <w:lang w:val="en-US" w:eastAsia="zh-CN"/>
              </w:rPr>
              <w:t>根据投标人提供的针对本项目的应急方案进行评审，方案包括但不限于以下各项内容：①应急响应方式及时间、②应急处理措施、③应急团队配置、</w:t>
            </w:r>
            <w:r>
              <w:rPr>
                <w:rFonts w:hint="eastAsia" w:ascii="宋体" w:hAnsi="宋体" w:eastAsia="宋体" w:cs="宋体"/>
                <w:color w:val="auto"/>
                <w:sz w:val="21"/>
                <w:szCs w:val="21"/>
                <w:highlight w:val="none"/>
                <w:lang w:val="en-US" w:eastAsia="zh-CN"/>
              </w:rPr>
              <w:t>④</w:t>
            </w:r>
            <w:r>
              <w:rPr>
                <w:rFonts w:hint="eastAsia" w:ascii="宋体" w:hAnsi="宋体" w:eastAsia="宋体" w:cs="宋体"/>
                <w:b w:val="0"/>
                <w:bCs w:val="0"/>
                <w:color w:val="auto"/>
                <w:sz w:val="21"/>
                <w:szCs w:val="21"/>
                <w:highlight w:val="none"/>
                <w:u w:val="none"/>
                <w:lang w:val="en-US" w:eastAsia="zh-CN"/>
              </w:rPr>
              <w:t>供货出现异常情况的应急预案、</w:t>
            </w:r>
            <w:r>
              <w:rPr>
                <w:rFonts w:hint="eastAsia" w:ascii="宋体" w:hAnsi="宋体" w:eastAsia="宋体" w:cs="宋体"/>
                <w:color w:val="auto"/>
                <w:sz w:val="21"/>
                <w:szCs w:val="21"/>
                <w:highlight w:val="none"/>
                <w:lang w:val="en-US" w:eastAsia="zh-CN"/>
              </w:rPr>
              <w:t>⑤</w:t>
            </w:r>
            <w:r>
              <w:rPr>
                <w:rFonts w:hint="eastAsia" w:ascii="宋体" w:hAnsi="宋体" w:eastAsia="宋体" w:cs="宋体"/>
                <w:b w:val="0"/>
                <w:bCs w:val="0"/>
                <w:color w:val="auto"/>
                <w:sz w:val="21"/>
                <w:szCs w:val="21"/>
                <w:highlight w:val="none"/>
                <w:u w:val="none"/>
                <w:lang w:val="en-US" w:eastAsia="zh-CN"/>
              </w:rPr>
              <w:t>产品出现质量问题时的应急预案。投标人每提供一项得</w:t>
            </w:r>
            <w:r>
              <w:rPr>
                <w:rFonts w:hint="eastAsia" w:ascii="宋体" w:hAnsi="宋体" w:cs="宋体"/>
                <w:b w:val="0"/>
                <w:bCs w:val="0"/>
                <w:color w:val="auto"/>
                <w:sz w:val="21"/>
                <w:szCs w:val="21"/>
                <w:highlight w:val="none"/>
                <w:u w:val="none"/>
                <w:lang w:val="en-US" w:eastAsia="zh-CN"/>
              </w:rPr>
              <w:t>0.5</w:t>
            </w:r>
            <w:r>
              <w:rPr>
                <w:rFonts w:hint="eastAsia" w:ascii="宋体" w:hAnsi="宋体" w:eastAsia="宋体" w:cs="宋体"/>
                <w:b w:val="0"/>
                <w:bCs w:val="0"/>
                <w:color w:val="auto"/>
                <w:sz w:val="21"/>
                <w:szCs w:val="21"/>
                <w:highlight w:val="none"/>
                <w:u w:val="none"/>
                <w:lang w:val="en-US" w:eastAsia="zh-CN"/>
              </w:rPr>
              <w:t>分，满分</w:t>
            </w:r>
            <w:r>
              <w:rPr>
                <w:rFonts w:hint="eastAsia" w:ascii="宋体" w:hAnsi="宋体" w:cs="宋体"/>
                <w:b w:val="0"/>
                <w:bCs w:val="0"/>
                <w:color w:val="auto"/>
                <w:sz w:val="21"/>
                <w:szCs w:val="21"/>
                <w:highlight w:val="none"/>
                <w:u w:val="none"/>
                <w:lang w:val="en-US" w:eastAsia="zh-CN"/>
              </w:rPr>
              <w:t>2.5</w:t>
            </w:r>
            <w:r>
              <w:rPr>
                <w:rFonts w:hint="eastAsia" w:ascii="宋体" w:hAnsi="宋体" w:eastAsia="宋体" w:cs="宋体"/>
                <w:b w:val="0"/>
                <w:bCs w:val="0"/>
                <w:color w:val="auto"/>
                <w:sz w:val="21"/>
                <w:szCs w:val="21"/>
                <w:highlight w:val="none"/>
                <w:u w:val="none"/>
                <w:lang w:val="en-US" w:eastAsia="zh-CN"/>
              </w:rPr>
              <w:t>分。</w:t>
            </w:r>
          </w:p>
          <w:p w14:paraId="49BF9187">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w:t>
            </w:r>
            <w:r>
              <w:rPr>
                <w:rFonts w:hint="eastAsia"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lang w:val="en-US" w:eastAsia="zh-CN"/>
              </w:rPr>
              <w:t>分）</w:t>
            </w:r>
          </w:p>
          <w:p w14:paraId="2B0E796D">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①应急响应方式及时间</w:t>
            </w:r>
            <w:r>
              <w:rPr>
                <w:rFonts w:hint="eastAsia" w:ascii="宋体" w:hAnsi="宋体" w:cs="宋体"/>
                <w:b/>
                <w:bCs/>
                <w:color w:val="auto"/>
                <w:sz w:val="21"/>
                <w:szCs w:val="21"/>
                <w:highlight w:val="none"/>
                <w:u w:val="none"/>
                <w:lang w:val="en-US" w:eastAsia="zh-CN"/>
              </w:rPr>
              <w:t>（满分1分）</w:t>
            </w:r>
            <w:r>
              <w:rPr>
                <w:rFonts w:hint="eastAsia" w:ascii="宋体" w:hAnsi="宋体" w:eastAsia="宋体" w:cs="宋体"/>
                <w:b w:val="0"/>
                <w:bCs w:val="0"/>
                <w:color w:val="auto"/>
                <w:sz w:val="21"/>
                <w:szCs w:val="21"/>
                <w:highlight w:val="none"/>
                <w:u w:val="none"/>
                <w:lang w:val="en-US" w:eastAsia="zh-CN"/>
              </w:rPr>
              <w:t>：响应渠道≥</w:t>
            </w:r>
            <w:r>
              <w:rPr>
                <w:rFonts w:hint="eastAsia" w:ascii="宋体"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种（含固定电话、24小时应急热线</w:t>
            </w:r>
            <w:r>
              <w:rPr>
                <w:rFonts w:hint="eastAsia" w:ascii="宋体" w:hAnsi="宋体" w:cs="宋体"/>
                <w:b w:val="0"/>
                <w:bCs w:val="0"/>
                <w:color w:val="auto"/>
                <w:sz w:val="21"/>
                <w:szCs w:val="21"/>
                <w:highlight w:val="none"/>
                <w:u w:val="none"/>
                <w:lang w:val="en-US" w:eastAsia="zh-CN"/>
              </w:rPr>
              <w:t>等</w:t>
            </w:r>
            <w:r>
              <w:rPr>
                <w:rFonts w:hint="eastAsia" w:ascii="宋体" w:hAnsi="宋体" w:eastAsia="宋体" w:cs="宋体"/>
                <w:b w:val="0"/>
                <w:bCs w:val="0"/>
                <w:color w:val="auto"/>
                <w:sz w:val="21"/>
                <w:szCs w:val="21"/>
                <w:highlight w:val="none"/>
                <w:u w:val="none"/>
                <w:lang w:val="en-US" w:eastAsia="zh-CN"/>
              </w:rPr>
              <w:t>）；渠道联系方式标注完整（含号码、责任人姓名）的，应急响应时间为30分钟以内的，得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61A3DF88">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②应急处理措施（满分2分）</w:t>
            </w:r>
            <w:r>
              <w:rPr>
                <w:rFonts w:hint="eastAsia" w:ascii="宋体" w:hAnsi="宋体" w:eastAsia="宋体" w:cs="宋体"/>
                <w:b w:val="0"/>
                <w:bCs w:val="0"/>
                <w:color w:val="auto"/>
                <w:sz w:val="21"/>
                <w:szCs w:val="21"/>
                <w:highlight w:val="none"/>
                <w:u w:val="none"/>
                <w:lang w:val="en-US" w:eastAsia="zh-CN"/>
              </w:rPr>
              <w:t>：覆盖场景≥4类（含设备突发故障、供货延迟、运输受阻、现场安装异常等）</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每类场景处理步骤≥4步（如设备故障：接报→定位问题→调配备用设备→现场维修→验收）</w:t>
            </w:r>
            <w:r>
              <w:rPr>
                <w:rFonts w:hint="eastAsia" w:ascii="宋体" w:hAnsi="宋体" w:cs="宋体"/>
                <w:b w:val="0"/>
                <w:bCs w:val="0"/>
                <w:color w:val="auto"/>
                <w:sz w:val="21"/>
                <w:szCs w:val="21"/>
                <w:highlight w:val="none"/>
                <w:u w:val="none"/>
                <w:lang w:val="en-US" w:eastAsia="zh-CN"/>
              </w:rPr>
              <w:t>，故障处理时间＜12小时，且有故障处理流程，有备用设备≥2台的，得2分；故障处理时间＜24小时，且有故障处理流程，有备用设备≥1台的，得1分。</w:t>
            </w:r>
          </w:p>
          <w:p w14:paraId="2D01DEF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③应急团队配置</w:t>
            </w:r>
            <w:r>
              <w:rPr>
                <w:rFonts w:hint="eastAsia" w:ascii="宋体" w:hAnsi="宋体" w:cs="宋体"/>
                <w:b/>
                <w:bCs/>
                <w:color w:val="auto"/>
                <w:sz w:val="21"/>
                <w:szCs w:val="21"/>
                <w:highlight w:val="none"/>
                <w:u w:val="none"/>
                <w:lang w:val="en-US" w:eastAsia="zh-CN"/>
              </w:rPr>
              <w:t>（满分2分）</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附有人员姓名与联系方式的，得2分；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附有人员姓名与联系方式的，得1分；</w:t>
            </w:r>
            <w:r>
              <w:rPr>
                <w:rFonts w:hint="eastAsia" w:ascii="宋体" w:hAnsi="宋体" w:eastAsia="宋体" w:cs="宋体"/>
                <w:b w:val="0"/>
                <w:bCs w:val="0"/>
                <w:color w:val="auto"/>
                <w:sz w:val="21"/>
                <w:szCs w:val="21"/>
                <w:highlight w:val="none"/>
                <w:u w:val="none"/>
                <w:lang w:val="en-US" w:eastAsia="zh-CN"/>
              </w:rPr>
              <w:t>应急团队配置</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人，团队成员均具备对应领域专业和应急处理经验，并</w:t>
            </w:r>
            <w:r>
              <w:rPr>
                <w:rFonts w:hint="eastAsia" w:ascii="宋体" w:hAnsi="宋体" w:cs="宋体"/>
                <w:b w:val="0"/>
                <w:bCs w:val="0"/>
                <w:color w:val="auto"/>
                <w:sz w:val="21"/>
                <w:szCs w:val="21"/>
                <w:highlight w:val="none"/>
                <w:u w:val="none"/>
                <w:lang w:val="en-US" w:eastAsia="zh-CN"/>
              </w:rPr>
              <w:t>附有人员姓名与联系方式的，得0.5分。</w:t>
            </w:r>
          </w:p>
          <w:p w14:paraId="4279E5C6">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④供货出现异常情况的应急预案（满分1分）</w:t>
            </w:r>
            <w:r>
              <w:rPr>
                <w:rFonts w:hint="eastAsia" w:ascii="宋体" w:hAnsi="宋体" w:eastAsia="宋体" w:cs="宋体"/>
                <w:b w:val="0"/>
                <w:bCs w:val="0"/>
                <w:color w:val="auto"/>
                <w:sz w:val="21"/>
                <w:szCs w:val="21"/>
                <w:highlight w:val="none"/>
                <w:u w:val="none"/>
                <w:lang w:val="en-US" w:eastAsia="zh-CN"/>
              </w:rPr>
              <w:t>：覆盖异常类型</w:t>
            </w:r>
            <w:r>
              <w:rPr>
                <w:rFonts w:hint="eastAsia" w:ascii="宋体"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3种（含零部件短缺、生产延误等），每种类型对应</w:t>
            </w:r>
            <w:r>
              <w:rPr>
                <w:rFonts w:hint="eastAsia" w:ascii="宋体" w:hAnsi="宋体" w:cs="宋体"/>
                <w:b w:val="0"/>
                <w:bCs w:val="0"/>
                <w:color w:val="auto"/>
                <w:sz w:val="21"/>
                <w:szCs w:val="21"/>
                <w:highlight w:val="none"/>
                <w:u w:val="none"/>
                <w:lang w:val="en-US" w:eastAsia="zh-CN"/>
              </w:rPr>
              <w:t>大≥</w:t>
            </w:r>
            <w:r>
              <w:rPr>
                <w:rFonts w:hint="eastAsia" w:ascii="宋体" w:hAnsi="宋体" w:eastAsia="宋体" w:cs="宋体"/>
                <w:b w:val="0"/>
                <w:bCs w:val="0"/>
                <w:color w:val="auto"/>
                <w:sz w:val="21"/>
                <w:szCs w:val="21"/>
                <w:highlight w:val="none"/>
                <w:u w:val="none"/>
                <w:lang w:val="en-US" w:eastAsia="zh-CN"/>
              </w:rPr>
              <w:t>2项解决措施的，得</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19DCB51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 = 5 \* GB3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
                <w:bCs/>
                <w:color w:val="auto"/>
                <w:sz w:val="21"/>
                <w:szCs w:val="21"/>
                <w:highlight w:val="none"/>
                <w:u w:val="none"/>
                <w:lang w:val="en-US" w:eastAsia="zh-CN"/>
              </w:rPr>
              <w:t>⑤</w:t>
            </w:r>
            <w:r>
              <w:rPr>
                <w:rFonts w:hint="eastAsia" w:ascii="宋体" w:hAnsi="宋体" w:eastAsia="宋体" w:cs="宋体"/>
                <w:b/>
                <w:bCs/>
                <w:color w:val="auto"/>
                <w:sz w:val="21"/>
                <w:szCs w:val="21"/>
                <w:highlight w:val="none"/>
                <w:u w:val="none"/>
                <w:lang w:val="en-US" w:eastAsia="zh-CN"/>
              </w:rPr>
              <w:fldChar w:fldCharType="end"/>
            </w:r>
            <w:r>
              <w:rPr>
                <w:rFonts w:hint="eastAsia" w:ascii="宋体" w:hAnsi="宋体" w:eastAsia="宋体" w:cs="宋体"/>
                <w:b/>
                <w:bCs/>
                <w:color w:val="auto"/>
                <w:sz w:val="21"/>
                <w:szCs w:val="21"/>
                <w:highlight w:val="none"/>
                <w:u w:val="none"/>
                <w:lang w:val="en-US" w:eastAsia="zh-CN"/>
              </w:rPr>
              <w:t>产品出现质量问题时的应急预案</w:t>
            </w:r>
            <w:r>
              <w:rPr>
                <w:rFonts w:hint="eastAsia" w:ascii="宋体" w:hAnsi="宋体" w:cs="宋体"/>
                <w:b/>
                <w:bCs/>
                <w:color w:val="auto"/>
                <w:sz w:val="21"/>
                <w:szCs w:val="21"/>
                <w:highlight w:val="none"/>
                <w:u w:val="none"/>
                <w:lang w:val="en-US" w:eastAsia="zh-CN"/>
              </w:rPr>
              <w:t>（满分</w:t>
            </w:r>
            <w:r>
              <w:rPr>
                <w:rFonts w:hint="eastAsia" w:hAnsi="宋体" w:cs="宋体"/>
                <w:b/>
                <w:bCs/>
                <w:color w:val="auto"/>
                <w:sz w:val="21"/>
                <w:szCs w:val="21"/>
                <w:highlight w:val="none"/>
                <w:u w:val="none"/>
                <w:lang w:val="en-US" w:eastAsia="zh-CN"/>
              </w:rPr>
              <w:t>1.5</w:t>
            </w:r>
            <w:r>
              <w:rPr>
                <w:rFonts w:hint="eastAsia" w:ascii="宋体" w:hAnsi="宋体" w:cs="宋体"/>
                <w:b/>
                <w:bCs/>
                <w:color w:val="auto"/>
                <w:sz w:val="21"/>
                <w:szCs w:val="21"/>
                <w:highlight w:val="none"/>
                <w:u w:val="none"/>
                <w:lang w:val="en-US" w:eastAsia="zh-CN"/>
              </w:rPr>
              <w:t>分）</w:t>
            </w:r>
            <w:r>
              <w:rPr>
                <w:rFonts w:hint="eastAsia" w:ascii="宋体" w:hAnsi="宋体" w:eastAsia="宋体" w:cs="宋体"/>
                <w:b w:val="0"/>
                <w:bCs w:val="0"/>
                <w:color w:val="auto"/>
                <w:sz w:val="21"/>
                <w:szCs w:val="21"/>
                <w:highlight w:val="none"/>
                <w:u w:val="none"/>
                <w:lang w:val="en-US" w:eastAsia="zh-CN"/>
              </w:rPr>
              <w:t>：覆盖质量问题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且附有售后网点地址与联系方式的，得</w:t>
            </w:r>
            <w:r>
              <w:rPr>
                <w:rFonts w:hint="eastAsia" w:hAnsi="宋体" w:cs="宋体"/>
                <w:b w:val="0"/>
                <w:bCs w:val="0"/>
                <w:color w:val="auto"/>
                <w:sz w:val="21"/>
                <w:szCs w:val="21"/>
                <w:highlight w:val="none"/>
                <w:u w:val="none"/>
                <w:lang w:val="en-US" w:eastAsia="zh-CN"/>
              </w:rPr>
              <w:t>1.5</w:t>
            </w:r>
            <w:r>
              <w:rPr>
                <w:rFonts w:hint="eastAsia" w:ascii="宋体" w:hAnsi="宋体" w:eastAsia="宋体" w:cs="宋体"/>
                <w:b w:val="0"/>
                <w:bCs w:val="0"/>
                <w:color w:val="auto"/>
                <w:sz w:val="21"/>
                <w:szCs w:val="21"/>
                <w:highlight w:val="none"/>
                <w:u w:val="none"/>
                <w:lang w:val="en-US" w:eastAsia="zh-CN"/>
              </w:rPr>
              <w:t>分；覆盖质量问题</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3类（含性能不达标、外观损坏、配件缺失等）</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处理流程包含“免费更换/维修”承诺</w:t>
            </w:r>
            <w:r>
              <w:rPr>
                <w:rFonts w:hint="eastAsia" w:hAnsi="宋体" w:cs="宋体"/>
                <w:b w:val="0"/>
                <w:bCs w:val="0"/>
                <w:color w:val="auto"/>
                <w:sz w:val="21"/>
                <w:szCs w:val="21"/>
                <w:highlight w:val="none"/>
                <w:u w:val="none"/>
                <w:lang w:val="en-US" w:eastAsia="zh-CN"/>
              </w:rPr>
              <w:t>，无</w:t>
            </w:r>
            <w:r>
              <w:rPr>
                <w:rFonts w:hint="eastAsia" w:ascii="宋体" w:hAnsi="宋体" w:eastAsia="宋体" w:cs="宋体"/>
                <w:b w:val="0"/>
                <w:bCs w:val="0"/>
                <w:color w:val="auto"/>
                <w:sz w:val="21"/>
                <w:szCs w:val="21"/>
                <w:highlight w:val="none"/>
                <w:u w:val="none"/>
                <w:lang w:val="en-US" w:eastAsia="zh-CN"/>
              </w:rPr>
              <w:t>售后网点地址与联系方式的，得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678B23F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color w:val="auto"/>
                <w:highlight w:val="none"/>
                <w:lang w:val="en-US" w:eastAsia="zh-CN"/>
              </w:rPr>
            </w:pPr>
            <w:r>
              <w:rPr>
                <w:rFonts w:hint="eastAsia"/>
                <w:b/>
                <w:bCs/>
                <w:color w:val="auto"/>
                <w:highlight w:val="none"/>
                <w:lang w:val="en-US" w:eastAsia="zh-CN"/>
              </w:rPr>
              <w:t>注：若投标人仅提供基本分对应内容，未提供加分项评审要点，或其加分项评审要点未满足以上加分评审细则规定的评审标准的，则仅得基本分。</w:t>
            </w:r>
          </w:p>
        </w:tc>
      </w:tr>
      <w:tr w14:paraId="114D5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restart"/>
            <w:vAlign w:val="center"/>
          </w:tcPr>
          <w:p w14:paraId="6A092573">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3.商务分</w:t>
            </w:r>
          </w:p>
          <w:p w14:paraId="7F12581C">
            <w:pPr>
              <w:keepNext w:val="0"/>
              <w:keepLines w:val="0"/>
              <w:pageBreakBefore w:val="0"/>
              <w:widowControl w:val="0"/>
              <w:kinsoku/>
              <w:wordWrap/>
              <w:overflowPunct/>
              <w:topLinePunct w:val="0"/>
              <w:autoSpaceDE/>
              <w:autoSpaceDN/>
              <w:bidi w:val="0"/>
              <w:adjustRightInd/>
              <w:spacing w:line="360" w:lineRule="exact"/>
              <w:jc w:val="center"/>
              <w:textAlignment w:val="auto"/>
              <w:rPr>
                <w:rStyle w:val="209"/>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30</w:t>
            </w:r>
            <w:r>
              <w:rPr>
                <w:rFonts w:hint="eastAsia" w:ascii="宋体" w:hAnsi="宋体" w:eastAsia="宋体" w:cs="宋体"/>
                <w:b w:val="0"/>
                <w:bCs w:val="0"/>
                <w:color w:val="auto"/>
                <w:szCs w:val="21"/>
                <w:highlight w:val="none"/>
                <w:u w:val="none"/>
                <w:lang w:val="en-US" w:eastAsia="zh-CN"/>
              </w:rPr>
              <w:t>分）</w:t>
            </w:r>
          </w:p>
        </w:tc>
        <w:tc>
          <w:tcPr>
            <w:tcW w:w="1402" w:type="dxa"/>
            <w:vAlign w:val="center"/>
          </w:tcPr>
          <w:p w14:paraId="416D46E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（1）售后服务方案（满分1</w:t>
            </w:r>
            <w:r>
              <w:rPr>
                <w:rFonts w:hint="eastAsia" w:ascii="宋体" w:hAnsi="宋体" w:cs="宋体"/>
                <w:b w:val="0"/>
                <w:bCs w:val="0"/>
                <w:color w:val="auto"/>
                <w:szCs w:val="21"/>
                <w:highlight w:val="none"/>
                <w:u w:val="none"/>
                <w:lang w:val="en-US" w:eastAsia="zh-CN"/>
              </w:rPr>
              <w:t>7</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55BEEDF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hAnsi="宋体" w:cs="宋体"/>
                <w:b/>
                <w:bCs/>
                <w:color w:val="auto"/>
                <w:sz w:val="21"/>
                <w:szCs w:val="21"/>
                <w:highlight w:val="none"/>
                <w:lang w:val="en-US" w:eastAsia="zh-CN"/>
              </w:rPr>
              <w:t>基本分（满分3.5分）</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根据投标人提供的针对本项目的</w:t>
            </w:r>
            <w:r>
              <w:rPr>
                <w:rFonts w:hint="eastAsia" w:ascii="宋体" w:hAnsi="宋体" w:eastAsia="宋体" w:cs="宋体"/>
                <w:b w:val="0"/>
                <w:bCs w:val="0"/>
                <w:color w:val="auto"/>
                <w:sz w:val="21"/>
                <w:szCs w:val="21"/>
                <w:highlight w:val="none"/>
                <w:u w:val="none"/>
                <w:lang w:val="en-US" w:eastAsia="zh-CN"/>
              </w:rPr>
              <w:t>售后服务方案</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b w:val="0"/>
                <w:bCs w:val="0"/>
                <w:color w:val="auto"/>
                <w:sz w:val="21"/>
                <w:szCs w:val="21"/>
                <w:highlight w:val="none"/>
                <w:u w:val="none"/>
                <w:lang w:val="en-US" w:eastAsia="zh-CN"/>
              </w:rPr>
              <w:t>，方案</w:t>
            </w:r>
            <w:r>
              <w:rPr>
                <w:rFonts w:hint="eastAsia" w:ascii="宋体" w:hAnsi="宋体" w:eastAsia="宋体" w:cs="宋体"/>
                <w:color w:val="auto"/>
                <w:sz w:val="21"/>
                <w:szCs w:val="21"/>
                <w:highlight w:val="none"/>
                <w:lang w:val="en-US" w:eastAsia="zh-CN"/>
              </w:rPr>
              <w:t>包含但不限于以下各项内容：</w:t>
            </w:r>
            <w:r>
              <w:rPr>
                <w:rFonts w:hint="eastAsia" w:ascii="宋体" w:hAnsi="宋体" w:eastAsia="宋体" w:cs="宋体"/>
                <w:color w:val="auto"/>
                <w:kern w:val="0"/>
                <w:sz w:val="21"/>
                <w:szCs w:val="21"/>
                <w:highlight w:val="none"/>
                <w:lang w:val="en-US" w:eastAsia="zh-CN"/>
              </w:rPr>
              <w:t>① 售后服务承诺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lang w:val="en-US" w:eastAsia="zh-CN"/>
              </w:rPr>
              <w:t>② 响应时间、③ 到达故障现场时间、④ 故障出现解决方案、⑤ 定期维护承诺、⑥ 技术培训方案、⑦ 保修期内及保修期外维修方案。</w:t>
            </w:r>
            <w:r>
              <w:rPr>
                <w:rFonts w:hint="eastAsia" w:ascii="宋体" w:hAnsi="宋体" w:eastAsia="宋体" w:cs="宋体"/>
                <w:color w:val="auto"/>
                <w:sz w:val="21"/>
                <w:szCs w:val="21"/>
                <w:highlight w:val="none"/>
                <w:lang w:val="en-US" w:eastAsia="zh-CN"/>
              </w:rPr>
              <w:t>投标人每提供一项得1分，满分</w:t>
            </w:r>
            <w:r>
              <w:rPr>
                <w:rFonts w:hint="eastAsia"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w:t>
            </w:r>
          </w:p>
          <w:p w14:paraId="0646812E">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（2）加分项评审细则（满分1</w:t>
            </w: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.5分）</w:t>
            </w:r>
          </w:p>
          <w:p w14:paraId="6F797FA3">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i w:val="0"/>
                <w:iCs w:val="0"/>
                <w:caps w:val="0"/>
                <w:color w:val="auto"/>
                <w:spacing w:val="0"/>
                <w:sz w:val="21"/>
                <w:szCs w:val="21"/>
                <w:highlight w:val="none"/>
                <w:shd w:val="clear" w:color="auto" w:fill="EFF0F1"/>
                <w:lang w:val="en-US" w:eastAsia="zh-CN"/>
              </w:rPr>
            </w:pPr>
            <w:r>
              <w:rPr>
                <w:rFonts w:hint="eastAsia" w:ascii="宋体" w:hAnsi="宋体" w:eastAsia="宋体" w:cs="宋体"/>
                <w:b/>
                <w:bCs/>
                <w:color w:val="auto"/>
                <w:kern w:val="0"/>
                <w:sz w:val="21"/>
                <w:szCs w:val="21"/>
                <w:highlight w:val="none"/>
                <w:lang w:val="en-US" w:eastAsia="zh-CN"/>
              </w:rPr>
              <w:t>①售后服务承诺</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：有“7×24小时全天候服务”、“质保期内免费维修/更换”、“质保期外只收成本费”3项及以上核心承诺的，得1分；</w:t>
            </w:r>
          </w:p>
          <w:p w14:paraId="54E423DC">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② 响应时间</w:t>
            </w:r>
            <w:r>
              <w:rPr>
                <w:rFonts w:hint="eastAsia" w:hAnsi="宋体" w:cs="宋体"/>
                <w:b/>
                <w:bCs/>
                <w:color w:val="auto"/>
                <w:kern w:val="0"/>
                <w:sz w:val="21"/>
                <w:szCs w:val="21"/>
                <w:highlight w:val="none"/>
                <w:lang w:val="en-US" w:eastAsia="zh-CN"/>
              </w:rPr>
              <w:t>（满分1分）</w:t>
            </w:r>
            <w:r>
              <w:rPr>
                <w:rFonts w:hint="eastAsia" w:ascii="宋体" w:hAnsi="宋体" w:eastAsia="宋体" w:cs="宋体"/>
                <w:color w:val="auto"/>
                <w:kern w:val="0"/>
                <w:sz w:val="21"/>
                <w:szCs w:val="21"/>
                <w:highlight w:val="none"/>
                <w:lang w:val="en-US" w:eastAsia="zh-CN"/>
              </w:rPr>
              <w:t>：接到设备报修通知后30分钟内响应的，得1分；</w:t>
            </w:r>
          </w:p>
          <w:p w14:paraId="4F6CABA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③ 到达故障现场时间</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：自接到采购人故障到场通知起，2小时内到达现场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小时内到达现场</w:t>
            </w:r>
            <w:r>
              <w:rPr>
                <w:rFonts w:hint="eastAsia"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注：投标人须随投标文件提交能够证明其可在承诺时限内到达现场的</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证明材料（如：服务网点证明、应急交通工具安排到达服务区域的路线与时间测算说明等</w:t>
            </w:r>
            <w:r>
              <w:rPr>
                <w:rFonts w:hint="eastAsia"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lang w:val="en-US" w:eastAsia="zh-CN"/>
              </w:rPr>
              <w:t>证明材料）。</w:t>
            </w:r>
          </w:p>
          <w:p w14:paraId="251D4BD9">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④ 故障出现解决方案</w:t>
            </w:r>
            <w:r>
              <w:rPr>
                <w:rFonts w:hint="eastAsia" w:hAnsi="宋体" w:cs="宋体"/>
                <w:b/>
                <w:bCs/>
                <w:color w:val="auto"/>
                <w:kern w:val="0"/>
                <w:sz w:val="21"/>
                <w:szCs w:val="21"/>
                <w:highlight w:val="none"/>
                <w:lang w:val="en-US" w:eastAsia="zh-CN"/>
              </w:rPr>
              <w:t>（满分3分）</w:t>
            </w:r>
            <w:r>
              <w:rPr>
                <w:rFonts w:hint="eastAsia" w:ascii="宋体" w:hAnsi="宋体" w:eastAsia="宋体" w:cs="宋体"/>
                <w:color w:val="auto"/>
                <w:kern w:val="0"/>
                <w:sz w:val="21"/>
                <w:szCs w:val="21"/>
                <w:highlight w:val="none"/>
                <w:lang w:val="en-US" w:eastAsia="zh-CN"/>
              </w:rPr>
              <w:t>：储备替代品/配件≥3套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分；储备替代品/配件≥</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套</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配件储备地址≥1个（均标注有详细位置）</w:t>
            </w:r>
            <w:r>
              <w:rPr>
                <w:rFonts w:hint="eastAsia"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故障无法现场解决时，</w:t>
            </w:r>
            <w:r>
              <w:rPr>
                <w:rFonts w:hint="eastAsia"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小时内提供替代品上门的，得</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p>
          <w:p w14:paraId="521874C4">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⑤定期维护承诺</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：有定期维护周期（每3个月1次常规检测，每6个月1次深度保养）；每次维护包含“设备性能检测、易损件检查、清洁润滑”等3项及以上内容的，得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03856156">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⑥技术培训方案</w:t>
            </w:r>
            <w:r>
              <w:rPr>
                <w:rFonts w:hint="eastAsia" w:hAnsi="宋体" w:cs="宋体"/>
                <w:b/>
                <w:bCs/>
                <w:color w:val="auto"/>
                <w:kern w:val="0"/>
                <w:sz w:val="21"/>
                <w:szCs w:val="21"/>
                <w:highlight w:val="none"/>
                <w:lang w:val="en-US" w:eastAsia="zh-CN"/>
              </w:rPr>
              <w:t>（满分2分）</w:t>
            </w:r>
            <w:r>
              <w:rPr>
                <w:rFonts w:hint="eastAsia" w:ascii="宋体" w:hAnsi="宋体" w:eastAsia="宋体" w:cs="宋体"/>
                <w:color w:val="auto"/>
                <w:kern w:val="0"/>
                <w:sz w:val="21"/>
                <w:szCs w:val="21"/>
                <w:highlight w:val="none"/>
                <w:lang w:val="en-US" w:eastAsia="zh-CN"/>
              </w:rPr>
              <w:t>：包含培训次数≥2次（设备交付后1周内1次基础操作培训，3个月后1次故障排查培训），每次培训时长≥4小时（含2小时理论 + 2小时实操），培训后组织考核，考核通过率需达100%（未通过者免费复训）的，得</w:t>
            </w: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p>
          <w:p w14:paraId="146DBE49">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⑦保修期内及保修期外维修方案（满分1.5分）</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bidi="ar-SA"/>
              </w:rPr>
              <w:t>保修期内承诺免费更换所有非人为损坏部件；在投标</w:t>
            </w:r>
            <w:r>
              <w:rPr>
                <w:rFonts w:hint="eastAsia" w:ascii="宋体" w:hAnsi="宋体" w:cs="宋体"/>
                <w:color w:val="auto"/>
                <w:kern w:val="0"/>
                <w:sz w:val="21"/>
                <w:szCs w:val="21"/>
                <w:highlight w:val="none"/>
                <w:lang w:val="en-US" w:eastAsia="zh-CN" w:bidi="ar-SA"/>
              </w:rPr>
              <w:t>文件中有提供</w:t>
            </w:r>
            <w:r>
              <w:rPr>
                <w:rFonts w:hint="eastAsia" w:ascii="宋体" w:hAnsi="宋体" w:eastAsia="宋体" w:cs="宋体"/>
                <w:color w:val="auto"/>
                <w:kern w:val="0"/>
                <w:sz w:val="21"/>
                <w:szCs w:val="21"/>
                <w:highlight w:val="none"/>
                <w:lang w:val="en-US" w:eastAsia="zh-CN" w:bidi="ar-SA"/>
              </w:rPr>
              <w:t>保修期外维修费用明细（含零部件单价、人工单价）</w:t>
            </w:r>
            <w:r>
              <w:rPr>
                <w:rFonts w:hint="eastAsia" w:ascii="宋体" w:hAnsi="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，维修部件维修后提供质保</w:t>
            </w:r>
            <w:r>
              <w:rPr>
                <w:rFonts w:hint="eastAsia" w:ascii="宋体" w:hAnsi="宋体" w:cs="宋体"/>
                <w:color w:val="auto"/>
                <w:kern w:val="0"/>
                <w:sz w:val="21"/>
                <w:szCs w:val="21"/>
                <w:highlight w:val="none"/>
                <w:lang w:val="en-US" w:eastAsia="zh-CN" w:bidi="ar-SA"/>
              </w:rPr>
              <w:t>≥3个月以上</w:t>
            </w:r>
            <w:r>
              <w:rPr>
                <w:rFonts w:hint="eastAsia"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rPr>
              <w:t>，得</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分；</w:t>
            </w:r>
          </w:p>
          <w:p w14:paraId="5455D90B">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color w:val="auto"/>
                <w:highlight w:val="none"/>
                <w:lang w:val="en-US" w:eastAsia="zh-CN"/>
              </w:rPr>
            </w:pPr>
            <w:r>
              <w:rPr>
                <w:rFonts w:hint="eastAsia"/>
                <w:b/>
                <w:bCs/>
                <w:color w:val="auto"/>
                <w:sz w:val="21"/>
                <w:szCs w:val="21"/>
                <w:highlight w:val="none"/>
                <w:lang w:val="en-US" w:eastAsia="zh-CN"/>
              </w:rPr>
              <w:t>注：若投标人仅提供基本分对应内容，未提供加分项评审要点，或其加分项评审要点未满足以上加分评审细则规定的评审标准的，则仅得基本分。</w:t>
            </w:r>
          </w:p>
        </w:tc>
      </w:tr>
      <w:tr w14:paraId="3DA4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jc w:val="center"/>
        </w:trPr>
        <w:tc>
          <w:tcPr>
            <w:tcW w:w="1200" w:type="dxa"/>
            <w:vMerge w:val="continue"/>
            <w:vAlign w:val="center"/>
          </w:tcPr>
          <w:p w14:paraId="011FCB4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6C3FDE7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（2）履约能力分（满分3分）</w:t>
            </w:r>
          </w:p>
        </w:tc>
        <w:tc>
          <w:tcPr>
            <w:tcW w:w="7019" w:type="dxa"/>
            <w:vAlign w:val="center"/>
          </w:tcPr>
          <w:p w14:paraId="59E7CBB5">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Cs w:val="24"/>
                <w:highlight w:val="none"/>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宋体"/>
                <w:color w:val="auto"/>
                <w:szCs w:val="24"/>
                <w:highlight w:val="none"/>
                <w:lang w:val="en-US" w:eastAsia="zh-CN"/>
              </w:rPr>
              <w:t>具备</w:t>
            </w:r>
            <w:r>
              <w:rPr>
                <w:rFonts w:hint="eastAsia" w:ascii="宋体" w:hAnsi="宋体" w:eastAsia="宋体" w:cs="宋体"/>
                <w:color w:val="auto"/>
                <w:szCs w:val="24"/>
                <w:highlight w:val="none"/>
              </w:rPr>
              <w:t>ISO9001质量管理体系认证</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ISO</w:t>
            </w:r>
            <w:r>
              <w:rPr>
                <w:rFonts w:hint="eastAsia" w:ascii="宋体" w:hAnsi="宋体" w:eastAsia="宋体" w:cs="宋体"/>
                <w:color w:val="auto"/>
                <w:szCs w:val="24"/>
                <w:highlight w:val="none"/>
                <w:lang w:eastAsia="zh-CN"/>
              </w:rPr>
              <w:t>14001环境管理体系认证证书、</w:t>
            </w:r>
            <w:r>
              <w:rPr>
                <w:rFonts w:hint="eastAsia" w:ascii="宋体" w:hAnsi="宋体" w:eastAsia="宋体" w:cs="宋体"/>
                <w:color w:val="auto"/>
                <w:kern w:val="2"/>
                <w:sz w:val="21"/>
                <w:szCs w:val="24"/>
                <w:highlight w:val="none"/>
                <w:lang w:eastAsia="zh-CN"/>
              </w:rPr>
              <w:t>ISO45001职业健康安全管理体系认证</w:t>
            </w:r>
            <w:r>
              <w:rPr>
                <w:rFonts w:hint="eastAsia" w:ascii="宋体" w:hAnsi="宋体" w:eastAsia="宋体" w:cs="宋体"/>
                <w:color w:val="auto"/>
                <w:szCs w:val="24"/>
                <w:highlight w:val="none"/>
                <w:lang w:val="en-US" w:eastAsia="zh-CN"/>
              </w:rPr>
              <w:t>的</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每个</w:t>
            </w:r>
            <w:r>
              <w:rPr>
                <w:rFonts w:hint="eastAsia" w:ascii="宋体" w:hAnsi="宋体" w:eastAsia="宋体" w:cs="宋体"/>
                <w:color w:val="auto"/>
                <w:szCs w:val="24"/>
                <w:highlight w:val="none"/>
              </w:rPr>
              <w:t>得</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满分3分</w:t>
            </w:r>
            <w:r>
              <w:rPr>
                <w:rFonts w:hint="eastAsia" w:ascii="宋体" w:hAnsi="宋体" w:eastAsia="宋体" w:cs="宋体"/>
                <w:color w:val="auto"/>
                <w:szCs w:val="24"/>
                <w:highlight w:val="none"/>
              </w:rPr>
              <w:t>。</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1"/>
                <w:highlight w:val="none"/>
                <w:lang w:eastAsia="zh-CN"/>
              </w:rPr>
              <w:t>需在投标文件中</w:t>
            </w:r>
            <w:r>
              <w:rPr>
                <w:rFonts w:hint="eastAsia" w:ascii="宋体" w:hAnsi="宋体" w:eastAsia="宋体" w:cs="宋体"/>
                <w:b/>
                <w:bCs/>
                <w:color w:val="auto"/>
                <w:szCs w:val="21"/>
                <w:highlight w:val="none"/>
              </w:rPr>
              <w:t>提供</w:t>
            </w:r>
            <w:r>
              <w:rPr>
                <w:rFonts w:hint="eastAsia" w:ascii="宋体" w:hAnsi="宋体" w:eastAsia="宋体" w:cs="宋体"/>
                <w:b/>
                <w:bCs/>
                <w:i w:val="0"/>
                <w:iCs w:val="0"/>
                <w:color w:val="auto"/>
                <w:szCs w:val="24"/>
                <w:highlight w:val="none"/>
              </w:rPr>
              <w:t>以上证</w:t>
            </w:r>
            <w:r>
              <w:rPr>
                <w:rFonts w:hint="eastAsia" w:ascii="宋体" w:hAnsi="宋体" w:eastAsia="宋体" w:cs="宋体"/>
                <w:b/>
                <w:bCs/>
                <w:i w:val="0"/>
                <w:iCs w:val="0"/>
                <w:color w:val="auto"/>
                <w:szCs w:val="24"/>
                <w:highlight w:val="none"/>
                <w:lang w:val="en-US" w:eastAsia="zh-CN"/>
              </w:rPr>
              <w:t>书</w:t>
            </w:r>
            <w:r>
              <w:rPr>
                <w:rFonts w:hint="eastAsia" w:ascii="宋体" w:hAnsi="宋体" w:eastAsia="宋体" w:cs="宋体"/>
                <w:b/>
                <w:bCs/>
                <w:i w:val="0"/>
                <w:iCs w:val="0"/>
                <w:color w:val="auto"/>
                <w:szCs w:val="24"/>
                <w:highlight w:val="none"/>
              </w:rPr>
              <w:t>复印件，并加盖</w:t>
            </w:r>
            <w:r>
              <w:rPr>
                <w:rFonts w:hint="eastAsia" w:ascii="宋体" w:hAnsi="宋体" w:eastAsia="宋体" w:cs="宋体"/>
                <w:b/>
                <w:bCs/>
                <w:i w:val="0"/>
                <w:iCs w:val="0"/>
                <w:color w:val="auto"/>
                <w:highlight w:val="none"/>
              </w:rPr>
              <w:t>投标人</w:t>
            </w:r>
            <w:r>
              <w:rPr>
                <w:rFonts w:hint="eastAsia" w:ascii="宋体" w:hAnsi="宋体" w:eastAsia="宋体" w:cs="宋体"/>
                <w:b/>
                <w:bCs/>
                <w:i w:val="0"/>
                <w:iCs w:val="0"/>
                <w:color w:val="auto"/>
                <w:szCs w:val="24"/>
                <w:highlight w:val="none"/>
                <w:lang w:val="en-US" w:eastAsia="zh-CN"/>
              </w:rPr>
              <w:t>公章</w:t>
            </w:r>
            <w:r>
              <w:rPr>
                <w:rFonts w:hint="eastAsia" w:ascii="宋体" w:hAnsi="宋体" w:eastAsia="宋体" w:cs="宋体"/>
                <w:b/>
                <w:bCs/>
                <w:i w:val="0"/>
                <w:iCs w:val="0"/>
                <w:color w:val="auto"/>
                <w:szCs w:val="24"/>
                <w:highlight w:val="none"/>
              </w:rPr>
              <w:t>，否则不予认可</w:t>
            </w:r>
            <w:r>
              <w:rPr>
                <w:rFonts w:hint="eastAsia" w:ascii="宋体" w:hAnsi="宋体" w:eastAsia="宋体" w:cs="宋体"/>
                <w:b/>
                <w:bCs/>
                <w:color w:val="auto"/>
                <w:szCs w:val="24"/>
                <w:highlight w:val="none"/>
                <w:lang w:eastAsia="zh-CN"/>
              </w:rPr>
              <w:t>）</w:t>
            </w:r>
          </w:p>
        </w:tc>
      </w:tr>
      <w:tr w14:paraId="37F8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4210B34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7080940A">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eastAsia="宋体" w:cs="宋体"/>
                <w:b w:val="0"/>
                <w:bCs w:val="0"/>
                <w:color w:val="auto"/>
                <w:szCs w:val="21"/>
                <w:highlight w:val="none"/>
                <w:u w:val="none"/>
                <w:lang w:val="en-US" w:eastAsia="zh-CN"/>
              </w:rPr>
              <w:t>（3）业绩</w:t>
            </w:r>
            <w:r>
              <w:rPr>
                <w:rFonts w:hint="eastAsia" w:ascii="宋体" w:hAnsi="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lang w:val="en-US" w:eastAsia="zh-CN"/>
              </w:rPr>
              <w:t>（满分</w:t>
            </w:r>
            <w:r>
              <w:rPr>
                <w:rFonts w:hint="eastAsia" w:ascii="宋体" w:hAnsi="宋体" w:cs="宋体"/>
                <w:b w:val="0"/>
                <w:bCs w:val="0"/>
                <w:color w:val="auto"/>
                <w:szCs w:val="21"/>
                <w:highlight w:val="none"/>
                <w:u w:val="none"/>
                <w:lang w:val="en-US" w:eastAsia="zh-CN"/>
              </w:rPr>
              <w:t>5</w:t>
            </w:r>
            <w:r>
              <w:rPr>
                <w:rFonts w:hint="eastAsia" w:ascii="宋体" w:hAnsi="宋体" w:eastAsia="宋体" w:cs="宋体"/>
                <w:b w:val="0"/>
                <w:bCs w:val="0"/>
                <w:color w:val="auto"/>
                <w:szCs w:val="21"/>
                <w:highlight w:val="none"/>
                <w:u w:val="none"/>
                <w:lang w:val="en-US" w:eastAsia="zh-CN"/>
              </w:rPr>
              <w:t>分）</w:t>
            </w:r>
          </w:p>
        </w:tc>
        <w:tc>
          <w:tcPr>
            <w:tcW w:w="7019" w:type="dxa"/>
            <w:vAlign w:val="center"/>
          </w:tcPr>
          <w:p w14:paraId="192913A1">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投标人或投标产品生产厂商</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制造商</w:t>
            </w:r>
            <w:r>
              <w:rPr>
                <w:rFonts w:hint="eastAsia" w:hAnsi="宋体" w:cs="宋体"/>
                <w:color w:val="auto"/>
                <w:szCs w:val="24"/>
                <w:highlight w:val="none"/>
                <w:lang w:eastAsia="zh-CN"/>
              </w:rPr>
              <w:t>）</w:t>
            </w:r>
            <w:r>
              <w:rPr>
                <w:rFonts w:hint="eastAsia" w:ascii="宋体" w:hAnsi="宋体" w:eastAsia="宋体" w:cs="Times New Roman"/>
                <w:b w:val="0"/>
                <w:bCs w:val="0"/>
                <w:color w:val="auto"/>
                <w:highlight w:val="none"/>
                <w:lang w:val="en-US" w:eastAsia="zh-CN"/>
              </w:rPr>
              <w:t>自202</w:t>
            </w:r>
            <w:r>
              <w:rPr>
                <w:rFonts w:hint="eastAsia" w:hAnsi="宋体" w:cs="Times New Roman"/>
                <w:b w:val="0"/>
                <w:bCs w:val="0"/>
                <w:color w:val="auto"/>
                <w:highlight w:val="none"/>
                <w:lang w:val="en-US" w:eastAsia="zh-CN"/>
              </w:rPr>
              <w:t>2</w:t>
            </w:r>
            <w:r>
              <w:rPr>
                <w:rFonts w:hint="eastAsia" w:ascii="宋体" w:hAnsi="宋体" w:eastAsia="宋体" w:cs="Times New Roman"/>
                <w:b w:val="0"/>
                <w:bCs w:val="0"/>
                <w:color w:val="auto"/>
                <w:highlight w:val="none"/>
                <w:lang w:val="en-US" w:eastAsia="zh-CN"/>
              </w:rPr>
              <w:t>年1月1日</w:t>
            </w:r>
            <w:r>
              <w:rPr>
                <w:rFonts w:hint="eastAsia" w:ascii="宋体" w:hAnsi="宋体" w:eastAsia="宋体" w:cs="Times New Roman"/>
                <w:b w:val="0"/>
                <w:bCs w:val="0"/>
                <w:color w:val="auto"/>
                <w:highlight w:val="none"/>
                <w:lang w:val="zh-CN" w:eastAsia="zh-CN"/>
              </w:rPr>
              <w:t>至提交投标文件截止时间止，</w:t>
            </w:r>
            <w:r>
              <w:rPr>
                <w:rFonts w:hint="eastAsia" w:ascii="宋体" w:hAnsi="宋体" w:eastAsia="宋体" w:cs="Times New Roman"/>
                <w:b w:val="0"/>
                <w:bCs w:val="0"/>
                <w:color w:val="auto"/>
                <w:highlight w:val="none"/>
                <w:lang w:val="en-US" w:eastAsia="zh-CN"/>
              </w:rPr>
              <w:t>具有</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的（</w:t>
            </w:r>
            <w:r>
              <w:rPr>
                <w:rFonts w:hint="eastAsia" w:ascii="宋体" w:hAnsi="宋体" w:eastAsia="宋体" w:cs="Times New Roman"/>
                <w:b w:val="0"/>
                <w:bCs w:val="0"/>
                <w:color w:val="auto"/>
                <w:highlight w:val="none"/>
                <w:lang w:val="zh-CN" w:eastAsia="zh-CN"/>
              </w:rPr>
              <w:t>同类项目业绩</w:t>
            </w:r>
            <w:r>
              <w:rPr>
                <w:rFonts w:hint="eastAsia" w:ascii="宋体" w:hAnsi="宋体" w:eastAsia="宋体" w:cs="Times New Roman"/>
                <w:b w:val="0"/>
                <w:bCs w:val="0"/>
                <w:color w:val="auto"/>
                <w:highlight w:val="none"/>
                <w:lang w:val="en-US" w:eastAsia="zh-CN"/>
              </w:rPr>
              <w:t>指：</w:t>
            </w:r>
            <w:r>
              <w:rPr>
                <w:rFonts w:hint="eastAsia" w:hAnsi="宋体" w:cs="Times New Roman"/>
                <w:b w:val="0"/>
                <w:bCs w:val="0"/>
                <w:color w:val="auto"/>
                <w:highlight w:val="none"/>
                <w:lang w:val="en-US" w:eastAsia="zh-CN"/>
              </w:rPr>
              <w:t>专用车辆</w:t>
            </w:r>
            <w:r>
              <w:rPr>
                <w:rFonts w:hint="eastAsia" w:ascii="宋体" w:hAnsi="宋体" w:eastAsia="宋体" w:cs="Times New Roman"/>
                <w:b w:val="0"/>
                <w:bCs w:val="0"/>
                <w:color w:val="auto"/>
                <w:highlight w:val="none"/>
                <w:lang w:val="en-US" w:eastAsia="zh-CN"/>
              </w:rPr>
              <w:t>），每提供一项业绩得1分，满分</w:t>
            </w:r>
            <w:r>
              <w:rPr>
                <w:rFonts w:hint="eastAsia" w:hAnsi="宋体" w:cs="Times New Roman"/>
                <w:b w:val="0"/>
                <w:bCs w:val="0"/>
                <w:color w:val="auto"/>
                <w:highlight w:val="none"/>
                <w:lang w:val="en-US" w:eastAsia="zh-CN"/>
              </w:rPr>
              <w:t>5</w:t>
            </w:r>
            <w:r>
              <w:rPr>
                <w:rFonts w:hint="eastAsia" w:ascii="宋体" w:hAnsi="宋体" w:eastAsia="宋体" w:cs="Times New Roman"/>
                <w:b w:val="0"/>
                <w:bCs w:val="0"/>
                <w:color w:val="auto"/>
                <w:highlight w:val="none"/>
                <w:lang w:val="en-US" w:eastAsia="zh-CN"/>
              </w:rPr>
              <w:t>分。</w:t>
            </w:r>
          </w:p>
          <w:p w14:paraId="78435D3A">
            <w:pPr>
              <w:pStyle w:val="27"/>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注：</w:t>
            </w:r>
            <w:r>
              <w:rPr>
                <w:rFonts w:hint="eastAsia" w:ascii="宋体" w:hAnsi="宋体" w:eastAsia="宋体" w:cs="宋体"/>
                <w:b/>
                <w:bCs/>
                <w:color w:val="auto"/>
                <w:szCs w:val="24"/>
                <w:highlight w:val="none"/>
                <w:lang w:eastAsia="zh-CN"/>
              </w:rPr>
              <w:t>需在投标文件中</w:t>
            </w:r>
            <w:r>
              <w:rPr>
                <w:rFonts w:hint="eastAsia" w:ascii="宋体" w:hAnsi="宋体" w:eastAsia="宋体" w:cs="宋体"/>
                <w:b/>
                <w:bCs/>
                <w:color w:val="auto"/>
                <w:szCs w:val="24"/>
                <w:highlight w:val="none"/>
                <w:lang w:val="en-US" w:eastAsia="zh-CN"/>
              </w:rPr>
              <w:t>提供</w:t>
            </w:r>
            <w:r>
              <w:rPr>
                <w:rFonts w:hint="eastAsia" w:ascii="宋体" w:hAnsi="宋体" w:eastAsia="宋体" w:cs="宋体"/>
                <w:b/>
                <w:bCs/>
                <w:color w:val="auto"/>
                <w:szCs w:val="24"/>
                <w:highlight w:val="none"/>
                <w:lang w:val="zh-CN"/>
              </w:rPr>
              <w:t>同类项目</w:t>
            </w:r>
            <w:r>
              <w:rPr>
                <w:rFonts w:hint="eastAsia" w:ascii="宋体" w:hAnsi="宋体" w:eastAsia="宋体" w:cs="宋体"/>
                <w:b/>
                <w:bCs/>
                <w:color w:val="auto"/>
                <w:szCs w:val="24"/>
                <w:highlight w:val="none"/>
              </w:rPr>
              <w:t>业绩</w:t>
            </w:r>
            <w:r>
              <w:rPr>
                <w:rFonts w:hint="eastAsia" w:ascii="宋体" w:hAnsi="宋体" w:eastAsia="宋体" w:cs="宋体"/>
                <w:b/>
                <w:bCs/>
                <w:color w:val="auto"/>
                <w:szCs w:val="24"/>
                <w:highlight w:val="none"/>
                <w:lang w:eastAsia="zh-CN"/>
              </w:rPr>
              <w:t>的</w:t>
            </w:r>
            <w:r>
              <w:rPr>
                <w:rFonts w:hint="eastAsia" w:ascii="宋体" w:hAnsi="宋体" w:eastAsia="宋体" w:cs="宋体"/>
                <w:b/>
                <w:bCs/>
                <w:color w:val="auto"/>
                <w:szCs w:val="24"/>
                <w:highlight w:val="none"/>
              </w:rPr>
              <w:t>合同复印件</w:t>
            </w:r>
            <w:r>
              <w:rPr>
                <w:rFonts w:hint="eastAsia" w:ascii="宋体" w:hAnsi="宋体" w:eastAsia="宋体" w:cs="宋体"/>
                <w:b/>
                <w:bCs/>
                <w:color w:val="auto"/>
                <w:szCs w:val="24"/>
                <w:highlight w:val="none"/>
                <w:lang w:val="en-US" w:eastAsia="zh-CN"/>
              </w:rPr>
              <w:t>或中标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合同</w:t>
            </w:r>
            <w:r>
              <w:rPr>
                <w:rFonts w:hint="eastAsia" w:ascii="宋体" w:hAnsi="宋体" w:eastAsia="宋体" w:cs="宋体"/>
                <w:b/>
                <w:bCs/>
                <w:color w:val="auto"/>
                <w:szCs w:val="24"/>
                <w:highlight w:val="none"/>
              </w:rPr>
              <w:t>内容能清晰</w:t>
            </w:r>
            <w:r>
              <w:rPr>
                <w:rFonts w:hint="eastAsia" w:ascii="宋体" w:hAnsi="宋体" w:eastAsia="宋体" w:cs="宋体"/>
                <w:b/>
                <w:bCs/>
                <w:color w:val="auto"/>
                <w:szCs w:val="24"/>
                <w:highlight w:val="none"/>
                <w:lang w:val="en-US" w:eastAsia="zh-CN"/>
              </w:rPr>
              <w:t>地</w:t>
            </w:r>
            <w:r>
              <w:rPr>
                <w:rFonts w:hint="eastAsia" w:ascii="宋体" w:hAnsi="宋体" w:eastAsia="宋体" w:cs="宋体"/>
                <w:b/>
                <w:bCs/>
                <w:color w:val="auto"/>
                <w:szCs w:val="24"/>
                <w:highlight w:val="none"/>
              </w:rPr>
              <w:t>反映项目的名称、签订日期，</w:t>
            </w:r>
            <w:r>
              <w:rPr>
                <w:rFonts w:hint="eastAsia" w:ascii="宋体" w:hAnsi="宋体" w:eastAsia="宋体" w:cs="宋体"/>
                <w:b/>
                <w:bCs/>
                <w:color w:val="auto"/>
                <w:szCs w:val="24"/>
                <w:highlight w:val="none"/>
                <w:lang w:val="en-US" w:eastAsia="zh-CN"/>
              </w:rPr>
              <w:t>中标</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成交</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lang w:val="en-US" w:eastAsia="zh-CN"/>
              </w:rPr>
              <w:t>通知书能清楚地反映项目名称及落款日期，</w:t>
            </w:r>
            <w:r>
              <w:rPr>
                <w:rFonts w:hint="eastAsia" w:ascii="宋体" w:hAnsi="宋体" w:eastAsia="宋体" w:cs="宋体"/>
                <w:b/>
                <w:bCs/>
                <w:color w:val="auto"/>
                <w:szCs w:val="24"/>
                <w:highlight w:val="none"/>
              </w:rPr>
              <w:t>提供用户名单及联系方式）</w:t>
            </w:r>
            <w:r>
              <w:rPr>
                <w:rFonts w:hint="eastAsia" w:ascii="宋体" w:hAnsi="宋体" w:eastAsia="宋体" w:cs="宋体"/>
                <w:b/>
                <w:bCs/>
                <w:color w:val="auto"/>
                <w:szCs w:val="24"/>
                <w:highlight w:val="none"/>
                <w:lang w:eastAsia="zh-CN"/>
              </w:rPr>
              <w:t>并加盖投标人公章，未按要求提供的不得分。</w:t>
            </w:r>
            <w:r>
              <w:rPr>
                <w:rFonts w:hint="eastAsia" w:ascii="宋体" w:hAnsi="宋体" w:eastAsia="宋体" w:cs="宋体"/>
                <w:b/>
                <w:bCs/>
                <w:color w:val="auto"/>
                <w:szCs w:val="24"/>
                <w:highlight w:val="none"/>
              </w:rPr>
              <w:t>】</w:t>
            </w:r>
          </w:p>
        </w:tc>
      </w:tr>
      <w:tr w14:paraId="5CC5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6A33D60D">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p>
        </w:tc>
        <w:tc>
          <w:tcPr>
            <w:tcW w:w="1402" w:type="dxa"/>
            <w:vAlign w:val="center"/>
          </w:tcPr>
          <w:p w14:paraId="4257504C">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（4）</w:t>
            </w:r>
            <w:bookmarkStart w:id="100" w:name="_Toc19652"/>
            <w:r>
              <w:rPr>
                <w:rFonts w:hint="eastAsia" w:eastAsia="宋体" w:cs="宋体" w:asciiTheme="minorEastAsia" w:hAnsiTheme="minorEastAsia"/>
                <w:color w:val="auto"/>
                <w:szCs w:val="21"/>
                <w:highlight w:val="none"/>
              </w:rPr>
              <w:t>质保期</w:t>
            </w: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bookmarkEnd w:id="100"/>
          </w:p>
        </w:tc>
        <w:tc>
          <w:tcPr>
            <w:tcW w:w="7019" w:type="dxa"/>
            <w:vAlign w:val="center"/>
          </w:tcPr>
          <w:p w14:paraId="28565A87">
            <w:pPr>
              <w:pStyle w:val="27"/>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
                <w:bCs/>
                <w:color w:val="auto"/>
                <w:szCs w:val="24"/>
                <w:highlight w:val="none"/>
              </w:rPr>
            </w:pPr>
            <w:r>
              <w:rPr>
                <w:rFonts w:hint="eastAsia" w:asciiTheme="majorEastAsia" w:hAnsiTheme="majorEastAsia" w:eastAsiaTheme="majorEastAsia" w:cstheme="majorEastAsia"/>
                <w:color w:val="auto"/>
                <w:highlight w:val="none"/>
              </w:rPr>
              <w:t>满足基本质保期的基础上，产品质保期每延长半年增加1分（以投标人或设备生产厂家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或代理商承诺为准，投标文件中提供投标人或生产厂家</w:t>
            </w:r>
            <w:r>
              <w:rPr>
                <w:rFonts w:hint="eastAsia" w:asciiTheme="majorEastAsia" w:hAnsiTheme="majorEastAsia" w:eastAsiaTheme="majorEastAsia" w:cstheme="majorEastAsia"/>
                <w:color w:val="auto"/>
                <w:highlight w:val="none"/>
                <w:lang w:eastAsia="zh-CN"/>
              </w:rPr>
              <w:t>（</w:t>
            </w:r>
            <w:r>
              <w:rPr>
                <w:rFonts w:hint="eastAsia" w:hAnsi="宋体" w:cs="宋体"/>
                <w:color w:val="auto"/>
                <w:szCs w:val="24"/>
                <w:highlight w:val="none"/>
                <w:lang w:val="en-US" w:eastAsia="zh-CN"/>
              </w:rPr>
              <w:t>制造商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或代理商</w:t>
            </w:r>
            <w:r>
              <w:rPr>
                <w:rFonts w:hint="eastAsia" w:asciiTheme="majorEastAsia" w:hAnsiTheme="majorEastAsia" w:eastAsiaTheme="majorEastAsia" w:cstheme="majorEastAsia"/>
                <w:color w:val="auto"/>
                <w:highlight w:val="none"/>
                <w:lang w:eastAsia="zh-CN"/>
              </w:rPr>
              <w:t>的</w:t>
            </w:r>
            <w:r>
              <w:rPr>
                <w:rFonts w:hint="eastAsia" w:asciiTheme="majorEastAsia" w:hAnsiTheme="majorEastAsia" w:eastAsiaTheme="majorEastAsia" w:cstheme="majorEastAsia"/>
                <w:color w:val="auto"/>
                <w:highlight w:val="none"/>
              </w:rPr>
              <w:t>证明文件），满分5分。</w:t>
            </w:r>
          </w:p>
        </w:tc>
      </w:tr>
      <w:tr w14:paraId="19757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2602" w:type="dxa"/>
            <w:gridSpan w:val="2"/>
            <w:vAlign w:val="center"/>
          </w:tcPr>
          <w:p w14:paraId="65A6294E">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总得分</w:t>
            </w:r>
          </w:p>
        </w:tc>
        <w:tc>
          <w:tcPr>
            <w:tcW w:w="7019" w:type="dxa"/>
            <w:vAlign w:val="center"/>
          </w:tcPr>
          <w:p w14:paraId="0A6505E5">
            <w:pPr>
              <w:pStyle w:val="27"/>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1+2+3</w:t>
            </w:r>
          </w:p>
        </w:tc>
      </w:tr>
    </w:tbl>
    <w:p w14:paraId="454DB4FF">
      <w:pPr>
        <w:pStyle w:val="27"/>
        <w:snapToGrid w:val="0"/>
        <w:spacing w:line="360" w:lineRule="exact"/>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三、中标候选人推荐原则</w:t>
      </w:r>
    </w:p>
    <w:p w14:paraId="73F6E952">
      <w:pPr>
        <w:pStyle w:val="27"/>
        <w:snapToGrid w:val="0"/>
        <w:spacing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评标委员会将根据得分由高到低排列次序（得分相同时，以投标报价由低到高顺序排列；得分相同且投标报价相同的，按技术分优劣顺序排列；得分、投标报价、技术分相同的，</w:t>
      </w:r>
      <w:r>
        <w:rPr>
          <w:rFonts w:hint="eastAsia" w:ascii="宋体" w:hAnsi="宋体" w:eastAsia="宋体" w:cs="宋体"/>
          <w:color w:val="auto"/>
          <w:highlight w:val="none"/>
          <w:lang w:val="en-US" w:eastAsia="zh-CN"/>
        </w:rPr>
        <w:t>按</w:t>
      </w:r>
      <w:r>
        <w:rPr>
          <w:rFonts w:hint="eastAsia" w:ascii="宋体" w:hAnsi="宋体" w:eastAsia="宋体" w:cs="宋体"/>
          <w:color w:val="auto"/>
          <w:szCs w:val="21"/>
          <w:highlight w:val="none"/>
          <w:u w:val="none"/>
          <w:lang w:val="en-US" w:eastAsia="zh-CN"/>
        </w:rPr>
        <w:t>商务分</w:t>
      </w:r>
      <w:r>
        <w:rPr>
          <w:rFonts w:hint="eastAsia" w:ascii="宋体" w:hAnsi="宋体" w:eastAsia="宋体" w:cs="宋体"/>
          <w:color w:val="auto"/>
          <w:highlight w:val="none"/>
        </w:rPr>
        <w:t>优劣顺序排列</w:t>
      </w:r>
      <w:bookmarkStart w:id="108" w:name="_GoBack"/>
      <w:bookmarkEnd w:id="108"/>
      <w:r>
        <w:rPr>
          <w:rFonts w:hint="eastAsia" w:ascii="宋体" w:hAnsi="宋体" w:eastAsia="宋体" w:cs="宋体"/>
          <w:color w:val="auto"/>
          <w:highlight w:val="none"/>
        </w:rPr>
        <w:t>）并推荐</w:t>
      </w:r>
      <w:r>
        <w:rPr>
          <w:rFonts w:hint="eastAsia" w:ascii="宋体" w:hAnsi="宋体" w:eastAsia="宋体" w:cs="宋体"/>
          <w:color w:val="auto"/>
          <w:szCs w:val="21"/>
          <w:highlight w:val="none"/>
        </w:rPr>
        <w:t>综合得分前三名为</w:t>
      </w:r>
      <w:r>
        <w:rPr>
          <w:rFonts w:hint="eastAsia" w:ascii="宋体" w:hAnsi="宋体" w:eastAsia="宋体" w:cs="宋体"/>
          <w:color w:val="auto"/>
          <w:highlight w:val="none"/>
        </w:rPr>
        <w:t>中标候选人。招标采购单位应当确定评审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其余以此类推，或重新组织采购。</w:t>
      </w:r>
      <w:r>
        <w:rPr>
          <w:rFonts w:hint="eastAsia" w:ascii="宋体" w:hAnsi="宋体" w:eastAsia="宋体" w:cs="宋体"/>
          <w:color w:val="auto"/>
          <w:highlight w:val="none"/>
          <w:lang w:val="en-US" w:eastAsia="zh-CN"/>
        </w:rPr>
        <w:t xml:space="preserve"> </w:t>
      </w:r>
    </w:p>
    <w:p w14:paraId="625B21DB">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A175840">
      <w:pPr>
        <w:pStyle w:val="27"/>
        <w:snapToGrid w:val="0"/>
        <w:spacing w:before="120" w:after="120" w:line="320" w:lineRule="exact"/>
        <w:outlineLvl w:val="0"/>
        <w:rPr>
          <w:rFonts w:hint="eastAsia" w:ascii="宋体" w:hAnsi="宋体" w:eastAsia="宋体" w:cs="宋体"/>
          <w:color w:val="auto"/>
          <w:sz w:val="28"/>
          <w:szCs w:val="28"/>
          <w:highlight w:val="none"/>
        </w:rPr>
      </w:pPr>
    </w:p>
    <w:p w14:paraId="65812F06">
      <w:pPr>
        <w:pStyle w:val="27"/>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hint="eastAsia" w:ascii="宋体" w:hAnsi="宋体" w:eastAsia="宋体" w:cs="宋体"/>
          <w:color w:val="auto"/>
          <w:sz w:val="36"/>
          <w:szCs w:val="36"/>
          <w:highlight w:val="none"/>
        </w:rPr>
      </w:pPr>
      <w:bookmarkStart w:id="101" w:name="_Toc14162"/>
      <w:r>
        <w:rPr>
          <w:rFonts w:hint="eastAsia" w:ascii="宋体" w:hAnsi="宋体" w:eastAsia="宋体" w:cs="宋体"/>
          <w:color w:val="auto"/>
          <w:sz w:val="36"/>
          <w:szCs w:val="36"/>
          <w:highlight w:val="none"/>
        </w:rPr>
        <w:t>第五章 合同主要条款格式</w:t>
      </w:r>
      <w:bookmarkEnd w:id="101"/>
    </w:p>
    <w:p w14:paraId="6592531B">
      <w:pPr>
        <w:spacing w:line="360" w:lineRule="auto"/>
        <w:jc w:val="center"/>
        <w:rPr>
          <w:rFonts w:hint="eastAsia" w:ascii="宋体" w:hAnsi="宋体" w:eastAsia="宋体" w:cs="宋体"/>
          <w:color w:val="auto"/>
          <w:sz w:val="24"/>
          <w:highlight w:val="none"/>
        </w:rPr>
      </w:pPr>
    </w:p>
    <w:p w14:paraId="18B51DEF">
      <w:pPr>
        <w:pStyle w:val="210"/>
        <w:adjustRightInd w:val="0"/>
        <w:snapToGrid w:val="0"/>
        <w:spacing w:line="800" w:lineRule="exact"/>
        <w:contextualSpacing/>
        <w:jc w:val="center"/>
        <w:rPr>
          <w:rFonts w:hint="eastAsia" w:ascii="宋体" w:hAnsi="宋体" w:eastAsia="宋体" w:cs="宋体"/>
          <w:b/>
          <w:bCs/>
          <w:color w:val="auto"/>
          <w:sz w:val="84"/>
          <w:szCs w:val="84"/>
          <w:highlight w:val="none"/>
        </w:rPr>
      </w:pPr>
    </w:p>
    <w:p w14:paraId="413D66E5">
      <w:pPr>
        <w:pStyle w:val="210"/>
        <w:adjustRightInd w:val="0"/>
        <w:snapToGrid w:val="0"/>
        <w:spacing w:line="800" w:lineRule="exact"/>
        <w:contextualSpacing/>
        <w:jc w:val="center"/>
        <w:rPr>
          <w:rFonts w:hint="eastAsia" w:ascii="宋体" w:hAnsi="宋体" w:eastAsia="宋体" w:cs="宋体"/>
          <w:b/>
          <w:color w:val="auto"/>
          <w:sz w:val="72"/>
          <w:szCs w:val="72"/>
          <w:highlight w:val="none"/>
        </w:rPr>
      </w:pPr>
      <w:r>
        <w:rPr>
          <w:rFonts w:hint="eastAsia" w:ascii="宋体" w:hAnsi="宋体" w:eastAsia="宋体" w:cs="宋体"/>
          <w:b/>
          <w:bCs/>
          <w:color w:val="auto"/>
          <w:sz w:val="84"/>
          <w:szCs w:val="84"/>
          <w:highlight w:val="none"/>
        </w:rPr>
        <w:t>政府采购合同</w:t>
      </w:r>
    </w:p>
    <w:p w14:paraId="732F7215">
      <w:pPr>
        <w:pStyle w:val="210"/>
        <w:adjustRightInd w:val="0"/>
        <w:snapToGrid w:val="0"/>
        <w:spacing w:line="800" w:lineRule="exact"/>
        <w:contextualSpacing/>
        <w:rPr>
          <w:rFonts w:hint="eastAsia" w:ascii="宋体" w:hAnsi="宋体" w:eastAsia="宋体" w:cs="宋体"/>
          <w:b/>
          <w:color w:val="auto"/>
          <w:sz w:val="32"/>
          <w:szCs w:val="32"/>
          <w:highlight w:val="none"/>
        </w:rPr>
      </w:pPr>
    </w:p>
    <w:p w14:paraId="1B1B7814">
      <w:pPr>
        <w:keepNext w:val="0"/>
        <w:keepLines w:val="0"/>
        <w:pageBreakBefore w:val="0"/>
        <w:widowControl w:val="0"/>
        <w:kinsoku/>
        <w:wordWrap/>
        <w:overflowPunct/>
        <w:topLinePunct w:val="0"/>
        <w:autoSpaceDE/>
        <w:autoSpaceDN/>
        <w:bidi w:val="0"/>
        <w:adjustRightInd/>
        <w:snapToGrid/>
        <w:spacing w:line="400" w:lineRule="exact"/>
        <w:ind w:left="2202" w:leftChars="284" w:right="913" w:hanging="1606" w:hangingChars="5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bCs/>
          <w:color w:val="auto"/>
          <w:sz w:val="32"/>
          <w:szCs w:val="32"/>
          <w:highlight w:val="none"/>
        </w:rPr>
        <w:t>项目名称：</w:t>
      </w:r>
      <w:r>
        <w:rPr>
          <w:rFonts w:hint="eastAsia" w:ascii="宋体" w:hAnsi="宋体" w:eastAsia="宋体" w:cs="宋体"/>
          <w:b/>
          <w:color w:val="auto"/>
          <w:sz w:val="32"/>
          <w:szCs w:val="32"/>
          <w:highlight w:val="none"/>
          <w:lang w:val="en-US" w:eastAsia="zh-CN"/>
        </w:rPr>
        <w:t xml:space="preserve"> </w:t>
      </w:r>
    </w:p>
    <w:p w14:paraId="2ABD767B">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color w:val="auto"/>
          <w:sz w:val="32"/>
          <w:szCs w:val="32"/>
          <w:highlight w:val="none"/>
        </w:rPr>
      </w:pPr>
    </w:p>
    <w:p w14:paraId="49A392C9">
      <w:pPr>
        <w:keepNext w:val="0"/>
        <w:keepLines w:val="0"/>
        <w:pageBreakBefore w:val="0"/>
        <w:widowControl w:val="0"/>
        <w:kinsoku/>
        <w:wordWrap/>
        <w:overflowPunct/>
        <w:topLinePunct w:val="0"/>
        <w:autoSpaceDE/>
        <w:autoSpaceDN/>
        <w:bidi w:val="0"/>
        <w:adjustRightInd/>
        <w:snapToGrid/>
        <w:spacing w:line="400" w:lineRule="exact"/>
        <w:ind w:right="913" w:firstLine="643" w:firstLineChars="2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w:t>
      </w:r>
    </w:p>
    <w:p w14:paraId="1F1839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32"/>
          <w:szCs w:val="32"/>
          <w:highlight w:val="none"/>
        </w:rPr>
      </w:pPr>
    </w:p>
    <w:p w14:paraId="6E7A3E0D">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合同编号： </w:t>
      </w:r>
    </w:p>
    <w:p w14:paraId="229462C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28B7540">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2395F65E">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AA79578">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111B43AC">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合同甲方：</w:t>
      </w:r>
      <w:r>
        <w:rPr>
          <w:rFonts w:hint="eastAsia" w:ascii="宋体" w:hAnsi="宋体" w:eastAsia="宋体" w:cs="宋体"/>
          <w:b/>
          <w:bCs/>
          <w:color w:val="auto"/>
          <w:sz w:val="32"/>
          <w:szCs w:val="32"/>
          <w:highlight w:val="none"/>
          <w:lang w:val="en-US" w:eastAsia="zh-CN"/>
        </w:rPr>
        <w:t xml:space="preserve">  </w:t>
      </w:r>
    </w:p>
    <w:p w14:paraId="7469DF01">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65FC697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合同乙方：  </w:t>
      </w:r>
    </w:p>
    <w:p w14:paraId="36C3B4D4">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491EE632">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rPr>
      </w:pPr>
    </w:p>
    <w:p w14:paraId="3482DA29">
      <w:pPr>
        <w:keepNext w:val="0"/>
        <w:keepLines w:val="0"/>
        <w:pageBreakBefore w:val="0"/>
        <w:widowControl w:val="0"/>
        <w:kinsoku/>
        <w:wordWrap/>
        <w:overflowPunct/>
        <w:topLinePunct w:val="0"/>
        <w:autoSpaceDE/>
        <w:autoSpaceDN/>
        <w:bidi w:val="0"/>
        <w:adjustRightInd/>
        <w:snapToGrid/>
        <w:spacing w:line="400" w:lineRule="exact"/>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合同签订时间：</w:t>
      </w:r>
      <w:r>
        <w:rPr>
          <w:rFonts w:hint="eastAsia" w:ascii="宋体" w:hAnsi="宋体" w:cs="宋体"/>
          <w:b/>
          <w:bCs/>
          <w:color w:val="auto"/>
          <w:sz w:val="32"/>
          <w:szCs w:val="32"/>
          <w:highlight w:val="none"/>
          <w:lang w:eastAsia="zh-CN"/>
        </w:rPr>
        <w:t>2025年</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月</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日</w:t>
      </w:r>
    </w:p>
    <w:p w14:paraId="37B1B554">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6A850D49">
      <w:pPr>
        <w:pStyle w:val="210"/>
        <w:adjustRightInd w:val="0"/>
        <w:snapToGrid w:val="0"/>
        <w:spacing w:line="800" w:lineRule="exact"/>
        <w:contextualSpacing/>
        <w:rPr>
          <w:rFonts w:hint="eastAsia" w:ascii="宋体" w:hAnsi="宋体" w:eastAsia="宋体" w:cs="宋体"/>
          <w:b/>
          <w:bCs/>
          <w:color w:val="auto"/>
          <w:sz w:val="32"/>
          <w:szCs w:val="32"/>
          <w:highlight w:val="none"/>
          <w:u w:val="single"/>
        </w:rPr>
      </w:pPr>
    </w:p>
    <w:p w14:paraId="163CE14C">
      <w:pPr>
        <w:pStyle w:val="210"/>
        <w:adjustRightInd w:val="0"/>
        <w:snapToGrid w:val="0"/>
        <w:spacing w:line="800" w:lineRule="exact"/>
        <w:contextualSpacing/>
        <w:rPr>
          <w:rFonts w:hint="eastAsia" w:ascii="宋体" w:hAnsi="宋体" w:eastAsia="宋体" w:cs="宋体"/>
          <w:b/>
          <w:bCs/>
          <w:color w:val="auto"/>
          <w:sz w:val="28"/>
          <w:szCs w:val="28"/>
          <w:highlight w:val="none"/>
          <w:u w:val="single"/>
        </w:rPr>
      </w:pPr>
    </w:p>
    <w:p w14:paraId="54D57377">
      <w:pPr>
        <w:pStyle w:val="3"/>
        <w:spacing w:line="360" w:lineRule="exact"/>
        <w:rPr>
          <w:rFonts w:hint="eastAsia" w:ascii="宋体" w:hAnsi="宋体" w:eastAsia="宋体" w:cs="宋体"/>
          <w:color w:val="auto"/>
          <w:sz w:val="28"/>
          <w:szCs w:val="28"/>
          <w:highlight w:val="none"/>
        </w:rPr>
      </w:pPr>
    </w:p>
    <w:p w14:paraId="5FD63939">
      <w:pPr>
        <w:rPr>
          <w:rFonts w:hint="eastAsia" w:ascii="宋体" w:hAnsi="宋体" w:eastAsia="宋体" w:cs="宋体"/>
          <w:color w:val="auto"/>
          <w:sz w:val="28"/>
          <w:szCs w:val="28"/>
          <w:highlight w:val="none"/>
        </w:rPr>
      </w:pPr>
    </w:p>
    <w:p w14:paraId="47177D22">
      <w:pPr>
        <w:rPr>
          <w:rFonts w:hint="eastAsia" w:ascii="宋体" w:hAnsi="宋体" w:eastAsia="宋体" w:cs="宋体"/>
          <w:color w:val="auto"/>
          <w:sz w:val="28"/>
          <w:szCs w:val="28"/>
          <w:highlight w:val="none"/>
        </w:rPr>
      </w:pPr>
    </w:p>
    <w:p w14:paraId="3D5D04E5">
      <w:pPr>
        <w:rPr>
          <w:rFonts w:hint="eastAsia" w:ascii="宋体" w:hAnsi="宋体" w:eastAsia="宋体" w:cs="宋体"/>
          <w:color w:val="auto"/>
          <w:sz w:val="28"/>
          <w:szCs w:val="28"/>
          <w:highlight w:val="none"/>
        </w:rPr>
      </w:pPr>
    </w:p>
    <w:p w14:paraId="08A81D1A">
      <w:pPr>
        <w:pStyle w:val="3"/>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 w:val="28"/>
          <w:szCs w:val="28"/>
          <w:highlight w:val="none"/>
        </w:rPr>
      </w:pPr>
      <w:bookmarkStart w:id="102" w:name="_Toc22007"/>
      <w:bookmarkStart w:id="103" w:name="_Toc11828"/>
      <w:r>
        <w:rPr>
          <w:rFonts w:hint="eastAsia" w:ascii="宋体" w:hAnsi="宋体" w:eastAsia="宋体" w:cs="宋体"/>
          <w:color w:val="auto"/>
          <w:sz w:val="28"/>
          <w:szCs w:val="28"/>
          <w:highlight w:val="none"/>
        </w:rPr>
        <w:t>政府采购合同（基本条款）</w:t>
      </w:r>
      <w:bookmarkEnd w:id="102"/>
      <w:bookmarkEnd w:id="103"/>
    </w:p>
    <w:p w14:paraId="5AA68631">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bookmarkStart w:id="104" w:name="_Toc99768080"/>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采购计划号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A0D1385">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7689706">
      <w:pPr>
        <w:keepLines w:val="0"/>
        <w:pageBreakBefore w:val="0"/>
        <w:widowControl w:val="0"/>
        <w:kinsoku/>
        <w:wordWrap/>
        <w:overflowPunct/>
        <w:topLinePunct w:val="0"/>
        <w:bidi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签订地点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签订时间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74BDF9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根据《中华人民共和国政府采购法》、《中华人民共和国民法典》等法律、法规规定，按照竞争性</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规定条款和成交供应商竞争性谈判</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及其承诺，甲乙双方签订本合同。</w:t>
      </w:r>
    </w:p>
    <w:p w14:paraId="10BA65FE">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w:t>
      </w:r>
      <w:r>
        <w:rPr>
          <w:rFonts w:hint="eastAsia" w:ascii="宋体" w:hAnsi="宋体" w:eastAsia="宋体" w:cs="宋体"/>
          <w:color w:val="auto"/>
          <w:spacing w:val="-73"/>
          <w:sz w:val="21"/>
          <w:szCs w:val="21"/>
          <w:highlight w:val="none"/>
        </w:rPr>
        <w:t xml:space="preserve"> </w:t>
      </w:r>
      <w:r>
        <w:rPr>
          <w:rFonts w:hint="eastAsia" w:ascii="宋体" w:hAnsi="宋体" w:eastAsia="宋体" w:cs="宋体"/>
          <w:b/>
          <w:bCs/>
          <w:color w:val="auto"/>
          <w:spacing w:val="14"/>
          <w:sz w:val="21"/>
          <w:szCs w:val="21"/>
          <w:highlight w:val="none"/>
        </w:rPr>
        <w:t>一</w:t>
      </w:r>
      <w:r>
        <w:rPr>
          <w:rFonts w:hint="eastAsia" w:ascii="宋体" w:hAnsi="宋体" w:eastAsia="宋体" w:cs="宋体"/>
          <w:color w:val="auto"/>
          <w:spacing w:val="-79"/>
          <w:sz w:val="21"/>
          <w:szCs w:val="21"/>
          <w:highlight w:val="none"/>
        </w:rPr>
        <w:t xml:space="preserve"> </w:t>
      </w:r>
      <w:r>
        <w:rPr>
          <w:rFonts w:hint="eastAsia" w:ascii="宋体" w:hAnsi="宋体" w:eastAsia="宋体" w:cs="宋体"/>
          <w:b/>
          <w:bCs/>
          <w:color w:val="auto"/>
          <w:spacing w:val="14"/>
          <w:sz w:val="21"/>
          <w:szCs w:val="21"/>
          <w:highlight w:val="none"/>
        </w:rPr>
        <w:t>条</w:t>
      </w:r>
      <w:r>
        <w:rPr>
          <w:rFonts w:hint="eastAsia" w:ascii="宋体" w:hAnsi="宋体" w:eastAsia="宋体" w:cs="宋体"/>
          <w:color w:val="auto"/>
          <w:spacing w:val="23"/>
          <w:sz w:val="21"/>
          <w:szCs w:val="21"/>
          <w:highlight w:val="none"/>
        </w:rPr>
        <w:t xml:space="preserve"> </w:t>
      </w:r>
      <w:r>
        <w:rPr>
          <w:rFonts w:hint="eastAsia" w:ascii="宋体" w:hAnsi="宋体" w:eastAsia="宋体" w:cs="宋体"/>
          <w:b/>
          <w:bCs/>
          <w:color w:val="auto"/>
          <w:spacing w:val="14"/>
          <w:sz w:val="21"/>
          <w:szCs w:val="21"/>
          <w:highlight w:val="none"/>
        </w:rPr>
        <w:t>合同标的</w:t>
      </w:r>
    </w:p>
    <w:p w14:paraId="6CC9473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1.供货一览表</w:t>
      </w:r>
    </w:p>
    <w:tbl>
      <w:tblPr>
        <w:tblStyle w:val="201"/>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3340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7D468545">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241" w:type="dxa"/>
            <w:vAlign w:val="center"/>
          </w:tcPr>
          <w:p w14:paraId="44DFD000">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标的名称</w:t>
            </w:r>
          </w:p>
        </w:tc>
        <w:tc>
          <w:tcPr>
            <w:tcW w:w="996" w:type="dxa"/>
            <w:vAlign w:val="center"/>
          </w:tcPr>
          <w:p w14:paraId="23CE037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商标品牌</w:t>
            </w:r>
          </w:p>
        </w:tc>
        <w:tc>
          <w:tcPr>
            <w:tcW w:w="989" w:type="dxa"/>
            <w:vAlign w:val="center"/>
          </w:tcPr>
          <w:p w14:paraId="0D608779">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979" w:type="dxa"/>
            <w:vAlign w:val="center"/>
          </w:tcPr>
          <w:p w14:paraId="02EA933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生产厂家</w:t>
            </w:r>
          </w:p>
        </w:tc>
        <w:tc>
          <w:tcPr>
            <w:tcW w:w="888" w:type="dxa"/>
            <w:vAlign w:val="center"/>
          </w:tcPr>
          <w:p w14:paraId="3543FB54">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c>
          <w:tcPr>
            <w:tcW w:w="968" w:type="dxa"/>
            <w:vAlign w:val="center"/>
          </w:tcPr>
          <w:p w14:paraId="0EE48A8D">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04" w:type="dxa"/>
            <w:vAlign w:val="center"/>
          </w:tcPr>
          <w:p w14:paraId="68EA65B8">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单价 (元)</w:t>
            </w:r>
          </w:p>
        </w:tc>
        <w:tc>
          <w:tcPr>
            <w:tcW w:w="1153" w:type="dxa"/>
            <w:vAlign w:val="center"/>
          </w:tcPr>
          <w:p w14:paraId="4868D283">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金额 (元)</w:t>
            </w:r>
          </w:p>
        </w:tc>
      </w:tr>
      <w:tr w14:paraId="4268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86" w:type="dxa"/>
            <w:vAlign w:val="center"/>
          </w:tcPr>
          <w:p w14:paraId="64127E66">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241" w:type="dxa"/>
            <w:vAlign w:val="center"/>
          </w:tcPr>
          <w:p w14:paraId="5A1E69C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1CE6B8A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11324A61">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20EA3D4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514C25C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43A4EBC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1957F6FC">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2E85677">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56B30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86" w:type="dxa"/>
            <w:vAlign w:val="center"/>
          </w:tcPr>
          <w:p w14:paraId="2D2E3DCB">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241" w:type="dxa"/>
            <w:vAlign w:val="center"/>
          </w:tcPr>
          <w:p w14:paraId="025960E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74ACCA3A">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7EB0ED6E">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356720C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71334FF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5793D730">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6FF345A5">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5A488FA4">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7E45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86" w:type="dxa"/>
            <w:vAlign w:val="center"/>
          </w:tcPr>
          <w:p w14:paraId="6A503CC7">
            <w:pPr>
              <w:pStyle w:val="21"/>
              <w:keepLines w:val="0"/>
              <w:pageBreakBefore w:val="0"/>
              <w:widowControl w:val="0"/>
              <w:kinsoku/>
              <w:wordWrap/>
              <w:overflowPunct/>
              <w:topLinePunct w:val="0"/>
              <w:bidi w:val="0"/>
              <w:adjustRightInd/>
              <w:spacing w:after="0" w:line="340" w:lineRule="exact"/>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241" w:type="dxa"/>
            <w:vAlign w:val="center"/>
          </w:tcPr>
          <w:p w14:paraId="79BA58D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96" w:type="dxa"/>
            <w:vAlign w:val="center"/>
          </w:tcPr>
          <w:p w14:paraId="464271ED">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89" w:type="dxa"/>
            <w:vAlign w:val="center"/>
          </w:tcPr>
          <w:p w14:paraId="389916A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79" w:type="dxa"/>
            <w:vAlign w:val="center"/>
          </w:tcPr>
          <w:p w14:paraId="7A572F88">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888" w:type="dxa"/>
            <w:vAlign w:val="center"/>
          </w:tcPr>
          <w:p w14:paraId="19B2DB26">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968" w:type="dxa"/>
            <w:vAlign w:val="center"/>
          </w:tcPr>
          <w:p w14:paraId="6EB05079">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04" w:type="dxa"/>
            <w:vAlign w:val="center"/>
          </w:tcPr>
          <w:p w14:paraId="013074E2">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c>
          <w:tcPr>
            <w:tcW w:w="1153" w:type="dxa"/>
            <w:vAlign w:val="center"/>
          </w:tcPr>
          <w:p w14:paraId="7943B323">
            <w:pPr>
              <w:keepLines w:val="0"/>
              <w:pageBreakBefore w:val="0"/>
              <w:widowControl w:val="0"/>
              <w:kinsoku/>
              <w:wordWrap/>
              <w:overflowPunct/>
              <w:topLinePunct w:val="0"/>
              <w:bidi w:val="0"/>
              <w:spacing w:line="340" w:lineRule="exact"/>
              <w:jc w:val="center"/>
              <w:textAlignment w:val="auto"/>
              <w:rPr>
                <w:rFonts w:hint="eastAsia" w:ascii="宋体" w:hAnsi="宋体" w:eastAsia="宋体" w:cs="宋体"/>
                <w:color w:val="auto"/>
                <w:szCs w:val="21"/>
                <w:highlight w:val="none"/>
              </w:rPr>
            </w:pPr>
          </w:p>
        </w:tc>
      </w:tr>
      <w:tr w14:paraId="47A1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104" w:type="dxa"/>
            <w:gridSpan w:val="9"/>
            <w:vAlign w:val="center"/>
          </w:tcPr>
          <w:p w14:paraId="3BB5BECE">
            <w:pPr>
              <w:pStyle w:val="21"/>
              <w:keepLines w:val="0"/>
              <w:pageBreakBefore w:val="0"/>
              <w:widowControl w:val="0"/>
              <w:kinsoku/>
              <w:wordWrap/>
              <w:overflowPunct/>
              <w:topLinePunct w:val="0"/>
              <w:bidi w:val="0"/>
              <w:spacing w:after="0" w:line="34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2"/>
                <w:sz w:val="21"/>
                <w:szCs w:val="21"/>
                <w:highlight w:val="none"/>
              </w:rPr>
              <w:t>人民币合计金额(大写)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(小写)</w:t>
            </w:r>
            <w:r>
              <w:rPr>
                <w:rFonts w:hint="eastAsia" w:ascii="宋体" w:hAnsi="宋体" w:eastAsia="宋体" w:cs="宋体"/>
                <w:color w:val="auto"/>
                <w:kern w:val="2"/>
                <w:sz w:val="21"/>
                <w:szCs w:val="21"/>
                <w:highlight w:val="none"/>
                <w:u w:val="single"/>
              </w:rPr>
              <w:t xml:space="preserve">                    </w:t>
            </w:r>
          </w:p>
        </w:tc>
      </w:tr>
    </w:tbl>
    <w:p w14:paraId="1BED4CCE">
      <w:pPr>
        <w:keepLines w:val="0"/>
        <w:pageBreakBefore w:val="0"/>
        <w:widowControl w:val="0"/>
        <w:kinsoku/>
        <w:wordWrap/>
        <w:overflowPunct/>
        <w:topLinePunct w:val="0"/>
        <w:bidi w:val="0"/>
        <w:spacing w:line="3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2.合同合计金额包括</w:t>
      </w:r>
      <w:r>
        <w:rPr>
          <w:rFonts w:hint="eastAsia" w:ascii="宋体" w:hAnsi="宋体" w:eastAsia="宋体" w:cs="宋体"/>
          <w:color w:val="auto"/>
          <w:kern w:val="0"/>
          <w:szCs w:val="21"/>
          <w:highlight w:val="none"/>
        </w:rPr>
        <w:t>货款、标准附件、备品备件、专用工具、包装、运输、装卸、保险、税金、货到就位以及安装、安装所需辅材、调试、检验、验收</w:t>
      </w:r>
      <w:r>
        <w:rPr>
          <w:rFonts w:hint="eastAsia" w:asciiTheme="majorEastAsia" w:hAnsiTheme="majorEastAsia" w:eastAsiaTheme="majorEastAsia" w:cstheme="majorEastAsia"/>
          <w:color w:val="auto"/>
          <w:sz w:val="21"/>
          <w:szCs w:val="21"/>
          <w:highlight w:val="none"/>
          <w:lang w:val="en-US" w:eastAsia="zh-CN"/>
        </w:rPr>
        <w:t>、上牌等</w:t>
      </w:r>
      <w:r>
        <w:rPr>
          <w:rFonts w:hint="eastAsia" w:ascii="宋体" w:hAnsi="宋体" w:eastAsia="宋体" w:cs="宋体"/>
          <w:color w:val="auto"/>
          <w:kern w:val="0"/>
          <w:szCs w:val="21"/>
          <w:highlight w:val="none"/>
        </w:rPr>
        <w:t>所需的一切使本项目完成验收的费用及供货商对业主承诺技术培训、售前、售后质量保证等相关费用等在内的一切可能发生的费用</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投标文件</w:t>
      </w:r>
      <w:r>
        <w:rPr>
          <w:rFonts w:hint="eastAsia" w:ascii="宋体" w:hAnsi="宋体" w:eastAsia="宋体" w:cs="宋体"/>
          <w:color w:val="auto"/>
          <w:szCs w:val="21"/>
          <w:highlight w:val="none"/>
        </w:rPr>
        <w:t>对其另有规定的，从其规定。</w:t>
      </w:r>
    </w:p>
    <w:p w14:paraId="4F9A5E8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第二条 质量保证</w:t>
      </w:r>
    </w:p>
    <w:p w14:paraId="0189E76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1.乙方所提供的货物型号、技术规格、技术参数等质量必须与</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和承诺相一致。乙方提供的节能和环保产品必须是列入政府采购清单的产品。</w:t>
      </w:r>
    </w:p>
    <w:p w14:paraId="60ED1B5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2.乙方所提供的货物必须是全新、未经使用的原装产品，且在正常安装、使用和保养条件下，其使用寿命期内各项指标均达到质量要求。</w:t>
      </w:r>
    </w:p>
    <w:p w14:paraId="1B991386">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第三条 权利保证</w:t>
      </w:r>
    </w:p>
    <w:p w14:paraId="54C41C6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1.乙方应保证所提供货物在使用时不会侵犯任何第三方的专利权、商标权、工业设计权或其他权利。</w:t>
      </w:r>
    </w:p>
    <w:p w14:paraId="4C2B704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规定的时间或</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承诺的时间向甲方提供使用货物的有关技术资料。</w:t>
      </w:r>
    </w:p>
    <w:p w14:paraId="0DDCA96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3.没有甲方事先书面同意，乙方不得将由甲方提供的有关合同或任何合同条文、规格、计划、图纸、样品或资料提供给与履行本合同无关的任何其他人。即使向履行本合同有关的人员提供，也应注意 保密并限于履行合同的必需范围。</w:t>
      </w:r>
    </w:p>
    <w:p w14:paraId="2574030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4.乙方保证所交付的货物的所有权完全属于乙方且无任何抵押、质押、查封等产权瑕疵。</w:t>
      </w:r>
    </w:p>
    <w:p w14:paraId="0981E991">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第四条 包装和运输</w:t>
      </w:r>
    </w:p>
    <w:p w14:paraId="1D79EAC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1.乙方提供的货物均应按</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要求的包装材料、包装标准、包装方式进行包装，每一包装单元内应附详细的装箱单和质量合格证。</w:t>
      </w:r>
    </w:p>
    <w:p w14:paraId="527D3A5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2.货物的运输方式</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z w:val="21"/>
          <w:szCs w:val="21"/>
          <w:highlight w:val="none"/>
          <w:u w:val="single"/>
        </w:rPr>
        <w:t xml:space="preserve">不限  </w:t>
      </w:r>
      <w:r>
        <w:rPr>
          <w:rFonts w:hint="eastAsia" w:ascii="宋体" w:hAnsi="宋体" w:eastAsia="宋体" w:cs="宋体"/>
          <w:color w:val="auto"/>
          <w:spacing w:val="3"/>
          <w:sz w:val="21"/>
          <w:szCs w:val="21"/>
          <w:highlight w:val="none"/>
          <w:u w:val="single"/>
        </w:rPr>
        <w:t xml:space="preserve">     </w:t>
      </w:r>
    </w:p>
    <w:p w14:paraId="6A1B47F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6"/>
          <w:sz w:val="21"/>
          <w:szCs w:val="21"/>
          <w:highlight w:val="none"/>
          <w:u w:val="single"/>
        </w:rPr>
      </w:pPr>
      <w:r>
        <w:rPr>
          <w:rFonts w:hint="eastAsia" w:ascii="宋体" w:hAnsi="宋体" w:eastAsia="宋体" w:cs="宋体"/>
          <w:color w:val="auto"/>
          <w:kern w:val="2"/>
          <w:sz w:val="21"/>
          <w:szCs w:val="21"/>
          <w:highlight w:val="none"/>
        </w:rPr>
        <w:t>3.乙方负责货物运输</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3"/>
          <w:sz w:val="21"/>
          <w:szCs w:val="21"/>
          <w:highlight w:val="none"/>
        </w:rPr>
        <w:t>货</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物</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运</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输</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合</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13"/>
          <w:sz w:val="21"/>
          <w:szCs w:val="21"/>
          <w:highlight w:val="none"/>
        </w:rPr>
        <w:t>理</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损</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耗</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及</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13"/>
          <w:sz w:val="21"/>
          <w:szCs w:val="21"/>
          <w:highlight w:val="none"/>
        </w:rPr>
        <w:t>计</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3"/>
          <w:sz w:val="21"/>
          <w:szCs w:val="21"/>
          <w:highlight w:val="none"/>
        </w:rPr>
        <w:t>算</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3"/>
          <w:sz w:val="21"/>
          <w:szCs w:val="21"/>
          <w:highlight w:val="none"/>
        </w:rPr>
        <w:t>方</w:t>
      </w:r>
      <w:r>
        <w:rPr>
          <w:rFonts w:hint="eastAsia" w:ascii="宋体" w:hAnsi="宋体" w:eastAsia="宋体" w:cs="宋体"/>
          <w:color w:val="auto"/>
          <w:spacing w:val="-6"/>
          <w:sz w:val="21"/>
          <w:szCs w:val="21"/>
          <w:highlight w:val="none"/>
        </w:rPr>
        <w:t>法</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z w:val="21"/>
          <w:szCs w:val="21"/>
          <w:highlight w:val="none"/>
          <w:u w:val="single"/>
        </w:rPr>
        <w:t>本合同货物不接受损耗</w:t>
      </w:r>
      <w:r>
        <w:rPr>
          <w:rFonts w:hint="eastAsia" w:ascii="宋体" w:hAnsi="宋体" w:eastAsia="宋体" w:cs="宋体"/>
          <w:color w:val="auto"/>
          <w:spacing w:val="-6"/>
          <w:sz w:val="21"/>
          <w:szCs w:val="21"/>
          <w:highlight w:val="none"/>
          <w:u w:val="single"/>
        </w:rPr>
        <w:t xml:space="preserve">            </w:t>
      </w:r>
    </w:p>
    <w:p w14:paraId="3ACCD037">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第五条  交付和验收</w:t>
      </w:r>
    </w:p>
    <w:p w14:paraId="47C7058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交货时间</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甲方指定地点</w:t>
      </w:r>
      <w:r>
        <w:rPr>
          <w:rFonts w:hint="eastAsia" w:ascii="宋体" w:hAnsi="宋体" w:eastAsia="宋体" w:cs="宋体"/>
          <w:color w:val="auto"/>
          <w:sz w:val="21"/>
          <w:szCs w:val="21"/>
          <w:highlight w:val="none"/>
        </w:rPr>
        <w:t>。</w:t>
      </w:r>
    </w:p>
    <w:p w14:paraId="2C5411E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和本合同规定的货物，甲方有权拒绝接受。</w:t>
      </w:r>
    </w:p>
    <w:p w14:paraId="4EFC947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w:t>
      </w:r>
      <w:r>
        <w:rPr>
          <w:rFonts w:hint="eastAsia" w:ascii="宋体" w:hAnsi="宋体" w:eastAsia="宋体" w:cs="宋体"/>
          <w:color w:val="auto"/>
          <w:spacing w:val="5"/>
          <w:sz w:val="21"/>
          <w:szCs w:val="21"/>
          <w:highlight w:val="none"/>
        </w:rPr>
        <w:t>机资料、工具和备品、备件等交付给甲方，如有缺失应及时补齐，否</w:t>
      </w:r>
      <w:r>
        <w:rPr>
          <w:rFonts w:hint="eastAsia" w:ascii="宋体" w:hAnsi="宋体" w:eastAsia="宋体" w:cs="宋体"/>
          <w:color w:val="auto"/>
          <w:sz w:val="21"/>
          <w:szCs w:val="21"/>
          <w:highlight w:val="none"/>
        </w:rPr>
        <w:t>则视为逾期交货。</w:t>
      </w:r>
    </w:p>
    <w:p w14:paraId="594E238E">
      <w:pPr>
        <w:pStyle w:val="21"/>
        <w:keepLines w:val="0"/>
        <w:pageBreakBefore w:val="0"/>
        <w:widowControl w:val="0"/>
        <w:kinsoku/>
        <w:wordWrap/>
        <w:overflowPunct/>
        <w:topLinePunct w:val="0"/>
        <w:bidi w:val="0"/>
        <w:spacing w:after="0" w:line="340" w:lineRule="exact"/>
        <w:ind w:firstLine="44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4.甲方应当在到货(安装、调试完)后七个工作日内进行验收，</w:t>
      </w:r>
      <w:r>
        <w:rPr>
          <w:rFonts w:hint="eastAsia" w:ascii="宋体" w:hAnsi="宋体" w:eastAsia="宋体" w:cs="宋体"/>
          <w:color w:val="auto"/>
          <w:spacing w:val="6"/>
          <w:sz w:val="21"/>
          <w:szCs w:val="21"/>
          <w:highlight w:val="none"/>
        </w:rPr>
        <w:t>逾期不验收的，乙方可视同验收合格。验收</w:t>
      </w:r>
      <w:r>
        <w:rPr>
          <w:rFonts w:hint="eastAsia" w:ascii="宋体" w:hAnsi="宋体" w:eastAsia="宋体" w:cs="宋体"/>
          <w:color w:val="auto"/>
          <w:spacing w:val="5"/>
          <w:sz w:val="21"/>
          <w:szCs w:val="21"/>
          <w:highlight w:val="none"/>
        </w:rPr>
        <w:t>合格后由甲乙双方签署货</w:t>
      </w:r>
      <w:r>
        <w:rPr>
          <w:rFonts w:hint="eastAsia" w:ascii="宋体" w:hAnsi="宋体" w:eastAsia="宋体" w:cs="宋体"/>
          <w:color w:val="auto"/>
          <w:spacing w:val="-3"/>
          <w:sz w:val="21"/>
          <w:szCs w:val="21"/>
          <w:highlight w:val="none"/>
        </w:rPr>
        <w:t>物验收单并加盖采购人公章，甲乙双方各执一</w:t>
      </w:r>
      <w:r>
        <w:rPr>
          <w:rFonts w:hint="eastAsia" w:ascii="宋体" w:hAnsi="宋体" w:eastAsia="宋体" w:cs="宋体"/>
          <w:color w:val="auto"/>
          <w:spacing w:val="-4"/>
          <w:sz w:val="21"/>
          <w:szCs w:val="21"/>
          <w:highlight w:val="none"/>
        </w:rPr>
        <w:t>份。</w:t>
      </w:r>
    </w:p>
    <w:p w14:paraId="194DE68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044534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kern w:val="2"/>
          <w:sz w:val="21"/>
          <w:szCs w:val="21"/>
          <w:highlight w:val="none"/>
        </w:rPr>
        <w:t>6</w:t>
      </w:r>
      <w:r>
        <w:rPr>
          <w:rFonts w:hint="eastAsia" w:ascii="宋体" w:hAnsi="宋体" w:eastAsia="宋体" w:cs="宋体"/>
          <w:color w:val="auto"/>
          <w:spacing w:val="-3"/>
          <w:sz w:val="21"/>
          <w:szCs w:val="21"/>
          <w:highlight w:val="none"/>
        </w:rPr>
        <w:t>.甲方对验收有异议的，在验收后五个工作日内以书面形式向乙方提出，乙方应自收到甲方书面异议后</w:t>
      </w:r>
      <w:r>
        <w:rPr>
          <w:rFonts w:hint="eastAsia" w:ascii="宋体" w:hAnsi="宋体" w:eastAsia="宋体" w:cs="宋体"/>
          <w:color w:val="auto"/>
          <w:spacing w:val="-3"/>
          <w:sz w:val="21"/>
          <w:szCs w:val="21"/>
          <w:highlight w:val="none"/>
          <w:u w:val="single"/>
        </w:rPr>
        <w:t>30</w:t>
      </w:r>
      <w:r>
        <w:rPr>
          <w:rFonts w:hint="eastAsia" w:ascii="宋体" w:hAnsi="宋体" w:eastAsia="宋体" w:cs="宋体"/>
          <w:color w:val="auto"/>
          <w:spacing w:val="-3"/>
          <w:sz w:val="21"/>
          <w:szCs w:val="21"/>
          <w:highlight w:val="none"/>
        </w:rPr>
        <w:t>日内及时予以解决。</w:t>
      </w:r>
    </w:p>
    <w:p w14:paraId="2CB6998F">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第六条  安装和培训</w:t>
      </w:r>
    </w:p>
    <w:p w14:paraId="7DF5EBE1">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1.甲方应提供必要安装条件(如场地、电源、水源等)。</w:t>
      </w:r>
    </w:p>
    <w:p w14:paraId="311C1EBB">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2.乙方负责甲方有关人员的培训。培训时间、地点：</w:t>
      </w:r>
      <w:r>
        <w:rPr>
          <w:rFonts w:hint="eastAsia" w:ascii="宋体" w:hAnsi="宋体" w:eastAsia="宋体" w:cs="宋体"/>
          <w:color w:val="auto"/>
          <w:spacing w:val="55"/>
          <w:sz w:val="21"/>
          <w:szCs w:val="21"/>
          <w:highlight w:val="none"/>
          <w:u w:val="single"/>
        </w:rPr>
        <w:t xml:space="preserve"> </w:t>
      </w:r>
      <w:r>
        <w:rPr>
          <w:rFonts w:hint="eastAsia" w:ascii="宋体" w:hAnsi="宋体" w:eastAsia="宋体" w:cs="宋体"/>
          <w:color w:val="auto"/>
          <w:spacing w:val="-3"/>
          <w:sz w:val="21"/>
          <w:szCs w:val="21"/>
          <w:highlight w:val="none"/>
          <w:u w:val="single"/>
        </w:rPr>
        <w:t xml:space="preserve">  由甲方依据实际情况确定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p>
    <w:p w14:paraId="2371EDAB">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4"/>
          <w:sz w:val="21"/>
          <w:szCs w:val="21"/>
          <w:highlight w:val="none"/>
        </w:rPr>
        <w:t>第七条 售后服务、保修期</w:t>
      </w:r>
    </w:p>
    <w:p w14:paraId="20908001">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1.乙方应按照国家有关法律法规和“三包”规定以及</w:t>
      </w:r>
      <w:r>
        <w:rPr>
          <w:rFonts w:hint="eastAsia" w:ascii="宋体" w:hAnsi="宋体" w:eastAsia="宋体" w:cs="宋体"/>
          <w:color w:val="auto"/>
          <w:spacing w:val="-10"/>
          <w:sz w:val="21"/>
          <w:szCs w:val="21"/>
          <w:highlight w:val="none"/>
          <w:lang w:eastAsia="zh-CN"/>
        </w:rPr>
        <w:t>招标文件</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eastAsia="zh-CN"/>
        </w:rPr>
        <w:t>投标文件</w:t>
      </w:r>
      <w:r>
        <w:rPr>
          <w:rFonts w:hint="eastAsia" w:ascii="宋体" w:hAnsi="宋体" w:eastAsia="宋体" w:cs="宋体"/>
          <w:color w:val="auto"/>
          <w:spacing w:val="7"/>
          <w:sz w:val="21"/>
          <w:szCs w:val="21"/>
          <w:highlight w:val="none"/>
        </w:rPr>
        <w:t>和本合同所附的《服务承诺》，为甲方提供售后服务。</w:t>
      </w:r>
    </w:p>
    <w:p w14:paraId="585B644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2.货物保修期：</w:t>
      </w:r>
      <w:r>
        <w:rPr>
          <w:rFonts w:hint="eastAsia" w:ascii="宋体" w:hAnsi="宋体" w:eastAsia="宋体" w:cs="宋体"/>
          <w:color w:val="auto"/>
          <w:sz w:val="21"/>
          <w:szCs w:val="21"/>
          <w:highlight w:val="none"/>
          <w:u w:val="single"/>
        </w:rPr>
        <w:t xml:space="preserve">                                           </w:t>
      </w:r>
    </w:p>
    <w:p w14:paraId="1F2045D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3.乙方提供的服务承诺和售后服务及保修期责任等其它具体约</w:t>
      </w:r>
      <w:r>
        <w:rPr>
          <w:rFonts w:hint="eastAsia" w:ascii="宋体" w:hAnsi="宋体" w:eastAsia="宋体" w:cs="宋体"/>
          <w:color w:val="auto"/>
          <w:spacing w:val="3"/>
          <w:sz w:val="21"/>
          <w:szCs w:val="21"/>
          <w:highlight w:val="none"/>
        </w:rPr>
        <w:t>定事项。(见合同附件)</w:t>
      </w:r>
    </w:p>
    <w:p w14:paraId="7E0168E4">
      <w:pPr>
        <w:pStyle w:val="21"/>
        <w:keepLines w:val="0"/>
        <w:pageBreakBefore w:val="0"/>
        <w:widowControl w:val="0"/>
        <w:kinsoku/>
        <w:wordWrap/>
        <w:overflowPunct/>
        <w:topLinePunct w:val="0"/>
        <w:bidi w:val="0"/>
        <w:spacing w:after="0" w:line="340" w:lineRule="exact"/>
        <w:ind w:firstLine="41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第八条  付款方式</w:t>
      </w:r>
    </w:p>
    <w:p w14:paraId="2288F315">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rPr>
        <w:t>1.资金性质：</w:t>
      </w:r>
      <w:r>
        <w:rPr>
          <w:rFonts w:hint="eastAsia" w:ascii="宋体" w:hAnsi="宋体" w:eastAsia="宋体" w:cs="宋体"/>
          <w:color w:val="auto"/>
          <w:spacing w:val="-3"/>
          <w:sz w:val="21"/>
          <w:szCs w:val="21"/>
          <w:highlight w:val="none"/>
          <w:u w:val="single"/>
        </w:rPr>
        <w:t xml:space="preserve"> 财政性资金</w:t>
      </w:r>
    </w:p>
    <w:p w14:paraId="64F0BE26">
      <w:pPr>
        <w:pStyle w:val="21"/>
        <w:keepLines w:val="0"/>
        <w:pageBreakBefore w:val="0"/>
        <w:widowControl w:val="0"/>
        <w:kinsoku/>
        <w:wordWrap/>
        <w:overflowPunct/>
        <w:topLinePunct w:val="0"/>
        <w:bidi w:val="0"/>
        <w:spacing w:after="0" w:line="340" w:lineRule="exact"/>
        <w:ind w:firstLine="38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2.付款方式</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2"/>
          <w:sz w:val="21"/>
          <w:szCs w:val="21"/>
          <w:highlight w:val="none"/>
        </w:rPr>
        <w:t>合同签订后 10 个工作日内，</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向</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支付合同金额的30%；全部货物到货安装调试并验收合格后10个工作日内，</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向</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支付合同金额的70%，</w:t>
      </w:r>
      <w:r>
        <w:rPr>
          <w:rFonts w:hint="eastAsia" w:ascii="宋体" w:hAnsi="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需向</w:t>
      </w:r>
      <w:r>
        <w:rPr>
          <w:rFonts w:hint="eastAsia" w:ascii="宋体" w:hAnsi="宋体" w:cs="宋体"/>
          <w:color w:val="auto"/>
          <w:spacing w:val="-2"/>
          <w:sz w:val="21"/>
          <w:szCs w:val="21"/>
          <w:highlight w:val="none"/>
          <w:lang w:val="en-US" w:eastAsia="zh-CN"/>
        </w:rPr>
        <w:t>甲方</w:t>
      </w:r>
      <w:r>
        <w:rPr>
          <w:rFonts w:hint="eastAsia" w:ascii="宋体" w:hAnsi="宋体" w:eastAsia="宋体" w:cs="宋体"/>
          <w:color w:val="auto"/>
          <w:spacing w:val="-2"/>
          <w:sz w:val="21"/>
          <w:szCs w:val="21"/>
          <w:highlight w:val="none"/>
        </w:rPr>
        <w:t>提供等额正式发票。</w:t>
      </w:r>
    </w:p>
    <w:p w14:paraId="466F9820">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第九条 履约保证金</w:t>
      </w:r>
    </w:p>
    <w:p w14:paraId="2548027A">
      <w:pPr>
        <w:spacing w:line="360" w:lineRule="exact"/>
        <w:ind w:firstLine="420" w:firstLineChars="200"/>
        <w:rPr>
          <w:rFonts w:hint="eastAsia" w:ascii="宋体" w:hAnsi="宋体" w:cs="宋体"/>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履约保证金金额：合同金额的5%，若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是中型企业的，则履约保证金按合同金额的2%收取，若</w:t>
      </w:r>
      <w:r>
        <w:rPr>
          <w:rFonts w:hint="eastAsia" w:ascii="宋体" w:hAnsi="宋体" w:cs="宋体"/>
          <w:color w:val="auto"/>
          <w:szCs w:val="21"/>
          <w:highlight w:val="none"/>
          <w:lang w:eastAsia="zh-CN"/>
        </w:rPr>
        <w:t>乙方</w:t>
      </w:r>
      <w:r>
        <w:rPr>
          <w:rFonts w:hint="eastAsia" w:ascii="宋体" w:hAnsi="宋体" w:eastAsia="宋体" w:cs="宋体"/>
          <w:color w:val="auto"/>
          <w:sz w:val="21"/>
          <w:szCs w:val="21"/>
          <w:highlight w:val="none"/>
        </w:rPr>
        <w:t>是小微企业的则免收履约保证金。</w:t>
      </w:r>
    </w:p>
    <w:p w14:paraId="5BB3609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2．履约保证金提交时间及方式：合同签订前5日内，</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必须以银行转账、支票、汇票、本票或者金融机构、担保机构出具的保险、保函（含电子保函）等非现金方式向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提交履约保证金。</w:t>
      </w:r>
    </w:p>
    <w:p w14:paraId="6061D70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3．履约保证金退付条件及时间:自项目验收合格之日起至质保期满无质量问题，</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收到退付履约保证金申请后15个工作日内退还(无息)。</w:t>
      </w:r>
    </w:p>
    <w:p w14:paraId="38BAE8F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4．下列情况因履约保证金不能退还或另行处理，所产生的后果由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负责：</w:t>
      </w:r>
    </w:p>
    <w:p w14:paraId="580AB8E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（1）履行合同约定权利义务期间，</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不按合同履行质量保证义务的，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有权对采购标的进行更换、维修维保，所需费用从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提交的履约保证金中扣除，履约保证金不足以抵扣更换、维修维保费用的，不足部分由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承担。同时，</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保留起诉</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的权利。</w:t>
      </w:r>
    </w:p>
    <w:p w14:paraId="108D545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未履行完合同约定权利义务事项前，</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变更单位名称、联系方式等不及时告知</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并提供相关变更材料，造成</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无法通知</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的，视</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自动放弃领回履约保证金权利，</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有权对履约保证金进行另外处置。</w:t>
      </w:r>
    </w:p>
    <w:p w14:paraId="178AA6E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（3）其他因</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原因导致履约保证金无法按时退回的情形。</w:t>
      </w:r>
    </w:p>
    <w:p w14:paraId="3E7FD45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履约保证金账户:</w:t>
      </w:r>
    </w:p>
    <w:p w14:paraId="25D8F605">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全称:</w:t>
      </w:r>
      <w:r>
        <w:rPr>
          <w:rFonts w:hint="eastAsia" w:ascii="宋体" w:hAnsi="宋体" w:cs="宋体"/>
          <w:color w:val="auto"/>
          <w:szCs w:val="21"/>
          <w:highlight w:val="none"/>
          <w:lang w:val="en-US" w:eastAsia="zh-CN"/>
        </w:rPr>
        <w:t xml:space="preserve">  </w:t>
      </w:r>
    </w:p>
    <w:p w14:paraId="2969376F">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 xml:space="preserve">  </w:t>
      </w:r>
    </w:p>
    <w:p w14:paraId="013B409A">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开户银行:</w:t>
      </w:r>
      <w:r>
        <w:rPr>
          <w:rFonts w:hint="eastAsia" w:ascii="宋体" w:hAnsi="宋体" w:cs="宋体"/>
          <w:color w:val="auto"/>
          <w:szCs w:val="21"/>
          <w:highlight w:val="none"/>
          <w:lang w:val="en-US" w:eastAsia="zh-CN"/>
        </w:rPr>
        <w:t xml:space="preserve">   </w:t>
      </w:r>
    </w:p>
    <w:p w14:paraId="5977FAC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转帐时注明:项目名称+项目编号</w:t>
      </w:r>
    </w:p>
    <w:p w14:paraId="619F1EC5">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第十条 税费本合同执行中相关的一切税费均由乙方负担。</w:t>
      </w:r>
    </w:p>
    <w:p w14:paraId="15F768B3">
      <w:pPr>
        <w:pStyle w:val="21"/>
        <w:keepLines w:val="0"/>
        <w:pageBreakBefore w:val="0"/>
        <w:widowControl w:val="0"/>
        <w:kinsoku/>
        <w:wordWrap/>
        <w:overflowPunct/>
        <w:topLinePunct w:val="0"/>
        <w:bidi w:val="0"/>
        <w:spacing w:after="0" w:line="340" w:lineRule="exact"/>
        <w:ind w:firstLine="478" w:firstLineChars="200"/>
        <w:jc w:val="both"/>
        <w:textAlignment w:val="auto"/>
        <w:rPr>
          <w:rFonts w:hint="eastAsia" w:ascii="宋体" w:hAnsi="宋体" w:eastAsia="宋体" w:cs="宋体"/>
          <w:b/>
          <w:bCs/>
          <w:color w:val="auto"/>
          <w:spacing w:val="14"/>
          <w:sz w:val="21"/>
          <w:szCs w:val="21"/>
          <w:highlight w:val="none"/>
        </w:rPr>
      </w:pPr>
      <w:r>
        <w:rPr>
          <w:rFonts w:hint="eastAsia" w:ascii="宋体" w:hAnsi="宋体" w:eastAsia="宋体" w:cs="宋体"/>
          <w:b/>
          <w:bCs/>
          <w:color w:val="auto"/>
          <w:spacing w:val="14"/>
          <w:sz w:val="21"/>
          <w:szCs w:val="21"/>
          <w:highlight w:val="none"/>
        </w:rPr>
        <w:t>第十一条 质量保证及售后服务</w:t>
      </w:r>
    </w:p>
    <w:p w14:paraId="0B51B766">
      <w:pPr>
        <w:pStyle w:val="21"/>
        <w:keepLines w:val="0"/>
        <w:pageBreakBefore w:val="0"/>
        <w:widowControl w:val="0"/>
        <w:kinsoku/>
        <w:wordWrap/>
        <w:overflowPunct/>
        <w:topLinePunct w:val="0"/>
        <w:bidi w:val="0"/>
        <w:spacing w:after="0" w:line="340" w:lineRule="exact"/>
        <w:ind w:firstLine="40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3"/>
          <w:sz w:val="21"/>
          <w:szCs w:val="21"/>
          <w:highlight w:val="none"/>
        </w:rPr>
        <w:t>乙方应按</w:t>
      </w:r>
      <w:r>
        <w:rPr>
          <w:rFonts w:hint="eastAsia" w:ascii="宋体" w:hAnsi="宋体" w:eastAsia="宋体" w:cs="宋体"/>
          <w:color w:val="auto"/>
          <w:spacing w:val="-3"/>
          <w:sz w:val="21"/>
          <w:szCs w:val="21"/>
          <w:highlight w:val="none"/>
          <w:lang w:eastAsia="zh-CN"/>
        </w:rPr>
        <w:t>招标文件</w:t>
      </w:r>
      <w:r>
        <w:rPr>
          <w:rFonts w:hint="eastAsia" w:ascii="宋体" w:hAnsi="宋体" w:eastAsia="宋体" w:cs="宋体"/>
          <w:color w:val="auto"/>
          <w:spacing w:val="-3"/>
          <w:sz w:val="21"/>
          <w:szCs w:val="21"/>
          <w:highlight w:val="none"/>
        </w:rPr>
        <w:t>规定及</w:t>
      </w:r>
      <w:r>
        <w:rPr>
          <w:rFonts w:hint="eastAsia" w:ascii="宋体" w:hAnsi="宋体" w:eastAsia="宋体" w:cs="宋体"/>
          <w:color w:val="auto"/>
          <w:spacing w:val="-3"/>
          <w:sz w:val="21"/>
          <w:szCs w:val="21"/>
          <w:highlight w:val="none"/>
          <w:lang w:eastAsia="zh-CN"/>
        </w:rPr>
        <w:t>投标文件</w:t>
      </w:r>
      <w:r>
        <w:rPr>
          <w:rFonts w:hint="eastAsia" w:ascii="宋体" w:hAnsi="宋体" w:eastAsia="宋体" w:cs="宋体"/>
          <w:color w:val="auto"/>
          <w:spacing w:val="-3"/>
          <w:sz w:val="21"/>
          <w:szCs w:val="21"/>
          <w:highlight w:val="none"/>
        </w:rPr>
        <w:t>承诺的货物性能、技术要</w:t>
      </w:r>
      <w:r>
        <w:rPr>
          <w:rFonts w:hint="eastAsia" w:ascii="宋体" w:hAnsi="宋体" w:eastAsia="宋体" w:cs="宋体"/>
          <w:color w:val="auto"/>
          <w:spacing w:val="-5"/>
          <w:sz w:val="21"/>
          <w:szCs w:val="21"/>
          <w:highlight w:val="none"/>
        </w:rPr>
        <w:t>求、质量标准向甲方提供未经使用的全新产品。乙方提供货物的质量</w:t>
      </w:r>
      <w:r>
        <w:rPr>
          <w:rFonts w:hint="eastAsia" w:ascii="宋体" w:hAnsi="宋体" w:eastAsia="宋体" w:cs="宋体"/>
          <w:color w:val="auto"/>
          <w:spacing w:val="-1"/>
          <w:sz w:val="21"/>
          <w:szCs w:val="21"/>
          <w:highlight w:val="none"/>
        </w:rPr>
        <w:t>保证期按交货验收合格之日起计(期限见《采购需求》中各分标的要</w:t>
      </w:r>
      <w:r>
        <w:rPr>
          <w:rFonts w:hint="eastAsia" w:ascii="宋体" w:hAnsi="宋体" w:eastAsia="宋体" w:cs="宋体"/>
          <w:color w:val="auto"/>
          <w:sz w:val="21"/>
          <w:szCs w:val="21"/>
          <w:highlight w:val="none"/>
        </w:rPr>
        <w:t>求)。在保证期内因货物本身的质量问题发生故障，乙方应负责免费</w:t>
      </w:r>
      <w:r>
        <w:rPr>
          <w:rFonts w:hint="eastAsia" w:ascii="宋体" w:hAnsi="宋体" w:eastAsia="宋体" w:cs="宋体"/>
          <w:color w:val="auto"/>
          <w:spacing w:val="-5"/>
          <w:sz w:val="21"/>
          <w:szCs w:val="21"/>
          <w:highlight w:val="none"/>
        </w:rPr>
        <w:t>修理和更换零部件。对达不到技术要求者，根据实际情况，经双方协</w:t>
      </w:r>
      <w:r>
        <w:rPr>
          <w:rFonts w:hint="eastAsia" w:ascii="宋体" w:hAnsi="宋体" w:eastAsia="宋体" w:cs="宋体"/>
          <w:color w:val="auto"/>
          <w:spacing w:val="-11"/>
          <w:sz w:val="21"/>
          <w:szCs w:val="21"/>
          <w:highlight w:val="none"/>
        </w:rPr>
        <w:t>商，可按以下办法处理：</w:t>
      </w:r>
    </w:p>
    <w:p w14:paraId="032B6445">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(1)更换：由乙方承担所发生的全部费用。</w:t>
      </w:r>
    </w:p>
    <w:p w14:paraId="7548B4B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(2)贬值处理：由甲乙双方合议定价。</w:t>
      </w:r>
    </w:p>
    <w:p w14:paraId="6399ADE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(3)退货处理：乙方应退还甲方支付的合同款，同时应承担该货物的直接费用(运输、保险、检验、货款利息及银行手续费等)。</w:t>
      </w:r>
    </w:p>
    <w:p w14:paraId="050EB7B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spacing w:val="-3"/>
          <w:sz w:val="21"/>
          <w:szCs w:val="21"/>
          <w:highlight w:val="none"/>
        </w:rPr>
        <w:t>.如在</w:t>
      </w:r>
      <w:r>
        <w:rPr>
          <w:rFonts w:hint="eastAsia" w:ascii="宋体" w:hAnsi="宋体" w:eastAsia="宋体" w:cs="宋体"/>
          <w:color w:val="auto"/>
          <w:spacing w:val="13"/>
          <w:sz w:val="21"/>
          <w:szCs w:val="21"/>
          <w:highlight w:val="none"/>
        </w:rPr>
        <w:t>使用过程中发生质量问题，乙方在接到甲方通知</w:t>
      </w:r>
      <w:r>
        <w:rPr>
          <w:rFonts w:hint="eastAsia" w:ascii="宋体" w:hAnsi="宋体" w:eastAsia="宋体" w:cs="宋体"/>
          <w:color w:val="auto"/>
          <w:spacing w:val="12"/>
          <w:sz w:val="21"/>
          <w:szCs w:val="21"/>
          <w:highlight w:val="none"/>
        </w:rPr>
        <w:t>后在</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u w:val="single"/>
          <w:lang w:val="en-US" w:eastAsia="zh-CN"/>
        </w:rPr>
        <w:t xml:space="preserve"> </w:t>
      </w:r>
      <w:r>
        <w:rPr>
          <w:rFonts w:hint="eastAsia" w:ascii="宋体" w:hAnsi="宋体" w:eastAsia="宋体" w:cs="宋体"/>
          <w:color w:val="auto"/>
          <w:spacing w:val="-13"/>
          <w:sz w:val="21"/>
          <w:szCs w:val="21"/>
          <w:highlight w:val="none"/>
        </w:rPr>
        <w:t>小时内到达甲方现场。</w:t>
      </w:r>
      <w:r>
        <w:rPr>
          <w:rFonts w:hint="eastAsia" w:ascii="宋体" w:hAnsi="宋体" w:eastAsia="宋体" w:cs="宋体"/>
          <w:color w:val="auto"/>
          <w:sz w:val="21"/>
          <w:szCs w:val="21"/>
          <w:highlight w:val="none"/>
        </w:rPr>
        <w:t>一般故障处理时限不超过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小时修复，重大故障处理时限不超过</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小时修复。如在规定时间内不能完成维修，应提供性能相同或升级型替代设备，以保证用户正常使用。</w:t>
      </w:r>
    </w:p>
    <w:p w14:paraId="6A58ED30">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3.在质保期内，乙方应对货物出现的质量及安全问题负责处理解决并承担一切费用。</w:t>
      </w:r>
    </w:p>
    <w:p w14:paraId="2C120D3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4.上述的货物免费保修期为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年，因人为因素出现的故障不在免费保修范围内。超过保修期的机器设备，终生维修，维修时只收部件成本费。</w:t>
      </w:r>
      <w:r>
        <w:rPr>
          <w:rFonts w:hint="eastAsia" w:ascii="宋体" w:hAnsi="宋体" w:eastAsia="宋体" w:cs="宋体"/>
          <w:color w:val="auto"/>
          <w:sz w:val="21"/>
          <w:szCs w:val="21"/>
          <w:highlight w:val="none"/>
        </w:rPr>
        <w:t>保修期自双方代表在产品验收单上签字之日起计算。保修期内保修费用计入本合同总价。</w:t>
      </w:r>
    </w:p>
    <w:p w14:paraId="4041D047">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保修期内，成交供应商负责对其提供的产品整机进行维修，并且保证每年上门检修一次，不再向采购人收取费用。</w:t>
      </w:r>
    </w:p>
    <w:p w14:paraId="52C27CA8">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提供7×24小时热线电话和远程技术支持服务，对于远程无法解决的问题，需安排资深技术人员到现场解决。提供专业维保人员不少于1人。</w:t>
      </w:r>
    </w:p>
    <w:p w14:paraId="5F69F0FF">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第十二条</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调试和验收</w:t>
      </w:r>
    </w:p>
    <w:p w14:paraId="57813B7A">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负责全部成套设备、配套部件及材料的现场安装、调试直至验收合格投入正常运转。</w:t>
      </w:r>
    </w:p>
    <w:p w14:paraId="21897E24">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2、如设备安装有特殊要求，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应在合同签订后，设备安装之前</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工作日内以书面形式向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提出安装场地环境要求，并对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安装场地环境提供咨询技术支持。</w:t>
      </w:r>
    </w:p>
    <w:p w14:paraId="47F6364E">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3、产品的到货验收包括：数量、外观质量、随机备件备品、装箱单、随机资料(中文)及产品包装完整无破损。产品验收通过前，外包装数量、质量及外包装内产品数量、质量，均由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p>
    <w:p w14:paraId="47A967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4、产品验收通过前外包装数量、质量及外包装内产品数量、质量出现问题，</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应负责三包(包修、包换、包退)</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费用均由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负责</w:t>
      </w:r>
      <w:r>
        <w:rPr>
          <w:rFonts w:hint="eastAsia" w:ascii="宋体" w:hAnsi="宋体" w:eastAsia="宋体" w:cs="宋体"/>
          <w:color w:val="auto"/>
          <w:kern w:val="2"/>
          <w:sz w:val="21"/>
          <w:szCs w:val="21"/>
          <w:highlight w:val="none"/>
          <w:lang w:eastAsia="zh-CN"/>
        </w:rPr>
        <w:t>。</w:t>
      </w:r>
    </w:p>
    <w:p w14:paraId="73FFABC6">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、设备到达</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所在地后，在接到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通知后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个工作日内进行安装调试，按供货方合格证书和技术资料中的精度、质量要求和双方签订的合同技术附件所规定的条款进行验收。验收时，由</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及</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邀请的行业专家（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如有需要邀请的）共同进行验收，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有权委托有资质的质检部门对货物进行抽检，检验的费用由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承担；对不符合要求的产品，</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有权拒绝验收，由此产生的一切后果，均由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承担。由此造成的不能按时、按质、按量完成项目要求的，将按照政府采购相关法规、</w:t>
      </w:r>
      <w:r>
        <w:rPr>
          <w:rFonts w:hint="eastAsia" w:ascii="宋体" w:hAnsi="宋体" w:eastAsia="宋体" w:cs="宋体"/>
          <w:color w:val="auto"/>
          <w:kern w:val="2"/>
          <w:sz w:val="21"/>
          <w:szCs w:val="21"/>
          <w:highlight w:val="none"/>
          <w:lang w:eastAsia="zh-CN"/>
        </w:rPr>
        <w:t>招标文件</w:t>
      </w:r>
      <w:r>
        <w:rPr>
          <w:rFonts w:hint="eastAsia" w:ascii="宋体" w:hAnsi="宋体" w:eastAsia="宋体" w:cs="宋体"/>
          <w:color w:val="auto"/>
          <w:kern w:val="2"/>
          <w:sz w:val="21"/>
          <w:szCs w:val="21"/>
          <w:highlight w:val="none"/>
        </w:rPr>
        <w:t>规定及</w:t>
      </w:r>
      <w:r>
        <w:rPr>
          <w:rFonts w:hint="eastAsia" w:ascii="宋体" w:hAnsi="宋体" w:eastAsia="宋体" w:cs="宋体"/>
          <w:color w:val="auto"/>
          <w:kern w:val="2"/>
          <w:sz w:val="21"/>
          <w:szCs w:val="21"/>
          <w:highlight w:val="none"/>
          <w:lang w:eastAsia="zh-CN"/>
        </w:rPr>
        <w:t>投标文件</w:t>
      </w:r>
      <w:r>
        <w:rPr>
          <w:rFonts w:hint="eastAsia" w:ascii="宋体" w:hAnsi="宋体" w:eastAsia="宋体" w:cs="宋体"/>
          <w:color w:val="auto"/>
          <w:kern w:val="2"/>
          <w:sz w:val="21"/>
          <w:szCs w:val="21"/>
          <w:highlight w:val="none"/>
        </w:rPr>
        <w:t>承诺的事项进行处罚。</w:t>
      </w:r>
    </w:p>
    <w:p w14:paraId="5E8BA102">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、在安装、调试过程中，</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应对</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技术人员所提出的技术问题给予满意的答复，并向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提供安装调试过程中的各种文档资料，以便</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今后能掌握操作方法和维护方法。</w:t>
      </w:r>
    </w:p>
    <w:p w14:paraId="63E197DF">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在完成本合同各阶段交付内容签收后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个工作日内向</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提交验收申请，</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在收到验收申请后在</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个工作日内组织有关人员进行验收，</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根据测试结果提交验收报告，并在验收报告上签字确认。</w:t>
      </w:r>
    </w:p>
    <w:p w14:paraId="34C3DD7C">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第十三条</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货物包装、发运及运输</w:t>
      </w:r>
    </w:p>
    <w:p w14:paraId="65EF7C9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 乙方应在货物发运前对其进行满足运输距离、防潮、防震、防 锈和防破损装卸等要求包装，以保证货物安全运达甲方指定地点。</w:t>
      </w:r>
      <w:r>
        <w:rPr>
          <w:rFonts w:hint="eastAsia" w:ascii="宋体" w:hAnsi="宋体" w:eastAsia="宋体" w:cs="宋体"/>
          <w:color w:val="auto"/>
          <w:kern w:val="0"/>
          <w:sz w:val="21"/>
          <w:szCs w:val="21"/>
          <w:highlight w:val="none"/>
        </w:rPr>
        <w:t>若产品在运输过程中损坏须无偿调换同样产品。</w:t>
      </w:r>
    </w:p>
    <w:p w14:paraId="2A4E8D5D">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使用说明书、质量检验证明书、随配附件和工具以及清单一并附于货物内。</w:t>
      </w:r>
    </w:p>
    <w:p w14:paraId="0973D9A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乙方在货物发运手续办理完毕后</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小时内或货到甲方</w:t>
      </w:r>
      <w:r>
        <w:rPr>
          <w:rFonts w:hint="eastAsia" w:ascii="宋体" w:hAnsi="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小时前通知甲方，以准备接货。</w:t>
      </w:r>
    </w:p>
    <w:p w14:paraId="29DB193C">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 货物在交付甲方前发生的风险均由乙方负责。</w:t>
      </w:r>
    </w:p>
    <w:p w14:paraId="4F23DDF3">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3"/>
          <w:sz w:val="21"/>
          <w:szCs w:val="21"/>
          <w:highlight w:val="none"/>
        </w:rPr>
        <w:t>货物在规定的交付期限内由乙方送达甲方指定的地点视为交</w:t>
      </w:r>
      <w:r>
        <w:rPr>
          <w:rFonts w:hint="eastAsia" w:ascii="宋体" w:hAnsi="宋体" w:eastAsia="宋体" w:cs="宋体"/>
          <w:color w:val="auto"/>
          <w:spacing w:val="-3"/>
          <w:sz w:val="21"/>
          <w:szCs w:val="21"/>
          <w:highlight w:val="none"/>
        </w:rPr>
        <w:t>付，乙方同时需通知甲方货物已送达。</w:t>
      </w:r>
    </w:p>
    <w:p w14:paraId="6A5C5C9A">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第十四条 违约责任</w:t>
      </w:r>
    </w:p>
    <w:p w14:paraId="532FD39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071C7021">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2.乙方提供的货物如侵犯了第三方合法权益而引发的任何纠纷 或诉讼，均由乙方负责交涉并承担全部责任。</w:t>
      </w:r>
    </w:p>
    <w:p w14:paraId="65E7782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 因包装、运输引起的货物损坏，按质量不合格处罚。</w:t>
      </w:r>
    </w:p>
    <w:p w14:paraId="37794FC9">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4.甲方无故延期接收货物、乙方逾期交货的，每天向对方偿付违约货款额</w:t>
      </w:r>
      <w:r>
        <w:rPr>
          <w:rFonts w:hint="eastAsia" w:ascii="宋体" w:hAnsi="宋体" w:eastAsia="宋体" w:cs="宋体"/>
          <w:color w:val="auto"/>
          <w:kern w:val="2"/>
          <w:sz w:val="21"/>
          <w:szCs w:val="21"/>
          <w:highlight w:val="none"/>
          <w:u w:val="single"/>
        </w:rPr>
        <w:t>3‰</w:t>
      </w:r>
      <w:r>
        <w:rPr>
          <w:rFonts w:hint="eastAsia" w:ascii="宋体" w:hAnsi="宋体" w:eastAsia="宋体" w:cs="宋体"/>
          <w:color w:val="auto"/>
          <w:kern w:val="2"/>
          <w:sz w:val="21"/>
          <w:szCs w:val="21"/>
          <w:highlight w:val="none"/>
        </w:rPr>
        <w:t>违约金，但违约金累计不</w:t>
      </w:r>
      <w:r>
        <w:rPr>
          <w:rFonts w:hint="eastAsia" w:ascii="宋体" w:hAnsi="宋体" w:eastAsia="宋体" w:cs="宋体"/>
          <w:color w:val="auto"/>
          <w:spacing w:val="19"/>
          <w:sz w:val="21"/>
          <w:szCs w:val="21"/>
          <w:highlight w:val="none"/>
        </w:rPr>
        <w:t>得超过</w:t>
      </w:r>
      <w:r>
        <w:rPr>
          <w:rFonts w:hint="eastAsia" w:ascii="宋体" w:hAnsi="宋体" w:eastAsia="宋体" w:cs="宋体"/>
          <w:color w:val="auto"/>
          <w:spacing w:val="18"/>
          <w:sz w:val="21"/>
          <w:szCs w:val="21"/>
          <w:highlight w:val="none"/>
        </w:rPr>
        <w:t>违约货款额</w:t>
      </w:r>
      <w:r>
        <w:rPr>
          <w:rFonts w:hint="eastAsia" w:ascii="宋体" w:hAnsi="宋体" w:eastAsia="宋体" w:cs="宋体"/>
          <w:color w:val="auto"/>
          <w:spacing w:val="18"/>
          <w:sz w:val="21"/>
          <w:szCs w:val="21"/>
          <w:highlight w:val="none"/>
          <w:u w:val="single"/>
        </w:rPr>
        <w:t>5%</w:t>
      </w:r>
      <w:r>
        <w:rPr>
          <w:rFonts w:hint="eastAsia" w:ascii="宋体" w:hAnsi="宋体" w:eastAsia="宋体" w:cs="宋体"/>
          <w:color w:val="auto"/>
          <w:spacing w:val="18"/>
          <w:sz w:val="21"/>
          <w:szCs w:val="21"/>
          <w:highlight w:val="none"/>
        </w:rPr>
        <w:t>，超</w:t>
      </w:r>
      <w:r>
        <w:rPr>
          <w:rFonts w:hint="eastAsia" w:ascii="宋体" w:hAnsi="宋体" w:eastAsia="宋体" w:cs="宋体"/>
          <w:color w:val="auto"/>
          <w:spacing w:val="2"/>
          <w:sz w:val="21"/>
          <w:szCs w:val="21"/>
          <w:highlight w:val="none"/>
        </w:rPr>
        <w:t>过</w:t>
      </w:r>
      <w:r>
        <w:rPr>
          <w:rFonts w:hint="eastAsia" w:ascii="宋体" w:hAnsi="宋体" w:eastAsia="宋体" w:cs="宋体"/>
          <w:color w:val="auto"/>
          <w:spacing w:val="2"/>
          <w:sz w:val="21"/>
          <w:szCs w:val="21"/>
          <w:highlight w:val="none"/>
          <w:u w:val="single"/>
        </w:rPr>
        <w:t>120</w:t>
      </w:r>
      <w:r>
        <w:rPr>
          <w:rFonts w:hint="eastAsia" w:ascii="宋体" w:hAnsi="宋体" w:eastAsia="宋体" w:cs="宋体"/>
          <w:color w:val="auto"/>
          <w:spacing w:val="2"/>
          <w:sz w:val="21"/>
          <w:szCs w:val="21"/>
          <w:highlight w:val="none"/>
        </w:rPr>
        <w:t>天对方有权解除合同，违约方承担因此给对方造成经济损失</w:t>
      </w:r>
      <w:r>
        <w:rPr>
          <w:rFonts w:hint="eastAsia" w:ascii="宋体" w:hAnsi="宋体" w:eastAsia="宋体" w:cs="宋体"/>
          <w:color w:val="auto"/>
          <w:spacing w:val="-9"/>
          <w:sz w:val="21"/>
          <w:szCs w:val="21"/>
          <w:highlight w:val="none"/>
        </w:rPr>
        <w:t>甲方延期付货款的，每天</w:t>
      </w:r>
      <w:r>
        <w:rPr>
          <w:rFonts w:hint="eastAsia" w:ascii="宋体" w:hAnsi="宋体" w:eastAsia="宋体" w:cs="宋体"/>
          <w:color w:val="auto"/>
          <w:kern w:val="2"/>
          <w:sz w:val="21"/>
          <w:szCs w:val="21"/>
          <w:highlight w:val="none"/>
        </w:rPr>
        <w:t>向乙方偿付延期货款额</w:t>
      </w:r>
      <w:r>
        <w:rPr>
          <w:rFonts w:hint="eastAsia" w:ascii="宋体" w:hAnsi="宋体" w:eastAsia="宋体" w:cs="宋体"/>
          <w:color w:val="auto"/>
          <w:kern w:val="2"/>
          <w:sz w:val="21"/>
          <w:szCs w:val="21"/>
          <w:highlight w:val="none"/>
          <w:u w:val="single"/>
          <w:lang w:val="en-US" w:eastAsia="zh-CN"/>
        </w:rPr>
        <w:t>3‰</w:t>
      </w:r>
      <w:r>
        <w:rPr>
          <w:rFonts w:hint="eastAsia" w:ascii="宋体" w:hAnsi="宋体" w:eastAsia="宋体" w:cs="宋体"/>
          <w:color w:val="auto"/>
          <w:kern w:val="2"/>
          <w:sz w:val="21"/>
          <w:szCs w:val="21"/>
          <w:highlight w:val="none"/>
          <w:lang w:val="en-US" w:eastAsia="zh-CN"/>
        </w:rPr>
        <w:t>滞纳金，</w:t>
      </w:r>
      <w:r>
        <w:rPr>
          <w:rFonts w:hint="eastAsia" w:ascii="宋体" w:hAnsi="宋体" w:eastAsia="宋体" w:cs="宋体"/>
          <w:color w:val="auto"/>
          <w:kern w:val="2"/>
          <w:sz w:val="21"/>
          <w:szCs w:val="21"/>
          <w:highlight w:val="none"/>
        </w:rPr>
        <w:t>但滞纳金累计不得超过延期</w:t>
      </w:r>
      <w:r>
        <w:rPr>
          <w:rFonts w:hint="eastAsia" w:ascii="宋体" w:hAnsi="宋体" w:eastAsia="宋体" w:cs="宋体"/>
          <w:color w:val="auto"/>
          <w:spacing w:val="-4"/>
          <w:sz w:val="21"/>
          <w:szCs w:val="21"/>
          <w:highlight w:val="none"/>
        </w:rPr>
        <w:t>货款额</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pacing w:val="-124"/>
          <w:sz w:val="21"/>
          <w:szCs w:val="21"/>
          <w:highlight w:val="none"/>
          <w:u w:val="single"/>
        </w:rPr>
        <w:t xml:space="preserve"> </w:t>
      </w:r>
      <w:r>
        <w:rPr>
          <w:rFonts w:hint="eastAsia" w:ascii="宋体" w:hAnsi="宋体" w:eastAsia="宋体" w:cs="宋体"/>
          <w:color w:val="auto"/>
          <w:spacing w:val="-4"/>
          <w:sz w:val="21"/>
          <w:szCs w:val="21"/>
          <w:highlight w:val="none"/>
          <w:u w:val="single"/>
        </w:rPr>
        <w:t>5%</w:t>
      </w:r>
      <w:r>
        <w:rPr>
          <w:rFonts w:hint="eastAsia" w:ascii="宋体" w:hAnsi="宋体" w:eastAsia="宋体" w:cs="宋体"/>
          <w:color w:val="auto"/>
          <w:spacing w:val="-4"/>
          <w:sz w:val="21"/>
          <w:szCs w:val="21"/>
          <w:highlight w:val="none"/>
        </w:rPr>
        <w:t>。</w:t>
      </w:r>
    </w:p>
    <w:p w14:paraId="0E01496F">
      <w:pPr>
        <w:pStyle w:val="21"/>
        <w:keepLines w:val="0"/>
        <w:pageBreakBefore w:val="0"/>
        <w:widowControl w:val="0"/>
        <w:kinsoku/>
        <w:wordWrap/>
        <w:overflowPunct/>
        <w:topLinePunct w:val="0"/>
        <w:bidi w:val="0"/>
        <w:spacing w:after="0" w:line="340" w:lineRule="exact"/>
        <w:ind w:firstLine="41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5.乙方未按本合同和</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中规定的服务承诺提供售后服务</w:t>
      </w:r>
      <w:r>
        <w:rPr>
          <w:rFonts w:hint="eastAsia" w:ascii="宋体" w:hAnsi="宋体" w:eastAsia="宋体" w:cs="宋体"/>
          <w:color w:val="auto"/>
          <w:spacing w:val="6"/>
          <w:sz w:val="21"/>
          <w:szCs w:val="21"/>
          <w:highlight w:val="none"/>
        </w:rPr>
        <w:t>的，乙方应按本合同合计金额5%向甲方支付违约金。</w:t>
      </w:r>
    </w:p>
    <w:p w14:paraId="4C1A18A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6.乙方提供的货物在质量保证期内，因设</w:t>
      </w:r>
      <w:r>
        <w:rPr>
          <w:rFonts w:hint="eastAsia" w:ascii="宋体" w:hAnsi="宋体" w:eastAsia="宋体" w:cs="宋体"/>
          <w:color w:val="auto"/>
          <w:sz w:val="21"/>
          <w:szCs w:val="21"/>
          <w:highlight w:val="none"/>
        </w:rPr>
        <w:t xml:space="preserve">计、工艺或材料的缺 </w:t>
      </w:r>
      <w:r>
        <w:rPr>
          <w:rFonts w:hint="eastAsia" w:ascii="宋体" w:hAnsi="宋体" w:eastAsia="宋体" w:cs="宋体"/>
          <w:color w:val="auto"/>
          <w:spacing w:val="-4"/>
          <w:sz w:val="21"/>
          <w:szCs w:val="21"/>
          <w:highlight w:val="none"/>
        </w:rPr>
        <w:t>陷和其它质量原因造成的问题，由乙方负责，费用</w:t>
      </w:r>
      <w:r>
        <w:rPr>
          <w:rFonts w:hint="eastAsia" w:ascii="宋体" w:hAnsi="宋体" w:eastAsia="宋体" w:cs="宋体"/>
          <w:color w:val="auto"/>
          <w:spacing w:val="-5"/>
          <w:sz w:val="21"/>
          <w:szCs w:val="21"/>
          <w:highlight w:val="none"/>
        </w:rPr>
        <w:t>从履约保证金中扣</w:t>
      </w:r>
      <w:r>
        <w:rPr>
          <w:rFonts w:hint="eastAsia" w:ascii="宋体" w:hAnsi="宋体" w:eastAsia="宋体" w:cs="宋体"/>
          <w:color w:val="auto"/>
          <w:spacing w:val="-9"/>
          <w:sz w:val="21"/>
          <w:szCs w:val="21"/>
          <w:highlight w:val="none"/>
        </w:rPr>
        <w:t>除，不足另补。</w:t>
      </w:r>
    </w:p>
    <w:p w14:paraId="0437338C">
      <w:pPr>
        <w:pStyle w:val="21"/>
        <w:keepLines w:val="0"/>
        <w:pageBreakBefore w:val="0"/>
        <w:widowControl w:val="0"/>
        <w:kinsoku/>
        <w:wordWrap/>
        <w:overflowPunct/>
        <w:topLinePunct w:val="0"/>
        <w:bidi w:val="0"/>
        <w:spacing w:after="0" w:line="340" w:lineRule="exact"/>
        <w:ind w:firstLine="436" w:firstLineChars="200"/>
        <w:jc w:val="both"/>
        <w:textAlignment w:val="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4"/>
          <w:sz w:val="21"/>
          <w:szCs w:val="21"/>
          <w:highlight w:val="none"/>
        </w:rPr>
        <w:t>7.其它违约行为按违约货款额5%收取违约金并赔偿经济损失。</w:t>
      </w:r>
      <w:r>
        <w:rPr>
          <w:rFonts w:hint="eastAsia" w:ascii="宋体" w:hAnsi="宋体" w:eastAsia="宋体" w:cs="宋体"/>
          <w:color w:val="auto"/>
          <w:spacing w:val="9"/>
          <w:sz w:val="21"/>
          <w:szCs w:val="21"/>
          <w:highlight w:val="none"/>
        </w:rPr>
        <w:t xml:space="preserve"> </w:t>
      </w:r>
    </w:p>
    <w:p w14:paraId="57FDB3A8">
      <w:pPr>
        <w:pStyle w:val="21"/>
        <w:keepLines w:val="0"/>
        <w:pageBreakBefore w:val="0"/>
        <w:widowControl w:val="0"/>
        <w:kinsoku/>
        <w:wordWrap/>
        <w:overflowPunct/>
        <w:topLinePunct w:val="0"/>
        <w:bidi w:val="0"/>
        <w:spacing w:after="0" w:line="340" w:lineRule="exact"/>
        <w:ind w:firstLine="43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3"/>
          <w:sz w:val="21"/>
          <w:szCs w:val="21"/>
          <w:highlight w:val="none"/>
        </w:rPr>
        <w:t>甲乙双方最高罚款总额应不超过货款总额5%。</w:t>
      </w:r>
    </w:p>
    <w:p w14:paraId="6A55684F">
      <w:pPr>
        <w:pStyle w:val="21"/>
        <w:keepLines w:val="0"/>
        <w:pageBreakBefore w:val="0"/>
        <w:widowControl w:val="0"/>
        <w:kinsoku/>
        <w:wordWrap/>
        <w:overflowPunct/>
        <w:topLinePunct w:val="0"/>
        <w:bidi w:val="0"/>
        <w:spacing w:after="0" w:line="340" w:lineRule="exact"/>
        <w:ind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第十五条  不可抗力事件处理</w:t>
      </w:r>
    </w:p>
    <w:p w14:paraId="0832E2C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1.在合同有效期内，任何一方因不可抗力事件导致不能履行合同，则合同履行期可延长，其延长期与不可抗力影响期相同。</w:t>
      </w:r>
    </w:p>
    <w:p w14:paraId="56581CF3">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2.不可抗力事件发生后，应立即通知对方，并寄送有关权威机构出具的证明。</w:t>
      </w:r>
    </w:p>
    <w:p w14:paraId="3739731B">
      <w:pPr>
        <w:pStyle w:val="21"/>
        <w:keepLines w:val="0"/>
        <w:pageBreakBefore w:val="0"/>
        <w:widowControl w:val="0"/>
        <w:kinsoku/>
        <w:wordWrap/>
        <w:overflowPunct/>
        <w:topLinePunct w:val="0"/>
        <w:bidi w:val="0"/>
        <w:spacing w:after="0" w:line="3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spacing w:val="-7"/>
          <w:sz w:val="21"/>
          <w:szCs w:val="21"/>
          <w:highlight w:val="none"/>
        </w:rPr>
        <w:t>不可抗力事件延续一百二十天以上，双方应通过友好协商，确</w:t>
      </w:r>
      <w:r>
        <w:rPr>
          <w:rFonts w:hint="eastAsia" w:ascii="宋体" w:hAnsi="宋体" w:eastAsia="宋体" w:cs="宋体"/>
          <w:color w:val="auto"/>
          <w:spacing w:val="-6"/>
          <w:sz w:val="21"/>
          <w:szCs w:val="21"/>
          <w:highlight w:val="none"/>
        </w:rPr>
        <w:t>定是否继续履行合同。</w:t>
      </w:r>
    </w:p>
    <w:p w14:paraId="2C730F68">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第十六条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合同争议解决</w:t>
      </w:r>
    </w:p>
    <w:p w14:paraId="3A4CAE02">
      <w:pPr>
        <w:pStyle w:val="21"/>
        <w:keepLines w:val="0"/>
        <w:pageBreakBefore w:val="0"/>
        <w:widowControl w:val="0"/>
        <w:kinsoku/>
        <w:wordWrap/>
        <w:overflowPunct/>
        <w:topLinePunct w:val="0"/>
        <w:bidi w:val="0"/>
        <w:spacing w:after="0" w:line="340" w:lineRule="exact"/>
        <w:ind w:firstLine="39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1.因货物质量问题发生争议的，应邀请国家认可的质量检测机构</w:t>
      </w:r>
      <w:r>
        <w:rPr>
          <w:rFonts w:hint="eastAsia" w:ascii="宋体" w:hAnsi="宋体" w:eastAsia="宋体" w:cs="宋体"/>
          <w:color w:val="auto"/>
          <w:spacing w:val="-5"/>
          <w:sz w:val="21"/>
          <w:szCs w:val="21"/>
          <w:highlight w:val="none"/>
        </w:rPr>
        <w:t>对货物质量进行鉴定。货物符合标准的，鉴定费由甲方承担；货物不</w:t>
      </w:r>
      <w:r>
        <w:rPr>
          <w:rFonts w:hint="eastAsia" w:ascii="宋体" w:hAnsi="宋体" w:eastAsia="宋体" w:cs="宋体"/>
          <w:color w:val="auto"/>
          <w:spacing w:val="-4"/>
          <w:sz w:val="21"/>
          <w:szCs w:val="21"/>
          <w:highlight w:val="none"/>
        </w:rPr>
        <w:t>符合标准的，鉴定费由乙方承担。</w:t>
      </w:r>
    </w:p>
    <w:p w14:paraId="00FA2DAA">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2.因履行本合同引起的或与本合同有关的争议，甲乙双方应首先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通过友好协商解决，如果协商不能解决，可向</w:t>
      </w:r>
      <w:r>
        <w:rPr>
          <w:rFonts w:hint="eastAsia" w:ascii="宋体" w:hAnsi="宋体" w:eastAsia="宋体" w:cs="宋体"/>
          <w:color w:val="auto"/>
          <w:spacing w:val="-5"/>
          <w:sz w:val="21"/>
          <w:szCs w:val="21"/>
          <w:highlight w:val="none"/>
          <w:lang w:eastAsia="zh-CN"/>
        </w:rPr>
        <w:t>甲方所在地</w:t>
      </w:r>
      <w:r>
        <w:rPr>
          <w:rFonts w:hint="eastAsia" w:ascii="宋体" w:hAnsi="宋体" w:eastAsia="宋体" w:cs="宋体"/>
          <w:color w:val="auto"/>
          <w:spacing w:val="-8"/>
          <w:sz w:val="21"/>
          <w:szCs w:val="21"/>
          <w:highlight w:val="none"/>
        </w:rPr>
        <w:t>人民法院提起诉讼。</w:t>
      </w:r>
    </w:p>
    <w:p w14:paraId="312805F7">
      <w:pPr>
        <w:pStyle w:val="21"/>
        <w:keepLines w:val="0"/>
        <w:pageBreakBefore w:val="0"/>
        <w:widowControl w:val="0"/>
        <w:kinsoku/>
        <w:wordWrap/>
        <w:overflowPunct/>
        <w:topLinePunct w:val="0"/>
        <w:bidi w:val="0"/>
        <w:spacing w:after="0" w:line="340" w:lineRule="exact"/>
        <w:ind w:firstLine="38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3.诉讼期间，本合同继续履行。</w:t>
      </w:r>
    </w:p>
    <w:p w14:paraId="242B1696">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第十七条 合同生效及其它</w:t>
      </w:r>
    </w:p>
    <w:p w14:paraId="7A9A08D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1.合同经双方法定代表人(负责人)或授权代表(委托代理人)签字并加盖单位公章后生效。</w:t>
      </w:r>
    </w:p>
    <w:p w14:paraId="16BAC135">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合同执行中涉及采购资金和采购内容修改或补充的，须经</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审批，并签书面补充协议报</w:t>
      </w:r>
      <w:r>
        <w:rPr>
          <w:rFonts w:hint="eastAsia" w:ascii="宋体" w:hAnsi="宋体" w:eastAsia="宋体" w:cs="宋体"/>
          <w:color w:val="auto"/>
          <w:highlight w:val="none"/>
        </w:rPr>
        <w:t>财政部门</w:t>
      </w:r>
      <w:r>
        <w:rPr>
          <w:rFonts w:hint="eastAsia" w:ascii="宋体" w:hAnsi="宋体" w:eastAsia="宋体" w:cs="宋体"/>
          <w:color w:val="auto"/>
          <w:spacing w:val="1"/>
          <w:sz w:val="21"/>
          <w:szCs w:val="21"/>
          <w:highlight w:val="none"/>
        </w:rPr>
        <w:t>备案，方可作为主合同不可分割的一部分。</w:t>
      </w:r>
    </w:p>
    <w:p w14:paraId="326486E0">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6"/>
          <w:sz w:val="21"/>
          <w:szCs w:val="21"/>
          <w:highlight w:val="none"/>
        </w:rPr>
        <w:t>. 本合同未尽事宜，遵照《中华人民共和国民法典》有关条文执行。</w:t>
      </w:r>
    </w:p>
    <w:p w14:paraId="50536875">
      <w:pPr>
        <w:pStyle w:val="21"/>
        <w:keepLines w:val="0"/>
        <w:pageBreakBefore w:val="0"/>
        <w:widowControl w:val="0"/>
        <w:kinsoku/>
        <w:wordWrap/>
        <w:overflowPunct/>
        <w:topLinePunct w:val="0"/>
        <w:bidi w:val="0"/>
        <w:spacing w:after="0" w:line="340" w:lineRule="exact"/>
        <w:ind w:firstLine="40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第十八条 合同的变更、终止与转让</w:t>
      </w:r>
    </w:p>
    <w:p w14:paraId="1591712E">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 除《中华人民共和国政府采购法》第五十条规定的情形外，本合同一经签订，甲乙双方不得擅自变更、中止或终止。</w:t>
      </w:r>
    </w:p>
    <w:p w14:paraId="38C7C297">
      <w:pPr>
        <w:pStyle w:val="21"/>
        <w:keepLines w:val="0"/>
        <w:pageBreakBefore w:val="0"/>
        <w:widowControl w:val="0"/>
        <w:kinsoku/>
        <w:wordWrap/>
        <w:overflowPunct/>
        <w:topLinePunct w:val="0"/>
        <w:bidi w:val="0"/>
        <w:spacing w:after="0" w:line="340" w:lineRule="exact"/>
        <w:ind w:firstLine="42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2.乙方不得擅自转让(无进口资格的供应商委</w:t>
      </w:r>
      <w:r>
        <w:rPr>
          <w:rFonts w:hint="eastAsia" w:ascii="宋体" w:hAnsi="宋体" w:eastAsia="宋体" w:cs="宋体"/>
          <w:color w:val="auto"/>
          <w:spacing w:val="1"/>
          <w:sz w:val="21"/>
          <w:szCs w:val="21"/>
          <w:highlight w:val="none"/>
        </w:rPr>
        <w:t>托进口货物除外)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其应履行的合同义务。</w:t>
      </w:r>
    </w:p>
    <w:p w14:paraId="4C86AABE">
      <w:pPr>
        <w:pStyle w:val="21"/>
        <w:keepLines w:val="0"/>
        <w:pageBreakBefore w:val="0"/>
        <w:widowControl w:val="0"/>
        <w:kinsoku/>
        <w:wordWrap/>
        <w:overflowPunct/>
        <w:topLinePunct w:val="0"/>
        <w:bidi w:val="0"/>
        <w:spacing w:after="0" w:line="340" w:lineRule="exact"/>
        <w:ind w:firstLine="398"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第十九条</w:t>
      </w:r>
      <w:r>
        <w:rPr>
          <w:rFonts w:hint="eastAsia" w:ascii="宋体" w:hAnsi="宋体" w:eastAsia="宋体" w:cs="宋体"/>
          <w:color w:val="auto"/>
          <w:spacing w:val="-6"/>
          <w:sz w:val="21"/>
          <w:szCs w:val="21"/>
          <w:highlight w:val="none"/>
        </w:rPr>
        <w:t xml:space="preserve">  </w:t>
      </w:r>
      <w:r>
        <w:rPr>
          <w:rFonts w:hint="eastAsia" w:ascii="宋体" w:hAnsi="宋体" w:eastAsia="宋体" w:cs="宋体"/>
          <w:b/>
          <w:bCs/>
          <w:color w:val="auto"/>
          <w:spacing w:val="-6"/>
          <w:sz w:val="21"/>
          <w:szCs w:val="21"/>
          <w:highlight w:val="none"/>
        </w:rPr>
        <w:t>签订本合同依据</w:t>
      </w:r>
    </w:p>
    <w:p w14:paraId="3B8B9086">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1. </w:t>
      </w:r>
      <w:r>
        <w:rPr>
          <w:rFonts w:hint="eastAsia" w:ascii="宋体" w:hAnsi="宋体" w:eastAsia="宋体" w:cs="宋体"/>
          <w:color w:val="auto"/>
          <w:spacing w:val="1"/>
          <w:sz w:val="21"/>
          <w:szCs w:val="21"/>
          <w:highlight w:val="none"/>
          <w:lang w:eastAsia="zh-CN"/>
        </w:rPr>
        <w:t>招标文件</w:t>
      </w:r>
      <w:r>
        <w:rPr>
          <w:rFonts w:hint="eastAsia" w:ascii="宋体" w:hAnsi="宋体" w:eastAsia="宋体" w:cs="宋体"/>
          <w:color w:val="auto"/>
          <w:spacing w:val="1"/>
          <w:sz w:val="21"/>
          <w:szCs w:val="21"/>
          <w:highlight w:val="none"/>
        </w:rPr>
        <w:t>；</w:t>
      </w:r>
    </w:p>
    <w:p w14:paraId="4C7F54AE">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 乙方提供的</w:t>
      </w:r>
      <w:r>
        <w:rPr>
          <w:rFonts w:hint="eastAsia" w:ascii="宋体" w:hAnsi="宋体" w:eastAsia="宋体"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w:t>
      </w:r>
    </w:p>
    <w:p w14:paraId="134BCB07">
      <w:pPr>
        <w:pStyle w:val="21"/>
        <w:keepLines w:val="0"/>
        <w:pageBreakBefore w:val="0"/>
        <w:widowControl w:val="0"/>
        <w:kinsoku/>
        <w:wordWrap/>
        <w:overflowPunct/>
        <w:topLinePunct w:val="0"/>
        <w:bidi w:val="0"/>
        <w:spacing w:after="0" w:line="340" w:lineRule="exact"/>
        <w:ind w:firstLine="424" w:firstLineChars="20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3. </w:t>
      </w:r>
      <w:r>
        <w:rPr>
          <w:rFonts w:hint="eastAsia" w:ascii="宋体" w:hAnsi="宋体" w:eastAsia="宋体" w:cs="宋体"/>
          <w:color w:val="auto"/>
          <w:szCs w:val="21"/>
          <w:highlight w:val="none"/>
        </w:rPr>
        <w:t>投标承诺书</w:t>
      </w:r>
      <w:r>
        <w:rPr>
          <w:rFonts w:hint="eastAsia" w:ascii="宋体" w:hAnsi="宋体" w:eastAsia="宋体" w:cs="宋体"/>
          <w:color w:val="auto"/>
          <w:spacing w:val="1"/>
          <w:sz w:val="21"/>
          <w:szCs w:val="21"/>
          <w:highlight w:val="none"/>
        </w:rPr>
        <w:t>；</w:t>
      </w:r>
    </w:p>
    <w:p w14:paraId="18034955">
      <w:pPr>
        <w:pStyle w:val="21"/>
        <w:keepLines w:val="0"/>
        <w:pageBreakBefore w:val="0"/>
        <w:widowControl w:val="0"/>
        <w:kinsoku/>
        <w:wordWrap/>
        <w:overflowPunct/>
        <w:topLinePunct w:val="0"/>
        <w:bidi w:val="0"/>
        <w:spacing w:after="0" w:line="340" w:lineRule="exact"/>
        <w:ind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4. </w:t>
      </w:r>
      <w:r>
        <w:rPr>
          <w:rFonts w:hint="eastAsia" w:ascii="宋体" w:hAnsi="宋体" w:eastAsia="宋体" w:cs="宋体"/>
          <w:color w:val="auto"/>
          <w:spacing w:val="-4"/>
          <w:sz w:val="21"/>
          <w:szCs w:val="21"/>
          <w:highlight w:val="none"/>
          <w:lang w:val="en-US" w:eastAsia="zh-CN"/>
        </w:rPr>
        <w:t>中标</w:t>
      </w:r>
      <w:r>
        <w:rPr>
          <w:rFonts w:hint="eastAsia" w:ascii="宋体" w:hAnsi="宋体" w:eastAsia="宋体" w:cs="宋体"/>
          <w:color w:val="auto"/>
          <w:spacing w:val="-4"/>
          <w:sz w:val="21"/>
          <w:szCs w:val="21"/>
          <w:highlight w:val="none"/>
        </w:rPr>
        <w:t>通知书。</w:t>
      </w:r>
    </w:p>
    <w:p w14:paraId="221F7234">
      <w:pPr>
        <w:pStyle w:val="21"/>
        <w:keepLines w:val="0"/>
        <w:pageBreakBefore w:val="0"/>
        <w:widowControl w:val="0"/>
        <w:kinsoku/>
        <w:wordWrap/>
        <w:overflowPunct/>
        <w:topLinePunct w:val="0"/>
        <w:bidi w:val="0"/>
        <w:spacing w:after="0" w:line="340" w:lineRule="exact"/>
        <w:ind w:firstLine="406"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第二</w:t>
      </w:r>
      <w:r>
        <w:rPr>
          <w:rFonts w:hint="eastAsia" w:ascii="宋体" w:hAnsi="宋体" w:eastAsia="宋体" w:cs="宋体"/>
          <w:b/>
          <w:bCs/>
          <w:color w:val="auto"/>
          <w:sz w:val="21"/>
          <w:szCs w:val="21"/>
          <w:highlight w:val="none"/>
        </w:rPr>
        <w:t>十条</w:t>
      </w:r>
      <w:r>
        <w:rPr>
          <w:rFonts w:hint="eastAsia" w:ascii="宋体" w:hAnsi="宋体" w:eastAsia="宋体" w:cs="宋体"/>
          <w:b/>
          <w:color w:val="auto"/>
          <w:sz w:val="21"/>
          <w:szCs w:val="21"/>
          <w:highlight w:val="none"/>
        </w:rPr>
        <w:t>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陆   </w:t>
      </w:r>
      <w:r>
        <w:rPr>
          <w:rFonts w:hint="eastAsia" w:ascii="宋体" w:hAnsi="宋体" w:eastAsia="宋体" w:cs="宋体"/>
          <w:color w:val="auto"/>
          <w:sz w:val="21"/>
          <w:szCs w:val="21"/>
          <w:highlight w:val="none"/>
        </w:rPr>
        <w:t>份，具有同等法律效力，采购代理单位、政府采购监管部门各一份，甲乙双方各</w:t>
      </w:r>
      <w:r>
        <w:rPr>
          <w:rFonts w:hint="eastAsia" w:ascii="宋体" w:hAnsi="宋体" w:eastAsia="宋体" w:cs="宋体"/>
          <w:color w:val="auto"/>
          <w:sz w:val="21"/>
          <w:szCs w:val="21"/>
          <w:highlight w:val="none"/>
          <w:u w:val="single"/>
        </w:rPr>
        <w:t xml:space="preserve"> 贰  </w:t>
      </w:r>
      <w:r>
        <w:rPr>
          <w:rFonts w:hint="eastAsia" w:ascii="宋体" w:hAnsi="宋体" w:eastAsia="宋体" w:cs="宋体"/>
          <w:color w:val="auto"/>
          <w:sz w:val="21"/>
          <w:szCs w:val="21"/>
          <w:highlight w:val="none"/>
        </w:rPr>
        <w:t>份。</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AA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C1CBB4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3C1CAA61">
            <w:pPr>
              <w:keepLines w:val="0"/>
              <w:pageBreakBefore w:val="0"/>
              <w:widowControl w:val="0"/>
              <w:kinsoku/>
              <w:wordWrap/>
              <w:overflowPunct/>
              <w:topLinePunct w:val="0"/>
              <w:bidi w:val="0"/>
              <w:snapToGrid w:val="0"/>
              <w:spacing w:line="340" w:lineRule="exact"/>
              <w:ind w:firstLine="945"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6064BDAC">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B95EFB8">
            <w:pPr>
              <w:keepLines w:val="0"/>
              <w:pageBreakBefore w:val="0"/>
              <w:widowControl w:val="0"/>
              <w:kinsoku/>
              <w:wordWrap/>
              <w:overflowPunct/>
              <w:topLinePunct w:val="0"/>
              <w:bidi w:val="0"/>
              <w:snapToGrid w:val="0"/>
              <w:spacing w:line="340" w:lineRule="exact"/>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428A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F62CB30">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31291B3B">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5BFC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F5B4B1">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6A1B7EA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5546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225D4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7E6D736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0482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D4C65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11EFC23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0A27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79E734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0BF96148">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1AAE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C2151CF">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649AE0FA">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3007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139BF0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0C47B939">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5A5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4B0BEFD">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15359E84">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2C48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12AAD986">
            <w:pPr>
              <w:keepLines w:val="0"/>
              <w:pageBreakBefore w:val="0"/>
              <w:widowControl w:val="0"/>
              <w:kinsoku/>
              <w:wordWrap/>
              <w:overflowPunct/>
              <w:topLinePunct w:val="0"/>
              <w:bidi w:val="0"/>
              <w:snapToGrid w:val="0"/>
              <w:spacing w:line="3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                                                            年    月    日</w:t>
            </w:r>
          </w:p>
        </w:tc>
      </w:tr>
      <w:bookmarkEnd w:id="104"/>
    </w:tbl>
    <w:p w14:paraId="54DEEE4A">
      <w:pPr>
        <w:snapToGrid w:val="0"/>
        <w:jc w:val="center"/>
        <w:rPr>
          <w:rFonts w:hint="eastAsia" w:ascii="宋体" w:hAnsi="宋体" w:eastAsia="宋体" w:cs="宋体"/>
          <w:color w:val="auto"/>
          <w:sz w:val="30"/>
          <w:szCs w:val="30"/>
          <w:highlight w:val="none"/>
        </w:rPr>
      </w:pPr>
    </w:p>
    <w:p w14:paraId="25B84A5C">
      <w:pPr>
        <w:snapToGrid w:val="0"/>
        <w:jc w:val="center"/>
        <w:rPr>
          <w:rFonts w:hint="eastAsia" w:ascii="宋体" w:hAnsi="宋体" w:eastAsia="宋体" w:cs="宋体"/>
          <w:color w:val="auto"/>
          <w:sz w:val="30"/>
          <w:szCs w:val="30"/>
          <w:highlight w:val="none"/>
        </w:rPr>
      </w:pPr>
    </w:p>
    <w:p w14:paraId="62803B99">
      <w:pPr>
        <w:snapToGrid w:val="0"/>
        <w:jc w:val="center"/>
        <w:rPr>
          <w:rFonts w:hint="eastAsia" w:ascii="宋体" w:hAnsi="宋体" w:eastAsia="宋体" w:cs="宋体"/>
          <w:color w:val="auto"/>
          <w:sz w:val="30"/>
          <w:szCs w:val="30"/>
          <w:highlight w:val="none"/>
        </w:rPr>
      </w:pPr>
    </w:p>
    <w:p w14:paraId="59A4CAEB">
      <w:pPr>
        <w:snapToGrid w:val="0"/>
        <w:jc w:val="center"/>
        <w:rPr>
          <w:rFonts w:hint="eastAsia" w:ascii="宋体" w:hAnsi="宋体" w:eastAsia="宋体" w:cs="宋体"/>
          <w:color w:val="auto"/>
          <w:sz w:val="30"/>
          <w:szCs w:val="30"/>
          <w:highlight w:val="none"/>
        </w:rPr>
      </w:pPr>
    </w:p>
    <w:p w14:paraId="362E49F0">
      <w:pPr>
        <w:snapToGrid w:val="0"/>
        <w:jc w:val="center"/>
        <w:rPr>
          <w:rFonts w:hint="eastAsia" w:ascii="宋体" w:hAnsi="宋体" w:eastAsia="宋体" w:cs="宋体"/>
          <w:color w:val="auto"/>
          <w:sz w:val="30"/>
          <w:szCs w:val="30"/>
          <w:highlight w:val="none"/>
        </w:rPr>
      </w:pPr>
    </w:p>
    <w:p w14:paraId="2822676E">
      <w:pPr>
        <w:snapToGrid w:val="0"/>
        <w:jc w:val="center"/>
        <w:rPr>
          <w:rFonts w:hint="eastAsia" w:ascii="宋体" w:hAnsi="宋体" w:eastAsia="宋体" w:cs="宋体"/>
          <w:color w:val="auto"/>
          <w:sz w:val="30"/>
          <w:szCs w:val="30"/>
          <w:highlight w:val="none"/>
        </w:rPr>
      </w:pPr>
    </w:p>
    <w:p w14:paraId="22D5198E">
      <w:pPr>
        <w:snapToGrid w:val="0"/>
        <w:jc w:val="center"/>
        <w:rPr>
          <w:rFonts w:hint="eastAsia" w:ascii="宋体" w:hAnsi="宋体" w:eastAsia="宋体" w:cs="宋体"/>
          <w:color w:val="auto"/>
          <w:sz w:val="30"/>
          <w:szCs w:val="30"/>
          <w:highlight w:val="none"/>
        </w:rPr>
      </w:pPr>
    </w:p>
    <w:p w14:paraId="53CF9EDD">
      <w:pPr>
        <w:snapToGrid w:val="0"/>
        <w:jc w:val="center"/>
        <w:rPr>
          <w:rFonts w:hint="eastAsia" w:ascii="宋体" w:hAnsi="宋体" w:eastAsia="宋体" w:cs="宋体"/>
          <w:color w:val="auto"/>
          <w:sz w:val="30"/>
          <w:szCs w:val="30"/>
          <w:highlight w:val="none"/>
        </w:rPr>
      </w:pPr>
    </w:p>
    <w:p w14:paraId="6638C0AF">
      <w:pPr>
        <w:snapToGrid w:val="0"/>
        <w:jc w:val="center"/>
        <w:rPr>
          <w:rFonts w:hint="eastAsia" w:ascii="宋体" w:hAnsi="宋体" w:eastAsia="宋体" w:cs="宋体"/>
          <w:color w:val="auto"/>
          <w:sz w:val="30"/>
          <w:szCs w:val="30"/>
          <w:highlight w:val="none"/>
        </w:rPr>
      </w:pPr>
    </w:p>
    <w:p w14:paraId="165FD616">
      <w:pPr>
        <w:snapToGrid w:val="0"/>
        <w:jc w:val="center"/>
        <w:rPr>
          <w:rFonts w:hint="eastAsia" w:ascii="宋体" w:hAnsi="宋体" w:eastAsia="宋体" w:cs="宋体"/>
          <w:color w:val="auto"/>
          <w:sz w:val="30"/>
          <w:szCs w:val="30"/>
          <w:highlight w:val="none"/>
        </w:rPr>
      </w:pPr>
    </w:p>
    <w:p w14:paraId="6B919CEE">
      <w:pPr>
        <w:snapToGrid w:val="0"/>
        <w:jc w:val="center"/>
        <w:rPr>
          <w:rFonts w:hint="eastAsia" w:ascii="宋体" w:hAnsi="宋体" w:eastAsia="宋体" w:cs="宋体"/>
          <w:color w:val="auto"/>
          <w:sz w:val="30"/>
          <w:szCs w:val="30"/>
          <w:highlight w:val="none"/>
        </w:rPr>
      </w:pPr>
    </w:p>
    <w:p w14:paraId="21EA93D1">
      <w:pPr>
        <w:snapToGrid w:val="0"/>
        <w:jc w:val="center"/>
        <w:rPr>
          <w:rFonts w:hint="eastAsia" w:ascii="宋体" w:hAnsi="宋体" w:eastAsia="宋体" w:cs="宋体"/>
          <w:color w:val="auto"/>
          <w:sz w:val="30"/>
          <w:szCs w:val="30"/>
          <w:highlight w:val="none"/>
        </w:rPr>
      </w:pPr>
    </w:p>
    <w:p w14:paraId="3C6210C0">
      <w:pPr>
        <w:snapToGrid w:val="0"/>
        <w:jc w:val="center"/>
        <w:rPr>
          <w:rFonts w:hint="eastAsia" w:ascii="宋体" w:hAnsi="宋体" w:eastAsia="宋体" w:cs="宋体"/>
          <w:color w:val="auto"/>
          <w:sz w:val="30"/>
          <w:szCs w:val="30"/>
          <w:highlight w:val="none"/>
        </w:rPr>
      </w:pPr>
    </w:p>
    <w:p w14:paraId="3E5A467B">
      <w:pPr>
        <w:snapToGrid w:val="0"/>
        <w:jc w:val="center"/>
        <w:rPr>
          <w:rFonts w:hint="eastAsia" w:ascii="宋体" w:hAnsi="宋体" w:eastAsia="宋体" w:cs="宋体"/>
          <w:color w:val="auto"/>
          <w:sz w:val="30"/>
          <w:szCs w:val="30"/>
          <w:highlight w:val="none"/>
        </w:rPr>
      </w:pPr>
    </w:p>
    <w:p w14:paraId="756B3F31">
      <w:pPr>
        <w:snapToGrid w:val="0"/>
        <w:jc w:val="center"/>
        <w:rPr>
          <w:rFonts w:hint="eastAsia" w:ascii="宋体" w:hAnsi="宋体" w:eastAsia="宋体" w:cs="宋体"/>
          <w:color w:val="auto"/>
          <w:sz w:val="30"/>
          <w:szCs w:val="30"/>
          <w:highlight w:val="none"/>
        </w:rPr>
      </w:pPr>
    </w:p>
    <w:p w14:paraId="591FF014">
      <w:pPr>
        <w:snapToGrid w:val="0"/>
        <w:jc w:val="center"/>
        <w:rPr>
          <w:rFonts w:hint="eastAsia" w:ascii="宋体" w:hAnsi="宋体" w:eastAsia="宋体" w:cs="宋体"/>
          <w:color w:val="auto"/>
          <w:sz w:val="30"/>
          <w:szCs w:val="30"/>
          <w:highlight w:val="none"/>
        </w:rPr>
      </w:pPr>
    </w:p>
    <w:p w14:paraId="22012E0C">
      <w:pPr>
        <w:snapToGrid w:val="0"/>
        <w:jc w:val="center"/>
        <w:rPr>
          <w:rFonts w:hint="eastAsia" w:ascii="宋体" w:hAnsi="宋体" w:eastAsia="宋体" w:cs="宋体"/>
          <w:color w:val="auto"/>
          <w:sz w:val="30"/>
          <w:szCs w:val="30"/>
          <w:highlight w:val="none"/>
        </w:rPr>
      </w:pPr>
    </w:p>
    <w:p w14:paraId="50648484">
      <w:pPr>
        <w:snapToGrid w:val="0"/>
        <w:jc w:val="center"/>
        <w:rPr>
          <w:rFonts w:hint="eastAsia" w:ascii="宋体" w:hAnsi="宋体" w:eastAsia="宋体" w:cs="宋体"/>
          <w:color w:val="auto"/>
          <w:sz w:val="30"/>
          <w:szCs w:val="30"/>
          <w:highlight w:val="none"/>
        </w:rPr>
      </w:pPr>
    </w:p>
    <w:p w14:paraId="0B188F3E">
      <w:pPr>
        <w:snapToGrid w:val="0"/>
        <w:jc w:val="center"/>
        <w:rPr>
          <w:rFonts w:hint="eastAsia" w:ascii="宋体" w:hAnsi="宋体" w:eastAsia="宋体" w:cs="宋体"/>
          <w:color w:val="auto"/>
          <w:sz w:val="30"/>
          <w:szCs w:val="30"/>
          <w:highlight w:val="none"/>
        </w:rPr>
      </w:pPr>
    </w:p>
    <w:p w14:paraId="34167288">
      <w:pPr>
        <w:snapToGrid w:val="0"/>
        <w:jc w:val="center"/>
        <w:rPr>
          <w:rFonts w:hint="eastAsia" w:ascii="宋体" w:hAnsi="宋体" w:eastAsia="宋体" w:cs="宋体"/>
          <w:color w:val="auto"/>
          <w:sz w:val="30"/>
          <w:szCs w:val="30"/>
          <w:highlight w:val="none"/>
        </w:rPr>
      </w:pPr>
    </w:p>
    <w:p w14:paraId="1903991E">
      <w:pPr>
        <w:snapToGrid w:val="0"/>
        <w:jc w:val="center"/>
        <w:rPr>
          <w:rFonts w:hint="eastAsia" w:ascii="宋体" w:hAnsi="宋体" w:eastAsia="宋体" w:cs="宋体"/>
          <w:color w:val="auto"/>
          <w:sz w:val="30"/>
          <w:szCs w:val="30"/>
          <w:highlight w:val="none"/>
        </w:rPr>
      </w:pPr>
    </w:p>
    <w:p w14:paraId="17B423CD">
      <w:pPr>
        <w:snapToGrid w:val="0"/>
        <w:jc w:val="center"/>
        <w:rPr>
          <w:rFonts w:hint="eastAsia" w:ascii="宋体" w:hAnsi="宋体" w:eastAsia="宋体" w:cs="宋体"/>
          <w:color w:val="auto"/>
          <w:sz w:val="30"/>
          <w:szCs w:val="30"/>
          <w:highlight w:val="none"/>
        </w:rPr>
      </w:pPr>
    </w:p>
    <w:p w14:paraId="349937DD">
      <w:pPr>
        <w:snapToGrid w:val="0"/>
        <w:rPr>
          <w:rFonts w:hint="eastAsia" w:ascii="宋体" w:hAnsi="宋体" w:eastAsia="宋体" w:cs="宋体"/>
          <w:color w:val="auto"/>
          <w:sz w:val="30"/>
          <w:szCs w:val="30"/>
          <w:highlight w:val="none"/>
        </w:rPr>
      </w:pPr>
    </w:p>
    <w:p w14:paraId="2F77EC18">
      <w:pPr>
        <w:pStyle w:val="27"/>
        <w:snapToGrid w:val="0"/>
        <w:spacing w:before="120" w:after="120" w:line="320" w:lineRule="exact"/>
        <w:jc w:val="center"/>
        <w:outlineLvl w:val="0"/>
        <w:rPr>
          <w:rFonts w:hint="eastAsia" w:ascii="宋体" w:hAnsi="宋体" w:eastAsia="宋体" w:cs="宋体"/>
          <w:b/>
          <w:color w:val="auto"/>
          <w:sz w:val="30"/>
          <w:szCs w:val="30"/>
          <w:highlight w:val="none"/>
        </w:rPr>
      </w:pPr>
      <w:bookmarkStart w:id="105" w:name="_Toc32317"/>
      <w:r>
        <w:rPr>
          <w:rFonts w:hint="eastAsia" w:ascii="宋体" w:hAnsi="宋体" w:eastAsia="宋体" w:cs="宋体"/>
          <w:b/>
          <w:color w:val="auto"/>
          <w:sz w:val="28"/>
          <w:szCs w:val="28"/>
          <w:highlight w:val="none"/>
        </w:rPr>
        <w:t>第六章 投标文件格式</w:t>
      </w:r>
      <w:bookmarkEnd w:id="105"/>
    </w:p>
    <w:p w14:paraId="24DD15D0">
      <w:pPr>
        <w:snapToGrid w:val="0"/>
        <w:jc w:val="center"/>
        <w:rPr>
          <w:rFonts w:hint="eastAsia" w:ascii="宋体" w:hAnsi="宋体" w:eastAsia="宋体" w:cs="宋体"/>
          <w:color w:val="auto"/>
          <w:sz w:val="30"/>
          <w:szCs w:val="30"/>
          <w:highlight w:val="none"/>
        </w:rPr>
      </w:pPr>
    </w:p>
    <w:p w14:paraId="3B4DD7C0">
      <w:pPr>
        <w:snapToGrid w:val="0"/>
        <w:jc w:val="center"/>
        <w:rPr>
          <w:rFonts w:hint="eastAsia" w:ascii="宋体" w:hAnsi="宋体" w:eastAsia="宋体" w:cs="宋体"/>
          <w:color w:val="auto"/>
          <w:sz w:val="30"/>
          <w:szCs w:val="30"/>
          <w:highlight w:val="none"/>
        </w:rPr>
      </w:pPr>
    </w:p>
    <w:p w14:paraId="18BC919A">
      <w:pPr>
        <w:snapToGrid w:val="0"/>
        <w:jc w:val="center"/>
        <w:rPr>
          <w:rFonts w:hint="eastAsia" w:ascii="宋体" w:hAnsi="宋体" w:eastAsia="宋体" w:cs="宋体"/>
          <w:color w:val="auto"/>
          <w:sz w:val="30"/>
          <w:szCs w:val="30"/>
          <w:highlight w:val="none"/>
        </w:rPr>
      </w:pPr>
    </w:p>
    <w:p w14:paraId="7DBCE6F6">
      <w:pPr>
        <w:snapToGrid w:val="0"/>
        <w:jc w:val="center"/>
        <w:rPr>
          <w:rFonts w:hint="eastAsia" w:ascii="宋体" w:hAnsi="宋体" w:eastAsia="宋体" w:cs="宋体"/>
          <w:color w:val="auto"/>
          <w:sz w:val="30"/>
          <w:szCs w:val="30"/>
          <w:highlight w:val="none"/>
        </w:rPr>
      </w:pPr>
    </w:p>
    <w:p w14:paraId="2A7E369D">
      <w:pPr>
        <w:snapToGrid w:val="0"/>
        <w:jc w:val="left"/>
        <w:rPr>
          <w:rFonts w:hint="eastAsia" w:ascii="宋体" w:hAnsi="宋体" w:eastAsia="宋体" w:cs="宋体"/>
          <w:color w:val="auto"/>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highlight w:val="none"/>
        </w:rPr>
        <w:t xml:space="preserve"> </w:t>
      </w:r>
    </w:p>
    <w:p w14:paraId="4AD8DAFF">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1.资格证明文件格式： </w:t>
      </w:r>
    </w:p>
    <w:p w14:paraId="2D7BD9CD">
      <w:pPr>
        <w:snapToGrid w:val="0"/>
        <w:spacing w:before="50" w:after="50" w:line="400" w:lineRule="exact"/>
        <w:rPr>
          <w:rFonts w:hint="eastAsia" w:ascii="宋体" w:hAnsi="宋体" w:eastAsia="宋体" w:cs="宋体"/>
          <w:b/>
          <w:color w:val="auto"/>
          <w:sz w:val="32"/>
          <w:szCs w:val="32"/>
          <w:highlight w:val="none"/>
        </w:rPr>
      </w:pPr>
    </w:p>
    <w:p w14:paraId="3F9E0C32">
      <w:pPr>
        <w:snapToGrid w:val="0"/>
        <w:spacing w:before="50" w:after="50" w:line="400" w:lineRule="exact"/>
        <w:rPr>
          <w:rFonts w:hint="eastAsia" w:ascii="宋体" w:hAnsi="宋体" w:eastAsia="宋体" w:cs="宋体"/>
          <w:b/>
          <w:color w:val="auto"/>
          <w:sz w:val="32"/>
          <w:szCs w:val="32"/>
          <w:highlight w:val="none"/>
        </w:rPr>
      </w:pPr>
    </w:p>
    <w:p w14:paraId="62E047CC">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08305FDB">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5DE41DF7">
      <w:pPr>
        <w:snapToGrid w:val="0"/>
        <w:spacing w:before="120" w:beforeLines="50" w:after="50" w:line="400" w:lineRule="exact"/>
        <w:rPr>
          <w:rFonts w:hint="eastAsia" w:ascii="宋体" w:hAnsi="宋体" w:eastAsia="宋体" w:cs="宋体"/>
          <w:color w:val="auto"/>
          <w:sz w:val="32"/>
          <w:szCs w:val="32"/>
          <w:highlight w:val="none"/>
        </w:rPr>
      </w:pPr>
    </w:p>
    <w:p w14:paraId="78A9669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（资格文件）</w:t>
      </w:r>
    </w:p>
    <w:p w14:paraId="22BA9EA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11D9FD20">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32520E70">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403AEB63">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3F7318BC">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3837028">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0764032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3CE08F1">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25D50C55">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1CE52B0E">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7C5A0AEE">
      <w:pPr>
        <w:snapToGrid w:val="0"/>
        <w:spacing w:before="120" w:beforeLines="50" w:after="50" w:line="400" w:lineRule="exact"/>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2EDFDA25">
      <w:pPr>
        <w:snapToGrid w:val="0"/>
        <w:spacing w:before="120" w:beforeLines="50" w:after="50" w:line="360" w:lineRule="exact"/>
        <w:rPr>
          <w:rFonts w:hint="eastAsia" w:ascii="宋体" w:hAnsi="宋体" w:eastAsia="宋体" w:cs="宋体"/>
          <w:b/>
          <w:bCs/>
          <w:color w:val="auto"/>
          <w:sz w:val="36"/>
          <w:szCs w:val="36"/>
          <w:highlight w:val="none"/>
        </w:rPr>
      </w:pPr>
    </w:p>
    <w:p w14:paraId="5388881C">
      <w:pPr>
        <w:snapToGrid w:val="0"/>
        <w:spacing w:before="120" w:beforeLines="50" w:after="50" w:line="360" w:lineRule="exact"/>
        <w:rPr>
          <w:rFonts w:hint="eastAsia" w:ascii="宋体" w:hAnsi="宋体" w:eastAsia="宋体" w:cs="宋体"/>
          <w:b/>
          <w:bCs/>
          <w:color w:val="auto"/>
          <w:sz w:val="36"/>
          <w:szCs w:val="36"/>
          <w:highlight w:val="none"/>
        </w:rPr>
      </w:pPr>
    </w:p>
    <w:p w14:paraId="2925A888">
      <w:pPr>
        <w:snapToGrid w:val="0"/>
        <w:spacing w:before="120" w:beforeLines="50" w:after="50" w:line="360" w:lineRule="exact"/>
        <w:rPr>
          <w:rFonts w:hint="eastAsia" w:ascii="宋体" w:hAnsi="宋体" w:eastAsia="宋体" w:cs="宋体"/>
          <w:b/>
          <w:bCs/>
          <w:color w:val="auto"/>
          <w:sz w:val="36"/>
          <w:szCs w:val="36"/>
          <w:highlight w:val="none"/>
        </w:rPr>
      </w:pPr>
    </w:p>
    <w:p w14:paraId="71C513F1">
      <w:pPr>
        <w:snapToGrid w:val="0"/>
        <w:spacing w:before="120" w:beforeLines="50" w:after="50" w:line="360" w:lineRule="exact"/>
        <w:rPr>
          <w:rFonts w:hint="eastAsia" w:ascii="宋体" w:hAnsi="宋体" w:eastAsia="宋体" w:cs="宋体"/>
          <w:b/>
          <w:bCs/>
          <w:color w:val="auto"/>
          <w:sz w:val="36"/>
          <w:szCs w:val="36"/>
          <w:highlight w:val="none"/>
        </w:rPr>
      </w:pPr>
    </w:p>
    <w:p w14:paraId="579B0A6D">
      <w:pPr>
        <w:snapToGrid w:val="0"/>
        <w:spacing w:before="120" w:beforeLines="50" w:after="50" w:line="360" w:lineRule="exact"/>
        <w:rPr>
          <w:rFonts w:hint="eastAsia" w:ascii="宋体" w:hAnsi="宋体" w:eastAsia="宋体" w:cs="宋体"/>
          <w:b/>
          <w:bCs/>
          <w:color w:val="auto"/>
          <w:sz w:val="36"/>
          <w:szCs w:val="36"/>
          <w:highlight w:val="none"/>
        </w:rPr>
      </w:pPr>
    </w:p>
    <w:p w14:paraId="257C2656">
      <w:pPr>
        <w:snapToGrid w:val="0"/>
        <w:spacing w:before="120" w:beforeLines="50" w:after="50" w:line="360" w:lineRule="exact"/>
        <w:rPr>
          <w:rFonts w:hint="eastAsia" w:ascii="宋体" w:hAnsi="宋体" w:eastAsia="宋体" w:cs="宋体"/>
          <w:b/>
          <w:bCs/>
          <w:color w:val="auto"/>
          <w:sz w:val="36"/>
          <w:szCs w:val="36"/>
          <w:highlight w:val="none"/>
        </w:rPr>
      </w:pPr>
    </w:p>
    <w:p w14:paraId="4BEE0691">
      <w:pPr>
        <w:snapToGrid w:val="0"/>
        <w:spacing w:before="120" w:beforeLines="50" w:after="50" w:line="360" w:lineRule="exact"/>
        <w:rPr>
          <w:rFonts w:hint="eastAsia" w:ascii="宋体" w:hAnsi="宋体" w:eastAsia="宋体" w:cs="宋体"/>
          <w:b/>
          <w:bCs/>
          <w:color w:val="auto"/>
          <w:sz w:val="36"/>
          <w:szCs w:val="36"/>
          <w:highlight w:val="none"/>
        </w:rPr>
      </w:pPr>
    </w:p>
    <w:p w14:paraId="20C46BC4">
      <w:pPr>
        <w:snapToGrid w:val="0"/>
        <w:spacing w:before="120" w:beforeLines="50" w:after="50" w:line="360" w:lineRule="exact"/>
        <w:rPr>
          <w:rFonts w:hint="eastAsia" w:ascii="宋体" w:hAnsi="宋体" w:eastAsia="宋体" w:cs="宋体"/>
          <w:b/>
          <w:bCs/>
          <w:color w:val="auto"/>
          <w:sz w:val="36"/>
          <w:szCs w:val="36"/>
          <w:highlight w:val="none"/>
        </w:rPr>
      </w:pPr>
    </w:p>
    <w:p w14:paraId="688F9C34">
      <w:pPr>
        <w:snapToGrid w:val="0"/>
        <w:spacing w:before="120" w:beforeLines="50" w:after="50" w:line="360" w:lineRule="exact"/>
        <w:rPr>
          <w:rFonts w:hint="eastAsia" w:ascii="宋体" w:hAnsi="宋体" w:eastAsia="宋体" w:cs="宋体"/>
          <w:b/>
          <w:bCs/>
          <w:color w:val="auto"/>
          <w:sz w:val="36"/>
          <w:szCs w:val="36"/>
          <w:highlight w:val="none"/>
        </w:rPr>
      </w:pPr>
    </w:p>
    <w:p w14:paraId="1F158CBF">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3512216">
      <w:pPr>
        <w:tabs>
          <w:tab w:val="left" w:pos="1418"/>
        </w:tabs>
        <w:snapToGrid w:val="0"/>
        <w:spacing w:before="50" w:after="50"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CA039D6">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5814ADA8">
      <w:pPr>
        <w:widowControl/>
        <w:spacing w:line="360" w:lineRule="exact"/>
        <w:rPr>
          <w:rFonts w:hint="eastAsia" w:ascii="宋体" w:hAnsi="宋体" w:eastAsia="宋体" w:cs="宋体"/>
          <w:b/>
          <w:bCs/>
          <w:color w:val="auto"/>
          <w:sz w:val="24"/>
          <w:highlight w:val="none"/>
        </w:rPr>
      </w:pPr>
    </w:p>
    <w:p w14:paraId="56BB7764">
      <w:pPr>
        <w:widowControl/>
        <w:spacing w:line="360" w:lineRule="exact"/>
        <w:rPr>
          <w:rFonts w:hint="eastAsia" w:ascii="宋体" w:hAnsi="宋体" w:eastAsia="宋体" w:cs="宋体"/>
          <w:color w:val="auto"/>
          <w:szCs w:val="21"/>
          <w:highlight w:val="none"/>
        </w:rPr>
      </w:pPr>
    </w:p>
    <w:p w14:paraId="21227B1C">
      <w:pPr>
        <w:widowControl/>
        <w:spacing w:line="360" w:lineRule="exact"/>
        <w:rPr>
          <w:rFonts w:hint="eastAsia" w:ascii="宋体" w:hAnsi="宋体" w:eastAsia="宋体" w:cs="宋体"/>
          <w:color w:val="auto"/>
          <w:szCs w:val="21"/>
          <w:highlight w:val="none"/>
        </w:rPr>
      </w:pPr>
    </w:p>
    <w:p w14:paraId="5AC9C5A4">
      <w:pPr>
        <w:widowControl/>
        <w:spacing w:line="360" w:lineRule="exact"/>
        <w:rPr>
          <w:rFonts w:hint="eastAsia" w:ascii="宋体" w:hAnsi="宋体" w:eastAsia="宋体" w:cs="宋体"/>
          <w:color w:val="auto"/>
          <w:szCs w:val="21"/>
          <w:highlight w:val="none"/>
        </w:rPr>
      </w:pPr>
    </w:p>
    <w:p w14:paraId="1B7CE96C">
      <w:pPr>
        <w:widowControl/>
        <w:spacing w:line="360" w:lineRule="exact"/>
        <w:rPr>
          <w:rFonts w:hint="eastAsia" w:ascii="宋体" w:hAnsi="宋体" w:eastAsia="宋体" w:cs="宋体"/>
          <w:color w:val="auto"/>
          <w:szCs w:val="21"/>
          <w:highlight w:val="none"/>
        </w:rPr>
      </w:pPr>
    </w:p>
    <w:p w14:paraId="37F16929">
      <w:pPr>
        <w:widowControl/>
        <w:spacing w:line="360" w:lineRule="exact"/>
        <w:rPr>
          <w:rFonts w:hint="eastAsia" w:ascii="宋体" w:hAnsi="宋体" w:eastAsia="宋体" w:cs="宋体"/>
          <w:color w:val="auto"/>
          <w:szCs w:val="21"/>
          <w:highlight w:val="none"/>
        </w:rPr>
      </w:pPr>
    </w:p>
    <w:p w14:paraId="2A6F198F">
      <w:pPr>
        <w:widowControl/>
        <w:spacing w:line="360" w:lineRule="exact"/>
        <w:rPr>
          <w:rFonts w:hint="eastAsia" w:ascii="宋体" w:hAnsi="宋体" w:eastAsia="宋体" w:cs="宋体"/>
          <w:color w:val="auto"/>
          <w:szCs w:val="21"/>
          <w:highlight w:val="none"/>
        </w:rPr>
      </w:pPr>
    </w:p>
    <w:p w14:paraId="689745BD">
      <w:pPr>
        <w:widowControl/>
        <w:spacing w:line="360" w:lineRule="exact"/>
        <w:rPr>
          <w:rFonts w:hint="eastAsia" w:ascii="宋体" w:hAnsi="宋体" w:eastAsia="宋体" w:cs="宋体"/>
          <w:color w:val="auto"/>
          <w:szCs w:val="21"/>
          <w:highlight w:val="none"/>
        </w:rPr>
      </w:pPr>
    </w:p>
    <w:p w14:paraId="2F602412">
      <w:pPr>
        <w:widowControl/>
        <w:spacing w:line="360" w:lineRule="exact"/>
        <w:rPr>
          <w:rFonts w:hint="eastAsia" w:ascii="宋体" w:hAnsi="宋体" w:eastAsia="宋体" w:cs="宋体"/>
          <w:color w:val="auto"/>
          <w:szCs w:val="21"/>
          <w:highlight w:val="none"/>
        </w:rPr>
      </w:pPr>
    </w:p>
    <w:p w14:paraId="7DD8E51D">
      <w:pPr>
        <w:widowControl/>
        <w:spacing w:line="360" w:lineRule="exact"/>
        <w:rPr>
          <w:rFonts w:hint="eastAsia" w:ascii="宋体" w:hAnsi="宋体" w:eastAsia="宋体" w:cs="宋体"/>
          <w:color w:val="auto"/>
          <w:szCs w:val="21"/>
          <w:highlight w:val="none"/>
        </w:rPr>
      </w:pPr>
    </w:p>
    <w:p w14:paraId="572B86BC">
      <w:pPr>
        <w:widowControl/>
        <w:spacing w:line="360" w:lineRule="exact"/>
        <w:rPr>
          <w:rFonts w:hint="eastAsia" w:ascii="宋体" w:hAnsi="宋体" w:eastAsia="宋体" w:cs="宋体"/>
          <w:color w:val="auto"/>
          <w:szCs w:val="21"/>
          <w:highlight w:val="none"/>
        </w:rPr>
      </w:pPr>
    </w:p>
    <w:p w14:paraId="38417085">
      <w:pPr>
        <w:widowControl/>
        <w:spacing w:line="360" w:lineRule="exact"/>
        <w:rPr>
          <w:rFonts w:hint="eastAsia" w:ascii="宋体" w:hAnsi="宋体" w:eastAsia="宋体" w:cs="宋体"/>
          <w:color w:val="auto"/>
          <w:szCs w:val="21"/>
          <w:highlight w:val="none"/>
        </w:rPr>
      </w:pPr>
    </w:p>
    <w:p w14:paraId="53FFA0BD">
      <w:pPr>
        <w:widowControl/>
        <w:spacing w:line="360" w:lineRule="exact"/>
        <w:rPr>
          <w:rFonts w:hint="eastAsia" w:ascii="宋体" w:hAnsi="宋体" w:eastAsia="宋体" w:cs="宋体"/>
          <w:b/>
          <w:bCs/>
          <w:color w:val="auto"/>
          <w:sz w:val="24"/>
          <w:highlight w:val="none"/>
        </w:rPr>
      </w:pPr>
    </w:p>
    <w:p w14:paraId="59DF5DDA">
      <w:pPr>
        <w:widowControl/>
        <w:spacing w:line="360" w:lineRule="exact"/>
        <w:rPr>
          <w:rFonts w:hint="eastAsia" w:ascii="宋体" w:hAnsi="宋体" w:eastAsia="宋体" w:cs="宋体"/>
          <w:b/>
          <w:bCs/>
          <w:color w:val="auto"/>
          <w:sz w:val="24"/>
          <w:highlight w:val="none"/>
        </w:rPr>
      </w:pPr>
    </w:p>
    <w:p w14:paraId="493FAA5A">
      <w:pPr>
        <w:widowControl/>
        <w:spacing w:line="360" w:lineRule="exact"/>
        <w:rPr>
          <w:rFonts w:hint="eastAsia" w:ascii="宋体" w:hAnsi="宋体" w:eastAsia="宋体" w:cs="宋体"/>
          <w:b/>
          <w:bCs/>
          <w:color w:val="auto"/>
          <w:sz w:val="24"/>
          <w:highlight w:val="none"/>
        </w:rPr>
      </w:pPr>
    </w:p>
    <w:p w14:paraId="4206DA84">
      <w:pPr>
        <w:widowControl/>
        <w:spacing w:line="360" w:lineRule="exact"/>
        <w:rPr>
          <w:rFonts w:hint="eastAsia" w:ascii="宋体" w:hAnsi="宋体" w:eastAsia="宋体" w:cs="宋体"/>
          <w:b/>
          <w:bCs/>
          <w:color w:val="auto"/>
          <w:sz w:val="24"/>
          <w:highlight w:val="none"/>
        </w:rPr>
      </w:pPr>
    </w:p>
    <w:p w14:paraId="605039F5">
      <w:pPr>
        <w:widowControl/>
        <w:spacing w:line="360" w:lineRule="exact"/>
        <w:rPr>
          <w:rFonts w:hint="eastAsia" w:ascii="宋体" w:hAnsi="宋体" w:eastAsia="宋体" w:cs="宋体"/>
          <w:b/>
          <w:bCs/>
          <w:color w:val="auto"/>
          <w:sz w:val="24"/>
          <w:highlight w:val="none"/>
        </w:rPr>
      </w:pPr>
    </w:p>
    <w:p w14:paraId="43FEFF5F">
      <w:pPr>
        <w:widowControl/>
        <w:spacing w:line="360" w:lineRule="exact"/>
        <w:rPr>
          <w:rFonts w:hint="eastAsia" w:ascii="宋体" w:hAnsi="宋体" w:eastAsia="宋体" w:cs="宋体"/>
          <w:b/>
          <w:bCs/>
          <w:color w:val="auto"/>
          <w:sz w:val="24"/>
          <w:highlight w:val="none"/>
        </w:rPr>
      </w:pPr>
    </w:p>
    <w:p w14:paraId="1B765D67">
      <w:pPr>
        <w:widowControl/>
        <w:spacing w:line="360" w:lineRule="exact"/>
        <w:rPr>
          <w:rFonts w:hint="eastAsia" w:ascii="宋体" w:hAnsi="宋体" w:eastAsia="宋体" w:cs="宋体"/>
          <w:b/>
          <w:bCs/>
          <w:color w:val="auto"/>
          <w:sz w:val="24"/>
          <w:highlight w:val="none"/>
        </w:rPr>
      </w:pPr>
    </w:p>
    <w:p w14:paraId="43B02110">
      <w:pPr>
        <w:widowControl/>
        <w:spacing w:line="360" w:lineRule="exact"/>
        <w:rPr>
          <w:rFonts w:hint="eastAsia" w:ascii="宋体" w:hAnsi="宋体" w:eastAsia="宋体" w:cs="宋体"/>
          <w:b/>
          <w:bCs/>
          <w:color w:val="auto"/>
          <w:sz w:val="24"/>
          <w:highlight w:val="none"/>
        </w:rPr>
      </w:pPr>
    </w:p>
    <w:p w14:paraId="4EAED224">
      <w:pPr>
        <w:widowControl/>
        <w:spacing w:line="360" w:lineRule="exact"/>
        <w:rPr>
          <w:rFonts w:hint="eastAsia" w:ascii="宋体" w:hAnsi="宋体" w:eastAsia="宋体" w:cs="宋体"/>
          <w:b/>
          <w:bCs/>
          <w:color w:val="auto"/>
          <w:sz w:val="24"/>
          <w:highlight w:val="none"/>
        </w:rPr>
      </w:pPr>
    </w:p>
    <w:p w14:paraId="288B9EC1">
      <w:pPr>
        <w:widowControl/>
        <w:spacing w:line="360" w:lineRule="exact"/>
        <w:rPr>
          <w:rFonts w:hint="eastAsia" w:ascii="宋体" w:hAnsi="宋体" w:eastAsia="宋体" w:cs="宋体"/>
          <w:b/>
          <w:bCs/>
          <w:color w:val="auto"/>
          <w:sz w:val="24"/>
          <w:highlight w:val="none"/>
        </w:rPr>
      </w:pPr>
    </w:p>
    <w:p w14:paraId="6560C9FA">
      <w:pPr>
        <w:widowControl/>
        <w:spacing w:line="360" w:lineRule="exact"/>
        <w:rPr>
          <w:rFonts w:hint="eastAsia" w:ascii="宋体" w:hAnsi="宋体" w:eastAsia="宋体" w:cs="宋体"/>
          <w:b/>
          <w:bCs/>
          <w:color w:val="auto"/>
          <w:sz w:val="24"/>
          <w:highlight w:val="none"/>
        </w:rPr>
      </w:pPr>
    </w:p>
    <w:p w14:paraId="1390AC4B">
      <w:pPr>
        <w:widowControl/>
        <w:spacing w:line="360" w:lineRule="exact"/>
        <w:rPr>
          <w:rFonts w:hint="eastAsia" w:ascii="宋体" w:hAnsi="宋体" w:eastAsia="宋体" w:cs="宋体"/>
          <w:b/>
          <w:bCs/>
          <w:color w:val="auto"/>
          <w:sz w:val="24"/>
          <w:highlight w:val="none"/>
        </w:rPr>
      </w:pPr>
    </w:p>
    <w:p w14:paraId="51161F77">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11687C87">
      <w:pPr>
        <w:snapToGrid w:val="0"/>
        <w:spacing w:before="120" w:beforeLines="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1.投标声明书格式：</w:t>
      </w:r>
    </w:p>
    <w:p w14:paraId="621692FE">
      <w:pPr>
        <w:snapToGrid w:val="0"/>
        <w:spacing w:before="120" w:beforeLines="50" w:after="50" w:line="360" w:lineRule="exact"/>
        <w:jc w:val="center"/>
        <w:rPr>
          <w:rFonts w:hint="eastAsia" w:ascii="宋体" w:hAnsi="宋体" w:eastAsia="宋体" w:cs="宋体"/>
          <w:color w:val="auto"/>
          <w:sz w:val="24"/>
          <w:szCs w:val="20"/>
          <w:highlight w:val="none"/>
        </w:rPr>
      </w:pPr>
      <w:r>
        <w:rPr>
          <w:rFonts w:hint="eastAsia" w:ascii="宋体" w:hAnsi="宋体" w:eastAsia="宋体" w:cs="宋体"/>
          <w:color w:val="auto"/>
          <w:sz w:val="30"/>
          <w:highlight w:val="none"/>
        </w:rPr>
        <w:t>投 标 声 明 书</w:t>
      </w:r>
    </w:p>
    <w:p w14:paraId="1BAB07E6">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15632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）的投标，为便于贵方公正、择优地确定中标供应商及其投标产品和服务，我方就本次投标有关事项郑重声明如下：</w:t>
      </w:r>
    </w:p>
    <w:p w14:paraId="31800EB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1.我方向贵方提交的所有投标文件、资料都是准确的和真实的。</w:t>
      </w:r>
    </w:p>
    <w:p w14:paraId="7FA454C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BBA73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68361CA6">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（1）将按招标文件的约定履行合同责任和义务；</w:t>
      </w:r>
    </w:p>
    <w:p w14:paraId="6F64A521">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（2）已详细审查全部招标文件，包括澄清或者更正公告（如有）；</w:t>
      </w:r>
    </w:p>
    <w:p w14:paraId="702B6F6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（3）同意提供按照贵方可能要求的与投标有关的一切数据或者资料；</w:t>
      </w:r>
    </w:p>
    <w:p w14:paraId="6663A8A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（4）招标文件规定的投标文件有效期。</w:t>
      </w:r>
    </w:p>
    <w:p w14:paraId="539F5E2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5482211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54E24C1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3CA4E173">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3461FCB9">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422BC312">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605C03B4">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6573E1C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4CB2508">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投标文件进行注明如下：（两项内容中必须选择一项）</w:t>
      </w:r>
    </w:p>
    <w:p w14:paraId="2A5FAC3B">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□我方本次投标文件内容中未涉及商业秘密；</w:t>
      </w:r>
    </w:p>
    <w:p w14:paraId="41DFAD9A">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□我方本次投标文件涉及商业秘密的内容有： </w:t>
      </w:r>
    </w:p>
    <w:p w14:paraId="2BF3024E">
      <w:pPr>
        <w:snapToGrid w:val="0"/>
        <w:spacing w:before="50" w:after="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7.以上事项如有虚假或者隐瞒，我方愿意承担一切后果，并不再寻求任何旨在减轻或者免除法律责任的辩解。</w:t>
      </w:r>
    </w:p>
    <w:p w14:paraId="5290EC1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7FAABC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BEA183">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2A4AB762">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1.投标人可以自行通过 “信用中国”（www.creditchina.gov.cn）和“中国政府采购网”网站（www.ccgp.gov.cn）查询投标人相关主体的信用记录。在资格审查阶段经采购人或采购代理机构查询，对列入失信被执行人、重大税收违法案件当事人名单、政府采购严重违法失信行为记录名单的投标人，将被拒绝参与本项目政府采购活动。</w:t>
      </w:r>
    </w:p>
    <w:p w14:paraId="3AFEA08B">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BA8C8D">
      <w:pPr>
        <w:spacing w:line="360" w:lineRule="auto"/>
        <w:ind w:firstLine="363" w:firstLineChars="20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3.如为联合体投标，盖章处须加盖联合体各方公章，否则投标无效。</w:t>
      </w:r>
    </w:p>
    <w:p w14:paraId="059B93B0">
      <w:pPr>
        <w:spacing w:line="360" w:lineRule="auto"/>
        <w:ind w:firstLine="363" w:firstLineChars="202"/>
        <w:rPr>
          <w:rFonts w:hint="eastAsia" w:ascii="宋体" w:hAnsi="宋体" w:eastAsia="宋体" w:cs="宋体"/>
          <w:color w:val="auto"/>
          <w:sz w:val="18"/>
          <w:szCs w:val="18"/>
          <w:highlight w:val="none"/>
        </w:rPr>
      </w:pPr>
    </w:p>
    <w:p w14:paraId="0584C6FB">
      <w:pPr>
        <w:spacing w:line="360" w:lineRule="auto"/>
        <w:ind w:firstLine="363" w:firstLineChars="202"/>
        <w:rPr>
          <w:rFonts w:hint="eastAsia" w:ascii="宋体" w:hAnsi="宋体" w:eastAsia="宋体" w:cs="宋体"/>
          <w:color w:val="auto"/>
          <w:sz w:val="18"/>
          <w:szCs w:val="18"/>
          <w:highlight w:val="none"/>
        </w:rPr>
      </w:pPr>
    </w:p>
    <w:p w14:paraId="7231362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投标人合法的主体资格证明（如营业执照、事业单位法人证书、执业许可证、个体工商户营业执照、自然人身份证等）复印件</w:t>
      </w:r>
    </w:p>
    <w:p w14:paraId="3A902653">
      <w:pPr>
        <w:spacing w:line="360" w:lineRule="auto"/>
        <w:rPr>
          <w:rFonts w:hint="eastAsia" w:ascii="宋体" w:hAnsi="宋体" w:eastAsia="宋体" w:cs="宋体"/>
          <w:b/>
          <w:bCs/>
          <w:color w:val="auto"/>
          <w:sz w:val="24"/>
          <w:highlight w:val="none"/>
        </w:rPr>
      </w:pPr>
    </w:p>
    <w:p w14:paraId="28C338C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.政府采购供应商资格信用承诺函格式</w:t>
      </w:r>
    </w:p>
    <w:p w14:paraId="7369121C">
      <w:pPr>
        <w:autoSpaceDE w:val="0"/>
        <w:autoSpaceDN w:val="0"/>
        <w:adjustRightInd w:val="0"/>
        <w:spacing w:line="400" w:lineRule="exact"/>
        <w:jc w:val="left"/>
        <w:rPr>
          <w:rFonts w:hint="eastAsia" w:ascii="宋体" w:hAnsi="宋体" w:eastAsia="宋体" w:cs="宋体"/>
          <w:b/>
          <w:bCs/>
          <w:color w:val="auto"/>
          <w:szCs w:val="21"/>
          <w:highlight w:val="none"/>
        </w:rPr>
      </w:pPr>
    </w:p>
    <w:p w14:paraId="3352713B">
      <w:pPr>
        <w:autoSpaceDE w:val="0"/>
        <w:autoSpaceDN w:val="0"/>
        <w:adjustRightIn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政府采购供应商资格信用承诺函</w:t>
      </w:r>
    </w:p>
    <w:p w14:paraId="0C746F55">
      <w:pPr>
        <w:pStyle w:val="39"/>
        <w:rPr>
          <w:rFonts w:hint="eastAsia" w:ascii="宋体" w:hAnsi="宋体" w:eastAsia="宋体" w:cs="宋体"/>
          <w:color w:val="auto"/>
          <w:sz w:val="21"/>
          <w:szCs w:val="21"/>
          <w:highlight w:val="none"/>
        </w:rPr>
      </w:pPr>
    </w:p>
    <w:p w14:paraId="66EC391A">
      <w:pPr>
        <w:autoSpaceDE w:val="0"/>
        <w:autoSpaceDN w:val="0"/>
        <w:adjustRightInd w:val="0"/>
        <w:spacing w:line="400" w:lineRule="exac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致：</w:t>
      </w:r>
      <w:r>
        <w:rPr>
          <w:rFonts w:hint="eastAsia" w:ascii="宋体" w:hAnsi="宋体" w:eastAsia="宋体" w:cs="宋体"/>
          <w:color w:val="auto"/>
          <w:spacing w:val="6"/>
          <w:szCs w:val="21"/>
          <w:highlight w:val="none"/>
          <w:u w:val="single"/>
        </w:rPr>
        <w:t>（采购人名称）、（代理机构名称）</w:t>
      </w:r>
      <w:r>
        <w:rPr>
          <w:rFonts w:hint="eastAsia" w:ascii="宋体" w:hAnsi="宋体" w:eastAsia="宋体" w:cs="宋体"/>
          <w:color w:val="auto"/>
          <w:spacing w:val="6"/>
          <w:szCs w:val="21"/>
          <w:highlight w:val="none"/>
        </w:rPr>
        <w:t>：</w:t>
      </w:r>
    </w:p>
    <w:p w14:paraId="37BBE5B8">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我方自愿参加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lang w:val="en-US" w:eastAsia="zh-CN"/>
        </w:rPr>
        <w:t>标项</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）的政府采购活动，并郑重承诺我方符合《中华人民共和国政府采购法》第二十二条规定的条件： </w:t>
      </w:r>
    </w:p>
    <w:p w14:paraId="431FCDE6">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（一）具有独立承担民事责任的能力； </w:t>
      </w:r>
    </w:p>
    <w:p w14:paraId="6D0F6113">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（二）具有良好的商业信誉和健全的财务会计制度； </w:t>
      </w:r>
    </w:p>
    <w:p w14:paraId="5233F99F">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（三）具有履行合同所必需的设备和专业技术能力； </w:t>
      </w:r>
    </w:p>
    <w:p w14:paraId="09626BC1">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（四）有依法缴纳税收和社会保障资金的良好记录； </w:t>
      </w:r>
    </w:p>
    <w:p w14:paraId="0727143B">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（五）参加政府采购活动前三年内，在经营活动中没有重大违法记录； </w:t>
      </w:r>
    </w:p>
    <w:p w14:paraId="16509555">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（六）法律、行政法规规定的其他条件。 </w:t>
      </w:r>
    </w:p>
    <w:p w14:paraId="4AFDE55E">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3CA63B0D">
      <w:pPr>
        <w:autoSpaceDE w:val="0"/>
        <w:autoSpaceDN w:val="0"/>
        <w:adjustRightInd w:val="0"/>
        <w:spacing w:line="400" w:lineRule="exact"/>
        <w:ind w:firstLine="640"/>
        <w:rPr>
          <w:rFonts w:hint="eastAsia" w:ascii="宋体" w:hAnsi="宋体" w:eastAsia="宋体" w:cs="宋体"/>
          <w:color w:val="auto"/>
          <w:spacing w:val="6"/>
          <w:szCs w:val="21"/>
          <w:highlight w:val="none"/>
        </w:rPr>
      </w:pPr>
      <w:r>
        <w:rPr>
          <w:rFonts w:hint="eastAsia" w:ascii="宋体" w:hAnsi="宋体" w:eastAsia="宋体" w:cs="宋体"/>
          <w:b/>
          <w:bCs/>
          <w:color w:val="auto"/>
          <w:spacing w:val="6"/>
          <w:szCs w:val="21"/>
          <w:highlight w:val="none"/>
        </w:rPr>
        <w:t>特此声明！</w:t>
      </w:r>
      <w:r>
        <w:rPr>
          <w:rFonts w:hint="eastAsia" w:ascii="宋体" w:hAnsi="宋体" w:eastAsia="宋体" w:cs="宋体"/>
          <w:color w:val="auto"/>
          <w:spacing w:val="6"/>
          <w:szCs w:val="21"/>
          <w:highlight w:val="none"/>
        </w:rPr>
        <w:t xml:space="preserve"> </w:t>
      </w:r>
    </w:p>
    <w:p w14:paraId="66874974">
      <w:pPr>
        <w:pStyle w:val="47"/>
        <w:spacing w:line="400" w:lineRule="exact"/>
        <w:ind w:firstLine="444"/>
        <w:rPr>
          <w:rFonts w:hint="eastAsia" w:ascii="宋体" w:hAnsi="宋体" w:eastAsia="宋体" w:cs="宋体"/>
          <w:color w:val="auto"/>
          <w:spacing w:val="6"/>
          <w:szCs w:val="21"/>
          <w:highlight w:val="none"/>
        </w:rPr>
      </w:pPr>
    </w:p>
    <w:p w14:paraId="00DD2791">
      <w:pPr>
        <w:spacing w:line="400" w:lineRule="exact"/>
        <w:rPr>
          <w:rFonts w:hint="eastAsia" w:ascii="宋体" w:hAnsi="宋体" w:eastAsia="宋体" w:cs="宋体"/>
          <w:color w:val="auto"/>
          <w:szCs w:val="21"/>
          <w:highlight w:val="none"/>
        </w:rPr>
      </w:pPr>
    </w:p>
    <w:p w14:paraId="00E1C688">
      <w:pPr>
        <w:spacing w:line="400" w:lineRule="exact"/>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法定代表人或委托代理人</w:t>
      </w:r>
      <w:r>
        <w:rPr>
          <w:rFonts w:hint="eastAsia" w:ascii="宋体" w:hAnsi="宋体" w:eastAsia="宋体" w:cs="宋体"/>
          <w:b/>
          <w:bCs/>
          <w:color w:val="auto"/>
          <w:szCs w:val="21"/>
          <w:highlight w:val="none"/>
        </w:rPr>
        <w:t>（签字）：</w:t>
      </w:r>
      <w:r>
        <w:rPr>
          <w:rFonts w:hint="eastAsia" w:ascii="宋体" w:hAnsi="宋体" w:eastAsia="宋体" w:cs="宋体"/>
          <w:color w:val="auto"/>
          <w:szCs w:val="21"/>
          <w:highlight w:val="none"/>
          <w:u w:val="single"/>
        </w:rPr>
        <w:t xml:space="preserve">                  </w:t>
      </w:r>
    </w:p>
    <w:p w14:paraId="656D8062">
      <w:pPr>
        <w:spacing w:line="400" w:lineRule="exact"/>
        <w:jc w:val="center"/>
        <w:rPr>
          <w:rFonts w:hint="eastAsia" w:ascii="宋体" w:hAnsi="宋体" w:eastAsia="宋体" w:cs="宋体"/>
          <w:color w:val="auto"/>
          <w:szCs w:val="21"/>
          <w:highlight w:val="none"/>
          <w:u w:val="single"/>
        </w:rPr>
      </w:pPr>
    </w:p>
    <w:p w14:paraId="3A9506AB">
      <w:pPr>
        <w:pStyle w:val="27"/>
        <w:spacing w:line="400" w:lineRule="exact"/>
        <w:ind w:firstLine="3570" w:firstLineChars="1700"/>
        <w:rPr>
          <w:rFonts w:hint="eastAsia" w:ascii="宋体" w:hAnsi="宋体" w:eastAsia="宋体" w:cs="宋体"/>
          <w:color w:val="auto"/>
          <w:highlight w:val="none"/>
        </w:rPr>
      </w:pPr>
      <w:r>
        <w:rPr>
          <w:rFonts w:hint="eastAsia" w:ascii="宋体" w:hAnsi="宋体" w:eastAsia="宋体" w:cs="宋体"/>
          <w:color w:val="auto"/>
          <w:highlight w:val="none"/>
        </w:rPr>
        <w:t>政府采购供应商</w:t>
      </w:r>
      <w:r>
        <w:rPr>
          <w:rFonts w:hint="eastAsia" w:ascii="宋体" w:hAnsi="宋体" w:eastAsia="宋体" w:cs="宋体"/>
          <w:b/>
          <w:bCs/>
          <w:color w:val="auto"/>
          <w:highlight w:val="none"/>
        </w:rPr>
        <w:t>（CA电子签章）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727EAAFA">
      <w:pPr>
        <w:pStyle w:val="27"/>
        <w:spacing w:line="400" w:lineRule="exact"/>
        <w:rPr>
          <w:rFonts w:hint="eastAsia" w:ascii="宋体" w:hAnsi="宋体" w:eastAsia="宋体" w:cs="宋体"/>
          <w:color w:val="auto"/>
          <w:highlight w:val="none"/>
        </w:rPr>
      </w:pPr>
    </w:p>
    <w:p w14:paraId="632B797C">
      <w:pPr>
        <w:pStyle w:val="27"/>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38CA25AA">
      <w:pPr>
        <w:pStyle w:val="27"/>
        <w:spacing w:line="400" w:lineRule="exact"/>
        <w:rPr>
          <w:rFonts w:hint="eastAsia" w:ascii="宋体" w:hAnsi="宋体" w:eastAsia="宋体" w:cs="宋体"/>
          <w:b/>
          <w:color w:val="auto"/>
          <w:highlight w:val="none"/>
        </w:rPr>
      </w:pPr>
    </w:p>
    <w:p w14:paraId="56F40D1F">
      <w:pPr>
        <w:spacing w:line="360" w:lineRule="auto"/>
        <w:ind w:firstLine="363" w:firstLineChars="202"/>
        <w:rPr>
          <w:rFonts w:hint="eastAsia" w:ascii="宋体" w:hAnsi="宋体" w:eastAsia="宋体" w:cs="宋体"/>
          <w:color w:val="auto"/>
          <w:sz w:val="18"/>
          <w:szCs w:val="18"/>
          <w:highlight w:val="none"/>
        </w:rPr>
      </w:pPr>
    </w:p>
    <w:p w14:paraId="78775782">
      <w:pPr>
        <w:spacing w:line="360" w:lineRule="auto"/>
        <w:ind w:firstLine="363" w:firstLineChars="202"/>
        <w:rPr>
          <w:rFonts w:hint="eastAsia" w:ascii="宋体" w:hAnsi="宋体" w:eastAsia="宋体" w:cs="宋体"/>
          <w:color w:val="auto"/>
          <w:sz w:val="18"/>
          <w:szCs w:val="18"/>
          <w:highlight w:val="none"/>
        </w:rPr>
      </w:pPr>
    </w:p>
    <w:p w14:paraId="18C63F72">
      <w:pPr>
        <w:spacing w:line="360" w:lineRule="auto"/>
        <w:ind w:firstLine="363" w:firstLineChars="202"/>
        <w:rPr>
          <w:rFonts w:hint="eastAsia" w:ascii="宋体" w:hAnsi="宋体" w:eastAsia="宋体" w:cs="宋体"/>
          <w:color w:val="auto"/>
          <w:sz w:val="18"/>
          <w:szCs w:val="18"/>
          <w:highlight w:val="none"/>
        </w:rPr>
      </w:pPr>
    </w:p>
    <w:p w14:paraId="03273535">
      <w:pPr>
        <w:spacing w:line="360" w:lineRule="auto"/>
        <w:ind w:firstLine="363" w:firstLineChars="202"/>
        <w:rPr>
          <w:rFonts w:hint="eastAsia" w:ascii="宋体" w:hAnsi="宋体" w:eastAsia="宋体" w:cs="宋体"/>
          <w:color w:val="auto"/>
          <w:sz w:val="18"/>
          <w:szCs w:val="18"/>
          <w:highlight w:val="none"/>
        </w:rPr>
      </w:pPr>
    </w:p>
    <w:p w14:paraId="1F7D9898">
      <w:pPr>
        <w:spacing w:line="360" w:lineRule="auto"/>
        <w:ind w:firstLine="363" w:firstLineChars="202"/>
        <w:rPr>
          <w:rFonts w:hint="eastAsia" w:ascii="宋体" w:hAnsi="宋体" w:eastAsia="宋体" w:cs="宋体"/>
          <w:color w:val="auto"/>
          <w:sz w:val="18"/>
          <w:szCs w:val="18"/>
          <w:highlight w:val="none"/>
        </w:rPr>
      </w:pPr>
    </w:p>
    <w:p w14:paraId="58D884B6">
      <w:pPr>
        <w:spacing w:line="360" w:lineRule="auto"/>
        <w:ind w:firstLine="363" w:firstLineChars="202"/>
        <w:rPr>
          <w:rFonts w:hint="eastAsia" w:ascii="宋体" w:hAnsi="宋体" w:eastAsia="宋体" w:cs="宋体"/>
          <w:color w:val="auto"/>
          <w:sz w:val="18"/>
          <w:szCs w:val="18"/>
          <w:highlight w:val="none"/>
        </w:rPr>
      </w:pPr>
    </w:p>
    <w:p w14:paraId="72306D45">
      <w:pPr>
        <w:spacing w:line="360" w:lineRule="auto"/>
        <w:ind w:firstLine="363" w:firstLineChars="202"/>
        <w:rPr>
          <w:rFonts w:hint="eastAsia" w:ascii="宋体" w:hAnsi="宋体" w:eastAsia="宋体" w:cs="宋体"/>
          <w:color w:val="auto"/>
          <w:sz w:val="18"/>
          <w:szCs w:val="18"/>
          <w:highlight w:val="none"/>
        </w:rPr>
      </w:pPr>
    </w:p>
    <w:p w14:paraId="524384BF">
      <w:pPr>
        <w:spacing w:line="360" w:lineRule="auto"/>
        <w:ind w:firstLine="363" w:firstLineChars="202"/>
        <w:rPr>
          <w:rFonts w:hint="eastAsia" w:ascii="宋体" w:hAnsi="宋体" w:eastAsia="宋体" w:cs="宋体"/>
          <w:color w:val="auto"/>
          <w:sz w:val="18"/>
          <w:szCs w:val="18"/>
          <w:highlight w:val="none"/>
        </w:rPr>
      </w:pPr>
    </w:p>
    <w:p w14:paraId="33CBB8BD">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参加政府采购活动前三年内在经营活动中没有重大违法记录和不良信用记录的书面声明书（格式自拟）</w:t>
      </w:r>
    </w:p>
    <w:p w14:paraId="662C7BBC">
      <w:pPr>
        <w:widowControl/>
        <w:spacing w:line="360" w:lineRule="exact"/>
        <w:rPr>
          <w:rFonts w:hint="eastAsia" w:ascii="宋体" w:hAnsi="宋体" w:eastAsia="宋体" w:cs="宋体"/>
          <w:b/>
          <w:bCs/>
          <w:color w:val="auto"/>
          <w:sz w:val="24"/>
          <w:highlight w:val="none"/>
          <w:lang w:val="en-US" w:eastAsia="zh-CN"/>
        </w:rPr>
      </w:pPr>
    </w:p>
    <w:p w14:paraId="79BF642D">
      <w:pPr>
        <w:widowControl/>
        <w:spacing w:line="36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5.投标人如为分支机构投标的，须提供其总公司“营业执照”副本复印件和总公司对投标人参与本项目投标的授权书原件</w:t>
      </w:r>
    </w:p>
    <w:p w14:paraId="3B1FE13B">
      <w:pPr>
        <w:spacing w:line="360" w:lineRule="auto"/>
        <w:ind w:firstLine="363" w:firstLineChars="202"/>
        <w:rPr>
          <w:rFonts w:hint="eastAsia" w:ascii="宋体" w:hAnsi="宋体" w:eastAsia="宋体" w:cs="宋体"/>
          <w:color w:val="auto"/>
          <w:sz w:val="18"/>
          <w:szCs w:val="18"/>
          <w:highlight w:val="none"/>
        </w:rPr>
      </w:pPr>
    </w:p>
    <w:p w14:paraId="68BD6532">
      <w:pPr>
        <w:widowControl/>
        <w:spacing w:line="360" w:lineRule="exact"/>
        <w:rPr>
          <w:rFonts w:hint="eastAsia" w:ascii="宋体" w:hAnsi="宋体" w:eastAsia="宋体" w:cs="宋体"/>
          <w:color w:val="auto"/>
          <w:sz w:val="18"/>
          <w:szCs w:val="18"/>
          <w:highlight w:val="none"/>
        </w:rPr>
      </w:pPr>
    </w:p>
    <w:p w14:paraId="0B802033">
      <w:pPr>
        <w:widowControl/>
        <w:spacing w:line="360" w:lineRule="exact"/>
        <w:rPr>
          <w:rFonts w:hint="eastAsia" w:ascii="宋体" w:hAnsi="宋体" w:eastAsia="宋体" w:cs="宋体"/>
          <w:b/>
          <w:bCs/>
          <w:color w:val="auto"/>
          <w:sz w:val="24"/>
          <w:highlight w:val="none"/>
          <w:lang w:val="en-US" w:eastAsia="zh-CN"/>
        </w:rPr>
      </w:pPr>
    </w:p>
    <w:p w14:paraId="62796575">
      <w:pPr>
        <w:widowControl/>
        <w:spacing w:line="360" w:lineRule="exact"/>
        <w:rPr>
          <w:rFonts w:hint="eastAsia" w:ascii="宋体" w:hAnsi="宋体" w:eastAsia="宋体" w:cs="宋体"/>
          <w:b/>
          <w:bCs/>
          <w:color w:val="auto"/>
          <w:sz w:val="24"/>
          <w:highlight w:val="none"/>
          <w:lang w:val="en-US" w:eastAsia="zh-CN"/>
        </w:rPr>
      </w:pPr>
    </w:p>
    <w:p w14:paraId="1FD2F9A7">
      <w:pPr>
        <w:widowControl/>
        <w:spacing w:line="360" w:lineRule="exact"/>
        <w:rPr>
          <w:rFonts w:hint="eastAsia" w:ascii="宋体" w:hAnsi="宋体" w:eastAsia="宋体" w:cs="宋体"/>
          <w:b/>
          <w:bCs/>
          <w:color w:val="auto"/>
          <w:sz w:val="24"/>
          <w:highlight w:val="none"/>
          <w:lang w:val="en-US" w:eastAsia="zh-CN"/>
        </w:rPr>
      </w:pPr>
    </w:p>
    <w:p w14:paraId="09C1BE84">
      <w:pPr>
        <w:widowControl/>
        <w:spacing w:line="360" w:lineRule="exact"/>
        <w:rPr>
          <w:rFonts w:hint="eastAsia" w:ascii="宋体" w:hAnsi="宋体" w:eastAsia="宋体" w:cs="宋体"/>
          <w:b/>
          <w:bCs/>
          <w:color w:val="auto"/>
          <w:sz w:val="24"/>
          <w:highlight w:val="none"/>
          <w:lang w:val="en-US" w:eastAsia="zh-CN"/>
        </w:rPr>
      </w:pPr>
    </w:p>
    <w:p w14:paraId="7441DB96">
      <w:pPr>
        <w:widowControl/>
        <w:spacing w:line="360" w:lineRule="exact"/>
        <w:rPr>
          <w:rFonts w:hint="eastAsia" w:ascii="宋体" w:hAnsi="宋体" w:eastAsia="宋体" w:cs="宋体"/>
          <w:b/>
          <w:bCs/>
          <w:color w:val="auto"/>
          <w:sz w:val="24"/>
          <w:highlight w:val="none"/>
          <w:lang w:val="en-US" w:eastAsia="zh-CN"/>
        </w:rPr>
      </w:pPr>
    </w:p>
    <w:p w14:paraId="01C4770C">
      <w:pPr>
        <w:widowControl/>
        <w:spacing w:line="360" w:lineRule="exact"/>
        <w:rPr>
          <w:rFonts w:hint="eastAsia" w:ascii="宋体" w:hAnsi="宋体" w:eastAsia="宋体" w:cs="宋体"/>
          <w:b/>
          <w:bCs/>
          <w:color w:val="auto"/>
          <w:sz w:val="24"/>
          <w:highlight w:val="none"/>
          <w:lang w:val="en-US" w:eastAsia="zh-CN"/>
        </w:rPr>
      </w:pPr>
    </w:p>
    <w:p w14:paraId="77E8B8E7">
      <w:pPr>
        <w:widowControl/>
        <w:spacing w:line="360" w:lineRule="exact"/>
        <w:rPr>
          <w:rFonts w:hint="eastAsia" w:ascii="宋体" w:hAnsi="宋体" w:eastAsia="宋体" w:cs="宋体"/>
          <w:b/>
          <w:bCs/>
          <w:color w:val="auto"/>
          <w:sz w:val="24"/>
          <w:highlight w:val="none"/>
          <w:lang w:val="en-US" w:eastAsia="zh-CN"/>
        </w:rPr>
      </w:pPr>
    </w:p>
    <w:p w14:paraId="29BC70C1">
      <w:pPr>
        <w:widowControl/>
        <w:spacing w:line="360" w:lineRule="exact"/>
        <w:rPr>
          <w:rFonts w:hint="eastAsia" w:ascii="宋体" w:hAnsi="宋体" w:eastAsia="宋体" w:cs="宋体"/>
          <w:b/>
          <w:bCs/>
          <w:color w:val="auto"/>
          <w:sz w:val="24"/>
          <w:highlight w:val="none"/>
          <w:lang w:val="en-US" w:eastAsia="zh-CN"/>
        </w:rPr>
      </w:pPr>
    </w:p>
    <w:p w14:paraId="6B36A608">
      <w:pPr>
        <w:widowControl/>
        <w:spacing w:line="360" w:lineRule="exact"/>
        <w:rPr>
          <w:rFonts w:hint="eastAsia" w:ascii="宋体" w:hAnsi="宋体" w:eastAsia="宋体" w:cs="宋体"/>
          <w:b/>
          <w:bCs/>
          <w:color w:val="auto"/>
          <w:sz w:val="24"/>
          <w:highlight w:val="none"/>
          <w:lang w:val="en-US" w:eastAsia="zh-CN"/>
        </w:rPr>
      </w:pPr>
    </w:p>
    <w:p w14:paraId="40929D55">
      <w:pPr>
        <w:widowControl/>
        <w:spacing w:line="360" w:lineRule="exact"/>
        <w:rPr>
          <w:rFonts w:hint="eastAsia" w:ascii="宋体" w:hAnsi="宋体" w:eastAsia="宋体" w:cs="宋体"/>
          <w:b/>
          <w:bCs/>
          <w:color w:val="auto"/>
          <w:sz w:val="24"/>
          <w:highlight w:val="none"/>
          <w:lang w:val="en-US" w:eastAsia="zh-CN"/>
        </w:rPr>
      </w:pPr>
    </w:p>
    <w:p w14:paraId="27075F9F">
      <w:pPr>
        <w:widowControl/>
        <w:spacing w:line="360" w:lineRule="exact"/>
        <w:rPr>
          <w:rFonts w:hint="eastAsia" w:ascii="宋体" w:hAnsi="宋体" w:eastAsia="宋体" w:cs="宋体"/>
          <w:b/>
          <w:bCs/>
          <w:color w:val="auto"/>
          <w:sz w:val="24"/>
          <w:highlight w:val="none"/>
          <w:lang w:val="en-US" w:eastAsia="zh-CN"/>
        </w:rPr>
      </w:pPr>
    </w:p>
    <w:p w14:paraId="5D6CF4CD">
      <w:pPr>
        <w:widowControl/>
        <w:spacing w:line="360" w:lineRule="exact"/>
        <w:rPr>
          <w:rFonts w:hint="eastAsia" w:ascii="宋体" w:hAnsi="宋体" w:eastAsia="宋体" w:cs="宋体"/>
          <w:b/>
          <w:bCs/>
          <w:color w:val="auto"/>
          <w:sz w:val="24"/>
          <w:highlight w:val="none"/>
          <w:lang w:val="en-US" w:eastAsia="zh-CN"/>
        </w:rPr>
      </w:pPr>
    </w:p>
    <w:p w14:paraId="782288F2">
      <w:pPr>
        <w:widowControl/>
        <w:spacing w:line="360" w:lineRule="exact"/>
        <w:rPr>
          <w:rFonts w:hint="eastAsia" w:ascii="宋体" w:hAnsi="宋体" w:eastAsia="宋体" w:cs="宋体"/>
          <w:b/>
          <w:bCs/>
          <w:color w:val="auto"/>
          <w:sz w:val="24"/>
          <w:highlight w:val="none"/>
          <w:lang w:val="en-US" w:eastAsia="zh-CN"/>
        </w:rPr>
      </w:pPr>
    </w:p>
    <w:p w14:paraId="4F060F63">
      <w:pPr>
        <w:widowControl/>
        <w:spacing w:line="360" w:lineRule="exact"/>
        <w:rPr>
          <w:rFonts w:hint="eastAsia" w:ascii="宋体" w:hAnsi="宋体" w:eastAsia="宋体" w:cs="宋体"/>
          <w:b/>
          <w:bCs/>
          <w:color w:val="auto"/>
          <w:sz w:val="24"/>
          <w:highlight w:val="none"/>
          <w:lang w:val="en-US" w:eastAsia="zh-CN"/>
        </w:rPr>
      </w:pPr>
    </w:p>
    <w:p w14:paraId="4CC3FCB4">
      <w:pPr>
        <w:widowControl/>
        <w:spacing w:line="360" w:lineRule="exact"/>
        <w:rPr>
          <w:rFonts w:hint="eastAsia" w:ascii="宋体" w:hAnsi="宋体" w:eastAsia="宋体" w:cs="宋体"/>
          <w:b/>
          <w:bCs/>
          <w:color w:val="auto"/>
          <w:sz w:val="24"/>
          <w:highlight w:val="none"/>
          <w:lang w:val="en-US" w:eastAsia="zh-CN"/>
        </w:rPr>
      </w:pPr>
    </w:p>
    <w:p w14:paraId="4CA259EB">
      <w:pPr>
        <w:widowControl/>
        <w:spacing w:line="360" w:lineRule="exact"/>
        <w:rPr>
          <w:rFonts w:hint="eastAsia" w:ascii="宋体" w:hAnsi="宋体" w:eastAsia="宋体" w:cs="宋体"/>
          <w:b/>
          <w:bCs/>
          <w:color w:val="auto"/>
          <w:sz w:val="24"/>
          <w:highlight w:val="none"/>
          <w:lang w:val="en-US" w:eastAsia="zh-CN"/>
        </w:rPr>
      </w:pPr>
    </w:p>
    <w:p w14:paraId="1BB19B23">
      <w:pPr>
        <w:widowControl/>
        <w:spacing w:line="360" w:lineRule="exact"/>
        <w:rPr>
          <w:rFonts w:hint="eastAsia" w:ascii="宋体" w:hAnsi="宋体" w:eastAsia="宋体" w:cs="宋体"/>
          <w:b/>
          <w:bCs/>
          <w:color w:val="auto"/>
          <w:sz w:val="24"/>
          <w:highlight w:val="none"/>
          <w:lang w:val="en-US" w:eastAsia="zh-CN"/>
        </w:rPr>
      </w:pPr>
    </w:p>
    <w:p w14:paraId="4F28782B">
      <w:pPr>
        <w:widowControl/>
        <w:spacing w:line="360" w:lineRule="exact"/>
        <w:rPr>
          <w:rFonts w:hint="eastAsia" w:ascii="宋体" w:hAnsi="宋体" w:eastAsia="宋体" w:cs="宋体"/>
          <w:b/>
          <w:bCs/>
          <w:color w:val="auto"/>
          <w:sz w:val="24"/>
          <w:highlight w:val="none"/>
          <w:lang w:val="en-US" w:eastAsia="zh-CN"/>
        </w:rPr>
      </w:pPr>
    </w:p>
    <w:p w14:paraId="7398B3C8">
      <w:pPr>
        <w:widowControl/>
        <w:spacing w:line="360" w:lineRule="exact"/>
        <w:rPr>
          <w:rFonts w:hint="eastAsia" w:ascii="宋体" w:hAnsi="宋体" w:eastAsia="宋体" w:cs="宋体"/>
          <w:b/>
          <w:bCs/>
          <w:color w:val="auto"/>
          <w:sz w:val="24"/>
          <w:highlight w:val="none"/>
          <w:lang w:val="en-US" w:eastAsia="zh-CN"/>
        </w:rPr>
      </w:pPr>
    </w:p>
    <w:p w14:paraId="753C11CA">
      <w:pPr>
        <w:widowControl/>
        <w:spacing w:line="360" w:lineRule="exact"/>
        <w:rPr>
          <w:rFonts w:hint="eastAsia" w:ascii="宋体" w:hAnsi="宋体" w:eastAsia="宋体" w:cs="宋体"/>
          <w:b/>
          <w:bCs/>
          <w:color w:val="auto"/>
          <w:sz w:val="24"/>
          <w:highlight w:val="none"/>
          <w:lang w:val="en-US" w:eastAsia="zh-CN"/>
        </w:rPr>
      </w:pPr>
    </w:p>
    <w:p w14:paraId="5AE9A53D">
      <w:pPr>
        <w:widowControl/>
        <w:spacing w:line="360" w:lineRule="exact"/>
        <w:rPr>
          <w:rFonts w:hint="eastAsia" w:ascii="宋体" w:hAnsi="宋体" w:eastAsia="宋体" w:cs="宋体"/>
          <w:b/>
          <w:bCs/>
          <w:color w:val="auto"/>
          <w:sz w:val="24"/>
          <w:highlight w:val="none"/>
          <w:lang w:val="en-US" w:eastAsia="zh-CN"/>
        </w:rPr>
      </w:pPr>
    </w:p>
    <w:p w14:paraId="18AEE033">
      <w:pPr>
        <w:widowControl/>
        <w:spacing w:line="360" w:lineRule="exact"/>
        <w:rPr>
          <w:rFonts w:hint="eastAsia" w:ascii="宋体" w:hAnsi="宋体" w:eastAsia="宋体" w:cs="宋体"/>
          <w:b/>
          <w:bCs/>
          <w:color w:val="auto"/>
          <w:sz w:val="24"/>
          <w:highlight w:val="none"/>
          <w:lang w:val="en-US" w:eastAsia="zh-CN"/>
        </w:rPr>
      </w:pPr>
    </w:p>
    <w:p w14:paraId="74B59704">
      <w:pPr>
        <w:widowControl/>
        <w:spacing w:line="360" w:lineRule="exact"/>
        <w:rPr>
          <w:rFonts w:hint="eastAsia" w:ascii="宋体" w:hAnsi="宋体" w:eastAsia="宋体" w:cs="宋体"/>
          <w:b/>
          <w:bCs/>
          <w:color w:val="auto"/>
          <w:sz w:val="24"/>
          <w:highlight w:val="none"/>
          <w:lang w:val="en-US" w:eastAsia="zh-CN"/>
        </w:rPr>
      </w:pPr>
    </w:p>
    <w:p w14:paraId="53FA4B92">
      <w:pPr>
        <w:widowControl/>
        <w:spacing w:line="360" w:lineRule="exact"/>
        <w:rPr>
          <w:rFonts w:hint="eastAsia" w:ascii="宋体" w:hAnsi="宋体" w:eastAsia="宋体" w:cs="宋体"/>
          <w:b/>
          <w:bCs/>
          <w:color w:val="auto"/>
          <w:sz w:val="24"/>
          <w:highlight w:val="none"/>
          <w:lang w:val="en-US" w:eastAsia="zh-CN"/>
        </w:rPr>
      </w:pPr>
    </w:p>
    <w:p w14:paraId="5AECFFE8">
      <w:pPr>
        <w:widowControl/>
        <w:spacing w:line="360" w:lineRule="exact"/>
        <w:rPr>
          <w:rFonts w:hint="eastAsia" w:ascii="宋体" w:hAnsi="宋体" w:eastAsia="宋体" w:cs="宋体"/>
          <w:b/>
          <w:bCs/>
          <w:color w:val="auto"/>
          <w:sz w:val="24"/>
          <w:highlight w:val="none"/>
          <w:lang w:val="en-US" w:eastAsia="zh-CN"/>
        </w:rPr>
      </w:pPr>
    </w:p>
    <w:p w14:paraId="0180ABA7">
      <w:pPr>
        <w:widowControl/>
        <w:spacing w:line="360" w:lineRule="exact"/>
        <w:rPr>
          <w:rFonts w:hint="eastAsia" w:ascii="宋体" w:hAnsi="宋体" w:eastAsia="宋体" w:cs="宋体"/>
          <w:b/>
          <w:bCs/>
          <w:color w:val="auto"/>
          <w:sz w:val="24"/>
          <w:highlight w:val="none"/>
          <w:lang w:val="en-US" w:eastAsia="zh-CN"/>
        </w:rPr>
      </w:pPr>
    </w:p>
    <w:p w14:paraId="7455251C">
      <w:pPr>
        <w:widowControl/>
        <w:spacing w:line="360" w:lineRule="exact"/>
        <w:rPr>
          <w:rFonts w:hint="eastAsia" w:ascii="宋体" w:hAnsi="宋体" w:eastAsia="宋体" w:cs="宋体"/>
          <w:b/>
          <w:bCs/>
          <w:color w:val="auto"/>
          <w:sz w:val="24"/>
          <w:highlight w:val="none"/>
          <w:lang w:val="en-US" w:eastAsia="zh-CN"/>
        </w:rPr>
      </w:pPr>
    </w:p>
    <w:p w14:paraId="5F0C8815">
      <w:pPr>
        <w:widowControl/>
        <w:spacing w:line="360" w:lineRule="exact"/>
        <w:rPr>
          <w:rFonts w:hint="eastAsia" w:ascii="宋体" w:hAnsi="宋体" w:eastAsia="宋体" w:cs="宋体"/>
          <w:b/>
          <w:bCs/>
          <w:color w:val="auto"/>
          <w:sz w:val="24"/>
          <w:highlight w:val="none"/>
          <w:lang w:val="en-US" w:eastAsia="zh-CN"/>
        </w:rPr>
      </w:pPr>
    </w:p>
    <w:p w14:paraId="5A1DA402">
      <w:pPr>
        <w:widowControl/>
        <w:spacing w:line="360" w:lineRule="exact"/>
        <w:rPr>
          <w:rFonts w:hint="eastAsia" w:ascii="宋体" w:hAnsi="宋体" w:eastAsia="宋体" w:cs="宋体"/>
          <w:b/>
          <w:bCs/>
          <w:color w:val="auto"/>
          <w:sz w:val="24"/>
          <w:highlight w:val="none"/>
          <w:lang w:val="en-US" w:eastAsia="zh-CN"/>
        </w:rPr>
      </w:pPr>
    </w:p>
    <w:p w14:paraId="43ED5FBD">
      <w:pPr>
        <w:widowControl/>
        <w:spacing w:line="360" w:lineRule="exact"/>
        <w:rPr>
          <w:rFonts w:hint="eastAsia" w:ascii="宋体" w:hAnsi="宋体" w:eastAsia="宋体" w:cs="宋体"/>
          <w:b/>
          <w:bCs/>
          <w:color w:val="auto"/>
          <w:sz w:val="24"/>
          <w:highlight w:val="none"/>
          <w:lang w:val="en-US" w:eastAsia="zh-CN"/>
        </w:rPr>
      </w:pPr>
    </w:p>
    <w:p w14:paraId="2C838840">
      <w:pPr>
        <w:widowControl/>
        <w:spacing w:line="360" w:lineRule="exact"/>
        <w:rPr>
          <w:rFonts w:hint="eastAsia" w:ascii="宋体" w:hAnsi="宋体" w:eastAsia="宋体" w:cs="宋体"/>
          <w:b/>
          <w:bCs/>
          <w:color w:val="auto"/>
          <w:sz w:val="24"/>
          <w:highlight w:val="none"/>
          <w:lang w:val="en-US" w:eastAsia="zh-CN"/>
        </w:rPr>
      </w:pPr>
    </w:p>
    <w:p w14:paraId="6BFD0568">
      <w:pPr>
        <w:widowControl/>
        <w:spacing w:line="360" w:lineRule="exact"/>
        <w:rPr>
          <w:rFonts w:hint="eastAsia" w:ascii="宋体" w:hAnsi="宋体" w:eastAsia="宋体" w:cs="宋体"/>
          <w:b/>
          <w:bCs/>
          <w:color w:val="auto"/>
          <w:sz w:val="24"/>
          <w:highlight w:val="none"/>
          <w:lang w:val="en-US" w:eastAsia="zh-CN"/>
        </w:rPr>
      </w:pPr>
    </w:p>
    <w:p w14:paraId="03250961">
      <w:pPr>
        <w:widowControl/>
        <w:spacing w:line="360" w:lineRule="exact"/>
        <w:rPr>
          <w:rFonts w:hint="eastAsia" w:ascii="宋体" w:hAnsi="宋体" w:eastAsia="宋体" w:cs="宋体"/>
          <w:b/>
          <w:bCs/>
          <w:color w:val="auto"/>
          <w:sz w:val="24"/>
          <w:highlight w:val="none"/>
          <w:lang w:val="en-US" w:eastAsia="zh-CN"/>
        </w:rPr>
      </w:pPr>
    </w:p>
    <w:p w14:paraId="183C9C06">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 投标人直接控股、管理关系信息表格式：</w:t>
      </w:r>
    </w:p>
    <w:p w14:paraId="5FB3174D">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投标人直接控股股东信息表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C50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03CC099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69" w:type="dxa"/>
            <w:tcMar>
              <w:top w:w="120" w:type="dxa"/>
              <w:left w:w="120" w:type="dxa"/>
              <w:bottom w:w="120" w:type="dxa"/>
              <w:right w:w="120" w:type="dxa"/>
            </w:tcMar>
            <w:vAlign w:val="center"/>
          </w:tcPr>
          <w:p w14:paraId="16670DB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直接控股股东名称</w:t>
            </w:r>
          </w:p>
        </w:tc>
        <w:tc>
          <w:tcPr>
            <w:tcW w:w="1239" w:type="dxa"/>
            <w:tcMar>
              <w:top w:w="120" w:type="dxa"/>
              <w:left w:w="120" w:type="dxa"/>
              <w:bottom w:w="120" w:type="dxa"/>
              <w:right w:w="120" w:type="dxa"/>
            </w:tcMar>
            <w:vAlign w:val="center"/>
          </w:tcPr>
          <w:p w14:paraId="10CE96AA">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出资比例</w:t>
            </w:r>
          </w:p>
        </w:tc>
        <w:tc>
          <w:tcPr>
            <w:tcW w:w="3722" w:type="dxa"/>
            <w:tcMar>
              <w:top w:w="120" w:type="dxa"/>
              <w:left w:w="120" w:type="dxa"/>
              <w:bottom w:w="120" w:type="dxa"/>
              <w:right w:w="120" w:type="dxa"/>
            </w:tcMar>
            <w:vAlign w:val="center"/>
          </w:tcPr>
          <w:p w14:paraId="6FE32A4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01EB204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E79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ACC7D79">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69" w:type="dxa"/>
            <w:tcMar>
              <w:top w:w="120" w:type="dxa"/>
              <w:left w:w="120" w:type="dxa"/>
              <w:bottom w:w="120" w:type="dxa"/>
              <w:right w:w="120" w:type="dxa"/>
            </w:tcMar>
            <w:vAlign w:val="center"/>
          </w:tcPr>
          <w:p w14:paraId="115082BD">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445FD0E1">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71B5FAEF">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9F59E17">
            <w:pPr>
              <w:widowControl/>
              <w:wordWrap w:val="0"/>
              <w:spacing w:line="360" w:lineRule="auto"/>
              <w:jc w:val="center"/>
              <w:rPr>
                <w:rFonts w:hint="eastAsia" w:ascii="宋体" w:hAnsi="宋体" w:eastAsia="宋体" w:cs="宋体"/>
                <w:color w:val="auto"/>
                <w:szCs w:val="21"/>
                <w:highlight w:val="none"/>
              </w:rPr>
            </w:pPr>
          </w:p>
        </w:tc>
      </w:tr>
      <w:tr w14:paraId="6DFF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0DE2D9A5">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69" w:type="dxa"/>
            <w:tcMar>
              <w:top w:w="120" w:type="dxa"/>
              <w:left w:w="120" w:type="dxa"/>
              <w:bottom w:w="120" w:type="dxa"/>
              <w:right w:w="120" w:type="dxa"/>
            </w:tcMar>
            <w:vAlign w:val="center"/>
          </w:tcPr>
          <w:p w14:paraId="65B25E26">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E19C04">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3DBF3072">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2FA9B404">
            <w:pPr>
              <w:widowControl/>
              <w:wordWrap w:val="0"/>
              <w:spacing w:line="360" w:lineRule="auto"/>
              <w:jc w:val="center"/>
              <w:rPr>
                <w:rFonts w:hint="eastAsia" w:ascii="宋体" w:hAnsi="宋体" w:eastAsia="宋体" w:cs="宋体"/>
                <w:color w:val="auto"/>
                <w:szCs w:val="21"/>
                <w:highlight w:val="none"/>
              </w:rPr>
            </w:pPr>
          </w:p>
        </w:tc>
      </w:tr>
      <w:tr w14:paraId="6CDF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9FA3FD8">
            <w:pPr>
              <w:widowControl/>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269" w:type="dxa"/>
            <w:tcMar>
              <w:top w:w="120" w:type="dxa"/>
              <w:left w:w="120" w:type="dxa"/>
              <w:bottom w:w="120" w:type="dxa"/>
              <w:right w:w="120" w:type="dxa"/>
            </w:tcMar>
            <w:vAlign w:val="center"/>
          </w:tcPr>
          <w:p w14:paraId="4A4E365F">
            <w:pPr>
              <w:widowControl/>
              <w:wordWrap w:val="0"/>
              <w:spacing w:line="360" w:lineRule="auto"/>
              <w:jc w:val="center"/>
              <w:rPr>
                <w:rFonts w:hint="eastAsia" w:ascii="宋体" w:hAnsi="宋体" w:eastAsia="宋体" w:cs="宋体"/>
                <w:color w:val="auto"/>
                <w:szCs w:val="21"/>
                <w:highlight w:val="none"/>
              </w:rPr>
            </w:pPr>
          </w:p>
        </w:tc>
        <w:tc>
          <w:tcPr>
            <w:tcW w:w="1239" w:type="dxa"/>
            <w:tcMar>
              <w:top w:w="120" w:type="dxa"/>
              <w:left w:w="120" w:type="dxa"/>
              <w:bottom w:w="120" w:type="dxa"/>
              <w:right w:w="120" w:type="dxa"/>
            </w:tcMar>
            <w:vAlign w:val="center"/>
          </w:tcPr>
          <w:p w14:paraId="14C240F9">
            <w:pPr>
              <w:widowControl/>
              <w:wordWrap w:val="0"/>
              <w:spacing w:line="360" w:lineRule="auto"/>
              <w:jc w:val="center"/>
              <w:rPr>
                <w:rFonts w:hint="eastAsia" w:ascii="宋体" w:hAnsi="宋体" w:eastAsia="宋体" w:cs="宋体"/>
                <w:color w:val="auto"/>
                <w:szCs w:val="21"/>
                <w:highlight w:val="none"/>
              </w:rPr>
            </w:pPr>
          </w:p>
        </w:tc>
        <w:tc>
          <w:tcPr>
            <w:tcW w:w="3722" w:type="dxa"/>
            <w:tcMar>
              <w:top w:w="120" w:type="dxa"/>
              <w:left w:w="120" w:type="dxa"/>
              <w:bottom w:w="120" w:type="dxa"/>
              <w:right w:w="120" w:type="dxa"/>
            </w:tcMar>
            <w:vAlign w:val="center"/>
          </w:tcPr>
          <w:p w14:paraId="691E24AC">
            <w:pPr>
              <w:widowControl/>
              <w:wordWrap w:val="0"/>
              <w:spacing w:line="360" w:lineRule="auto"/>
              <w:jc w:val="center"/>
              <w:rPr>
                <w:rFonts w:hint="eastAsia" w:ascii="宋体" w:hAnsi="宋体" w:eastAsia="宋体" w:cs="宋体"/>
                <w:color w:val="auto"/>
                <w:szCs w:val="21"/>
                <w:highlight w:val="none"/>
              </w:rPr>
            </w:pPr>
          </w:p>
        </w:tc>
        <w:tc>
          <w:tcPr>
            <w:tcW w:w="1418" w:type="dxa"/>
            <w:tcMar>
              <w:top w:w="120" w:type="dxa"/>
              <w:left w:w="120" w:type="dxa"/>
              <w:bottom w:w="120" w:type="dxa"/>
              <w:right w:w="120" w:type="dxa"/>
            </w:tcMar>
            <w:vAlign w:val="center"/>
          </w:tcPr>
          <w:p w14:paraId="13FDA204">
            <w:pPr>
              <w:widowControl/>
              <w:wordWrap w:val="0"/>
              <w:spacing w:line="360" w:lineRule="auto"/>
              <w:jc w:val="center"/>
              <w:rPr>
                <w:rFonts w:hint="eastAsia" w:ascii="宋体" w:hAnsi="宋体" w:eastAsia="宋体" w:cs="宋体"/>
                <w:color w:val="auto"/>
                <w:szCs w:val="21"/>
                <w:highlight w:val="none"/>
              </w:rPr>
            </w:pPr>
          </w:p>
        </w:tc>
      </w:tr>
    </w:tbl>
    <w:p w14:paraId="7B5A4FD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FE8DA1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5A222D">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766BC1D1">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3.不存在直接控股股东的，则填“无”。</w:t>
      </w:r>
    </w:p>
    <w:p w14:paraId="570FF771">
      <w:pPr>
        <w:snapToGrid w:val="0"/>
        <w:spacing w:before="50" w:after="120" w:afterLines="50"/>
        <w:jc w:val="center"/>
        <w:rPr>
          <w:rFonts w:hint="eastAsia" w:ascii="宋体" w:hAnsi="宋体" w:eastAsia="宋体" w:cs="宋体"/>
          <w:color w:val="auto"/>
          <w:szCs w:val="21"/>
          <w:highlight w:val="none"/>
        </w:rPr>
      </w:pPr>
    </w:p>
    <w:p w14:paraId="24C69E3B">
      <w:pPr>
        <w:snapToGrid w:val="0"/>
        <w:spacing w:before="50" w:after="120" w:afterLines="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投标人直接管理关系信息表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7D1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5FF63F6E">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59" w:type="dxa"/>
            <w:tcMar>
              <w:top w:w="120" w:type="dxa"/>
              <w:left w:w="120" w:type="dxa"/>
              <w:bottom w:w="120" w:type="dxa"/>
              <w:right w:w="120" w:type="dxa"/>
            </w:tcMar>
            <w:vAlign w:val="center"/>
          </w:tcPr>
          <w:p w14:paraId="0001A6B6">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0A343D84">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2064" w:type="dxa"/>
            <w:tcMar>
              <w:top w:w="120" w:type="dxa"/>
              <w:left w:w="120" w:type="dxa"/>
              <w:bottom w:w="120" w:type="dxa"/>
              <w:right w:w="120" w:type="dxa"/>
            </w:tcMar>
            <w:vAlign w:val="center"/>
          </w:tcPr>
          <w:p w14:paraId="4491E7CD">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FB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6C04222B">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59" w:type="dxa"/>
            <w:tcMar>
              <w:top w:w="120" w:type="dxa"/>
              <w:left w:w="120" w:type="dxa"/>
              <w:bottom w:w="120" w:type="dxa"/>
              <w:right w:w="120" w:type="dxa"/>
            </w:tcMar>
            <w:vAlign w:val="center"/>
          </w:tcPr>
          <w:p w14:paraId="2C9989FF">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76C89FE4">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0099141A">
            <w:pPr>
              <w:widowControl/>
              <w:spacing w:line="360" w:lineRule="auto"/>
              <w:jc w:val="center"/>
              <w:rPr>
                <w:rFonts w:hint="eastAsia" w:ascii="宋体" w:hAnsi="宋体" w:eastAsia="宋体" w:cs="宋体"/>
                <w:color w:val="auto"/>
                <w:szCs w:val="21"/>
                <w:highlight w:val="none"/>
              </w:rPr>
            </w:pPr>
          </w:p>
        </w:tc>
      </w:tr>
      <w:tr w14:paraId="5A2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4ADF2AE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59" w:type="dxa"/>
            <w:tcMar>
              <w:top w:w="120" w:type="dxa"/>
              <w:left w:w="120" w:type="dxa"/>
              <w:bottom w:w="120" w:type="dxa"/>
              <w:right w:w="120" w:type="dxa"/>
            </w:tcMar>
            <w:vAlign w:val="center"/>
          </w:tcPr>
          <w:p w14:paraId="6205ACDB">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682C56F6">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61782F26">
            <w:pPr>
              <w:widowControl/>
              <w:spacing w:line="360" w:lineRule="auto"/>
              <w:jc w:val="center"/>
              <w:rPr>
                <w:rFonts w:hint="eastAsia" w:ascii="宋体" w:hAnsi="宋体" w:eastAsia="宋体" w:cs="宋体"/>
                <w:color w:val="auto"/>
                <w:szCs w:val="21"/>
                <w:highlight w:val="none"/>
              </w:rPr>
            </w:pPr>
          </w:p>
        </w:tc>
      </w:tr>
      <w:tr w14:paraId="6FA0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10909AC0">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59" w:type="dxa"/>
            <w:tcMar>
              <w:top w:w="120" w:type="dxa"/>
              <w:left w:w="120" w:type="dxa"/>
              <w:bottom w:w="120" w:type="dxa"/>
              <w:right w:w="120" w:type="dxa"/>
            </w:tcMar>
            <w:vAlign w:val="center"/>
          </w:tcPr>
          <w:p w14:paraId="1D95DF15">
            <w:pPr>
              <w:widowControl/>
              <w:spacing w:line="360" w:lineRule="auto"/>
              <w:jc w:val="center"/>
              <w:rPr>
                <w:rFonts w:hint="eastAsia" w:ascii="宋体" w:hAnsi="宋体" w:eastAsia="宋体" w:cs="宋体"/>
                <w:color w:val="auto"/>
                <w:szCs w:val="21"/>
                <w:highlight w:val="none"/>
              </w:rPr>
            </w:pPr>
          </w:p>
        </w:tc>
        <w:tc>
          <w:tcPr>
            <w:tcW w:w="3924" w:type="dxa"/>
            <w:tcMar>
              <w:top w:w="120" w:type="dxa"/>
              <w:left w:w="120" w:type="dxa"/>
              <w:bottom w:w="120" w:type="dxa"/>
              <w:right w:w="120" w:type="dxa"/>
            </w:tcMar>
            <w:vAlign w:val="center"/>
          </w:tcPr>
          <w:p w14:paraId="1E1243EA">
            <w:pPr>
              <w:widowControl/>
              <w:spacing w:line="360" w:lineRule="auto"/>
              <w:jc w:val="center"/>
              <w:rPr>
                <w:rFonts w:hint="eastAsia" w:ascii="宋体" w:hAnsi="宋体" w:eastAsia="宋体" w:cs="宋体"/>
                <w:color w:val="auto"/>
                <w:szCs w:val="21"/>
                <w:highlight w:val="none"/>
              </w:rPr>
            </w:pPr>
          </w:p>
        </w:tc>
        <w:tc>
          <w:tcPr>
            <w:tcW w:w="2064" w:type="dxa"/>
            <w:tcMar>
              <w:top w:w="120" w:type="dxa"/>
              <w:left w:w="120" w:type="dxa"/>
              <w:bottom w:w="120" w:type="dxa"/>
              <w:right w:w="120" w:type="dxa"/>
            </w:tcMar>
            <w:vAlign w:val="center"/>
          </w:tcPr>
          <w:p w14:paraId="54953260">
            <w:pPr>
              <w:widowControl/>
              <w:spacing w:line="360" w:lineRule="auto"/>
              <w:jc w:val="center"/>
              <w:rPr>
                <w:rFonts w:hint="eastAsia" w:ascii="宋体" w:hAnsi="宋体" w:eastAsia="宋体" w:cs="宋体"/>
                <w:color w:val="auto"/>
                <w:szCs w:val="21"/>
                <w:highlight w:val="none"/>
              </w:rPr>
            </w:pPr>
          </w:p>
        </w:tc>
      </w:tr>
    </w:tbl>
    <w:p w14:paraId="788E077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24C50500">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5ABB9938">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2.本表所指的管理关系仅限于直接管理关系，不包括间接的管理关系。</w:t>
      </w:r>
    </w:p>
    <w:p w14:paraId="299F1543">
      <w:pPr>
        <w:snapToGrid w:val="0"/>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3.不存在直接管理关系的，则填“无”。</w:t>
      </w:r>
    </w:p>
    <w:p w14:paraId="52EC7A18">
      <w:pPr>
        <w:pStyle w:val="27"/>
        <w:tabs>
          <w:tab w:val="left" w:pos="5529"/>
        </w:tabs>
        <w:wordWrap w:val="0"/>
        <w:ind w:firstLine="3402" w:firstLineChars="1620"/>
        <w:rPr>
          <w:rFonts w:hint="eastAsia" w:ascii="宋体" w:hAnsi="宋体" w:eastAsia="宋体" w:cs="宋体"/>
          <w:color w:val="auto"/>
          <w:highlight w:val="none"/>
        </w:rPr>
      </w:pPr>
    </w:p>
    <w:p w14:paraId="3BDB267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B338F91">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9515839">
      <w:pPr>
        <w:widowControl/>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335B7EEF">
      <w:pPr>
        <w:snapToGrid w:val="0"/>
        <w:spacing w:line="360" w:lineRule="exact"/>
        <w:rPr>
          <w:rFonts w:hint="eastAsia" w:ascii="宋体" w:hAnsi="宋体" w:eastAsia="宋体" w:cs="宋体"/>
          <w:color w:val="auto"/>
          <w:sz w:val="30"/>
          <w:szCs w:val="30"/>
          <w:highlight w:val="none"/>
        </w:rPr>
      </w:pPr>
    </w:p>
    <w:p w14:paraId="304D1107">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hint="eastAsia" w:ascii="宋体" w:hAnsi="宋体" w:eastAsia="宋体" w:cs="宋体"/>
          <w:b/>
          <w:color w:val="auto"/>
          <w:sz w:val="32"/>
          <w:szCs w:val="32"/>
          <w:highlight w:val="none"/>
          <w:lang w:eastAsia="zh-CN"/>
        </w:rPr>
        <w:t>报价文件</w:t>
      </w:r>
      <w:r>
        <w:rPr>
          <w:rFonts w:hint="eastAsia" w:ascii="宋体" w:hAnsi="宋体" w:eastAsia="宋体" w:cs="宋体"/>
          <w:b/>
          <w:color w:val="auto"/>
          <w:sz w:val="32"/>
          <w:szCs w:val="32"/>
          <w:highlight w:val="none"/>
        </w:rPr>
        <w:t>格式：</w:t>
      </w:r>
    </w:p>
    <w:p w14:paraId="37072F0F">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3260B1F2">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074FBB4C">
      <w:pPr>
        <w:snapToGrid w:val="0"/>
        <w:spacing w:before="120" w:beforeLines="50" w:after="50" w:line="400" w:lineRule="exact"/>
        <w:rPr>
          <w:rFonts w:hint="eastAsia" w:ascii="宋体" w:hAnsi="宋体" w:eastAsia="宋体" w:cs="宋体"/>
          <w:color w:val="auto"/>
          <w:sz w:val="32"/>
          <w:szCs w:val="32"/>
          <w:highlight w:val="none"/>
        </w:rPr>
      </w:pPr>
    </w:p>
    <w:p w14:paraId="6F91F3C5">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w:t>
      </w:r>
      <w:r>
        <w:rPr>
          <w:rFonts w:hint="eastAsia" w:ascii="宋体" w:hAnsi="宋体" w:eastAsia="宋体" w:cs="宋体"/>
          <w:bCs/>
          <w:color w:val="auto"/>
          <w:sz w:val="32"/>
          <w:szCs w:val="32"/>
          <w:highlight w:val="none"/>
          <w:lang w:eastAsia="zh-CN"/>
        </w:rPr>
        <w:t>报价文件</w:t>
      </w:r>
      <w:r>
        <w:rPr>
          <w:rFonts w:hint="eastAsia" w:ascii="宋体" w:hAnsi="宋体" w:eastAsia="宋体" w:cs="宋体"/>
          <w:bCs/>
          <w:color w:val="auto"/>
          <w:sz w:val="32"/>
          <w:szCs w:val="32"/>
          <w:highlight w:val="none"/>
        </w:rPr>
        <w:t>）</w:t>
      </w:r>
    </w:p>
    <w:p w14:paraId="34B86C7C">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6789A7B7">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7FE7A40E">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3858CAD1">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2697B725">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75D2E4E5">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44F770D2">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5CCA2B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168B2460">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5CE0AB8B">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6DFAECD0">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60E9FC3">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5EDC33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4D5C4C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C8CBF3B">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8DDDC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D84C7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6B07B70">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1584A5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20293A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8337D4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497FBB5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E429731">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7407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AA8995A">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3DD3EA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A9EEBC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312AD2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259266C">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4D0B2C83">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05214E77">
      <w:pPr>
        <w:widowControl/>
        <w:spacing w:line="320" w:lineRule="exact"/>
        <w:rPr>
          <w:rFonts w:hint="eastAsia" w:ascii="宋体" w:hAnsi="宋体" w:eastAsia="宋体" w:cs="宋体"/>
          <w:bCs/>
          <w:color w:val="auto"/>
          <w:szCs w:val="21"/>
          <w:highlight w:val="none"/>
        </w:rPr>
      </w:pPr>
    </w:p>
    <w:p w14:paraId="2F56FAA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15A9CD0">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096F84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4E95DE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94E03C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EB66C55">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D76DB3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F3C0F6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4B50ED2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EBC98E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2EAEE34">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EEA7BB9">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15939F7E">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5F4D0D3">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7AE934B">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04D512A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3E244CC">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92FBE71">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0A1906">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D686F1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E83E28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3A64572F">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5045039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6192E062">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2B832A77">
      <w:pPr>
        <w:snapToGrid w:val="0"/>
        <w:spacing w:before="50" w:after="50" w:line="360" w:lineRule="exact"/>
        <w:ind w:left="-6" w:leftChars="-15" w:right="-817" w:rightChars="-389" w:hanging="25" w:hangingChars="12"/>
        <w:rPr>
          <w:rFonts w:hint="eastAsia" w:ascii="宋体" w:hAnsi="宋体" w:eastAsia="宋体" w:cs="宋体"/>
          <w:b/>
          <w:color w:val="auto"/>
          <w:szCs w:val="21"/>
          <w:highlight w:val="none"/>
        </w:rPr>
      </w:pPr>
    </w:p>
    <w:p w14:paraId="74ECC082">
      <w:pPr>
        <w:snapToGrid w:val="0"/>
        <w:spacing w:before="50" w:after="50" w:line="360" w:lineRule="exact"/>
        <w:ind w:left="-3" w:leftChars="-15" w:right="-817" w:rightChars="-389" w:hanging="28" w:hangingChars="12"/>
        <w:rPr>
          <w:rFonts w:hint="eastAsia" w:ascii="宋体" w:hAnsi="宋体" w:eastAsia="宋体" w:cs="宋体"/>
          <w:bCs/>
          <w:color w:val="auto"/>
          <w:sz w:val="24"/>
          <w:highlight w:val="none"/>
        </w:rPr>
      </w:pPr>
    </w:p>
    <w:p w14:paraId="14F1EA6C">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25EE5F4">
      <w:pPr>
        <w:snapToGrid w:val="0"/>
        <w:spacing w:before="120" w:beforeLines="50" w:after="50" w:line="36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1、投 标 函(格式)</w:t>
      </w:r>
    </w:p>
    <w:p w14:paraId="5AF4BADE">
      <w:pPr>
        <w:snapToGrid w:val="0"/>
        <w:spacing w:before="120" w:beforeLines="50" w:after="50" w:line="3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 标 函</w:t>
      </w:r>
    </w:p>
    <w:p w14:paraId="1FFDA392">
      <w:pPr>
        <w:snapToGrid w:val="0"/>
        <w:spacing w:before="120" w:beforeLines="50" w:after="50" w:line="360" w:lineRule="exact"/>
        <w:jc w:val="center"/>
        <w:rPr>
          <w:rFonts w:hint="eastAsia" w:ascii="宋体" w:hAnsi="宋体" w:eastAsia="宋体" w:cs="宋体"/>
          <w:b/>
          <w:color w:val="auto"/>
          <w:sz w:val="24"/>
          <w:szCs w:val="20"/>
          <w:highlight w:val="none"/>
        </w:rPr>
      </w:pPr>
    </w:p>
    <w:p w14:paraId="0E064C83">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p>
    <w:p w14:paraId="77E17146">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（分标</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（全名）</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 xml:space="preserve">                    （投标人名称）</w:t>
      </w:r>
      <w:r>
        <w:rPr>
          <w:rFonts w:hint="eastAsia" w:ascii="宋体" w:hAnsi="宋体" w:eastAsia="宋体" w:cs="宋体"/>
          <w:color w:val="auto"/>
          <w:szCs w:val="21"/>
          <w:highlight w:val="none"/>
        </w:rPr>
        <w:t>现正式递交下述文件参加贵方组织的本次政府采购活动：</w:t>
      </w:r>
    </w:p>
    <w:p w14:paraId="6CAC7BC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一、资格文件电子版一份；</w:t>
      </w:r>
    </w:p>
    <w:p w14:paraId="70298FC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报价文件</w:t>
      </w:r>
      <w:r>
        <w:rPr>
          <w:rFonts w:hint="eastAsia" w:ascii="宋体" w:hAnsi="宋体" w:eastAsia="宋体" w:cs="宋体"/>
          <w:color w:val="auto"/>
          <w:szCs w:val="21"/>
          <w:highlight w:val="none"/>
        </w:rPr>
        <w:t>电子版一份；</w:t>
      </w:r>
    </w:p>
    <w:p w14:paraId="0AA6539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三、商务技术文件电子版一份；</w:t>
      </w:r>
    </w:p>
    <w:p w14:paraId="2E6BD47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5E06668E">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1C99B8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2.我方在投标之前已经与贵方进行了充分的沟通，完全理解并接受招标文件的各项规定和要求，对招标文件的合理性、合法性不再有异议。</w:t>
      </w:r>
    </w:p>
    <w:p w14:paraId="3807218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3.本投标有效期为投标截止日期后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w:t>
      </w:r>
    </w:p>
    <w:p w14:paraId="2FFBCDE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4.如中标，本投标文件至本项目合同履行完毕止均保持有效，本投标人将按“招标文件”及政府采购法律、法规的规定履行合同责任和义务。</w:t>
      </w:r>
    </w:p>
    <w:p w14:paraId="6B3A2FF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1EB61C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58741C3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5303A67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3B54D5B">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投标人名称(公章):</w:t>
      </w:r>
      <w:r>
        <w:rPr>
          <w:rFonts w:hint="eastAsia" w:ascii="宋体" w:hAnsi="宋体" w:eastAsia="宋体" w:cs="宋体"/>
          <w:color w:val="auto"/>
          <w:szCs w:val="21"/>
          <w:highlight w:val="none"/>
          <w:u w:val="single"/>
        </w:rPr>
        <w:t xml:space="preserve">                    </w:t>
      </w:r>
    </w:p>
    <w:p w14:paraId="16AE018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银行帐号：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DFCDF16">
      <w:pPr>
        <w:snapToGrid w:val="0"/>
        <w:spacing w:line="360" w:lineRule="exact"/>
        <w:rPr>
          <w:rFonts w:hint="eastAsia" w:ascii="宋体" w:hAnsi="宋体" w:eastAsia="宋体" w:cs="宋体"/>
          <w:color w:val="auto"/>
          <w:szCs w:val="21"/>
          <w:highlight w:val="none"/>
        </w:rPr>
      </w:pPr>
    </w:p>
    <w:p w14:paraId="2E68A1E3">
      <w:pPr>
        <w:snapToGrid w:val="0"/>
        <w:spacing w:line="360" w:lineRule="exact"/>
        <w:rPr>
          <w:rFonts w:hint="eastAsia" w:ascii="宋体" w:hAnsi="宋体" w:eastAsia="宋体" w:cs="宋体"/>
          <w:color w:val="auto"/>
          <w:szCs w:val="21"/>
          <w:highlight w:val="none"/>
        </w:rPr>
      </w:pPr>
    </w:p>
    <w:p w14:paraId="1378E42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648F823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E99149">
      <w:pPr>
        <w:pStyle w:val="27"/>
        <w:spacing w:line="360" w:lineRule="exact"/>
        <w:rPr>
          <w:rFonts w:hint="eastAsia" w:ascii="宋体" w:hAnsi="宋体" w:eastAsia="宋体" w:cs="宋体"/>
          <w:color w:val="auto"/>
          <w:sz w:val="44"/>
          <w:highlight w:val="none"/>
        </w:rPr>
      </w:pPr>
    </w:p>
    <w:p w14:paraId="76EF4F86">
      <w:pPr>
        <w:pStyle w:val="27"/>
        <w:spacing w:line="360" w:lineRule="exact"/>
        <w:rPr>
          <w:rFonts w:hint="eastAsia" w:ascii="宋体" w:hAnsi="宋体" w:eastAsia="宋体" w:cs="宋体"/>
          <w:color w:val="auto"/>
          <w:sz w:val="44"/>
          <w:highlight w:val="none"/>
        </w:rPr>
      </w:pPr>
    </w:p>
    <w:p w14:paraId="1DB057D3">
      <w:pPr>
        <w:pStyle w:val="27"/>
        <w:spacing w:line="360" w:lineRule="exact"/>
        <w:rPr>
          <w:rFonts w:hint="eastAsia" w:ascii="宋体" w:hAnsi="宋体" w:eastAsia="宋体" w:cs="宋体"/>
          <w:color w:val="auto"/>
          <w:sz w:val="44"/>
          <w:highlight w:val="none"/>
        </w:rPr>
      </w:pPr>
    </w:p>
    <w:p w14:paraId="1418586E">
      <w:pPr>
        <w:pStyle w:val="27"/>
        <w:spacing w:line="360" w:lineRule="exact"/>
        <w:rPr>
          <w:rFonts w:hint="eastAsia" w:ascii="宋体" w:hAnsi="宋体" w:eastAsia="宋体" w:cs="宋体"/>
          <w:color w:val="auto"/>
          <w:sz w:val="44"/>
          <w:highlight w:val="none"/>
        </w:rPr>
      </w:pPr>
    </w:p>
    <w:p w14:paraId="086F4F2B">
      <w:pPr>
        <w:pStyle w:val="27"/>
        <w:spacing w:line="360" w:lineRule="exact"/>
        <w:rPr>
          <w:rFonts w:hint="eastAsia" w:ascii="宋体" w:hAnsi="宋体" w:eastAsia="宋体" w:cs="宋体"/>
          <w:color w:val="auto"/>
          <w:sz w:val="44"/>
          <w:highlight w:val="none"/>
        </w:rPr>
      </w:pPr>
    </w:p>
    <w:p w14:paraId="2FA1F7DB">
      <w:pPr>
        <w:pStyle w:val="27"/>
        <w:spacing w:line="360" w:lineRule="exact"/>
        <w:rPr>
          <w:rFonts w:hint="eastAsia" w:ascii="宋体" w:hAnsi="宋体" w:eastAsia="宋体" w:cs="宋体"/>
          <w:color w:val="auto"/>
          <w:sz w:val="44"/>
          <w:highlight w:val="none"/>
        </w:rPr>
      </w:pPr>
    </w:p>
    <w:p w14:paraId="15CCC85B">
      <w:pPr>
        <w:snapToGrid w:val="0"/>
        <w:spacing w:before="120" w:beforeLines="50" w:after="50" w:line="360" w:lineRule="exact"/>
        <w:rPr>
          <w:rFonts w:hint="eastAsia" w:ascii="宋体" w:hAnsi="宋体" w:eastAsia="宋体" w:cs="宋体"/>
          <w:b/>
          <w:bCs/>
          <w:color w:val="auto"/>
          <w:szCs w:val="21"/>
          <w:highlight w:val="none"/>
        </w:rPr>
      </w:pPr>
    </w:p>
    <w:p w14:paraId="36DAC051">
      <w:pPr>
        <w:snapToGrid w:val="0"/>
        <w:spacing w:before="120" w:beforeLines="50" w:after="50" w:line="360" w:lineRule="exact"/>
        <w:rPr>
          <w:rFonts w:hint="eastAsia" w:ascii="宋体" w:hAnsi="宋体" w:eastAsia="宋体" w:cs="宋体"/>
          <w:b/>
          <w:bCs/>
          <w:color w:val="auto"/>
          <w:szCs w:val="21"/>
          <w:highlight w:val="none"/>
        </w:rPr>
      </w:pPr>
    </w:p>
    <w:p w14:paraId="5A6EEE27">
      <w:pPr>
        <w:widowControl/>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A647E8D">
      <w:pPr>
        <w:snapToGrid w:val="0"/>
        <w:spacing w:before="50" w:after="50" w:line="360" w:lineRule="exact"/>
        <w:rPr>
          <w:rFonts w:hint="eastAsia" w:ascii="宋体" w:hAnsi="宋体" w:eastAsia="宋体" w:cs="宋体"/>
          <w:b/>
          <w:color w:val="auto"/>
          <w:sz w:val="30"/>
          <w:highlight w:val="none"/>
        </w:rPr>
      </w:pPr>
      <w:r>
        <w:rPr>
          <w:rFonts w:hint="eastAsia" w:ascii="宋体" w:hAnsi="宋体" w:eastAsia="宋体" w:cs="宋体"/>
          <w:b/>
          <w:bCs/>
          <w:color w:val="auto"/>
          <w:sz w:val="28"/>
          <w:szCs w:val="28"/>
          <w:highlight w:val="none"/>
        </w:rPr>
        <w:t>2、</w:t>
      </w:r>
      <w:r>
        <w:rPr>
          <w:rFonts w:hint="eastAsia" w:ascii="宋体" w:hAnsi="宋体" w:eastAsia="宋体" w:cs="宋体"/>
          <w:b/>
          <w:color w:val="auto"/>
          <w:sz w:val="30"/>
          <w:highlight w:val="none"/>
        </w:rPr>
        <w:t>开标一览表格式</w:t>
      </w:r>
    </w:p>
    <w:p w14:paraId="5CFA7C70">
      <w:pPr>
        <w:snapToGrid w:val="0"/>
        <w:spacing w:before="50" w:after="50"/>
        <w:rPr>
          <w:rFonts w:hint="eastAsia" w:ascii="宋体" w:hAnsi="宋体" w:eastAsia="宋体" w:cs="宋体"/>
          <w:b/>
          <w:color w:val="auto"/>
          <w:szCs w:val="21"/>
          <w:highlight w:val="none"/>
        </w:rPr>
      </w:pPr>
    </w:p>
    <w:p w14:paraId="650C5C6A">
      <w:pPr>
        <w:snapToGrid w:val="0"/>
        <w:spacing w:before="50" w:after="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开标一览表</w:t>
      </w:r>
    </w:p>
    <w:tbl>
      <w:tblPr>
        <w:tblStyle w:val="48"/>
        <w:tblW w:w="9782"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12277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912" w:type="dxa"/>
            <w:vAlign w:val="center"/>
          </w:tcPr>
          <w:p w14:paraId="17940FA7">
            <w:pPr>
              <w:keepNext w:val="0"/>
              <w:keepLines w:val="0"/>
              <w:widowControl/>
              <w:suppressLineNumbers w:val="0"/>
              <w:jc w:val="center"/>
              <w:textAlignment w:val="center"/>
              <w:rPr>
                <w:rFonts w:hint="eastAsia" w:ascii="宋体" w:hAnsi="宋体" w:eastAsia="宋体" w:cs="宋体"/>
                <w:b/>
                <w:color w:val="auto"/>
                <w:sz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03" w:type="dxa"/>
            <w:vAlign w:val="center"/>
          </w:tcPr>
          <w:p w14:paraId="202332A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1639" w:type="dxa"/>
            <w:vAlign w:val="center"/>
          </w:tcPr>
          <w:p w14:paraId="74E38C81">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厂家、品牌 规格型号</w:t>
            </w:r>
          </w:p>
        </w:tc>
        <w:tc>
          <w:tcPr>
            <w:tcW w:w="1229" w:type="dxa"/>
            <w:vAlign w:val="center"/>
          </w:tcPr>
          <w:p w14:paraId="1C04F37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产地</w:t>
            </w:r>
          </w:p>
        </w:tc>
        <w:tc>
          <w:tcPr>
            <w:tcW w:w="1051" w:type="dxa"/>
            <w:vAlign w:val="center"/>
          </w:tcPr>
          <w:p w14:paraId="75E2863A">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数量①</w:t>
            </w:r>
          </w:p>
        </w:tc>
        <w:tc>
          <w:tcPr>
            <w:tcW w:w="878" w:type="dxa"/>
            <w:vAlign w:val="center"/>
          </w:tcPr>
          <w:p w14:paraId="26ABF889">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66" w:type="dxa"/>
            <w:vAlign w:val="center"/>
          </w:tcPr>
          <w:p w14:paraId="08945305">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单价②</w:t>
            </w:r>
          </w:p>
        </w:tc>
        <w:tc>
          <w:tcPr>
            <w:tcW w:w="1404" w:type="dxa"/>
            <w:vAlign w:val="center"/>
          </w:tcPr>
          <w:p w14:paraId="4D0B3706">
            <w:pPr>
              <w:keepNext w:val="0"/>
              <w:keepLines w:val="0"/>
              <w:widowControl/>
              <w:suppressLineNumbers w:val="0"/>
              <w:jc w:val="center"/>
              <w:textAlignment w:val="center"/>
              <w:rPr>
                <w:rFonts w:hint="eastAsia" w:ascii="宋体" w:hAnsi="宋体" w:eastAsia="宋体" w:cs="宋体"/>
                <w:b/>
                <w:color w:val="auto"/>
                <w:sz w:val="21"/>
                <w:highlight w:val="none"/>
              </w:rPr>
            </w:pPr>
            <w:r>
              <w:rPr>
                <w:rFonts w:hint="eastAsia" w:ascii="宋体" w:hAnsi="宋体" w:eastAsia="宋体" w:cs="宋体"/>
                <w:b/>
                <w:bCs/>
                <w:i w:val="0"/>
                <w:iCs w:val="0"/>
                <w:color w:val="auto"/>
                <w:kern w:val="0"/>
                <w:sz w:val="21"/>
                <w:szCs w:val="21"/>
                <w:highlight w:val="none"/>
                <w:u w:val="none"/>
                <w:lang w:val="en-US" w:eastAsia="zh-CN" w:bidi="ar"/>
              </w:rPr>
              <w:t>投标报价③=①×②</w:t>
            </w:r>
          </w:p>
        </w:tc>
      </w:tr>
      <w:tr w14:paraId="0CE9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trPr>
        <w:tc>
          <w:tcPr>
            <w:tcW w:w="912" w:type="dxa"/>
            <w:vAlign w:val="center"/>
          </w:tcPr>
          <w:p w14:paraId="1F0D876F">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603" w:type="dxa"/>
            <w:vAlign w:val="center"/>
          </w:tcPr>
          <w:p w14:paraId="0985B8F8">
            <w:pPr>
              <w:jc w:val="center"/>
              <w:rPr>
                <w:rFonts w:hint="eastAsia" w:ascii="宋体" w:hAnsi="宋体" w:eastAsia="宋体" w:cs="宋体"/>
                <w:color w:val="auto"/>
                <w:highlight w:val="none"/>
              </w:rPr>
            </w:pPr>
          </w:p>
        </w:tc>
        <w:tc>
          <w:tcPr>
            <w:tcW w:w="1639" w:type="dxa"/>
            <w:vAlign w:val="center"/>
          </w:tcPr>
          <w:p w14:paraId="2D3D0406">
            <w:pPr>
              <w:jc w:val="center"/>
              <w:rPr>
                <w:rFonts w:hint="eastAsia" w:ascii="宋体" w:hAnsi="宋体" w:eastAsia="宋体" w:cs="宋体"/>
                <w:color w:val="auto"/>
                <w:highlight w:val="none"/>
              </w:rPr>
            </w:pPr>
          </w:p>
        </w:tc>
        <w:tc>
          <w:tcPr>
            <w:tcW w:w="1229" w:type="dxa"/>
            <w:vAlign w:val="center"/>
          </w:tcPr>
          <w:p w14:paraId="2EE83900">
            <w:pPr>
              <w:jc w:val="center"/>
              <w:rPr>
                <w:rFonts w:hint="eastAsia" w:ascii="宋体" w:hAnsi="宋体" w:eastAsia="宋体" w:cs="宋体"/>
                <w:color w:val="auto"/>
                <w:highlight w:val="none"/>
              </w:rPr>
            </w:pPr>
          </w:p>
        </w:tc>
        <w:tc>
          <w:tcPr>
            <w:tcW w:w="1051" w:type="dxa"/>
            <w:vAlign w:val="center"/>
          </w:tcPr>
          <w:p w14:paraId="3FD73094">
            <w:pPr>
              <w:jc w:val="center"/>
              <w:rPr>
                <w:rFonts w:hint="eastAsia" w:ascii="宋体" w:hAnsi="宋体" w:eastAsia="宋体" w:cs="宋体"/>
                <w:color w:val="auto"/>
                <w:highlight w:val="none"/>
              </w:rPr>
            </w:pPr>
          </w:p>
        </w:tc>
        <w:tc>
          <w:tcPr>
            <w:tcW w:w="878" w:type="dxa"/>
            <w:vAlign w:val="center"/>
          </w:tcPr>
          <w:p w14:paraId="03BD007C">
            <w:pPr>
              <w:jc w:val="center"/>
              <w:rPr>
                <w:rFonts w:hint="eastAsia" w:ascii="宋体" w:hAnsi="宋体" w:eastAsia="宋体" w:cs="宋体"/>
                <w:color w:val="auto"/>
                <w:highlight w:val="none"/>
              </w:rPr>
            </w:pPr>
          </w:p>
        </w:tc>
        <w:tc>
          <w:tcPr>
            <w:tcW w:w="1066" w:type="dxa"/>
            <w:vAlign w:val="center"/>
          </w:tcPr>
          <w:p w14:paraId="09B101BE">
            <w:pPr>
              <w:jc w:val="center"/>
              <w:rPr>
                <w:rFonts w:hint="eastAsia" w:ascii="宋体" w:hAnsi="宋体" w:eastAsia="宋体" w:cs="宋体"/>
                <w:color w:val="auto"/>
                <w:highlight w:val="none"/>
              </w:rPr>
            </w:pPr>
          </w:p>
        </w:tc>
        <w:tc>
          <w:tcPr>
            <w:tcW w:w="1404" w:type="dxa"/>
            <w:vAlign w:val="center"/>
          </w:tcPr>
          <w:p w14:paraId="4AAD2D4D">
            <w:pPr>
              <w:jc w:val="center"/>
              <w:rPr>
                <w:rFonts w:hint="eastAsia" w:ascii="宋体" w:hAnsi="宋体" w:eastAsia="宋体" w:cs="宋体"/>
                <w:color w:val="auto"/>
                <w:highlight w:val="none"/>
              </w:rPr>
            </w:pPr>
          </w:p>
        </w:tc>
      </w:tr>
      <w:tr w14:paraId="590B4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29BF1C38">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603" w:type="dxa"/>
            <w:vAlign w:val="center"/>
          </w:tcPr>
          <w:p w14:paraId="28A83831">
            <w:pPr>
              <w:jc w:val="center"/>
              <w:rPr>
                <w:rFonts w:hint="eastAsia" w:ascii="宋体" w:hAnsi="宋体" w:eastAsia="宋体" w:cs="宋体"/>
                <w:color w:val="auto"/>
                <w:highlight w:val="none"/>
              </w:rPr>
            </w:pPr>
          </w:p>
        </w:tc>
        <w:tc>
          <w:tcPr>
            <w:tcW w:w="1639" w:type="dxa"/>
            <w:vAlign w:val="center"/>
          </w:tcPr>
          <w:p w14:paraId="37161736">
            <w:pPr>
              <w:jc w:val="center"/>
              <w:rPr>
                <w:rFonts w:hint="eastAsia" w:ascii="宋体" w:hAnsi="宋体" w:eastAsia="宋体" w:cs="宋体"/>
                <w:color w:val="auto"/>
                <w:highlight w:val="none"/>
              </w:rPr>
            </w:pPr>
          </w:p>
        </w:tc>
        <w:tc>
          <w:tcPr>
            <w:tcW w:w="1229" w:type="dxa"/>
            <w:vAlign w:val="center"/>
          </w:tcPr>
          <w:p w14:paraId="710263DB">
            <w:pPr>
              <w:jc w:val="center"/>
              <w:rPr>
                <w:rFonts w:hint="eastAsia" w:ascii="宋体" w:hAnsi="宋体" w:eastAsia="宋体" w:cs="宋体"/>
                <w:color w:val="auto"/>
                <w:highlight w:val="none"/>
              </w:rPr>
            </w:pPr>
          </w:p>
        </w:tc>
        <w:tc>
          <w:tcPr>
            <w:tcW w:w="1051" w:type="dxa"/>
            <w:vAlign w:val="center"/>
          </w:tcPr>
          <w:p w14:paraId="2B5CECCD">
            <w:pPr>
              <w:jc w:val="center"/>
              <w:rPr>
                <w:rFonts w:hint="eastAsia" w:ascii="宋体" w:hAnsi="宋体" w:eastAsia="宋体" w:cs="宋体"/>
                <w:color w:val="auto"/>
                <w:highlight w:val="none"/>
              </w:rPr>
            </w:pPr>
          </w:p>
        </w:tc>
        <w:tc>
          <w:tcPr>
            <w:tcW w:w="878" w:type="dxa"/>
            <w:vAlign w:val="center"/>
          </w:tcPr>
          <w:p w14:paraId="6BAD9DF8">
            <w:pPr>
              <w:jc w:val="center"/>
              <w:rPr>
                <w:rFonts w:hint="eastAsia" w:ascii="宋体" w:hAnsi="宋体" w:eastAsia="宋体" w:cs="宋体"/>
                <w:color w:val="auto"/>
                <w:highlight w:val="none"/>
              </w:rPr>
            </w:pPr>
          </w:p>
        </w:tc>
        <w:tc>
          <w:tcPr>
            <w:tcW w:w="1066" w:type="dxa"/>
            <w:vAlign w:val="center"/>
          </w:tcPr>
          <w:p w14:paraId="27F8B457">
            <w:pPr>
              <w:jc w:val="center"/>
              <w:rPr>
                <w:rFonts w:hint="eastAsia" w:ascii="宋体" w:hAnsi="宋体" w:eastAsia="宋体" w:cs="宋体"/>
                <w:color w:val="auto"/>
                <w:highlight w:val="none"/>
              </w:rPr>
            </w:pPr>
          </w:p>
        </w:tc>
        <w:tc>
          <w:tcPr>
            <w:tcW w:w="1404" w:type="dxa"/>
            <w:vAlign w:val="center"/>
          </w:tcPr>
          <w:p w14:paraId="0062A1D0">
            <w:pPr>
              <w:jc w:val="center"/>
              <w:rPr>
                <w:rFonts w:hint="eastAsia" w:ascii="宋体" w:hAnsi="宋体" w:eastAsia="宋体" w:cs="宋体"/>
                <w:color w:val="auto"/>
                <w:highlight w:val="none"/>
              </w:rPr>
            </w:pPr>
          </w:p>
        </w:tc>
      </w:tr>
      <w:tr w14:paraId="64A7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707C1E16">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1603" w:type="dxa"/>
            <w:vAlign w:val="center"/>
          </w:tcPr>
          <w:p w14:paraId="0CAB6585">
            <w:pPr>
              <w:jc w:val="center"/>
              <w:rPr>
                <w:rFonts w:hint="eastAsia" w:ascii="宋体" w:hAnsi="宋体" w:eastAsia="宋体" w:cs="宋体"/>
                <w:color w:val="auto"/>
                <w:highlight w:val="none"/>
              </w:rPr>
            </w:pPr>
          </w:p>
        </w:tc>
        <w:tc>
          <w:tcPr>
            <w:tcW w:w="1639" w:type="dxa"/>
            <w:vAlign w:val="center"/>
          </w:tcPr>
          <w:p w14:paraId="432A8154">
            <w:pPr>
              <w:jc w:val="center"/>
              <w:rPr>
                <w:rFonts w:hint="eastAsia" w:ascii="宋体" w:hAnsi="宋体" w:eastAsia="宋体" w:cs="宋体"/>
                <w:color w:val="auto"/>
                <w:highlight w:val="none"/>
              </w:rPr>
            </w:pPr>
          </w:p>
        </w:tc>
        <w:tc>
          <w:tcPr>
            <w:tcW w:w="1229" w:type="dxa"/>
            <w:vAlign w:val="center"/>
          </w:tcPr>
          <w:p w14:paraId="60EDFFF4">
            <w:pPr>
              <w:jc w:val="center"/>
              <w:rPr>
                <w:rFonts w:hint="eastAsia" w:ascii="宋体" w:hAnsi="宋体" w:eastAsia="宋体" w:cs="宋体"/>
                <w:color w:val="auto"/>
                <w:highlight w:val="none"/>
              </w:rPr>
            </w:pPr>
          </w:p>
        </w:tc>
        <w:tc>
          <w:tcPr>
            <w:tcW w:w="1051" w:type="dxa"/>
            <w:vAlign w:val="center"/>
          </w:tcPr>
          <w:p w14:paraId="4F57C8E3">
            <w:pPr>
              <w:jc w:val="center"/>
              <w:rPr>
                <w:rFonts w:hint="eastAsia" w:ascii="宋体" w:hAnsi="宋体" w:eastAsia="宋体" w:cs="宋体"/>
                <w:color w:val="auto"/>
                <w:highlight w:val="none"/>
              </w:rPr>
            </w:pPr>
          </w:p>
        </w:tc>
        <w:tc>
          <w:tcPr>
            <w:tcW w:w="878" w:type="dxa"/>
            <w:vAlign w:val="center"/>
          </w:tcPr>
          <w:p w14:paraId="047AF878">
            <w:pPr>
              <w:jc w:val="center"/>
              <w:rPr>
                <w:rFonts w:hint="eastAsia" w:ascii="宋体" w:hAnsi="宋体" w:eastAsia="宋体" w:cs="宋体"/>
                <w:color w:val="auto"/>
                <w:highlight w:val="none"/>
              </w:rPr>
            </w:pPr>
          </w:p>
        </w:tc>
        <w:tc>
          <w:tcPr>
            <w:tcW w:w="1066" w:type="dxa"/>
            <w:vAlign w:val="center"/>
          </w:tcPr>
          <w:p w14:paraId="4B86C0AC">
            <w:pPr>
              <w:jc w:val="center"/>
              <w:rPr>
                <w:rFonts w:hint="eastAsia" w:ascii="宋体" w:hAnsi="宋体" w:eastAsia="宋体" w:cs="宋体"/>
                <w:color w:val="auto"/>
                <w:highlight w:val="none"/>
              </w:rPr>
            </w:pPr>
          </w:p>
        </w:tc>
        <w:tc>
          <w:tcPr>
            <w:tcW w:w="1404" w:type="dxa"/>
            <w:vAlign w:val="center"/>
          </w:tcPr>
          <w:p w14:paraId="2C16B6F0">
            <w:pPr>
              <w:jc w:val="center"/>
              <w:rPr>
                <w:rFonts w:hint="eastAsia" w:ascii="宋体" w:hAnsi="宋体" w:eastAsia="宋体" w:cs="宋体"/>
                <w:color w:val="auto"/>
                <w:highlight w:val="none"/>
              </w:rPr>
            </w:pPr>
          </w:p>
        </w:tc>
      </w:tr>
      <w:tr w14:paraId="454B9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242B2681">
            <w:pPr>
              <w:pStyle w:val="199"/>
              <w:spacing w:before="38"/>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N</w:t>
            </w:r>
          </w:p>
        </w:tc>
        <w:tc>
          <w:tcPr>
            <w:tcW w:w="1603" w:type="dxa"/>
            <w:vAlign w:val="center"/>
          </w:tcPr>
          <w:p w14:paraId="7A2E3386">
            <w:pPr>
              <w:jc w:val="center"/>
              <w:rPr>
                <w:rFonts w:hint="eastAsia" w:ascii="宋体" w:hAnsi="宋体" w:eastAsia="宋体" w:cs="宋体"/>
                <w:color w:val="auto"/>
                <w:highlight w:val="none"/>
              </w:rPr>
            </w:pPr>
          </w:p>
        </w:tc>
        <w:tc>
          <w:tcPr>
            <w:tcW w:w="1639" w:type="dxa"/>
            <w:vAlign w:val="center"/>
          </w:tcPr>
          <w:p w14:paraId="5BB99D99">
            <w:pPr>
              <w:jc w:val="center"/>
              <w:rPr>
                <w:rFonts w:hint="eastAsia" w:ascii="宋体" w:hAnsi="宋体" w:eastAsia="宋体" w:cs="宋体"/>
                <w:color w:val="auto"/>
                <w:highlight w:val="none"/>
              </w:rPr>
            </w:pPr>
          </w:p>
        </w:tc>
        <w:tc>
          <w:tcPr>
            <w:tcW w:w="1229" w:type="dxa"/>
            <w:vAlign w:val="center"/>
          </w:tcPr>
          <w:p w14:paraId="575D2120">
            <w:pPr>
              <w:jc w:val="center"/>
              <w:rPr>
                <w:rFonts w:hint="eastAsia" w:ascii="宋体" w:hAnsi="宋体" w:eastAsia="宋体" w:cs="宋体"/>
                <w:color w:val="auto"/>
                <w:highlight w:val="none"/>
              </w:rPr>
            </w:pPr>
          </w:p>
        </w:tc>
        <w:tc>
          <w:tcPr>
            <w:tcW w:w="1051" w:type="dxa"/>
            <w:vAlign w:val="center"/>
          </w:tcPr>
          <w:p w14:paraId="175181D7">
            <w:pPr>
              <w:jc w:val="center"/>
              <w:rPr>
                <w:rFonts w:hint="eastAsia" w:ascii="宋体" w:hAnsi="宋体" w:eastAsia="宋体" w:cs="宋体"/>
                <w:color w:val="auto"/>
                <w:highlight w:val="none"/>
              </w:rPr>
            </w:pPr>
          </w:p>
        </w:tc>
        <w:tc>
          <w:tcPr>
            <w:tcW w:w="878" w:type="dxa"/>
            <w:vAlign w:val="center"/>
          </w:tcPr>
          <w:p w14:paraId="14CCAD5E">
            <w:pPr>
              <w:jc w:val="center"/>
              <w:rPr>
                <w:rFonts w:hint="eastAsia" w:ascii="宋体" w:hAnsi="宋体" w:eastAsia="宋体" w:cs="宋体"/>
                <w:color w:val="auto"/>
                <w:highlight w:val="none"/>
              </w:rPr>
            </w:pPr>
          </w:p>
        </w:tc>
        <w:tc>
          <w:tcPr>
            <w:tcW w:w="1066" w:type="dxa"/>
            <w:vAlign w:val="center"/>
          </w:tcPr>
          <w:p w14:paraId="4483B97A">
            <w:pPr>
              <w:jc w:val="center"/>
              <w:rPr>
                <w:rFonts w:hint="eastAsia" w:ascii="宋体" w:hAnsi="宋体" w:eastAsia="宋体" w:cs="宋体"/>
                <w:color w:val="auto"/>
                <w:highlight w:val="none"/>
              </w:rPr>
            </w:pPr>
          </w:p>
        </w:tc>
        <w:tc>
          <w:tcPr>
            <w:tcW w:w="1404" w:type="dxa"/>
            <w:vAlign w:val="center"/>
          </w:tcPr>
          <w:p w14:paraId="7FF471EF">
            <w:pPr>
              <w:jc w:val="center"/>
              <w:rPr>
                <w:rFonts w:hint="eastAsia" w:ascii="宋体" w:hAnsi="宋体" w:eastAsia="宋体" w:cs="宋体"/>
                <w:color w:val="auto"/>
                <w:highlight w:val="none"/>
              </w:rPr>
            </w:pPr>
          </w:p>
        </w:tc>
      </w:tr>
      <w:tr w14:paraId="72C40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trPr>
        <w:tc>
          <w:tcPr>
            <w:tcW w:w="9782" w:type="dxa"/>
            <w:gridSpan w:val="8"/>
            <w:vAlign w:val="center"/>
          </w:tcPr>
          <w:p w14:paraId="081E4738">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投标报价（合计金额）大写：</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pacing w:val="-72"/>
                <w:sz w:val="21"/>
                <w:szCs w:val="21"/>
                <w:highlight w:val="none"/>
                <w:lang w:eastAsia="zh-CN"/>
              </w:rPr>
              <w:t xml:space="preserve"> </w:t>
            </w:r>
            <w:r>
              <w:rPr>
                <w:rFonts w:hint="eastAsia" w:ascii="宋体" w:hAnsi="宋体" w:eastAsia="宋体" w:cs="宋体"/>
                <w:color w:val="auto"/>
                <w:sz w:val="21"/>
                <w:szCs w:val="21"/>
                <w:highlight w:val="none"/>
                <w:lang w:eastAsia="zh-CN"/>
              </w:rPr>
              <w:t>民</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币</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67"/>
                <w:sz w:val="21"/>
                <w:szCs w:val="21"/>
                <w:highlight w:val="non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u w:val="single"/>
                <w:lang w:eastAsia="zh-CN"/>
              </w:rPr>
              <w:tab/>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ab/>
            </w:r>
            <w:r>
              <w:rPr>
                <w:rFonts w:hint="eastAsia" w:ascii="宋体" w:hAnsi="宋体" w:eastAsia="宋体" w:cs="宋体"/>
                <w:color w:val="auto"/>
                <w:sz w:val="21"/>
                <w:szCs w:val="21"/>
                <w:highlight w:val="none"/>
                <w:lang w:eastAsia="zh-CN"/>
              </w:rPr>
              <w:t>） 。</w:t>
            </w:r>
          </w:p>
          <w:p w14:paraId="480D640C">
            <w:pPr>
              <w:pStyle w:val="199"/>
              <w:tabs>
                <w:tab w:val="left" w:pos="2931"/>
                <w:tab w:val="left" w:pos="4727"/>
                <w:tab w:val="left" w:pos="6699"/>
                <w:tab w:val="left" w:pos="8010"/>
                <w:tab w:val="left" w:pos="8140"/>
              </w:tabs>
              <w:spacing w:before="14" w:line="295" w:lineRule="auto"/>
              <w:ind w:left="105" w:right="142"/>
              <w:jc w:val="both"/>
              <w:rPr>
                <w:rFonts w:hint="eastAsia" w:ascii="宋体" w:hAnsi="宋体" w:eastAsia="宋体" w:cs="宋体"/>
                <w:color w:val="auto"/>
                <w:sz w:val="24"/>
                <w:highlight w:val="none"/>
                <w:lang w:eastAsia="zh-CN"/>
              </w:rPr>
            </w:pPr>
            <w:r>
              <w:rPr>
                <w:rFonts w:hint="eastAsia" w:ascii="宋体" w:hAnsi="宋体" w:eastAsia="宋体" w:cs="宋体"/>
                <w:color w:val="auto"/>
                <w:sz w:val="21"/>
                <w:szCs w:val="21"/>
                <w:highlight w:val="none"/>
                <w:lang w:eastAsia="zh-CN"/>
              </w:rPr>
              <w:t>属于优先采购环境标志产品总值为￥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（具体明细详见附表）， 占本投标报价的比例为</w:t>
            </w:r>
            <w:r>
              <w:rPr>
                <w:rFonts w:hint="eastAsia" w:ascii="宋体" w:hAnsi="宋体" w:eastAsia="宋体" w:cs="宋体"/>
                <w:color w:val="auto"/>
                <w:sz w:val="21"/>
                <w:szCs w:val="21"/>
                <w:highlight w:val="none"/>
                <w:u w:val="single"/>
                <w:lang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4"/>
                <w:highlight w:val="none"/>
                <w:lang w:eastAsia="zh-CN"/>
              </w:rPr>
              <w:t xml:space="preserve"> </w:t>
            </w:r>
          </w:p>
        </w:tc>
      </w:tr>
      <w:tr w14:paraId="563F6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9782" w:type="dxa"/>
            <w:gridSpan w:val="8"/>
            <w:vAlign w:val="center"/>
          </w:tcPr>
          <w:p w14:paraId="3E9AA98D">
            <w:pPr>
              <w:pStyle w:val="199"/>
              <w:tabs>
                <w:tab w:val="left" w:pos="3355"/>
                <w:tab w:val="left" w:pos="4727"/>
                <w:tab w:val="left" w:pos="7454"/>
                <w:tab w:val="left" w:pos="7905"/>
                <w:tab w:val="left" w:pos="8140"/>
              </w:tabs>
              <w:spacing w:before="14" w:line="295" w:lineRule="auto"/>
              <w:ind w:left="105" w:right="-20"/>
              <w:rPr>
                <w:rFonts w:hint="eastAsia" w:ascii="宋体" w:hAnsi="宋体" w:eastAsia="宋体" w:cs="宋体"/>
                <w:color w:val="auto"/>
                <w:sz w:val="21"/>
                <w:szCs w:val="21"/>
                <w:highlight w:val="none"/>
                <w:lang w:eastAsia="zh-CN"/>
              </w:rPr>
            </w:pPr>
            <w:r>
              <w:rPr>
                <w:rFonts w:hint="eastAsia" w:asciiTheme="majorEastAsia" w:hAnsiTheme="majorEastAsia" w:eastAsiaTheme="majorEastAsia" w:cstheme="majorEastAsia"/>
                <w:b/>
                <w:bCs/>
                <w:color w:val="auto"/>
                <w:sz w:val="21"/>
                <w:szCs w:val="21"/>
                <w:highlight w:val="none"/>
                <w:lang w:val="en-US" w:eastAsia="zh-CN"/>
              </w:rPr>
              <w:t>交货时间</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lang w:eastAsia="zh-CN"/>
              </w:rPr>
              <w:t>自合同签订之日起</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天内全部货物安装调试完毕并交付使用。</w:t>
            </w:r>
          </w:p>
        </w:tc>
      </w:tr>
    </w:tbl>
    <w:p w14:paraId="04E863F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 1．开标一览表必须加盖投标人公章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否则其投标作无效标处理。</w:t>
      </w:r>
    </w:p>
    <w:p w14:paraId="07E74661">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2.投标人必须就“招标项目采购需求”中所投分标的所有内容作完整唯一报价，根据 “招标项目采购需求”中的“货物名称”逐项对应填报“开标一览表”，漏项报价的或有选择的或有条件的报价，其投标将被拒绝；投标文件只允许有一个报价。</w:t>
      </w:r>
    </w:p>
    <w:p w14:paraId="14E6BF2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3．报价一经涂改，应在涂改处加盖投标人公章，否则其投标作无效标处理。</w:t>
      </w:r>
    </w:p>
    <w:p w14:paraId="4CA9764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lang w:val="en-US" w:eastAsia="zh-CN"/>
        </w:rPr>
        <w:t>投标产品如包括必备的易损易耗备品备件和专用工具，投标人应在交货时提供其清单。</w:t>
      </w:r>
    </w:p>
    <w:p w14:paraId="08C7B13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投标费用包括货款、标准附件、备品备件、专用工具、包装、运输、装卸、保险、税金、货到就位以及安装、安装所需辅材、调试、检验、验收</w:t>
      </w:r>
      <w:r>
        <w:rPr>
          <w:rFonts w:hint="eastAsia" w:asciiTheme="majorEastAsia" w:hAnsiTheme="majorEastAsia" w:eastAsiaTheme="majorEastAsia" w:cstheme="majorEastAsia"/>
          <w:color w:val="auto"/>
          <w:sz w:val="21"/>
          <w:szCs w:val="21"/>
          <w:highlight w:val="none"/>
          <w:lang w:val="en-US" w:eastAsia="zh-CN"/>
        </w:rPr>
        <w:t>、上牌等</w:t>
      </w:r>
      <w:r>
        <w:rPr>
          <w:rFonts w:hint="eastAsia" w:ascii="宋体" w:hAnsi="宋体" w:eastAsia="宋体" w:cs="宋体"/>
          <w:color w:val="auto"/>
          <w:sz w:val="21"/>
          <w:szCs w:val="21"/>
          <w:highlight w:val="none"/>
        </w:rPr>
        <w:t>所需的一切使本项目完成验收的费用及供货商对业主承诺培训、售前、售后质量保证等相关费用等在内的一切可能发生的费用。</w:t>
      </w:r>
    </w:p>
    <w:p w14:paraId="364A8C2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本开标一览表投标产品中如有财政部现行《</w:t>
      </w:r>
      <w:r>
        <w:rPr>
          <w:rFonts w:hint="eastAsia" w:ascii="宋体" w:hAnsi="宋体" w:eastAsia="宋体" w:cs="宋体"/>
          <w:bCs/>
          <w:color w:val="auto"/>
          <w:sz w:val="21"/>
          <w:szCs w:val="21"/>
          <w:highlight w:val="none"/>
        </w:rPr>
        <w:t>环境标志产品政府采购品目清单</w:t>
      </w:r>
      <w:r>
        <w:rPr>
          <w:rFonts w:hint="eastAsia" w:ascii="宋体" w:hAnsi="宋体" w:eastAsia="宋体" w:cs="宋体"/>
          <w:color w:val="auto"/>
          <w:sz w:val="21"/>
          <w:szCs w:val="21"/>
          <w:highlight w:val="none"/>
        </w:rPr>
        <w:t>》目录内优先采购的产品，请在本表后按类别分别附上此类产品明细表，明细表中列明：</w:t>
      </w:r>
      <w:r>
        <w:rPr>
          <w:rFonts w:hint="eastAsia" w:ascii="宋体" w:hAnsi="宋体" w:eastAsia="宋体" w:cs="宋体"/>
          <w:color w:val="auto"/>
          <w:sz w:val="21"/>
          <w:szCs w:val="21"/>
          <w:highlight w:val="none"/>
          <w:lang w:val="en-US" w:eastAsia="zh-CN"/>
        </w:rPr>
        <w:t>序号</w:t>
      </w:r>
      <w:r>
        <w:rPr>
          <w:rFonts w:hint="eastAsia" w:ascii="宋体" w:hAnsi="宋体" w:eastAsia="宋体" w:cs="宋体"/>
          <w:color w:val="auto"/>
          <w:sz w:val="21"/>
          <w:szCs w:val="21"/>
          <w:highlight w:val="none"/>
        </w:rPr>
        <w:t>、货物名称、 数量、单价、投标报价、累计金额并附相关证明材料。如因投标人未提供明细表或证明材料而导致评标委员会无法评判或无法计分而给投标人造成的损失由投标人自行负责，如因投标人提供虚假材料以谋取中标的责任亦由投标人自行负责。</w:t>
      </w:r>
    </w:p>
    <w:p w14:paraId="2C70753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A7D528">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492B07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8355CE6">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80DC23">
      <w:pPr>
        <w:spacing w:line="360" w:lineRule="exact"/>
        <w:rPr>
          <w:rFonts w:hint="eastAsia" w:ascii="宋体" w:hAnsi="宋体" w:eastAsia="宋体" w:cs="宋体"/>
          <w:b/>
          <w:color w:val="auto"/>
          <w:sz w:val="24"/>
          <w:szCs w:val="20"/>
          <w:highlight w:val="none"/>
        </w:rPr>
      </w:pPr>
    </w:p>
    <w:p w14:paraId="2CAF7709">
      <w:pPr>
        <w:spacing w:line="360" w:lineRule="exact"/>
        <w:rPr>
          <w:rFonts w:hint="eastAsia" w:ascii="宋体" w:hAnsi="宋体" w:eastAsia="宋体" w:cs="宋体"/>
          <w:b/>
          <w:color w:val="auto"/>
          <w:sz w:val="24"/>
          <w:szCs w:val="20"/>
          <w:highlight w:val="none"/>
        </w:rPr>
      </w:pPr>
    </w:p>
    <w:p w14:paraId="27F15C26">
      <w:pPr>
        <w:spacing w:line="360" w:lineRule="exact"/>
        <w:rPr>
          <w:rFonts w:hint="eastAsia" w:ascii="宋体" w:hAnsi="宋体" w:eastAsia="宋体" w:cs="宋体"/>
          <w:b/>
          <w:color w:val="auto"/>
          <w:sz w:val="24"/>
          <w:szCs w:val="20"/>
          <w:highlight w:val="none"/>
        </w:rPr>
      </w:pPr>
    </w:p>
    <w:p w14:paraId="33B4D9E1">
      <w:pPr>
        <w:spacing w:line="360" w:lineRule="exact"/>
        <w:rPr>
          <w:rFonts w:hint="eastAsia" w:ascii="宋体" w:hAnsi="宋体" w:eastAsia="宋体" w:cs="宋体"/>
          <w:b/>
          <w:color w:val="auto"/>
          <w:sz w:val="24"/>
          <w:szCs w:val="20"/>
          <w:highlight w:val="none"/>
        </w:rPr>
      </w:pPr>
    </w:p>
    <w:p w14:paraId="2258628E">
      <w:pPr>
        <w:spacing w:line="360" w:lineRule="exact"/>
        <w:rPr>
          <w:rFonts w:hint="eastAsia" w:ascii="宋体" w:hAnsi="宋体" w:eastAsia="宋体" w:cs="宋体"/>
          <w:b/>
          <w:color w:val="auto"/>
          <w:sz w:val="24"/>
          <w:szCs w:val="20"/>
          <w:highlight w:val="none"/>
        </w:rPr>
      </w:pPr>
    </w:p>
    <w:p w14:paraId="1CDF855D">
      <w:pPr>
        <w:spacing w:line="360" w:lineRule="exact"/>
        <w:rPr>
          <w:rFonts w:hint="eastAsia" w:ascii="宋体" w:hAnsi="宋体" w:eastAsia="宋体" w:cs="宋体"/>
          <w:b/>
          <w:color w:val="auto"/>
          <w:sz w:val="24"/>
          <w:szCs w:val="20"/>
          <w:highlight w:val="none"/>
        </w:rPr>
      </w:pPr>
    </w:p>
    <w:p w14:paraId="65D58024">
      <w:pPr>
        <w:spacing w:line="360" w:lineRule="exact"/>
        <w:rPr>
          <w:rFonts w:hint="eastAsia" w:ascii="宋体" w:hAnsi="宋体" w:eastAsia="宋体" w:cs="宋体"/>
          <w:b/>
          <w:color w:val="auto"/>
          <w:sz w:val="24"/>
          <w:szCs w:val="20"/>
          <w:highlight w:val="none"/>
        </w:rPr>
      </w:pPr>
    </w:p>
    <w:p w14:paraId="42F3A493">
      <w:pPr>
        <w:spacing w:line="360" w:lineRule="exact"/>
        <w:rPr>
          <w:rFonts w:hint="eastAsia" w:ascii="宋体" w:hAnsi="宋体" w:eastAsia="宋体" w:cs="宋体"/>
          <w:b/>
          <w:color w:val="auto"/>
          <w:sz w:val="24"/>
          <w:szCs w:val="20"/>
          <w:highlight w:val="none"/>
        </w:rPr>
      </w:pPr>
    </w:p>
    <w:p w14:paraId="6A26C42B">
      <w:pPr>
        <w:spacing w:line="360" w:lineRule="exac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3.中小企业声明函格式</w:t>
      </w:r>
    </w:p>
    <w:p w14:paraId="37D43DBF">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w:t>
      </w:r>
    </w:p>
    <w:p w14:paraId="296FBD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p>
    <w:p w14:paraId="579061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1DA5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1、本声明函主要供参加政府采购活动的中小企业填写，非中小企业无需填写。</w:t>
      </w:r>
    </w:p>
    <w:p w14:paraId="6DF7853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2、小型、微型企业提供中型企业提供的货物的，视同为中型企业。</w:t>
      </w:r>
    </w:p>
    <w:p w14:paraId="282DA175">
      <w:pPr>
        <w:spacing w:line="360" w:lineRule="exact"/>
        <w:ind w:firstLine="420" w:firstLineChars="200"/>
        <w:rPr>
          <w:rFonts w:hint="eastAsia" w:ascii="宋体" w:hAnsi="宋体" w:eastAsia="宋体" w:cs="宋体"/>
          <w:color w:val="auto"/>
          <w:szCs w:val="21"/>
          <w:highlight w:val="none"/>
        </w:rPr>
      </w:pPr>
    </w:p>
    <w:p w14:paraId="285D961A">
      <w:pPr>
        <w:spacing w:line="360" w:lineRule="exact"/>
        <w:ind w:firstLine="420" w:firstLineChars="200"/>
        <w:rPr>
          <w:rFonts w:hint="eastAsia" w:ascii="宋体" w:hAnsi="宋体" w:eastAsia="宋体" w:cs="宋体"/>
          <w:color w:val="auto"/>
          <w:szCs w:val="21"/>
          <w:highlight w:val="none"/>
        </w:rPr>
      </w:pPr>
    </w:p>
    <w:p w14:paraId="6738EE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采购活动，提供的货物全部由符合政策要求的中小企业制造。相关企业（含联合体中的中小企业、签订分包意向协议的中小企业）的具体情况如下：</w:t>
      </w:r>
    </w:p>
    <w:p w14:paraId="32434DB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6A44CCE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 xml:space="preserve"> （企业名称）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7B8608F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F516E5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14772B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0832AED4">
      <w:pPr>
        <w:spacing w:line="360" w:lineRule="exact"/>
        <w:ind w:firstLine="3150" w:firstLineChars="1500"/>
        <w:rPr>
          <w:rFonts w:hint="eastAsia" w:ascii="宋体" w:hAnsi="宋体" w:eastAsia="宋体" w:cs="宋体"/>
          <w:color w:val="auto"/>
          <w:szCs w:val="21"/>
          <w:highlight w:val="none"/>
        </w:rPr>
      </w:pPr>
    </w:p>
    <w:p w14:paraId="5ACE131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4814C8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F10AD25">
      <w:pPr>
        <w:spacing w:line="360" w:lineRule="exact"/>
        <w:ind w:firstLine="420" w:firstLineChars="200"/>
        <w:rPr>
          <w:rFonts w:hint="eastAsia" w:ascii="宋体" w:hAnsi="宋体" w:eastAsia="宋体" w:cs="宋体"/>
          <w:color w:val="auto"/>
          <w:szCs w:val="21"/>
          <w:highlight w:val="none"/>
        </w:rPr>
      </w:pPr>
    </w:p>
    <w:p w14:paraId="2AE51A57">
      <w:pPr>
        <w:spacing w:line="360" w:lineRule="exact"/>
        <w:ind w:firstLine="420" w:firstLineChars="200"/>
        <w:rPr>
          <w:rFonts w:hint="eastAsia" w:ascii="宋体" w:hAnsi="宋体" w:eastAsia="宋体" w:cs="宋体"/>
          <w:color w:val="auto"/>
          <w:szCs w:val="21"/>
          <w:highlight w:val="none"/>
        </w:rPr>
      </w:pPr>
    </w:p>
    <w:p w14:paraId="4652D1DB">
      <w:pPr>
        <w:spacing w:line="360" w:lineRule="exact"/>
        <w:ind w:firstLine="420" w:firstLineChars="200"/>
        <w:rPr>
          <w:rFonts w:hint="eastAsia" w:ascii="宋体" w:hAnsi="宋体" w:eastAsia="宋体" w:cs="宋体"/>
          <w:color w:val="auto"/>
          <w:szCs w:val="21"/>
          <w:highlight w:val="none"/>
        </w:rPr>
      </w:pPr>
    </w:p>
    <w:p w14:paraId="2B63B05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209B2FF">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1、从业人员、营业收入、资产总额填报上一年度数据，无上一年度数据的新成立企业可不填报。</w:t>
      </w:r>
    </w:p>
    <w:p w14:paraId="2461ADE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68E2E36A">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26F72A51">
      <w:pPr>
        <w:snapToGrid w:val="0"/>
        <w:spacing w:before="50" w:after="50" w:line="240" w:lineRule="exact"/>
        <w:ind w:firstLine="360" w:firstLineChars="200"/>
        <w:jc w:val="left"/>
        <w:rPr>
          <w:rFonts w:hint="eastAsia" w:ascii="宋体" w:hAnsi="宋体" w:eastAsia="宋体" w:cs="宋体"/>
          <w:color w:val="auto"/>
          <w:sz w:val="18"/>
          <w:szCs w:val="18"/>
          <w:highlight w:val="none"/>
        </w:rPr>
      </w:pPr>
    </w:p>
    <w:p w14:paraId="3C0E35B0">
      <w:pPr>
        <w:snapToGrid w:val="0"/>
        <w:spacing w:before="50" w:after="50" w:line="240" w:lineRule="exact"/>
        <w:jc w:val="left"/>
        <w:rPr>
          <w:rFonts w:hint="eastAsia" w:ascii="宋体" w:hAnsi="宋体" w:eastAsia="宋体" w:cs="宋体"/>
          <w:color w:val="auto"/>
          <w:sz w:val="18"/>
          <w:szCs w:val="18"/>
          <w:highlight w:val="none"/>
        </w:rPr>
      </w:pPr>
    </w:p>
    <w:p w14:paraId="42EACA55">
      <w:pPr>
        <w:snapToGrid w:val="0"/>
        <w:spacing w:before="50" w:after="50" w:line="240" w:lineRule="exact"/>
        <w:jc w:val="left"/>
        <w:rPr>
          <w:rFonts w:hint="eastAsia" w:ascii="宋体" w:hAnsi="宋体" w:eastAsia="宋体" w:cs="宋体"/>
          <w:color w:val="auto"/>
          <w:sz w:val="18"/>
          <w:szCs w:val="18"/>
          <w:highlight w:val="none"/>
        </w:rPr>
      </w:pPr>
    </w:p>
    <w:p w14:paraId="367E4221">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C9B242C">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5A78A640">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4B2E2F73">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7C98611E">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321FD017">
      <w:pPr>
        <w:tabs>
          <w:tab w:val="left" w:pos="4860"/>
        </w:tabs>
        <w:spacing w:line="360" w:lineRule="exact"/>
        <w:ind w:right="1560" w:firstLine="420" w:firstLineChars="200"/>
        <w:jc w:val="center"/>
        <w:rPr>
          <w:rFonts w:hint="eastAsia" w:ascii="宋体" w:hAnsi="宋体" w:eastAsia="宋体" w:cs="宋体"/>
          <w:color w:val="auto"/>
          <w:szCs w:val="21"/>
          <w:highlight w:val="none"/>
        </w:rPr>
      </w:pPr>
    </w:p>
    <w:p w14:paraId="25D6194E">
      <w:pPr>
        <w:spacing w:line="588" w:lineRule="exact"/>
        <w:jc w:val="left"/>
        <w:rPr>
          <w:rFonts w:hint="eastAsia" w:ascii="宋体" w:hAnsi="宋体" w:eastAsia="宋体" w:cs="宋体"/>
          <w:b/>
          <w:color w:val="auto"/>
          <w:sz w:val="24"/>
          <w:szCs w:val="20"/>
          <w:highlight w:val="none"/>
        </w:rPr>
      </w:pPr>
      <w:bookmarkStart w:id="106" w:name="OLE_LINK13"/>
      <w:bookmarkStart w:id="107" w:name="OLE_LINK14"/>
      <w:r>
        <w:rPr>
          <w:rFonts w:hint="eastAsia" w:ascii="宋体" w:hAnsi="宋体" w:eastAsia="宋体" w:cs="宋体"/>
          <w:b/>
          <w:color w:val="auto"/>
          <w:sz w:val="24"/>
          <w:szCs w:val="20"/>
          <w:highlight w:val="none"/>
          <w:lang w:val="en-US" w:eastAsia="zh-CN"/>
        </w:rPr>
        <w:t>4.</w:t>
      </w:r>
      <w:r>
        <w:rPr>
          <w:rFonts w:hint="eastAsia" w:ascii="宋体" w:hAnsi="宋体" w:eastAsia="宋体" w:cs="宋体"/>
          <w:b/>
          <w:color w:val="auto"/>
          <w:sz w:val="24"/>
          <w:szCs w:val="20"/>
          <w:highlight w:val="none"/>
        </w:rPr>
        <w:t>监狱企业由省级以上监狱管理局、戒毒管理局（含新疆生产建设兵团）出具的属于监狱企业的证明文件</w:t>
      </w:r>
    </w:p>
    <w:p w14:paraId="7B3B277C">
      <w:pPr>
        <w:spacing w:line="588" w:lineRule="exact"/>
        <w:jc w:val="left"/>
        <w:rPr>
          <w:rFonts w:hint="eastAsia" w:ascii="宋体" w:hAnsi="宋体" w:eastAsia="宋体" w:cs="宋体"/>
          <w:b/>
          <w:color w:val="auto"/>
          <w:sz w:val="24"/>
          <w:szCs w:val="20"/>
          <w:highlight w:val="none"/>
        </w:rPr>
      </w:pPr>
    </w:p>
    <w:p w14:paraId="744B95C3">
      <w:pPr>
        <w:spacing w:line="588" w:lineRule="exact"/>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.残疾人福利性单位声明函格式</w:t>
      </w:r>
    </w:p>
    <w:p w14:paraId="36FB9EBC">
      <w:pPr>
        <w:spacing w:line="588"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残疾人福利性单位声明函</w:t>
      </w:r>
    </w:p>
    <w:bookmarkEnd w:id="106"/>
    <w:bookmarkEnd w:id="107"/>
    <w:p w14:paraId="4C36B60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67B3C6D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1E27AE16">
      <w:pPr>
        <w:spacing w:line="360" w:lineRule="exact"/>
        <w:ind w:firstLine="420" w:firstLineChars="200"/>
        <w:rPr>
          <w:rFonts w:hint="eastAsia" w:ascii="宋体" w:hAnsi="宋体" w:eastAsia="宋体" w:cs="宋体"/>
          <w:color w:val="auto"/>
          <w:szCs w:val="21"/>
          <w:highlight w:val="none"/>
        </w:rPr>
      </w:pPr>
    </w:p>
    <w:p w14:paraId="4C882F2C">
      <w:pPr>
        <w:spacing w:line="360" w:lineRule="exact"/>
        <w:ind w:firstLine="420" w:firstLineChars="200"/>
        <w:rPr>
          <w:rFonts w:hint="eastAsia" w:ascii="宋体" w:hAnsi="宋体" w:eastAsia="宋体" w:cs="宋体"/>
          <w:color w:val="auto"/>
          <w:szCs w:val="21"/>
          <w:highlight w:val="none"/>
        </w:rPr>
      </w:pPr>
    </w:p>
    <w:p w14:paraId="1C6469C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C4F4214">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14298FCD">
      <w:pPr>
        <w:spacing w:line="360" w:lineRule="exact"/>
        <w:ind w:firstLine="420" w:firstLineChars="200"/>
        <w:rPr>
          <w:rFonts w:hint="eastAsia" w:ascii="宋体" w:hAnsi="宋体" w:eastAsia="宋体" w:cs="宋体"/>
          <w:color w:val="auto"/>
          <w:szCs w:val="21"/>
          <w:highlight w:val="none"/>
        </w:rPr>
      </w:pPr>
    </w:p>
    <w:p w14:paraId="558E6A0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47987BCA">
      <w:pPr>
        <w:spacing w:line="360" w:lineRule="exact"/>
        <w:rPr>
          <w:rFonts w:hint="eastAsia" w:ascii="宋体" w:hAnsi="宋体" w:eastAsia="宋体" w:cs="宋体"/>
          <w:b/>
          <w:color w:val="auto"/>
          <w:sz w:val="24"/>
          <w:szCs w:val="20"/>
          <w:highlight w:val="none"/>
        </w:rPr>
      </w:pPr>
    </w:p>
    <w:p w14:paraId="339E6CBF">
      <w:pPr>
        <w:spacing w:line="360" w:lineRule="exact"/>
        <w:rPr>
          <w:rFonts w:hint="eastAsia" w:ascii="宋体" w:hAnsi="宋体" w:eastAsia="宋体" w:cs="宋体"/>
          <w:b/>
          <w:color w:val="auto"/>
          <w:sz w:val="24"/>
          <w:szCs w:val="20"/>
          <w:highlight w:val="none"/>
        </w:rPr>
      </w:pPr>
    </w:p>
    <w:p w14:paraId="7A615218">
      <w:pPr>
        <w:spacing w:line="360" w:lineRule="exact"/>
        <w:rPr>
          <w:rFonts w:hint="eastAsia" w:ascii="宋体" w:hAnsi="宋体" w:eastAsia="宋体" w:cs="宋体"/>
          <w:b/>
          <w:color w:val="auto"/>
          <w:sz w:val="24"/>
          <w:szCs w:val="20"/>
          <w:highlight w:val="none"/>
        </w:rPr>
      </w:pPr>
    </w:p>
    <w:p w14:paraId="016BC6D7">
      <w:pPr>
        <w:spacing w:line="360" w:lineRule="exact"/>
        <w:rPr>
          <w:rFonts w:hint="eastAsia" w:ascii="宋体" w:hAnsi="宋体" w:eastAsia="宋体" w:cs="宋体"/>
          <w:b/>
          <w:color w:val="auto"/>
          <w:sz w:val="24"/>
          <w:szCs w:val="20"/>
          <w:highlight w:val="none"/>
        </w:rPr>
      </w:pPr>
    </w:p>
    <w:p w14:paraId="44F823A0">
      <w:pPr>
        <w:spacing w:line="360" w:lineRule="exact"/>
        <w:rPr>
          <w:rFonts w:hint="eastAsia" w:ascii="宋体" w:hAnsi="宋体" w:eastAsia="宋体" w:cs="宋体"/>
          <w:b/>
          <w:color w:val="auto"/>
          <w:sz w:val="24"/>
          <w:szCs w:val="20"/>
          <w:highlight w:val="none"/>
        </w:rPr>
      </w:pPr>
    </w:p>
    <w:p w14:paraId="2319CEB1">
      <w:pPr>
        <w:spacing w:line="360" w:lineRule="exact"/>
        <w:rPr>
          <w:rFonts w:hint="eastAsia" w:ascii="宋体" w:hAnsi="宋体" w:eastAsia="宋体" w:cs="宋体"/>
          <w:b/>
          <w:color w:val="auto"/>
          <w:sz w:val="24"/>
          <w:szCs w:val="20"/>
          <w:highlight w:val="none"/>
        </w:rPr>
      </w:pPr>
    </w:p>
    <w:p w14:paraId="1CD5E9B0">
      <w:pPr>
        <w:spacing w:line="588"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24"/>
          <w:szCs w:val="20"/>
          <w:highlight w:val="none"/>
          <w:lang w:val="en-US" w:eastAsia="zh-CN"/>
        </w:rPr>
        <w:t>6.</w:t>
      </w:r>
      <w:r>
        <w:rPr>
          <w:rFonts w:hint="eastAsia" w:ascii="宋体" w:hAnsi="宋体" w:eastAsia="宋体" w:cs="宋体"/>
          <w:b/>
          <w:color w:val="auto"/>
          <w:sz w:val="24"/>
          <w:szCs w:val="20"/>
          <w:highlight w:val="none"/>
        </w:rPr>
        <w:t>投标人针对报价需要说明的其他文件和说明</w:t>
      </w:r>
      <w:r>
        <w:rPr>
          <w:rFonts w:hint="eastAsia" w:ascii="宋体" w:hAnsi="宋体" w:cs="宋体"/>
          <w:b/>
          <w:color w:val="auto"/>
          <w:sz w:val="24"/>
          <w:szCs w:val="20"/>
          <w:highlight w:val="none"/>
          <w:lang w:eastAsia="zh-CN"/>
        </w:rPr>
        <w:t>。</w:t>
      </w:r>
      <w:r>
        <w:rPr>
          <w:rFonts w:hint="eastAsia" w:ascii="宋体" w:hAnsi="宋体" w:eastAsia="宋体" w:cs="宋体"/>
          <w:b/>
          <w:color w:val="auto"/>
          <w:sz w:val="32"/>
          <w:szCs w:val="32"/>
          <w:highlight w:val="none"/>
        </w:rPr>
        <w:br w:type="page"/>
      </w:r>
    </w:p>
    <w:p w14:paraId="1A36E316">
      <w:pPr>
        <w:snapToGrid w:val="0"/>
        <w:spacing w:before="50" w:after="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3.商务技术文件格式：</w:t>
      </w:r>
    </w:p>
    <w:p w14:paraId="701E8FEB">
      <w:pPr>
        <w:snapToGrid w:val="0"/>
        <w:spacing w:before="120" w:beforeLines="50" w:after="50" w:line="400" w:lineRule="exact"/>
        <w:rPr>
          <w:rFonts w:hint="eastAsia" w:ascii="宋体" w:hAnsi="宋体" w:eastAsia="宋体" w:cs="宋体"/>
          <w:bCs/>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highlight w:val="none"/>
        </w:rPr>
        <w:t>电子投标文件</w:t>
      </w:r>
    </w:p>
    <w:p w14:paraId="59FB8CAC">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t>投 标 文 件</w:t>
      </w:r>
    </w:p>
    <w:p w14:paraId="391875AC">
      <w:pPr>
        <w:snapToGrid w:val="0"/>
        <w:spacing w:before="120" w:beforeLines="50" w:after="50" w:line="400" w:lineRule="exact"/>
        <w:rPr>
          <w:rFonts w:hint="eastAsia" w:ascii="宋体" w:hAnsi="宋体" w:eastAsia="宋体" w:cs="宋体"/>
          <w:color w:val="auto"/>
          <w:sz w:val="32"/>
          <w:szCs w:val="32"/>
          <w:highlight w:val="none"/>
        </w:rPr>
      </w:pPr>
    </w:p>
    <w:p w14:paraId="0F295B23">
      <w:pPr>
        <w:snapToGrid w:val="0"/>
        <w:spacing w:before="120" w:beforeLines="50" w:after="50" w:line="400" w:lineRule="exact"/>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（商务技术文件）</w:t>
      </w:r>
    </w:p>
    <w:p w14:paraId="511A1208">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2957379A">
      <w:pPr>
        <w:snapToGrid w:val="0"/>
        <w:spacing w:before="120" w:beforeLines="50" w:after="50" w:line="400" w:lineRule="exact"/>
        <w:ind w:firstLine="1068" w:firstLineChars="44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6555A027">
      <w:pPr>
        <w:snapToGrid w:val="0"/>
        <w:spacing w:before="120" w:beforeLines="50" w:after="50" w:line="4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项目编号： </w:t>
      </w:r>
    </w:p>
    <w:p w14:paraId="22693A3A">
      <w:pPr>
        <w:snapToGrid w:val="0"/>
        <w:spacing w:before="120" w:beforeLines="50" w:after="50" w:line="400" w:lineRule="exact"/>
        <w:ind w:firstLine="1080" w:firstLineChars="450"/>
        <w:rPr>
          <w:rFonts w:hint="eastAsia" w:ascii="宋体" w:hAnsi="宋体" w:eastAsia="宋体" w:cs="宋体"/>
          <w:bCs/>
          <w:color w:val="auto"/>
          <w:sz w:val="24"/>
          <w:highlight w:val="none"/>
        </w:rPr>
      </w:pPr>
    </w:p>
    <w:p w14:paraId="72B740AE">
      <w:pPr>
        <w:snapToGrid w:val="0"/>
        <w:spacing w:before="120" w:beforeLines="50" w:after="50" w:line="400" w:lineRule="exact"/>
        <w:ind w:firstLine="1080" w:firstLineChars="4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   项：（如有则填写，无分标时填写“无”或者留空）</w:t>
      </w:r>
    </w:p>
    <w:p w14:paraId="3C764F86">
      <w:pPr>
        <w:pStyle w:val="8"/>
        <w:snapToGrid w:val="0"/>
        <w:spacing w:before="50" w:after="50" w:line="400" w:lineRule="exact"/>
        <w:ind w:firstLine="1118" w:firstLineChars="466"/>
        <w:rPr>
          <w:rFonts w:hint="eastAsia" w:ascii="宋体" w:hAnsi="宋体" w:eastAsia="宋体" w:cs="宋体"/>
          <w:bCs/>
          <w:color w:val="auto"/>
          <w:sz w:val="24"/>
          <w:szCs w:val="24"/>
          <w:highlight w:val="none"/>
        </w:rPr>
      </w:pPr>
    </w:p>
    <w:p w14:paraId="5FC2F917">
      <w:pPr>
        <w:pStyle w:val="8"/>
        <w:snapToGrid w:val="0"/>
        <w:spacing w:before="50" w:after="50" w:line="36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（加盖单位电子公章）</w:t>
      </w:r>
    </w:p>
    <w:p w14:paraId="409200CA">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p>
    <w:p w14:paraId="36685679">
      <w:pPr>
        <w:pStyle w:val="8"/>
        <w:snapToGrid w:val="0"/>
        <w:spacing w:before="50" w:after="50" w:line="400" w:lineRule="exact"/>
        <w:ind w:firstLine="998" w:firstLineChars="4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399B5EB6">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06B232B5">
      <w:pPr>
        <w:tabs>
          <w:tab w:val="left" w:pos="1418"/>
        </w:tabs>
        <w:snapToGrid w:val="0"/>
        <w:spacing w:before="50" w:after="50" w:line="320" w:lineRule="exact"/>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                        年  月  日</w:t>
      </w:r>
      <w:r>
        <w:rPr>
          <w:rFonts w:hint="eastAsia" w:ascii="宋体" w:hAnsi="宋体" w:eastAsia="宋体" w:cs="宋体"/>
          <w:color w:val="auto"/>
          <w:sz w:val="24"/>
          <w:highlight w:val="none"/>
        </w:rPr>
        <w:br w:type="textWrapping"/>
      </w:r>
    </w:p>
    <w:p w14:paraId="74B7015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0A7080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59252439">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B09B3E4">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FEBCC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A0DE81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8A4EC9D">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FDBD57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62B1CB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B64B8B2">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754E72C">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784000D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1624455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25C5EEE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C1F5907">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3650C336">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02E267F">
      <w:pPr>
        <w:tabs>
          <w:tab w:val="left" w:pos="1418"/>
        </w:tabs>
        <w:snapToGrid w:val="0"/>
        <w:spacing w:before="50" w:after="50" w:line="320" w:lineRule="exact"/>
        <w:jc w:val="left"/>
        <w:rPr>
          <w:rFonts w:hint="eastAsia" w:ascii="宋体" w:hAnsi="宋体" w:eastAsia="宋体" w:cs="宋体"/>
          <w:b/>
          <w:bCs/>
          <w:color w:val="auto"/>
          <w:sz w:val="24"/>
          <w:highlight w:val="none"/>
        </w:rPr>
      </w:pPr>
    </w:p>
    <w:p w14:paraId="0EA81596">
      <w:pPr>
        <w:tabs>
          <w:tab w:val="left" w:pos="1418"/>
        </w:tabs>
        <w:snapToGrid w:val="0"/>
        <w:spacing w:before="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705B03C4">
      <w:pPr>
        <w:tabs>
          <w:tab w:val="left" w:pos="2625"/>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(供应商需根据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文件自行编制目录及页码)</w:t>
      </w:r>
    </w:p>
    <w:p w14:paraId="3B977DB4">
      <w:pPr>
        <w:tabs>
          <w:tab w:val="left" w:pos="1418"/>
        </w:tabs>
        <w:snapToGrid w:val="0"/>
        <w:spacing w:before="50" w:after="50" w:line="360" w:lineRule="exact"/>
        <w:rPr>
          <w:rFonts w:hint="eastAsia" w:ascii="宋体" w:hAnsi="宋体" w:eastAsia="宋体" w:cs="宋体"/>
          <w:b/>
          <w:color w:val="auto"/>
          <w:sz w:val="24"/>
          <w:highlight w:val="none"/>
        </w:rPr>
      </w:pPr>
    </w:p>
    <w:p w14:paraId="693FFB2A">
      <w:pPr>
        <w:tabs>
          <w:tab w:val="left" w:pos="1418"/>
        </w:tabs>
        <w:snapToGrid w:val="0"/>
        <w:spacing w:before="50" w:after="50" w:line="360" w:lineRule="exact"/>
        <w:rPr>
          <w:rFonts w:hint="eastAsia" w:ascii="宋体" w:hAnsi="宋体" w:eastAsia="宋体" w:cs="宋体"/>
          <w:b/>
          <w:color w:val="auto"/>
          <w:sz w:val="24"/>
          <w:highlight w:val="none"/>
        </w:rPr>
      </w:pPr>
    </w:p>
    <w:p w14:paraId="00931F91">
      <w:pPr>
        <w:tabs>
          <w:tab w:val="left" w:pos="1418"/>
        </w:tabs>
        <w:snapToGrid w:val="0"/>
        <w:spacing w:before="50" w:after="50" w:line="360" w:lineRule="exact"/>
        <w:rPr>
          <w:rFonts w:hint="eastAsia" w:ascii="宋体" w:hAnsi="宋体" w:eastAsia="宋体" w:cs="宋体"/>
          <w:b/>
          <w:color w:val="auto"/>
          <w:sz w:val="24"/>
          <w:highlight w:val="none"/>
        </w:rPr>
      </w:pPr>
    </w:p>
    <w:p w14:paraId="6A7977D4">
      <w:pPr>
        <w:tabs>
          <w:tab w:val="left" w:pos="1418"/>
        </w:tabs>
        <w:snapToGrid w:val="0"/>
        <w:spacing w:before="50" w:after="50" w:line="360" w:lineRule="exact"/>
        <w:rPr>
          <w:rFonts w:hint="eastAsia" w:ascii="宋体" w:hAnsi="宋体" w:eastAsia="宋体" w:cs="宋体"/>
          <w:b/>
          <w:color w:val="auto"/>
          <w:sz w:val="24"/>
          <w:highlight w:val="none"/>
        </w:rPr>
      </w:pPr>
    </w:p>
    <w:p w14:paraId="4047D748">
      <w:pPr>
        <w:tabs>
          <w:tab w:val="left" w:pos="1418"/>
        </w:tabs>
        <w:snapToGrid w:val="0"/>
        <w:spacing w:before="50" w:after="50" w:line="360" w:lineRule="exact"/>
        <w:rPr>
          <w:rFonts w:hint="eastAsia" w:ascii="宋体" w:hAnsi="宋体" w:eastAsia="宋体" w:cs="宋体"/>
          <w:b/>
          <w:color w:val="auto"/>
          <w:sz w:val="24"/>
          <w:highlight w:val="none"/>
        </w:rPr>
      </w:pPr>
    </w:p>
    <w:p w14:paraId="572FB288">
      <w:pPr>
        <w:tabs>
          <w:tab w:val="left" w:pos="1418"/>
        </w:tabs>
        <w:snapToGrid w:val="0"/>
        <w:spacing w:before="50" w:after="50" w:line="360" w:lineRule="exact"/>
        <w:rPr>
          <w:rFonts w:hint="eastAsia" w:ascii="宋体" w:hAnsi="宋体" w:eastAsia="宋体" w:cs="宋体"/>
          <w:b/>
          <w:color w:val="auto"/>
          <w:sz w:val="24"/>
          <w:highlight w:val="none"/>
        </w:rPr>
      </w:pPr>
    </w:p>
    <w:p w14:paraId="7F451603">
      <w:pPr>
        <w:tabs>
          <w:tab w:val="left" w:pos="1418"/>
        </w:tabs>
        <w:snapToGrid w:val="0"/>
        <w:spacing w:before="50" w:after="50" w:line="360" w:lineRule="exact"/>
        <w:rPr>
          <w:rFonts w:hint="eastAsia" w:ascii="宋体" w:hAnsi="宋体" w:eastAsia="宋体" w:cs="宋体"/>
          <w:b/>
          <w:color w:val="auto"/>
          <w:sz w:val="24"/>
          <w:highlight w:val="none"/>
        </w:rPr>
      </w:pPr>
    </w:p>
    <w:p w14:paraId="2ADFB154">
      <w:pPr>
        <w:tabs>
          <w:tab w:val="left" w:pos="1418"/>
        </w:tabs>
        <w:snapToGrid w:val="0"/>
        <w:spacing w:before="50" w:after="50" w:line="360" w:lineRule="exact"/>
        <w:rPr>
          <w:rFonts w:hint="eastAsia" w:ascii="宋体" w:hAnsi="宋体" w:eastAsia="宋体" w:cs="宋体"/>
          <w:b/>
          <w:color w:val="auto"/>
          <w:sz w:val="24"/>
          <w:highlight w:val="none"/>
        </w:rPr>
      </w:pPr>
    </w:p>
    <w:p w14:paraId="7A1D531F">
      <w:pPr>
        <w:tabs>
          <w:tab w:val="left" w:pos="1418"/>
        </w:tabs>
        <w:snapToGrid w:val="0"/>
        <w:spacing w:before="50" w:after="50" w:line="360" w:lineRule="exact"/>
        <w:rPr>
          <w:rFonts w:hint="eastAsia" w:ascii="宋体" w:hAnsi="宋体" w:eastAsia="宋体" w:cs="宋体"/>
          <w:b/>
          <w:color w:val="auto"/>
          <w:sz w:val="24"/>
          <w:highlight w:val="none"/>
        </w:rPr>
      </w:pPr>
    </w:p>
    <w:p w14:paraId="3C3621C6">
      <w:pPr>
        <w:tabs>
          <w:tab w:val="left" w:pos="1418"/>
        </w:tabs>
        <w:snapToGrid w:val="0"/>
        <w:spacing w:before="50" w:after="50" w:line="360" w:lineRule="exact"/>
        <w:rPr>
          <w:rFonts w:hint="eastAsia" w:ascii="宋体" w:hAnsi="宋体" w:eastAsia="宋体" w:cs="宋体"/>
          <w:b/>
          <w:color w:val="auto"/>
          <w:sz w:val="24"/>
          <w:highlight w:val="none"/>
        </w:rPr>
      </w:pPr>
    </w:p>
    <w:p w14:paraId="0432CB48">
      <w:pPr>
        <w:tabs>
          <w:tab w:val="left" w:pos="1418"/>
        </w:tabs>
        <w:snapToGrid w:val="0"/>
        <w:spacing w:before="50" w:after="50" w:line="360" w:lineRule="exact"/>
        <w:rPr>
          <w:rFonts w:hint="eastAsia" w:ascii="宋体" w:hAnsi="宋体" w:eastAsia="宋体" w:cs="宋体"/>
          <w:b/>
          <w:color w:val="auto"/>
          <w:sz w:val="24"/>
          <w:highlight w:val="none"/>
        </w:rPr>
      </w:pPr>
    </w:p>
    <w:p w14:paraId="1C37792A">
      <w:pPr>
        <w:tabs>
          <w:tab w:val="left" w:pos="1418"/>
        </w:tabs>
        <w:snapToGrid w:val="0"/>
        <w:spacing w:before="50" w:after="50" w:line="360" w:lineRule="exact"/>
        <w:rPr>
          <w:rFonts w:hint="eastAsia" w:ascii="宋体" w:hAnsi="宋体" w:eastAsia="宋体" w:cs="宋体"/>
          <w:b/>
          <w:color w:val="auto"/>
          <w:sz w:val="24"/>
          <w:highlight w:val="none"/>
        </w:rPr>
      </w:pPr>
    </w:p>
    <w:p w14:paraId="5D8DD361">
      <w:pPr>
        <w:tabs>
          <w:tab w:val="left" w:pos="1418"/>
        </w:tabs>
        <w:snapToGrid w:val="0"/>
        <w:spacing w:before="50" w:after="50" w:line="360" w:lineRule="exact"/>
        <w:rPr>
          <w:rFonts w:hint="eastAsia" w:ascii="宋体" w:hAnsi="宋体" w:eastAsia="宋体" w:cs="宋体"/>
          <w:b/>
          <w:color w:val="auto"/>
          <w:sz w:val="24"/>
          <w:highlight w:val="none"/>
        </w:rPr>
      </w:pPr>
    </w:p>
    <w:p w14:paraId="08C45FB6">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429C1C4C">
      <w:pPr>
        <w:tabs>
          <w:tab w:val="left" w:pos="1418"/>
        </w:tabs>
        <w:snapToGrid w:val="0"/>
        <w:spacing w:before="50" w:after="50"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商务部分</w:t>
      </w:r>
    </w:p>
    <w:p w14:paraId="28D98149">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1.法定代表人身份证明格式：</w:t>
      </w:r>
    </w:p>
    <w:p w14:paraId="4AD8D48A">
      <w:pPr>
        <w:widowControl/>
        <w:spacing w:line="360" w:lineRule="exact"/>
        <w:jc w:val="center"/>
        <w:rPr>
          <w:rFonts w:hint="eastAsia" w:ascii="宋体" w:hAnsi="宋体" w:eastAsia="宋体" w:cs="宋体"/>
          <w:bCs/>
          <w:color w:val="auto"/>
          <w:sz w:val="30"/>
          <w:szCs w:val="30"/>
          <w:highlight w:val="none"/>
        </w:rPr>
      </w:pPr>
    </w:p>
    <w:p w14:paraId="7FEE1439">
      <w:pPr>
        <w:widowControl/>
        <w:spacing w:line="360" w:lineRule="exact"/>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法定代表人身份证明书</w:t>
      </w:r>
    </w:p>
    <w:p w14:paraId="627375F9">
      <w:pPr>
        <w:widowControl/>
        <w:spacing w:line="360" w:lineRule="exact"/>
        <w:rPr>
          <w:rFonts w:hint="eastAsia" w:ascii="宋体" w:hAnsi="宋体" w:eastAsia="宋体" w:cs="宋体"/>
          <w:bCs/>
          <w:color w:val="auto"/>
          <w:szCs w:val="21"/>
          <w:highlight w:val="none"/>
        </w:rPr>
      </w:pPr>
    </w:p>
    <w:p w14:paraId="68AC529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单位名称：</w:t>
      </w:r>
      <w:r>
        <w:rPr>
          <w:rFonts w:hint="eastAsia" w:ascii="宋体" w:hAnsi="宋体" w:eastAsia="宋体" w:cs="宋体"/>
          <w:bCs/>
          <w:color w:val="auto"/>
          <w:szCs w:val="21"/>
          <w:highlight w:val="none"/>
          <w:u w:val="single"/>
        </w:rPr>
        <w:t xml:space="preserve">                      </w:t>
      </w:r>
    </w:p>
    <w:p w14:paraId="6D61C922">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单位性质：</w:t>
      </w:r>
      <w:r>
        <w:rPr>
          <w:rFonts w:hint="eastAsia" w:ascii="宋体" w:hAnsi="宋体" w:eastAsia="宋体" w:cs="宋体"/>
          <w:bCs/>
          <w:color w:val="auto"/>
          <w:szCs w:val="21"/>
          <w:highlight w:val="none"/>
          <w:u w:val="single"/>
        </w:rPr>
        <w:t xml:space="preserve">                      </w:t>
      </w:r>
    </w:p>
    <w:p w14:paraId="4A198414">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u w:val="single"/>
        </w:rPr>
        <w:t xml:space="preserve">                      </w:t>
      </w:r>
    </w:p>
    <w:p w14:paraId="26E815E9">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成立时间：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27CC444A">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经营期限：</w:t>
      </w:r>
      <w:r>
        <w:rPr>
          <w:rFonts w:hint="eastAsia" w:ascii="宋体" w:hAnsi="宋体" w:eastAsia="宋体" w:cs="宋体"/>
          <w:bCs/>
          <w:color w:val="auto"/>
          <w:szCs w:val="21"/>
          <w:highlight w:val="none"/>
          <w:u w:val="single"/>
        </w:rPr>
        <w:t xml:space="preserve">                      </w:t>
      </w:r>
    </w:p>
    <w:p w14:paraId="2845CB30">
      <w:pPr>
        <w:widowControl/>
        <w:spacing w:line="360" w:lineRule="exac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姓名：</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性别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年龄：</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职务：</w:t>
      </w:r>
      <w:r>
        <w:rPr>
          <w:rFonts w:hint="eastAsia" w:ascii="宋体" w:hAnsi="宋体" w:eastAsia="宋体" w:cs="宋体"/>
          <w:bCs/>
          <w:color w:val="auto"/>
          <w:szCs w:val="21"/>
          <w:highlight w:val="none"/>
          <w:u w:val="single"/>
        </w:rPr>
        <w:t xml:space="preserve">            </w:t>
      </w:r>
    </w:p>
    <w:p w14:paraId="66F8061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r>
        <w:rPr>
          <w:rFonts w:hint="eastAsia" w:ascii="宋体" w:hAnsi="宋体" w:eastAsia="宋体" w:cs="宋体"/>
          <w:bCs/>
          <w:color w:val="auto"/>
          <w:szCs w:val="21"/>
          <w:highlight w:val="none"/>
          <w:u w:val="single"/>
        </w:rPr>
        <w:t xml:space="preserve">          （投标人单位名称）   </w:t>
      </w:r>
      <w:r>
        <w:rPr>
          <w:rFonts w:hint="eastAsia" w:ascii="宋体" w:hAnsi="宋体" w:eastAsia="宋体" w:cs="宋体"/>
          <w:bCs/>
          <w:color w:val="auto"/>
          <w:szCs w:val="21"/>
          <w:highlight w:val="none"/>
        </w:rPr>
        <w:t>的法定代表人。</w:t>
      </w:r>
    </w:p>
    <w:p w14:paraId="57FDC487">
      <w:pPr>
        <w:widowControl/>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特此证明。</w:t>
      </w:r>
    </w:p>
    <w:p w14:paraId="2CEB6709">
      <w:pPr>
        <w:widowControl/>
        <w:spacing w:line="360" w:lineRule="exact"/>
        <w:rPr>
          <w:rFonts w:hint="eastAsia" w:ascii="宋体" w:hAnsi="宋体" w:eastAsia="宋体" w:cs="宋体"/>
          <w:bCs/>
          <w:color w:val="auto"/>
          <w:szCs w:val="21"/>
          <w:highlight w:val="none"/>
        </w:rPr>
      </w:pPr>
    </w:p>
    <w:p w14:paraId="485ACA65">
      <w:pPr>
        <w:widowControl/>
        <w:spacing w:line="360" w:lineRule="exact"/>
        <w:rPr>
          <w:rFonts w:hint="eastAsia" w:ascii="宋体" w:hAnsi="宋体" w:eastAsia="宋体" w:cs="宋体"/>
          <w:bCs/>
          <w:color w:val="auto"/>
          <w:szCs w:val="21"/>
          <w:highlight w:val="none"/>
        </w:rPr>
      </w:pPr>
    </w:p>
    <w:p w14:paraId="58C55E7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投标人：</w:t>
      </w:r>
      <w:r>
        <w:rPr>
          <w:rFonts w:hint="eastAsia" w:ascii="宋体" w:hAnsi="宋体" w:eastAsia="宋体" w:cs="宋体"/>
          <w:color w:val="auto"/>
          <w:szCs w:val="21"/>
          <w:highlight w:val="none"/>
        </w:rPr>
        <w:t>投标人名称(电子签章)：</w:t>
      </w:r>
    </w:p>
    <w:p w14:paraId="6B0805E2">
      <w:pPr>
        <w:widowControl/>
        <w:pBdr>
          <w:bottom w:val="single" w:color="auto" w:sz="12" w:space="1"/>
        </w:pBdr>
        <w:spacing w:line="36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时间：年  月  日</w:t>
      </w:r>
    </w:p>
    <w:p w14:paraId="4A4D7952">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507D620">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76200</wp:posOffset>
                </wp:positionV>
                <wp:extent cx="2743200" cy="1866265"/>
                <wp:effectExtent l="4445" t="4445" r="14605" b="15240"/>
                <wp:wrapNone/>
                <wp:docPr id="5" name="Text Box 27"/>
                <wp:cNvGraphicFramePr/>
                <a:graphic xmlns:a="http://schemas.openxmlformats.org/drawingml/2006/main">
                  <a:graphicData uri="http://schemas.microsoft.com/office/word/2010/wordprocessingShape">
                    <wps:wsp>
                      <wps:cNvSpPr txBox="1"/>
                      <wps:spPr>
                        <a:xfrm>
                          <a:off x="0" y="0"/>
                          <a:ext cx="2743200"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wps:txbx>
                      <wps:bodyPr upright="1"/>
                    </wps:wsp>
                  </a:graphicData>
                </a:graphic>
              </wp:anchor>
            </w:drawing>
          </mc:Choice>
          <mc:Fallback>
            <w:pict>
              <v:shape id="Text Box 27" o:spid="_x0000_s1026" o:spt="202" type="#_x0000_t202" style="position:absolute;left:0pt;margin-left:-27pt;margin-top:6pt;height:146.95pt;width:216pt;z-index:251663360;mso-width-relative:page;mso-height-relative:page;" fillcolor="#FFFFFF" filled="t" stroked="t" coordsize="21600,21600" o:gfxdata="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sNULtYAAAAKAQAADwAAAAAAAAABACAAAAAiAAAAZHJzL2Rvd25yZXYu&#10;eG1sUEsBAhQAFAAAAAgAh07iQKfW2jX9AQAANwQAAA4AAAAAAAAAAQAgAAAAJQEAAGRycy9lMm9E&#10;b2MueG1sUEsFBgAAAAAGAAYAWQEAAJQFAAAAAA==&#10;">
                <v:fill on="t" focussize="0,0"/>
                <v:stroke color="#000000" joinstyle="miter"/>
                <v:imagedata o:title=""/>
                <o:lock v:ext="edit" aspectratio="f"/>
                <v:textbox>
                  <w:txbxContent>
                    <w:p w14:paraId="36C99B6C">
                      <w:pPr>
                        <w:jc w:val="center"/>
                      </w:pPr>
                    </w:p>
                    <w:p w14:paraId="67BAC418"/>
                    <w:p w14:paraId="2D542A89">
                      <w:pPr>
                        <w:jc w:val="center"/>
                      </w:pPr>
                    </w:p>
                    <w:p w14:paraId="4A10B31C">
                      <w:pPr>
                        <w:jc w:val="center"/>
                      </w:pPr>
                    </w:p>
                    <w:p w14:paraId="29F6A5AF">
                      <w:pPr>
                        <w:jc w:val="center"/>
                      </w:pPr>
                      <w:r>
                        <w:rPr>
                          <w:rFonts w:hint="eastAsia"/>
                        </w:rPr>
                        <w:t>法定代表人第二代居民身份证复印件</w:t>
                      </w:r>
                    </w:p>
                    <w:p w14:paraId="7296CA30">
                      <w:pPr>
                        <w:jc w:val="center"/>
                      </w:pPr>
                      <w:r>
                        <w:rPr>
                          <w:rFonts w:hint="eastAsia"/>
                        </w:rPr>
                        <w:t>（正面）</w:t>
                      </w:r>
                    </w:p>
                  </w:txbxContent>
                </v:textbox>
              </v:shape>
            </w:pict>
          </mc:Fallback>
        </mc:AlternateContent>
      </w:r>
    </w:p>
    <w:p w14:paraId="3564026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0DC3065">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53F0A280">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143809F8">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3D927EC">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39EF5B">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060142E">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7A03F69E">
      <w:pPr>
        <w:widowControl/>
        <w:pBdr>
          <w:bottom w:val="single" w:color="auto" w:sz="12" w:space="1"/>
        </w:pBdr>
        <w:spacing w:line="360" w:lineRule="exact"/>
        <w:jc w:val="right"/>
        <w:rPr>
          <w:rFonts w:hint="eastAsia" w:ascii="宋体" w:hAnsi="宋体" w:eastAsia="宋体" w:cs="宋体"/>
          <w:bCs/>
          <w:color w:val="auto"/>
          <w:szCs w:val="21"/>
          <w:highlight w:val="none"/>
        </w:rPr>
      </w:pPr>
      <w:r>
        <w:rPr>
          <w:rFonts w:hint="eastAsia" w:ascii="宋体" w:hAnsi="宋体" w:eastAsia="宋体" w:cs="宋体"/>
          <w:b/>
          <w:bCs/>
          <w:color w:val="auto"/>
          <w:sz w:val="36"/>
          <w:szCs w:val="36"/>
          <w:highlight w:val="none"/>
        </w:rPr>
        <mc:AlternateContent>
          <mc:Choice Requires="wpg">
            <w:drawing>
              <wp:inline distT="0" distB="0" distL="114300" distR="114300">
                <wp:extent cx="3216275" cy="2132330"/>
                <wp:effectExtent l="0" t="0" r="3175" b="0"/>
                <wp:docPr id="8" name="Group 28"/>
                <wp:cNvGraphicFramePr/>
                <a:graphic xmlns:a="http://schemas.openxmlformats.org/drawingml/2006/main">
                  <a:graphicData uri="http://schemas.microsoft.com/office/word/2010/wordprocessingGroup">
                    <wpg:wgp>
                      <wpg:cNvGrpSpPr/>
                      <wpg:grpSpPr>
                        <a:xfrm>
                          <a:off x="0" y="0"/>
                          <a:ext cx="3216275" cy="2132330"/>
                          <a:chOff x="0" y="0"/>
                          <a:chExt cx="4431" cy="3009"/>
                        </a:xfrm>
                      </wpg:grpSpPr>
                      <wps:wsp>
                        <wps:cNvPr id="6" name="Picture 29"/>
                        <wps:cNvSpPr>
                          <a:spLocks noChangeAspect="1" noTextEdit="1"/>
                        </wps:cNvSpPr>
                        <wps:spPr>
                          <a:xfrm>
                            <a:off x="0" y="0"/>
                            <a:ext cx="4431" cy="3009"/>
                          </a:xfrm>
                          <a:prstGeom prst="rect">
                            <a:avLst/>
                          </a:prstGeom>
                          <a:noFill/>
                          <a:ln>
                            <a:noFill/>
                          </a:ln>
                        </wps:spPr>
                        <wps:bodyPr upright="1"/>
                      </wps:wsp>
                      <wps:wsp>
                        <wps:cNvPr id="7" name="Text Box 30"/>
                        <wps:cNvSpPr txBox="1"/>
                        <wps:spPr>
                          <a:xfrm>
                            <a:off x="69" y="250"/>
                            <a:ext cx="4293" cy="2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wps:txbx>
                        <wps:bodyPr upright="1"/>
                      </wps:wsp>
                    </wpg:wgp>
                  </a:graphicData>
                </a:graphic>
              </wp:inline>
            </w:drawing>
          </mc:Choice>
          <mc:Fallback>
            <w:pict>
              <v:group id="Group 28" o:spid="_x0000_s1026" o:spt="203" style="height:167.9pt;width:253.25pt;" coordsize="4431,3009" o:gfxdata="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WsaSh1gAAAAUBAAAPAAAAAAAAAAEAIAAAACIAAABkcnMv&#10;ZG93bnJldi54bWxQSwECFAAUAAAACACHTuJA29OvjLACAADvBgAADgAAAAAAAAABACAAAAAlAQAA&#10;ZHJzL2Uyb0RvYy54bWxQSwUGAAAAAAYABgBZAQAARwYAAAAA&#10;">
                <o:lock v:ext="edit" aspectratio="f"/>
                <v:rect id="Picture 29" o:spid="_x0000_s1026" o:spt="1" style="position:absolute;left:0;top:0;height:3009;width:4431;"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Text Box 30" o:spid="_x0000_s1026" o:spt="202" type="#_x0000_t202" style="position:absolute;left:69;top:250;height:2508;width:4293;"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99C9660">
                        <w:pPr>
                          <w:jc w:val="center"/>
                        </w:pPr>
                      </w:p>
                      <w:p w14:paraId="31E266C8">
                        <w:pPr>
                          <w:jc w:val="center"/>
                        </w:pPr>
                      </w:p>
                      <w:p w14:paraId="616B6211"/>
                      <w:p w14:paraId="7F635691">
                        <w:pPr>
                          <w:jc w:val="center"/>
                        </w:pPr>
                      </w:p>
                      <w:p w14:paraId="5127B41B">
                        <w:pPr>
                          <w:jc w:val="center"/>
                        </w:pPr>
                      </w:p>
                      <w:p w14:paraId="6DAC493B">
                        <w:pPr>
                          <w:jc w:val="center"/>
                        </w:pPr>
                        <w:r>
                          <w:rPr>
                            <w:rFonts w:hint="eastAsia"/>
                          </w:rPr>
                          <w:t>法定代表人第二代居民身份证复印件</w:t>
                        </w:r>
                      </w:p>
                      <w:p w14:paraId="232B484D">
                        <w:pPr>
                          <w:jc w:val="center"/>
                        </w:pPr>
                        <w:r>
                          <w:rPr>
                            <w:rFonts w:hint="eastAsia"/>
                          </w:rPr>
                          <w:t>（背面）</w:t>
                        </w:r>
                      </w:p>
                    </w:txbxContent>
                  </v:textbox>
                </v:shape>
                <w10:wrap type="none"/>
                <w10:anchorlock/>
              </v:group>
            </w:pict>
          </mc:Fallback>
        </mc:AlternateContent>
      </w:r>
    </w:p>
    <w:p w14:paraId="22D1809A">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2E6D1639">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61487D86">
      <w:pPr>
        <w:widowControl/>
        <w:pBdr>
          <w:bottom w:val="single" w:color="auto" w:sz="12" w:space="1"/>
        </w:pBdr>
        <w:spacing w:line="360" w:lineRule="exact"/>
        <w:jc w:val="right"/>
        <w:rPr>
          <w:rFonts w:hint="eastAsia" w:ascii="宋体" w:hAnsi="宋体" w:eastAsia="宋体" w:cs="宋体"/>
          <w:bCs/>
          <w:color w:val="auto"/>
          <w:szCs w:val="21"/>
          <w:highlight w:val="none"/>
        </w:rPr>
      </w:pPr>
    </w:p>
    <w:p w14:paraId="01BDAE27">
      <w:pPr>
        <w:tabs>
          <w:tab w:val="left" w:pos="1418"/>
        </w:tabs>
        <w:snapToGrid w:val="0"/>
        <w:spacing w:before="50" w:after="50" w:line="360" w:lineRule="exact"/>
        <w:rPr>
          <w:rFonts w:hint="eastAsia" w:ascii="宋体" w:hAnsi="宋体" w:eastAsia="宋体" w:cs="宋体"/>
          <w:bCs/>
          <w:color w:val="auto"/>
          <w:szCs w:val="21"/>
          <w:highlight w:val="none"/>
        </w:rPr>
      </w:pPr>
    </w:p>
    <w:p w14:paraId="1A17FFB1">
      <w:pPr>
        <w:tabs>
          <w:tab w:val="left" w:pos="1418"/>
        </w:tabs>
        <w:snapToGrid w:val="0"/>
        <w:spacing w:before="50" w:after="50" w:line="360" w:lineRule="exact"/>
        <w:ind w:firstLine="5880" w:firstLineChars="28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法定代表人签名</w:t>
      </w: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u w:val="single"/>
        </w:rPr>
        <w:t xml:space="preserve">            </w:t>
      </w:r>
    </w:p>
    <w:p w14:paraId="57CEC5B0">
      <w:pPr>
        <w:snapToGrid w:val="0"/>
        <w:spacing w:before="120" w:beforeLines="50" w:after="50" w:line="360" w:lineRule="exact"/>
        <w:ind w:right="315" w:firstLine="210" w:firstLineChars="1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highlight w:val="none"/>
        </w:rPr>
        <w:t>2.法定代表人授权委托书格式：</w:t>
      </w:r>
    </w:p>
    <w:p w14:paraId="77BD61DA">
      <w:pPr>
        <w:snapToGrid w:val="0"/>
        <w:spacing w:before="120" w:beforeLines="50" w:after="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法定代表人授权委托书</w:t>
      </w:r>
    </w:p>
    <w:p w14:paraId="03B27C4E">
      <w:pPr>
        <w:snapToGrid w:val="0"/>
        <w:spacing w:before="120" w:beforeLines="50" w:after="50" w:line="36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（招标采购单位名称）</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w:t>
      </w:r>
    </w:p>
    <w:p w14:paraId="108745C6">
      <w:pPr>
        <w:snapToGrid w:val="0"/>
        <w:spacing w:before="120" w:beforeLines="50" w:after="50" w:line="360" w:lineRule="exact"/>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3F790678">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02BEA087">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6CC4404D">
      <w:pPr>
        <w:snapToGrid w:val="0"/>
        <w:spacing w:before="120" w:beforeLines="50" w:after="50" w:line="3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A083499">
      <w:pPr>
        <w:snapToGrid w:val="0"/>
        <w:spacing w:before="120" w:beforeLines="50" w:after="50"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1DBD63E3">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1EF8C815">
      <w:pPr>
        <w:snapToGrid w:val="0"/>
        <w:spacing w:before="120"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3A5AD13">
      <w:pPr>
        <w:spacing w:line="360" w:lineRule="exact"/>
        <w:ind w:left="6300" w:leftChars="290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投标人名称(电子签章)：</w:t>
      </w:r>
    </w:p>
    <w:p w14:paraId="0117595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196D912">
      <w:pPr>
        <w:snapToGrid w:val="0"/>
        <w:spacing w:before="120" w:beforeLines="50" w:after="50" w:line="360" w:lineRule="exact"/>
        <w:jc w:val="center"/>
        <w:rPr>
          <w:rFonts w:hint="eastAsia" w:ascii="宋体" w:hAnsi="宋体" w:eastAsia="宋体" w:cs="宋体"/>
          <w:b/>
          <w:bCs/>
          <w:color w:val="auto"/>
          <w:sz w:val="36"/>
          <w:szCs w:val="36"/>
          <w:highlight w:val="none"/>
        </w:rPr>
      </w:pPr>
    </w:p>
    <w:p w14:paraId="60DA5AA1">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2908300</wp:posOffset>
                </wp:positionH>
                <wp:positionV relativeFrom="paragraph">
                  <wp:posOffset>128270</wp:posOffset>
                </wp:positionV>
                <wp:extent cx="2971800" cy="1611630"/>
                <wp:effectExtent l="4445" t="4445" r="14605" b="22225"/>
                <wp:wrapNone/>
                <wp:docPr id="10"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wps:txbx>
                      <wps:bodyPr upright="1"/>
                    </wps:wsp>
                  </a:graphicData>
                </a:graphic>
              </wp:anchor>
            </w:drawing>
          </mc:Choice>
          <mc:Fallback>
            <w:pict>
              <v:shape id="文本框 151" o:spid="_x0000_s1026" o:spt="202" type="#_x0000_t202" style="position:absolute;left:0pt;margin-left:229pt;margin-top:10.1pt;height:126.9pt;width:234pt;z-index:251665408;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YxsNkAAAAKAQAADwAAAAAAAAAB&#10;ACAAAAAiAAAAZHJzL2Rvd25yZXYueG1sUEsBAhQAFAAAAAgAh07iQJFgXVAPAgAAOgQAAA4AAAAA&#10;AAAAAQAgAAAAKAEAAGRycy9lMm9Eb2MueG1sUEsFBgAAAAAGAAYAWQEAAKkFAAAAAA==&#10;">
                <v:fill on="t" focussize="0,0"/>
                <v:stroke color="#000000" joinstyle="miter"/>
                <v:imagedata o:title=""/>
                <o:lock v:ext="edit" aspectratio="f"/>
                <v:textbox>
                  <w:txbxContent>
                    <w:p w14:paraId="3BA35C84">
                      <w:pPr>
                        <w:jc w:val="center"/>
                      </w:pPr>
                    </w:p>
                    <w:p w14:paraId="114DB62D"/>
                    <w:p w14:paraId="35BB1A87">
                      <w:pPr>
                        <w:jc w:val="center"/>
                      </w:pPr>
                    </w:p>
                    <w:p w14:paraId="26B61CE0">
                      <w:pPr>
                        <w:jc w:val="center"/>
                      </w:pPr>
                    </w:p>
                    <w:p w14:paraId="6A506CA4">
                      <w:pPr>
                        <w:jc w:val="center"/>
                      </w:pPr>
                      <w:r>
                        <w:rPr>
                          <w:rFonts w:hint="eastAsia" w:ascii="宋体" w:hAnsi="宋体"/>
                          <w:szCs w:val="21"/>
                        </w:rPr>
                        <w:t>被授权人</w:t>
                      </w:r>
                      <w:r>
                        <w:rPr>
                          <w:rFonts w:hint="eastAsia"/>
                        </w:rPr>
                        <w:t>第二代居民身份证复印件</w:t>
                      </w:r>
                    </w:p>
                    <w:p w14:paraId="05E3D837">
                      <w:pPr>
                        <w:jc w:val="center"/>
                      </w:pPr>
                      <w:r>
                        <w:rPr>
                          <w:rFonts w:hint="eastAsia"/>
                        </w:rPr>
                        <w:t>（反面）</w:t>
                      </w:r>
                    </w:p>
                  </w:txbxContent>
                </v:textbox>
              </v:shape>
            </w:pict>
          </mc:Fallback>
        </mc:AlternateContent>
      </w:r>
    </w:p>
    <w:p w14:paraId="504E87DB">
      <w:pPr>
        <w:snapToGrid w:val="0"/>
        <w:spacing w:before="50" w:line="360" w:lineRule="exact"/>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-132080</wp:posOffset>
                </wp:positionV>
                <wp:extent cx="2971800" cy="1611630"/>
                <wp:effectExtent l="4445" t="4445" r="14605" b="22225"/>
                <wp:wrapNone/>
                <wp:docPr id="9"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wps:txbx>
                      <wps:bodyPr upright="1"/>
                    </wps:wsp>
                  </a:graphicData>
                </a:graphic>
              </wp:anchor>
            </w:drawing>
          </mc:Choice>
          <mc:Fallback>
            <w:pict>
              <v:shape id="Text Box 36" o:spid="_x0000_s1026" o:spt="202" type="#_x0000_t202" style="position:absolute;left:0pt;margin-left:-27pt;margin-top:-10.4pt;height:126.9pt;width:234pt;z-index:251664384;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6ZI2gAAAAsBAAAPAAAAAAAAAAEAIAAAACIAAABkcnMvZG93&#10;bnJldi54bWxQSwECFAAUAAAACACHTuJAQqszLv4BAAA3BAAADgAAAAAAAAABACAAAAApAQAAZHJz&#10;L2Uyb0RvYy54bWxQSwUGAAAAAAYABgBZAQAAmQUAAAAA&#10;">
                <v:fill on="t" focussize="0,0"/>
                <v:stroke color="#000000" joinstyle="miter"/>
                <v:imagedata o:title=""/>
                <o:lock v:ext="edit" aspectratio="f"/>
                <v:textbox>
                  <w:txbxContent>
                    <w:p w14:paraId="1C981AB3">
                      <w:pPr>
                        <w:jc w:val="center"/>
                      </w:pPr>
                    </w:p>
                    <w:p w14:paraId="36F37391"/>
                    <w:p w14:paraId="09FDF223">
                      <w:pPr>
                        <w:jc w:val="center"/>
                      </w:pPr>
                    </w:p>
                    <w:p w14:paraId="6BC4AE19">
                      <w:pPr>
                        <w:jc w:val="center"/>
                      </w:pPr>
                    </w:p>
                    <w:p w14:paraId="668ABFD5">
                      <w:pPr>
                        <w:jc w:val="center"/>
                      </w:pPr>
                      <w:r>
                        <w:rPr>
                          <w:rFonts w:hint="eastAsia" w:ascii="宋体" w:hAnsi="宋体"/>
                          <w:szCs w:val="21"/>
                        </w:rPr>
                        <w:t>被授权人</w:t>
                      </w:r>
                      <w:r>
                        <w:rPr>
                          <w:rFonts w:hint="eastAsia"/>
                        </w:rPr>
                        <w:t>第二代居民身份证复印件</w:t>
                      </w:r>
                    </w:p>
                    <w:p w14:paraId="0BD6899B">
                      <w:pPr>
                        <w:jc w:val="center"/>
                      </w:pPr>
                      <w:r>
                        <w:rPr>
                          <w:rFonts w:hint="eastAsia"/>
                        </w:rPr>
                        <w:t>（正面）</w:t>
                      </w:r>
                    </w:p>
                  </w:txbxContent>
                </v:textbox>
              </v:shape>
            </w:pict>
          </mc:Fallback>
        </mc:AlternateContent>
      </w:r>
    </w:p>
    <w:p w14:paraId="27FD8B94">
      <w:pPr>
        <w:snapToGrid w:val="0"/>
        <w:spacing w:before="50" w:line="360" w:lineRule="exact"/>
        <w:jc w:val="left"/>
        <w:rPr>
          <w:rFonts w:hint="eastAsia" w:ascii="宋体" w:hAnsi="宋体" w:eastAsia="宋体" w:cs="宋体"/>
          <w:b/>
          <w:bCs/>
          <w:color w:val="auto"/>
          <w:sz w:val="36"/>
          <w:szCs w:val="36"/>
          <w:highlight w:val="none"/>
        </w:rPr>
      </w:pPr>
    </w:p>
    <w:p w14:paraId="5C82C86E">
      <w:pPr>
        <w:snapToGrid w:val="0"/>
        <w:spacing w:before="50" w:line="360" w:lineRule="exact"/>
        <w:jc w:val="left"/>
        <w:rPr>
          <w:rFonts w:hint="eastAsia" w:ascii="宋体" w:hAnsi="宋体" w:eastAsia="宋体" w:cs="宋体"/>
          <w:b/>
          <w:bCs/>
          <w:color w:val="auto"/>
          <w:sz w:val="36"/>
          <w:szCs w:val="36"/>
          <w:highlight w:val="none"/>
        </w:rPr>
      </w:pPr>
    </w:p>
    <w:p w14:paraId="4BDDBE06">
      <w:pPr>
        <w:snapToGrid w:val="0"/>
        <w:spacing w:before="50" w:line="360" w:lineRule="exact"/>
        <w:jc w:val="left"/>
        <w:rPr>
          <w:rFonts w:hint="eastAsia" w:ascii="宋体" w:hAnsi="宋体" w:eastAsia="宋体" w:cs="宋体"/>
          <w:b/>
          <w:bCs/>
          <w:color w:val="auto"/>
          <w:sz w:val="36"/>
          <w:szCs w:val="36"/>
          <w:highlight w:val="none"/>
        </w:rPr>
      </w:pPr>
    </w:p>
    <w:p w14:paraId="476ACDBE">
      <w:pPr>
        <w:snapToGrid w:val="0"/>
        <w:spacing w:before="50" w:line="360" w:lineRule="exact"/>
        <w:jc w:val="left"/>
        <w:rPr>
          <w:rFonts w:hint="eastAsia" w:ascii="宋体" w:hAnsi="宋体" w:eastAsia="宋体" w:cs="宋体"/>
          <w:b/>
          <w:bCs/>
          <w:color w:val="auto"/>
          <w:sz w:val="36"/>
          <w:szCs w:val="36"/>
          <w:highlight w:val="none"/>
        </w:rPr>
      </w:pPr>
    </w:p>
    <w:p w14:paraId="23BA4F96">
      <w:pPr>
        <w:snapToGrid w:val="0"/>
        <w:spacing w:before="50" w:line="360" w:lineRule="exact"/>
        <w:jc w:val="left"/>
        <w:rPr>
          <w:rFonts w:hint="eastAsia" w:ascii="宋体" w:hAnsi="宋体" w:eastAsia="宋体" w:cs="宋体"/>
          <w:b/>
          <w:bCs/>
          <w:color w:val="auto"/>
          <w:sz w:val="36"/>
          <w:szCs w:val="36"/>
          <w:highlight w:val="none"/>
        </w:rPr>
      </w:pPr>
    </w:p>
    <w:p w14:paraId="09B32E5F">
      <w:pPr>
        <w:snapToGrid w:val="0"/>
        <w:spacing w:before="50" w:line="360" w:lineRule="exact"/>
        <w:jc w:val="left"/>
        <w:rPr>
          <w:rFonts w:hint="eastAsia" w:ascii="宋体" w:hAnsi="宋体" w:eastAsia="宋体" w:cs="宋体"/>
          <w:b/>
          <w:bCs/>
          <w:color w:val="auto"/>
          <w:sz w:val="36"/>
          <w:szCs w:val="36"/>
          <w:highlight w:val="none"/>
        </w:rPr>
      </w:pPr>
    </w:p>
    <w:p w14:paraId="575D3D92">
      <w:pPr>
        <w:snapToGrid w:val="0"/>
        <w:spacing w:before="50" w:line="360" w:lineRule="exact"/>
        <w:jc w:val="left"/>
        <w:rPr>
          <w:rFonts w:hint="eastAsia" w:ascii="宋体" w:hAnsi="宋体" w:eastAsia="宋体" w:cs="宋体"/>
          <w:b/>
          <w:bCs/>
          <w:color w:val="auto"/>
          <w:sz w:val="36"/>
          <w:szCs w:val="36"/>
          <w:highlight w:val="none"/>
        </w:rPr>
      </w:pPr>
    </w:p>
    <w:p w14:paraId="08B8C0ED">
      <w:pPr>
        <w:snapToGrid w:val="0"/>
        <w:spacing w:before="50" w:line="360" w:lineRule="exact"/>
        <w:jc w:val="left"/>
        <w:rPr>
          <w:rFonts w:hint="eastAsia" w:ascii="宋体" w:hAnsi="宋体" w:eastAsia="宋体" w:cs="宋体"/>
          <w:b/>
          <w:bCs/>
          <w:color w:val="auto"/>
          <w:sz w:val="36"/>
          <w:szCs w:val="36"/>
          <w:highlight w:val="none"/>
        </w:rPr>
      </w:pPr>
    </w:p>
    <w:p w14:paraId="76179538">
      <w:pPr>
        <w:snapToGrid w:val="0"/>
        <w:spacing w:before="50" w:line="360" w:lineRule="exact"/>
        <w:jc w:val="left"/>
        <w:rPr>
          <w:rFonts w:hint="eastAsia" w:ascii="宋体" w:hAnsi="宋体" w:eastAsia="宋体" w:cs="宋体"/>
          <w:b/>
          <w:bCs/>
          <w:color w:val="auto"/>
          <w:sz w:val="36"/>
          <w:szCs w:val="36"/>
          <w:highlight w:val="none"/>
        </w:rPr>
      </w:pPr>
    </w:p>
    <w:p w14:paraId="74D4EC15">
      <w:pPr>
        <w:snapToGrid w:val="0"/>
        <w:spacing w:before="50" w:line="360" w:lineRule="exact"/>
        <w:jc w:val="left"/>
        <w:rPr>
          <w:rFonts w:hint="eastAsia" w:ascii="宋体" w:hAnsi="宋体" w:eastAsia="宋体" w:cs="宋体"/>
          <w:b/>
          <w:bCs/>
          <w:color w:val="auto"/>
          <w:sz w:val="36"/>
          <w:szCs w:val="36"/>
          <w:highlight w:val="none"/>
        </w:rPr>
      </w:pPr>
    </w:p>
    <w:p w14:paraId="264CF6AE">
      <w:pPr>
        <w:snapToGrid w:val="0"/>
        <w:spacing w:before="50" w:line="360" w:lineRule="exact"/>
        <w:jc w:val="left"/>
        <w:rPr>
          <w:rFonts w:hint="eastAsia" w:ascii="宋体" w:hAnsi="宋体" w:eastAsia="宋体" w:cs="宋体"/>
          <w:b/>
          <w:bCs/>
          <w:color w:val="auto"/>
          <w:sz w:val="36"/>
          <w:szCs w:val="36"/>
          <w:highlight w:val="none"/>
        </w:rPr>
      </w:pPr>
    </w:p>
    <w:p w14:paraId="4404CE87">
      <w:pPr>
        <w:snapToGrid w:val="0"/>
        <w:spacing w:before="50" w:line="360" w:lineRule="exact"/>
        <w:jc w:val="left"/>
        <w:rPr>
          <w:rFonts w:hint="eastAsia" w:ascii="宋体" w:hAnsi="宋体" w:eastAsia="宋体" w:cs="宋体"/>
          <w:b/>
          <w:bCs/>
          <w:color w:val="auto"/>
          <w:sz w:val="36"/>
          <w:szCs w:val="36"/>
          <w:highlight w:val="none"/>
        </w:rPr>
      </w:pPr>
    </w:p>
    <w:p w14:paraId="522083E9">
      <w:pPr>
        <w:snapToGrid w:val="0"/>
        <w:spacing w:before="50" w:line="360" w:lineRule="exact"/>
        <w:jc w:val="left"/>
        <w:rPr>
          <w:rFonts w:hint="eastAsia" w:ascii="宋体" w:hAnsi="宋体" w:eastAsia="宋体" w:cs="宋体"/>
          <w:b/>
          <w:bCs/>
          <w:color w:val="auto"/>
          <w:sz w:val="36"/>
          <w:szCs w:val="36"/>
          <w:highlight w:val="none"/>
        </w:rPr>
      </w:pPr>
    </w:p>
    <w:p w14:paraId="6170C78A">
      <w:pPr>
        <w:snapToGrid w:val="0"/>
        <w:spacing w:before="50" w:line="360" w:lineRule="exact"/>
        <w:jc w:val="left"/>
        <w:rPr>
          <w:rFonts w:hint="eastAsia" w:ascii="宋体" w:hAnsi="宋体" w:eastAsia="宋体" w:cs="宋体"/>
          <w:b/>
          <w:bCs/>
          <w:color w:val="auto"/>
          <w:sz w:val="36"/>
          <w:szCs w:val="36"/>
          <w:highlight w:val="none"/>
        </w:rPr>
      </w:pPr>
    </w:p>
    <w:p w14:paraId="2D640486">
      <w:pPr>
        <w:widowControl/>
        <w:spacing w:line="360" w:lineRule="exact"/>
        <w:rPr>
          <w:rFonts w:hint="eastAsia" w:ascii="宋体" w:hAnsi="宋体" w:eastAsia="宋体" w:cs="宋体"/>
          <w:b/>
          <w:bCs/>
          <w:color w:val="auto"/>
          <w:sz w:val="24"/>
          <w:highlight w:val="none"/>
        </w:rPr>
      </w:pPr>
    </w:p>
    <w:p w14:paraId="2D93F0B4">
      <w:pPr>
        <w:widowControl/>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3.投标保证金缴纳证明材料复印件：</w:t>
      </w:r>
    </w:p>
    <w:p w14:paraId="05686EC7">
      <w:pPr>
        <w:pStyle w:val="27"/>
        <w:spacing w:line="360" w:lineRule="exact"/>
        <w:ind w:firstLine="420"/>
        <w:jc w:val="center"/>
        <w:rPr>
          <w:rFonts w:hint="eastAsia" w:ascii="宋体" w:hAnsi="宋体" w:eastAsia="宋体" w:cs="宋体"/>
          <w:b/>
          <w:color w:val="auto"/>
          <w:sz w:val="32"/>
          <w:highlight w:val="none"/>
          <w:lang w:val="en-US" w:eastAsia="zh-CN"/>
        </w:rPr>
      </w:pPr>
    </w:p>
    <w:p w14:paraId="10D64589">
      <w:pPr>
        <w:pStyle w:val="27"/>
        <w:spacing w:line="360" w:lineRule="exact"/>
        <w:ind w:firstLine="42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投标</w:t>
      </w:r>
      <w:r>
        <w:rPr>
          <w:rFonts w:hint="eastAsia" w:ascii="宋体" w:hAnsi="宋体" w:eastAsia="宋体" w:cs="宋体"/>
          <w:b/>
          <w:color w:val="auto"/>
          <w:sz w:val="32"/>
          <w:highlight w:val="none"/>
        </w:rPr>
        <w:t>保证金证明</w:t>
      </w:r>
    </w:p>
    <w:p w14:paraId="685DC833">
      <w:pPr>
        <w:spacing w:line="360" w:lineRule="exact"/>
        <w:ind w:firstLine="420" w:firstLineChars="200"/>
        <w:rPr>
          <w:rFonts w:hint="eastAsia" w:ascii="宋体" w:hAnsi="宋体" w:eastAsia="宋体" w:cs="宋体"/>
          <w:color w:val="auto"/>
          <w:highlight w:val="none"/>
        </w:rPr>
      </w:pPr>
    </w:p>
    <w:p w14:paraId="06FFBAFA">
      <w:pPr>
        <w:pStyle w:val="27"/>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900367D">
      <w:pPr>
        <w:pStyle w:val="27"/>
        <w:spacing w:line="360" w:lineRule="exact"/>
        <w:rPr>
          <w:rFonts w:hint="eastAsia" w:ascii="宋体" w:hAnsi="宋体" w:eastAsia="宋体" w:cs="宋体"/>
          <w:color w:val="auto"/>
          <w:highlight w:val="none"/>
        </w:rPr>
      </w:pPr>
      <w:r>
        <w:rPr>
          <w:rFonts w:hint="eastAsia" w:ascii="宋体" w:hAnsi="宋体" w:eastAsia="宋体" w:cs="宋体"/>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1"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643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ASdndYAAAAHAQAADwAAAAAAAAABACAAAAAiAAAAZHJzL2Rvd25yZXYueG1sUEsB&#10;AhQAFAAAAAgAh07iQIOWLbD3AQAALwQAAA4AAAAAAAAAAQAgAAAAJQEAAGRycy9lMm9Eb2MueG1s&#10;UEsFBgAAAAAGAAYAWQEAAI4FAAAAAA==&#10;">
                <v:fill on="t" focussize="0,0"/>
                <v:stroke color="#000000" joinstyle="miter"/>
                <v:imagedata o:title=""/>
                <o:lock v:ext="edit" aspectratio="f"/>
                <v:textbox>
                  <w:txbxContent>
                    <w:p w14:paraId="0D96E9A7">
                      <w:pPr>
                        <w:jc w:val="center"/>
                        <w:rPr>
                          <w:color w:val="000000"/>
                        </w:rPr>
                      </w:pPr>
                    </w:p>
                    <w:p w14:paraId="016601B9">
                      <w:pPr>
                        <w:jc w:val="center"/>
                        <w:rPr>
                          <w:color w:val="000000"/>
                        </w:rPr>
                      </w:pPr>
                    </w:p>
                    <w:p w14:paraId="5D9942C5">
                      <w:pPr>
                        <w:jc w:val="center"/>
                        <w:rPr>
                          <w:color w:val="000000"/>
                        </w:rPr>
                      </w:pPr>
                    </w:p>
                    <w:p w14:paraId="1266A32F">
                      <w:pPr>
                        <w:jc w:val="center"/>
                        <w:rPr>
                          <w:color w:val="000000"/>
                        </w:rPr>
                      </w:pPr>
                    </w:p>
                    <w:p w14:paraId="52954DB8">
                      <w:pPr>
                        <w:jc w:val="center"/>
                        <w:rPr>
                          <w:color w:val="000000"/>
                        </w:rPr>
                      </w:pPr>
                    </w:p>
                    <w:p w14:paraId="67772CAF">
                      <w:pPr>
                        <w:jc w:val="center"/>
                      </w:pPr>
                    </w:p>
                    <w:p w14:paraId="6C8A730F">
                      <w:pPr>
                        <w:jc w:val="center"/>
                        <w:rPr>
                          <w:szCs w:val="21"/>
                        </w:rPr>
                      </w:pPr>
                      <w:r>
                        <w:rPr>
                          <w:rFonts w:hint="eastAsia" w:hAnsi="宋体"/>
                        </w:rPr>
                        <w:t>转账底单、电汇单、支票、汇票、本票或银行、保险机构出具的保函复印件</w:t>
                      </w:r>
                    </w:p>
                  </w:txbxContent>
                </v:textbox>
              </v:rect>
            </w:pict>
          </mc:Fallback>
        </mc:AlternateContent>
      </w:r>
    </w:p>
    <w:p w14:paraId="25BC9F0B">
      <w:pPr>
        <w:pStyle w:val="27"/>
        <w:spacing w:line="360" w:lineRule="exact"/>
        <w:rPr>
          <w:rFonts w:hint="eastAsia" w:ascii="宋体" w:hAnsi="宋体" w:eastAsia="宋体" w:cs="宋体"/>
          <w:color w:val="auto"/>
          <w:highlight w:val="none"/>
        </w:rPr>
      </w:pPr>
    </w:p>
    <w:p w14:paraId="2F1BAC99">
      <w:pPr>
        <w:pStyle w:val="27"/>
        <w:spacing w:line="360" w:lineRule="exact"/>
        <w:rPr>
          <w:rFonts w:hint="eastAsia" w:ascii="宋体" w:hAnsi="宋体" w:eastAsia="宋体" w:cs="宋体"/>
          <w:color w:val="auto"/>
          <w:highlight w:val="none"/>
        </w:rPr>
      </w:pPr>
    </w:p>
    <w:p w14:paraId="7DB7EF05">
      <w:pPr>
        <w:pStyle w:val="27"/>
        <w:spacing w:line="360" w:lineRule="exact"/>
        <w:rPr>
          <w:rFonts w:hint="eastAsia" w:ascii="宋体" w:hAnsi="宋体" w:eastAsia="宋体" w:cs="宋体"/>
          <w:color w:val="auto"/>
          <w:sz w:val="44"/>
          <w:highlight w:val="none"/>
        </w:rPr>
      </w:pPr>
    </w:p>
    <w:p w14:paraId="7BEB7E7F">
      <w:pPr>
        <w:pStyle w:val="27"/>
        <w:spacing w:line="360" w:lineRule="exact"/>
        <w:rPr>
          <w:rFonts w:hint="eastAsia" w:ascii="宋体" w:hAnsi="宋体" w:eastAsia="宋体" w:cs="宋体"/>
          <w:color w:val="auto"/>
          <w:sz w:val="44"/>
          <w:highlight w:val="none"/>
        </w:rPr>
      </w:pPr>
    </w:p>
    <w:p w14:paraId="1D694146">
      <w:pPr>
        <w:pStyle w:val="27"/>
        <w:spacing w:line="360" w:lineRule="exact"/>
        <w:rPr>
          <w:rFonts w:hint="eastAsia" w:ascii="宋体" w:hAnsi="宋体" w:eastAsia="宋体" w:cs="宋体"/>
          <w:color w:val="auto"/>
          <w:sz w:val="44"/>
          <w:highlight w:val="none"/>
        </w:rPr>
      </w:pPr>
    </w:p>
    <w:p w14:paraId="44F12B36">
      <w:pPr>
        <w:pStyle w:val="27"/>
        <w:spacing w:line="360" w:lineRule="exact"/>
        <w:rPr>
          <w:rFonts w:hint="eastAsia" w:ascii="宋体" w:hAnsi="宋体" w:eastAsia="宋体" w:cs="宋体"/>
          <w:color w:val="auto"/>
          <w:sz w:val="44"/>
          <w:highlight w:val="none"/>
        </w:rPr>
      </w:pPr>
    </w:p>
    <w:p w14:paraId="6D869043">
      <w:pPr>
        <w:pStyle w:val="27"/>
        <w:spacing w:line="360" w:lineRule="exact"/>
        <w:rPr>
          <w:rFonts w:hint="eastAsia" w:ascii="宋体" w:hAnsi="宋体" w:eastAsia="宋体" w:cs="宋体"/>
          <w:color w:val="auto"/>
          <w:sz w:val="44"/>
          <w:highlight w:val="none"/>
        </w:rPr>
      </w:pPr>
    </w:p>
    <w:p w14:paraId="07979F64">
      <w:pPr>
        <w:pStyle w:val="27"/>
        <w:spacing w:line="360" w:lineRule="exact"/>
        <w:ind w:firstLine="4830" w:firstLineChars="2300"/>
        <w:rPr>
          <w:rFonts w:hint="eastAsia" w:ascii="宋体" w:hAnsi="宋体" w:eastAsia="宋体" w:cs="宋体"/>
          <w:color w:val="auto"/>
          <w:highlight w:val="none"/>
        </w:rPr>
      </w:pPr>
    </w:p>
    <w:p w14:paraId="6FF34455">
      <w:pPr>
        <w:pStyle w:val="27"/>
        <w:spacing w:line="360" w:lineRule="exact"/>
        <w:ind w:firstLine="4830" w:firstLineChars="2300"/>
        <w:rPr>
          <w:rFonts w:hint="eastAsia" w:ascii="宋体" w:hAnsi="宋体" w:eastAsia="宋体" w:cs="宋体"/>
          <w:color w:val="auto"/>
          <w:highlight w:val="none"/>
        </w:rPr>
      </w:pPr>
    </w:p>
    <w:p w14:paraId="6CE7E880">
      <w:pPr>
        <w:pStyle w:val="27"/>
        <w:spacing w:line="360" w:lineRule="exact"/>
        <w:ind w:firstLine="4830" w:firstLineChars="2300"/>
        <w:rPr>
          <w:rFonts w:hint="eastAsia" w:ascii="宋体" w:hAnsi="宋体" w:eastAsia="宋体" w:cs="宋体"/>
          <w:color w:val="auto"/>
          <w:highlight w:val="none"/>
        </w:rPr>
      </w:pPr>
    </w:p>
    <w:p w14:paraId="15856828">
      <w:pPr>
        <w:pStyle w:val="27"/>
        <w:spacing w:line="360" w:lineRule="exact"/>
        <w:ind w:firstLine="4830" w:firstLineChars="2300"/>
        <w:rPr>
          <w:rFonts w:hint="eastAsia" w:ascii="宋体" w:hAnsi="宋体" w:eastAsia="宋体" w:cs="宋体"/>
          <w:color w:val="auto"/>
          <w:highlight w:val="none"/>
        </w:rPr>
      </w:pPr>
    </w:p>
    <w:p w14:paraId="2CEB8804">
      <w:pPr>
        <w:pStyle w:val="27"/>
        <w:spacing w:line="360" w:lineRule="exact"/>
        <w:ind w:firstLine="4830" w:firstLineChars="2300"/>
        <w:rPr>
          <w:rFonts w:hint="eastAsia" w:ascii="宋体" w:hAnsi="宋体" w:eastAsia="宋体" w:cs="宋体"/>
          <w:color w:val="auto"/>
          <w:highlight w:val="none"/>
        </w:rPr>
      </w:pPr>
    </w:p>
    <w:p w14:paraId="7F183357">
      <w:pPr>
        <w:pStyle w:val="27"/>
        <w:spacing w:line="360" w:lineRule="exact"/>
        <w:ind w:firstLine="4830" w:firstLineChars="2300"/>
        <w:rPr>
          <w:rFonts w:hint="eastAsia" w:ascii="宋体" w:hAnsi="宋体" w:eastAsia="宋体" w:cs="宋体"/>
          <w:color w:val="auto"/>
          <w:highlight w:val="none"/>
        </w:rPr>
      </w:pPr>
    </w:p>
    <w:p w14:paraId="4A9E7064">
      <w:pPr>
        <w:pStyle w:val="27"/>
        <w:spacing w:line="360" w:lineRule="exact"/>
        <w:ind w:firstLine="4830" w:firstLineChars="2300"/>
        <w:rPr>
          <w:rFonts w:hint="eastAsia" w:ascii="宋体" w:hAnsi="宋体" w:eastAsia="宋体" w:cs="宋体"/>
          <w:color w:val="auto"/>
          <w:highlight w:val="none"/>
        </w:rPr>
      </w:pPr>
    </w:p>
    <w:p w14:paraId="14D0C8EB">
      <w:pPr>
        <w:pStyle w:val="27"/>
        <w:spacing w:line="360" w:lineRule="exact"/>
        <w:ind w:firstLine="4830" w:firstLineChars="2300"/>
        <w:rPr>
          <w:rFonts w:hint="eastAsia" w:ascii="宋体" w:hAnsi="宋体" w:eastAsia="宋体" w:cs="宋体"/>
          <w:color w:val="auto"/>
          <w:highlight w:val="none"/>
        </w:rPr>
      </w:pPr>
    </w:p>
    <w:p w14:paraId="45247406">
      <w:pPr>
        <w:pStyle w:val="27"/>
        <w:spacing w:line="360" w:lineRule="exact"/>
        <w:ind w:firstLine="4830" w:firstLineChars="2300"/>
        <w:rPr>
          <w:rFonts w:hint="eastAsia" w:ascii="宋体" w:hAnsi="宋体" w:eastAsia="宋体" w:cs="宋体"/>
          <w:color w:val="auto"/>
          <w:highlight w:val="none"/>
        </w:rPr>
      </w:pPr>
    </w:p>
    <w:p w14:paraId="6B31FB5A">
      <w:pPr>
        <w:pStyle w:val="27"/>
        <w:spacing w:line="360" w:lineRule="exact"/>
        <w:ind w:firstLine="4830" w:firstLineChars="2300"/>
        <w:rPr>
          <w:rFonts w:hint="eastAsia" w:ascii="宋体" w:hAnsi="宋体" w:eastAsia="宋体" w:cs="宋体"/>
          <w:color w:val="auto"/>
          <w:highlight w:val="none"/>
        </w:rPr>
      </w:pPr>
    </w:p>
    <w:p w14:paraId="72EC52F6">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622601F">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623FAD0">
      <w:pPr>
        <w:tabs>
          <w:tab w:val="left" w:pos="1418"/>
        </w:tabs>
        <w:snapToGrid w:val="0"/>
        <w:spacing w:before="50" w:after="50" w:line="360" w:lineRule="exact"/>
        <w:rPr>
          <w:rFonts w:hint="eastAsia" w:ascii="宋体" w:hAnsi="宋体" w:eastAsia="宋体" w:cs="宋体"/>
          <w:b/>
          <w:bCs/>
          <w:color w:val="auto"/>
          <w:sz w:val="24"/>
          <w:highlight w:val="none"/>
        </w:rPr>
      </w:pPr>
    </w:p>
    <w:p w14:paraId="17FFC0AF">
      <w:pPr>
        <w:tabs>
          <w:tab w:val="left" w:pos="1418"/>
        </w:tabs>
        <w:snapToGrid w:val="0"/>
        <w:spacing w:before="50" w:after="50" w:line="360" w:lineRule="exact"/>
        <w:rPr>
          <w:rFonts w:hint="eastAsia" w:ascii="宋体" w:hAnsi="宋体" w:eastAsia="宋体" w:cs="宋体"/>
          <w:b/>
          <w:bCs/>
          <w:color w:val="auto"/>
          <w:sz w:val="24"/>
          <w:highlight w:val="none"/>
        </w:rPr>
      </w:pPr>
    </w:p>
    <w:p w14:paraId="453CFFB3">
      <w:pPr>
        <w:tabs>
          <w:tab w:val="left" w:pos="1418"/>
        </w:tabs>
        <w:snapToGrid w:val="0"/>
        <w:spacing w:before="50" w:after="50" w:line="360" w:lineRule="exact"/>
        <w:rPr>
          <w:rFonts w:hint="eastAsia" w:ascii="宋体" w:hAnsi="宋体" w:eastAsia="宋体" w:cs="宋体"/>
          <w:b/>
          <w:bCs/>
          <w:color w:val="auto"/>
          <w:sz w:val="24"/>
          <w:highlight w:val="none"/>
        </w:rPr>
      </w:pPr>
    </w:p>
    <w:p w14:paraId="0CBC23B8">
      <w:pPr>
        <w:tabs>
          <w:tab w:val="left" w:pos="1418"/>
        </w:tabs>
        <w:snapToGrid w:val="0"/>
        <w:spacing w:before="50" w:after="50" w:line="360" w:lineRule="exact"/>
        <w:rPr>
          <w:rFonts w:hint="eastAsia" w:ascii="宋体" w:hAnsi="宋体" w:eastAsia="宋体" w:cs="宋体"/>
          <w:b/>
          <w:bCs/>
          <w:color w:val="auto"/>
          <w:sz w:val="24"/>
          <w:highlight w:val="none"/>
        </w:rPr>
      </w:pPr>
    </w:p>
    <w:p w14:paraId="3F19046E">
      <w:pPr>
        <w:tabs>
          <w:tab w:val="left" w:pos="1418"/>
        </w:tabs>
        <w:snapToGrid w:val="0"/>
        <w:spacing w:before="50" w:after="50" w:line="360" w:lineRule="exact"/>
        <w:rPr>
          <w:rFonts w:hint="eastAsia" w:ascii="宋体" w:hAnsi="宋体" w:eastAsia="宋体" w:cs="宋体"/>
          <w:b/>
          <w:bCs/>
          <w:color w:val="auto"/>
          <w:sz w:val="24"/>
          <w:highlight w:val="none"/>
        </w:rPr>
      </w:pPr>
    </w:p>
    <w:p w14:paraId="346B2A58">
      <w:pPr>
        <w:tabs>
          <w:tab w:val="left" w:pos="1418"/>
        </w:tabs>
        <w:snapToGrid w:val="0"/>
        <w:spacing w:before="50" w:after="50" w:line="360" w:lineRule="exact"/>
        <w:rPr>
          <w:rFonts w:hint="eastAsia" w:ascii="宋体" w:hAnsi="宋体" w:eastAsia="宋体" w:cs="宋体"/>
          <w:b/>
          <w:bCs/>
          <w:color w:val="auto"/>
          <w:sz w:val="24"/>
          <w:highlight w:val="none"/>
        </w:rPr>
      </w:pPr>
    </w:p>
    <w:p w14:paraId="6C2E9CEB">
      <w:pPr>
        <w:tabs>
          <w:tab w:val="left" w:pos="1418"/>
        </w:tabs>
        <w:snapToGrid w:val="0"/>
        <w:spacing w:before="50" w:after="50" w:line="360" w:lineRule="exact"/>
        <w:rPr>
          <w:rFonts w:hint="eastAsia" w:ascii="宋体" w:hAnsi="宋体" w:eastAsia="宋体" w:cs="宋体"/>
          <w:b/>
          <w:bCs/>
          <w:color w:val="auto"/>
          <w:sz w:val="24"/>
          <w:highlight w:val="none"/>
        </w:rPr>
      </w:pPr>
    </w:p>
    <w:p w14:paraId="0D2FA560">
      <w:pPr>
        <w:tabs>
          <w:tab w:val="left" w:pos="1418"/>
        </w:tabs>
        <w:snapToGrid w:val="0"/>
        <w:spacing w:before="50" w:after="50" w:line="360" w:lineRule="exact"/>
        <w:rPr>
          <w:rFonts w:hint="eastAsia" w:ascii="宋体" w:hAnsi="宋体" w:eastAsia="宋体" w:cs="宋体"/>
          <w:b/>
          <w:bCs/>
          <w:color w:val="auto"/>
          <w:sz w:val="24"/>
          <w:highlight w:val="none"/>
        </w:rPr>
      </w:pPr>
    </w:p>
    <w:p w14:paraId="01098E53">
      <w:pPr>
        <w:tabs>
          <w:tab w:val="left" w:pos="1418"/>
        </w:tabs>
        <w:snapToGrid w:val="0"/>
        <w:spacing w:before="50" w:after="50" w:line="360" w:lineRule="exact"/>
        <w:rPr>
          <w:rFonts w:hint="eastAsia" w:ascii="宋体" w:hAnsi="宋体" w:eastAsia="宋体" w:cs="宋体"/>
          <w:b/>
          <w:bCs/>
          <w:color w:val="auto"/>
          <w:sz w:val="24"/>
          <w:highlight w:val="none"/>
        </w:rPr>
      </w:pPr>
    </w:p>
    <w:p w14:paraId="418AA6C4">
      <w:pPr>
        <w:tabs>
          <w:tab w:val="left" w:pos="1418"/>
        </w:tabs>
        <w:snapToGrid w:val="0"/>
        <w:spacing w:before="50" w:after="50" w:line="360" w:lineRule="exact"/>
        <w:rPr>
          <w:rFonts w:hint="eastAsia" w:ascii="宋体" w:hAnsi="宋体" w:eastAsia="宋体" w:cs="宋体"/>
          <w:b/>
          <w:bCs/>
          <w:color w:val="auto"/>
          <w:sz w:val="24"/>
          <w:highlight w:val="none"/>
        </w:rPr>
      </w:pPr>
    </w:p>
    <w:p w14:paraId="19BADCE2">
      <w:pPr>
        <w:tabs>
          <w:tab w:val="left" w:pos="1418"/>
        </w:tabs>
        <w:snapToGrid w:val="0"/>
        <w:spacing w:before="50" w:after="50" w:line="360" w:lineRule="exact"/>
        <w:rPr>
          <w:rFonts w:hint="eastAsia" w:ascii="宋体" w:hAnsi="宋体" w:eastAsia="宋体" w:cs="宋体"/>
          <w:b/>
          <w:bCs/>
          <w:color w:val="auto"/>
          <w:sz w:val="24"/>
          <w:highlight w:val="none"/>
        </w:rPr>
      </w:pPr>
    </w:p>
    <w:p w14:paraId="0752482C">
      <w:pPr>
        <w:tabs>
          <w:tab w:val="left" w:pos="1418"/>
        </w:tabs>
        <w:snapToGrid w:val="0"/>
        <w:spacing w:before="50" w:after="50" w:line="360" w:lineRule="exact"/>
        <w:rPr>
          <w:rFonts w:hint="eastAsia" w:ascii="宋体" w:hAnsi="宋体" w:eastAsia="宋体" w:cs="宋体"/>
          <w:b/>
          <w:bCs/>
          <w:color w:val="auto"/>
          <w:sz w:val="24"/>
          <w:highlight w:val="none"/>
        </w:rPr>
      </w:pPr>
    </w:p>
    <w:p w14:paraId="7B9A5229">
      <w:pPr>
        <w:tabs>
          <w:tab w:val="left" w:pos="1418"/>
        </w:tabs>
        <w:snapToGrid w:val="0"/>
        <w:spacing w:before="50" w:after="50" w:line="360" w:lineRule="exact"/>
        <w:rPr>
          <w:rFonts w:hint="eastAsia" w:ascii="宋体" w:hAnsi="宋体" w:eastAsia="宋体" w:cs="宋体"/>
          <w:b/>
          <w:bCs/>
          <w:color w:val="auto"/>
          <w:sz w:val="24"/>
          <w:highlight w:val="none"/>
        </w:rPr>
      </w:pPr>
    </w:p>
    <w:p w14:paraId="4B57789D">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4.商务响应表格式：</w:t>
      </w:r>
    </w:p>
    <w:p w14:paraId="2C959CB7">
      <w:pPr>
        <w:snapToGrid w:val="0"/>
        <w:spacing w:before="50" w:line="360" w:lineRule="exact"/>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0425E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ED443F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0333C45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6C1DB06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3E24CD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投标人的承诺或说明</w:t>
            </w:r>
          </w:p>
        </w:tc>
      </w:tr>
      <w:tr w14:paraId="79C14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AD502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基本要求</w:t>
            </w:r>
          </w:p>
        </w:tc>
        <w:tc>
          <w:tcPr>
            <w:tcW w:w="2700" w:type="dxa"/>
            <w:tcBorders>
              <w:top w:val="single" w:color="auto" w:sz="4" w:space="0"/>
              <w:left w:val="single" w:color="auto" w:sz="4" w:space="0"/>
              <w:bottom w:val="single" w:color="auto" w:sz="4" w:space="0"/>
              <w:right w:val="single" w:color="auto" w:sz="4" w:space="0"/>
            </w:tcBorders>
            <w:vAlign w:val="center"/>
          </w:tcPr>
          <w:p w14:paraId="515A80E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820963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C439C3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616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087403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报价要求</w:t>
            </w:r>
          </w:p>
        </w:tc>
        <w:tc>
          <w:tcPr>
            <w:tcW w:w="2700" w:type="dxa"/>
            <w:tcBorders>
              <w:top w:val="single" w:color="auto" w:sz="4" w:space="0"/>
              <w:left w:val="single" w:color="auto" w:sz="4" w:space="0"/>
              <w:bottom w:val="single" w:color="auto" w:sz="4" w:space="0"/>
              <w:right w:val="single" w:color="auto" w:sz="4" w:space="0"/>
            </w:tcBorders>
            <w:vAlign w:val="center"/>
          </w:tcPr>
          <w:p w14:paraId="50A2058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1FFF7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82EF9E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2B3E8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55CB2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售后服务要求</w:t>
            </w:r>
          </w:p>
        </w:tc>
        <w:tc>
          <w:tcPr>
            <w:tcW w:w="2700" w:type="dxa"/>
            <w:tcBorders>
              <w:top w:val="single" w:color="auto" w:sz="4" w:space="0"/>
              <w:left w:val="single" w:color="auto" w:sz="4" w:space="0"/>
              <w:bottom w:val="single" w:color="auto" w:sz="4" w:space="0"/>
              <w:right w:val="single" w:color="auto" w:sz="4" w:space="0"/>
            </w:tcBorders>
            <w:vAlign w:val="center"/>
          </w:tcPr>
          <w:p w14:paraId="7E6F87D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AB4BB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E284EA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651D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689A2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质保期</w:t>
            </w:r>
          </w:p>
        </w:tc>
        <w:tc>
          <w:tcPr>
            <w:tcW w:w="2700" w:type="dxa"/>
            <w:tcBorders>
              <w:top w:val="single" w:color="auto" w:sz="4" w:space="0"/>
              <w:left w:val="single" w:color="auto" w:sz="4" w:space="0"/>
              <w:bottom w:val="single" w:color="auto" w:sz="4" w:space="0"/>
              <w:right w:val="single" w:color="auto" w:sz="4" w:space="0"/>
            </w:tcBorders>
            <w:vAlign w:val="center"/>
          </w:tcPr>
          <w:p w14:paraId="36951DF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995F1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35229B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FC62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D6ABB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备品备件及耗材等要求</w:t>
            </w:r>
          </w:p>
        </w:tc>
        <w:tc>
          <w:tcPr>
            <w:tcW w:w="2700" w:type="dxa"/>
            <w:tcBorders>
              <w:top w:val="single" w:color="auto" w:sz="4" w:space="0"/>
              <w:left w:val="single" w:color="auto" w:sz="4" w:space="0"/>
              <w:bottom w:val="single" w:color="auto" w:sz="4" w:space="0"/>
              <w:right w:val="single" w:color="auto" w:sz="4" w:space="0"/>
            </w:tcBorders>
            <w:vAlign w:val="center"/>
          </w:tcPr>
          <w:p w14:paraId="57406CE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24630C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6E822A2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9F62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C90C8C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合同签订时间</w:t>
            </w:r>
          </w:p>
        </w:tc>
        <w:tc>
          <w:tcPr>
            <w:tcW w:w="2700" w:type="dxa"/>
            <w:tcBorders>
              <w:top w:val="single" w:color="auto" w:sz="4" w:space="0"/>
              <w:left w:val="single" w:color="auto" w:sz="4" w:space="0"/>
              <w:bottom w:val="single" w:color="auto" w:sz="4" w:space="0"/>
              <w:right w:val="single" w:color="auto" w:sz="4" w:space="0"/>
            </w:tcBorders>
            <w:vAlign w:val="center"/>
          </w:tcPr>
          <w:p w14:paraId="58F3FDF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0B076B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6669E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9799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AC1801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交货时间及地点</w:t>
            </w:r>
          </w:p>
        </w:tc>
        <w:tc>
          <w:tcPr>
            <w:tcW w:w="2700" w:type="dxa"/>
            <w:tcBorders>
              <w:top w:val="single" w:color="auto" w:sz="4" w:space="0"/>
              <w:left w:val="single" w:color="auto" w:sz="4" w:space="0"/>
              <w:bottom w:val="single" w:color="auto" w:sz="4" w:space="0"/>
              <w:right w:val="single" w:color="auto" w:sz="4" w:space="0"/>
            </w:tcBorders>
            <w:vAlign w:val="center"/>
          </w:tcPr>
          <w:p w14:paraId="33C075A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7FB8E8E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E950BA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49A5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AAA2C5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交货要求</w:t>
            </w:r>
          </w:p>
        </w:tc>
        <w:tc>
          <w:tcPr>
            <w:tcW w:w="2700" w:type="dxa"/>
            <w:tcBorders>
              <w:top w:val="single" w:color="auto" w:sz="4" w:space="0"/>
              <w:left w:val="single" w:color="auto" w:sz="4" w:space="0"/>
              <w:bottom w:val="single" w:color="auto" w:sz="4" w:space="0"/>
              <w:right w:val="single" w:color="auto" w:sz="4" w:space="0"/>
            </w:tcBorders>
            <w:vAlign w:val="center"/>
          </w:tcPr>
          <w:p w14:paraId="72B5F6D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3E17CC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F8B098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8F92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92DA46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付款方式</w:t>
            </w:r>
          </w:p>
        </w:tc>
        <w:tc>
          <w:tcPr>
            <w:tcW w:w="2700" w:type="dxa"/>
            <w:tcBorders>
              <w:top w:val="single" w:color="auto" w:sz="4" w:space="0"/>
              <w:left w:val="single" w:color="auto" w:sz="4" w:space="0"/>
              <w:bottom w:val="single" w:color="auto" w:sz="4" w:space="0"/>
              <w:right w:val="single" w:color="auto" w:sz="4" w:space="0"/>
            </w:tcBorders>
            <w:vAlign w:val="center"/>
          </w:tcPr>
          <w:p w14:paraId="36A748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2D6DA0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751841F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CF83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BD8D4F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设备调试与验收标准</w:t>
            </w:r>
          </w:p>
        </w:tc>
        <w:tc>
          <w:tcPr>
            <w:tcW w:w="2700" w:type="dxa"/>
            <w:tcBorders>
              <w:top w:val="single" w:color="auto" w:sz="4" w:space="0"/>
              <w:left w:val="single" w:color="auto" w:sz="4" w:space="0"/>
              <w:bottom w:val="single" w:color="auto" w:sz="4" w:space="0"/>
              <w:right w:val="single" w:color="auto" w:sz="4" w:space="0"/>
            </w:tcBorders>
            <w:vAlign w:val="center"/>
          </w:tcPr>
          <w:p w14:paraId="26F3539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6EE36C7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E4B922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962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AA52A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产品质量要求</w:t>
            </w:r>
          </w:p>
        </w:tc>
        <w:tc>
          <w:tcPr>
            <w:tcW w:w="2700" w:type="dxa"/>
            <w:tcBorders>
              <w:top w:val="single" w:color="auto" w:sz="4" w:space="0"/>
              <w:left w:val="single" w:color="auto" w:sz="4" w:space="0"/>
              <w:bottom w:val="single" w:color="auto" w:sz="4" w:space="0"/>
              <w:right w:val="single" w:color="auto" w:sz="4" w:space="0"/>
            </w:tcBorders>
            <w:vAlign w:val="center"/>
          </w:tcPr>
          <w:p w14:paraId="3472D60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6FBE71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F4ED3F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F64C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27D2C0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履约保证金</w:t>
            </w:r>
          </w:p>
        </w:tc>
        <w:tc>
          <w:tcPr>
            <w:tcW w:w="2700" w:type="dxa"/>
            <w:tcBorders>
              <w:top w:val="single" w:color="auto" w:sz="4" w:space="0"/>
              <w:left w:val="single" w:color="auto" w:sz="4" w:space="0"/>
              <w:bottom w:val="single" w:color="auto" w:sz="4" w:space="0"/>
              <w:right w:val="single" w:color="auto" w:sz="4" w:space="0"/>
            </w:tcBorders>
            <w:vAlign w:val="center"/>
          </w:tcPr>
          <w:p w14:paraId="4063540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C4C426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63C306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986D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9F4DFD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2700" w:type="dxa"/>
            <w:tcBorders>
              <w:top w:val="single" w:color="auto" w:sz="4" w:space="0"/>
              <w:left w:val="single" w:color="auto" w:sz="4" w:space="0"/>
              <w:bottom w:val="single" w:color="auto" w:sz="4" w:space="0"/>
              <w:right w:val="single" w:color="auto" w:sz="4" w:space="0"/>
            </w:tcBorders>
            <w:vAlign w:val="center"/>
          </w:tcPr>
          <w:p w14:paraId="48D0C173">
            <w:pPr>
              <w:snapToGrid w:val="0"/>
              <w:spacing w:before="120" w:beforeLines="50" w:line="360" w:lineRule="exact"/>
              <w:jc w:val="center"/>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9C255CD">
            <w:pPr>
              <w:snapToGrid w:val="0"/>
              <w:spacing w:before="120" w:beforeLines="50" w:line="360" w:lineRule="exact"/>
              <w:jc w:val="center"/>
              <w:rPr>
                <w:rFonts w:hint="eastAsia" w:ascii="宋体" w:hAnsi="宋体" w:eastAsia="宋体" w:cs="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57C51032">
            <w:pPr>
              <w:snapToGrid w:val="0"/>
              <w:spacing w:before="120" w:beforeLines="50" w:line="360" w:lineRule="exact"/>
              <w:jc w:val="center"/>
              <w:rPr>
                <w:rFonts w:hint="eastAsia" w:ascii="宋体" w:hAnsi="宋体" w:eastAsia="宋体" w:cs="宋体"/>
                <w:color w:val="auto"/>
                <w:szCs w:val="21"/>
                <w:highlight w:val="none"/>
              </w:rPr>
            </w:pPr>
          </w:p>
        </w:tc>
      </w:tr>
    </w:tbl>
    <w:p w14:paraId="7033C7B8">
      <w:pPr>
        <w:snapToGrid w:val="0"/>
        <w:spacing w:before="50" w:after="120" w:afterLines="50" w:line="360" w:lineRule="exact"/>
        <w:jc w:val="left"/>
        <w:rPr>
          <w:rFonts w:hint="eastAsia" w:ascii="宋体" w:hAnsi="宋体" w:eastAsia="宋体" w:cs="宋体"/>
          <w:b/>
          <w:color w:val="auto"/>
          <w:sz w:val="24"/>
          <w:highlight w:val="none"/>
        </w:rPr>
      </w:pPr>
    </w:p>
    <w:p w14:paraId="7C69AA38">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1C2D452A">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70BA633">
      <w:pPr>
        <w:snapToGrid w:val="0"/>
        <w:rPr>
          <w:rFonts w:hint="eastAsia" w:ascii="宋体" w:hAnsi="宋体" w:eastAsia="宋体" w:cs="宋体"/>
          <w:color w:val="auto"/>
          <w:sz w:val="30"/>
          <w:szCs w:val="30"/>
          <w:highlight w:val="none"/>
        </w:rPr>
      </w:pPr>
    </w:p>
    <w:p w14:paraId="205F4E3B">
      <w:pPr>
        <w:snapToGrid w:val="0"/>
        <w:rPr>
          <w:rFonts w:hint="eastAsia" w:ascii="宋体" w:hAnsi="宋体" w:eastAsia="宋体" w:cs="宋体"/>
          <w:color w:val="auto"/>
          <w:sz w:val="30"/>
          <w:szCs w:val="30"/>
          <w:highlight w:val="none"/>
        </w:rPr>
      </w:pPr>
    </w:p>
    <w:p w14:paraId="27314006">
      <w:pPr>
        <w:snapToGrid w:val="0"/>
        <w:rPr>
          <w:rFonts w:hint="eastAsia" w:ascii="宋体" w:hAnsi="宋体" w:eastAsia="宋体" w:cs="宋体"/>
          <w:color w:val="auto"/>
          <w:sz w:val="30"/>
          <w:szCs w:val="30"/>
          <w:highlight w:val="none"/>
        </w:rPr>
      </w:pPr>
    </w:p>
    <w:p w14:paraId="15DF99BA">
      <w:pPr>
        <w:snapToGrid w:val="0"/>
        <w:rPr>
          <w:rFonts w:hint="eastAsia" w:ascii="宋体" w:hAnsi="宋体" w:eastAsia="宋体" w:cs="宋体"/>
          <w:color w:val="auto"/>
          <w:sz w:val="30"/>
          <w:szCs w:val="30"/>
          <w:highlight w:val="none"/>
        </w:rPr>
      </w:pPr>
    </w:p>
    <w:p w14:paraId="2F141974">
      <w:pPr>
        <w:snapToGrid w:val="0"/>
        <w:rPr>
          <w:rFonts w:hint="eastAsia" w:ascii="宋体" w:hAnsi="宋体" w:eastAsia="宋体" w:cs="宋体"/>
          <w:color w:val="auto"/>
          <w:sz w:val="30"/>
          <w:szCs w:val="30"/>
          <w:highlight w:val="none"/>
        </w:rPr>
      </w:pPr>
    </w:p>
    <w:p w14:paraId="14F91599">
      <w:pPr>
        <w:snapToGrid w:val="0"/>
        <w:rPr>
          <w:rFonts w:hint="eastAsia" w:ascii="宋体" w:hAnsi="宋体" w:eastAsia="宋体" w:cs="宋体"/>
          <w:color w:val="auto"/>
          <w:sz w:val="30"/>
          <w:szCs w:val="30"/>
          <w:highlight w:val="none"/>
        </w:rPr>
      </w:pPr>
    </w:p>
    <w:p w14:paraId="3E27F244">
      <w:pPr>
        <w:snapToGrid w:val="0"/>
        <w:rPr>
          <w:rFonts w:hint="eastAsia" w:ascii="宋体" w:hAnsi="宋体" w:eastAsia="宋体" w:cs="宋体"/>
          <w:color w:val="auto"/>
          <w:sz w:val="30"/>
          <w:szCs w:val="30"/>
          <w:highlight w:val="none"/>
        </w:rPr>
      </w:pPr>
    </w:p>
    <w:p w14:paraId="1C98A82E">
      <w:pPr>
        <w:snapToGrid w:val="0"/>
        <w:rPr>
          <w:rFonts w:hint="eastAsia" w:ascii="宋体" w:hAnsi="宋体" w:eastAsia="宋体" w:cs="宋体"/>
          <w:color w:val="auto"/>
          <w:sz w:val="30"/>
          <w:szCs w:val="30"/>
          <w:highlight w:val="none"/>
        </w:rPr>
      </w:pPr>
    </w:p>
    <w:p w14:paraId="0263879D">
      <w:pPr>
        <w:snapToGrid w:val="0"/>
        <w:rPr>
          <w:rFonts w:hint="eastAsia" w:ascii="宋体" w:hAnsi="宋体" w:eastAsia="宋体" w:cs="宋体"/>
          <w:color w:val="auto"/>
          <w:sz w:val="30"/>
          <w:szCs w:val="30"/>
          <w:highlight w:val="none"/>
        </w:rPr>
      </w:pPr>
    </w:p>
    <w:p w14:paraId="72255AFA">
      <w:pPr>
        <w:snapToGrid w:val="0"/>
        <w:rPr>
          <w:rFonts w:hint="eastAsia" w:ascii="宋体" w:hAnsi="宋体" w:eastAsia="宋体" w:cs="宋体"/>
          <w:color w:val="auto"/>
          <w:sz w:val="30"/>
          <w:szCs w:val="30"/>
          <w:highlight w:val="none"/>
        </w:rPr>
      </w:pPr>
    </w:p>
    <w:p w14:paraId="6143467D">
      <w:pPr>
        <w:snapToGrid w:val="0"/>
        <w:rPr>
          <w:rFonts w:hint="eastAsia" w:ascii="宋体" w:hAnsi="宋体" w:eastAsia="宋体" w:cs="宋体"/>
          <w:color w:val="auto"/>
          <w:sz w:val="30"/>
          <w:szCs w:val="30"/>
          <w:highlight w:val="none"/>
        </w:rPr>
      </w:pPr>
    </w:p>
    <w:p w14:paraId="4745C85D">
      <w:pPr>
        <w:snapToGrid w:val="0"/>
        <w:rPr>
          <w:rFonts w:hint="eastAsia" w:ascii="宋体" w:hAnsi="宋体" w:eastAsia="宋体" w:cs="宋体"/>
          <w:color w:val="auto"/>
          <w:sz w:val="30"/>
          <w:szCs w:val="30"/>
          <w:highlight w:val="none"/>
        </w:rPr>
      </w:pPr>
    </w:p>
    <w:p w14:paraId="047E0303">
      <w:pPr>
        <w:snapToGrid w:val="0"/>
        <w:rPr>
          <w:rFonts w:hint="eastAsia" w:ascii="宋体" w:hAnsi="宋体" w:eastAsia="宋体" w:cs="宋体"/>
          <w:color w:val="auto"/>
          <w:sz w:val="30"/>
          <w:szCs w:val="30"/>
          <w:highlight w:val="none"/>
        </w:rPr>
      </w:pPr>
    </w:p>
    <w:p w14:paraId="401D5C62">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320C8DC4">
      <w:pPr>
        <w:snapToGrid w:val="0"/>
        <w:spacing w:before="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代理服务费承诺书格式</w:t>
      </w:r>
    </w:p>
    <w:p w14:paraId="63FBBC7A">
      <w:pPr>
        <w:snapToGrid w:val="0"/>
        <w:spacing w:beforeLines="50" w:after="50" w:line="360" w:lineRule="exact"/>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代理服务费承诺书</w:t>
      </w:r>
    </w:p>
    <w:p w14:paraId="791A0D7E">
      <w:pPr>
        <w:snapToGrid w:val="0"/>
        <w:spacing w:beforeLines="50" w:after="50"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致：广西德元工程项目管理有限责任公司</w:t>
      </w:r>
    </w:p>
    <w:p w14:paraId="4B82BB5F">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我单位参加了贵方组织的采购项目编号为（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）的投标，并递交了投标保证金（¥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），在此我方说明如下：</w:t>
      </w:r>
    </w:p>
    <w:p w14:paraId="4EB7F96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7464FB0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种方式缴纳代理服务费。</w:t>
      </w:r>
    </w:p>
    <w:p w14:paraId="3B05374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第一种方式：一次性足额缴纳代理服务费。</w:t>
      </w:r>
    </w:p>
    <w:p w14:paraId="1C2F9E86">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第二种方式：从</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保证金中抵扣代理服务费，不足部分补交。</w:t>
      </w:r>
    </w:p>
    <w:p w14:paraId="22BA0795">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2.如我单位投标保证金无法原路返回，请按下表账户信息无息退还。</w:t>
      </w:r>
    </w:p>
    <w:tbl>
      <w:tblPr>
        <w:tblStyle w:val="4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10E630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1AB241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收款户名</w:t>
            </w:r>
          </w:p>
        </w:tc>
        <w:tc>
          <w:tcPr>
            <w:tcW w:w="4814" w:type="dxa"/>
          </w:tcPr>
          <w:p w14:paraId="769E05A3">
            <w:pPr>
              <w:snapToGrid w:val="0"/>
              <w:spacing w:before="50" w:afterLines="50" w:line="360" w:lineRule="exact"/>
              <w:jc w:val="left"/>
              <w:rPr>
                <w:rFonts w:hint="eastAsia" w:ascii="宋体" w:hAnsi="宋体" w:eastAsia="宋体" w:cs="宋体"/>
                <w:b/>
                <w:color w:val="auto"/>
                <w:szCs w:val="21"/>
                <w:highlight w:val="none"/>
              </w:rPr>
            </w:pPr>
          </w:p>
        </w:tc>
      </w:tr>
      <w:tr w14:paraId="6AD64A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E52DB5D">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tc>
        <w:tc>
          <w:tcPr>
            <w:tcW w:w="4814" w:type="dxa"/>
          </w:tcPr>
          <w:p w14:paraId="18F8E26D">
            <w:pPr>
              <w:snapToGrid w:val="0"/>
              <w:spacing w:before="50" w:afterLines="50" w:line="360" w:lineRule="exact"/>
              <w:jc w:val="left"/>
              <w:rPr>
                <w:rFonts w:hint="eastAsia" w:ascii="宋体" w:hAnsi="宋体" w:eastAsia="宋体" w:cs="宋体"/>
                <w:b/>
                <w:color w:val="auto"/>
                <w:szCs w:val="21"/>
                <w:highlight w:val="none"/>
              </w:rPr>
            </w:pPr>
          </w:p>
        </w:tc>
      </w:tr>
      <w:tr w14:paraId="4DDEBC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4E317CC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814" w:type="dxa"/>
          </w:tcPr>
          <w:p w14:paraId="26785E2E">
            <w:pPr>
              <w:snapToGrid w:val="0"/>
              <w:spacing w:before="50" w:afterLines="50" w:line="360" w:lineRule="exact"/>
              <w:jc w:val="left"/>
              <w:rPr>
                <w:rFonts w:hint="eastAsia" w:ascii="宋体" w:hAnsi="宋体" w:eastAsia="宋体" w:cs="宋体"/>
                <w:b/>
                <w:color w:val="auto"/>
                <w:szCs w:val="21"/>
                <w:highlight w:val="none"/>
              </w:rPr>
            </w:pPr>
          </w:p>
        </w:tc>
      </w:tr>
      <w:tr w14:paraId="6251B6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6F854838">
            <w:pPr>
              <w:snapToGrid w:val="0"/>
              <w:spacing w:before="50" w:after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银行行号</w:t>
            </w:r>
          </w:p>
        </w:tc>
        <w:tc>
          <w:tcPr>
            <w:tcW w:w="4814" w:type="dxa"/>
          </w:tcPr>
          <w:p w14:paraId="32EEF7B2">
            <w:pPr>
              <w:snapToGrid w:val="0"/>
              <w:spacing w:before="50" w:afterLines="50" w:line="360" w:lineRule="exact"/>
              <w:jc w:val="left"/>
              <w:rPr>
                <w:rFonts w:hint="eastAsia" w:ascii="宋体" w:hAnsi="宋体" w:eastAsia="宋体" w:cs="宋体"/>
                <w:b/>
                <w:color w:val="auto"/>
                <w:szCs w:val="21"/>
                <w:highlight w:val="none"/>
              </w:rPr>
            </w:pPr>
          </w:p>
        </w:tc>
      </w:tr>
    </w:tbl>
    <w:p w14:paraId="73FD99FC">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3．如果我单位未遵守有关招标文件关于投标保证金的规定，贵方可以没收我单位投标保证金。</w:t>
      </w:r>
    </w:p>
    <w:p w14:paraId="0C3CF039">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我单位选择第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种方式作为代理服务费开票类型：</w:t>
      </w:r>
    </w:p>
    <w:p w14:paraId="7938CF3D">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第一种方式：开具收据。</w:t>
      </w:r>
    </w:p>
    <w:p w14:paraId="05C8A3C4">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第二种方式：开具增值税普通发票。开票信息如下：1.公司名称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753D17">
      <w:pPr>
        <w:snapToGrid w:val="0"/>
        <w:spacing w:beforeLines="50" w:after="50"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第三种方式：开具增值税专用发票，开票信息如下：1.公司名称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；2.纳税人识别号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；3.税局登记地址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；4.税局登记电话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；5.开户银行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；6.银行账户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9145FE">
      <w:pPr>
        <w:snapToGrid w:val="0"/>
        <w:spacing w:before="50" w:afterLines="50" w:line="360" w:lineRule="exact"/>
        <w:jc w:val="left"/>
        <w:rPr>
          <w:rFonts w:hint="eastAsia" w:ascii="宋体" w:hAnsi="宋体" w:eastAsia="宋体" w:cs="宋体"/>
          <w:b/>
          <w:color w:val="auto"/>
          <w:sz w:val="24"/>
          <w:highlight w:val="none"/>
        </w:rPr>
      </w:pPr>
    </w:p>
    <w:p w14:paraId="2CB3332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70F0D598">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5AFEB54">
      <w:pPr>
        <w:tabs>
          <w:tab w:val="left" w:pos="1418"/>
        </w:tabs>
        <w:snapToGrid w:val="0"/>
        <w:spacing w:before="50" w:after="50" w:line="360" w:lineRule="exact"/>
        <w:rPr>
          <w:rFonts w:hint="eastAsia" w:ascii="宋体" w:hAnsi="宋体" w:eastAsia="宋体" w:cs="宋体"/>
          <w:b/>
          <w:bCs/>
          <w:color w:val="auto"/>
          <w:sz w:val="24"/>
          <w:highlight w:val="none"/>
        </w:rPr>
      </w:pPr>
    </w:p>
    <w:p w14:paraId="0CCB726A">
      <w:pPr>
        <w:tabs>
          <w:tab w:val="left" w:pos="1418"/>
        </w:tabs>
        <w:snapToGrid w:val="0"/>
        <w:spacing w:before="50" w:after="50" w:line="360" w:lineRule="exact"/>
        <w:rPr>
          <w:rFonts w:hint="eastAsia" w:ascii="宋体" w:hAnsi="宋体" w:eastAsia="宋体" w:cs="宋体"/>
          <w:b/>
          <w:bCs/>
          <w:color w:val="auto"/>
          <w:sz w:val="24"/>
          <w:highlight w:val="none"/>
        </w:rPr>
      </w:pPr>
    </w:p>
    <w:p w14:paraId="5CDFCE9F">
      <w:pPr>
        <w:tabs>
          <w:tab w:val="left" w:pos="1418"/>
        </w:tabs>
        <w:snapToGrid w:val="0"/>
        <w:spacing w:before="50" w:after="50" w:line="360" w:lineRule="exact"/>
        <w:rPr>
          <w:rFonts w:hint="eastAsia" w:ascii="宋体" w:hAnsi="宋体" w:eastAsia="宋体" w:cs="宋体"/>
          <w:b/>
          <w:bCs/>
          <w:color w:val="auto"/>
          <w:sz w:val="24"/>
          <w:highlight w:val="none"/>
        </w:rPr>
      </w:pPr>
    </w:p>
    <w:p w14:paraId="4A248069">
      <w:pPr>
        <w:tabs>
          <w:tab w:val="left" w:pos="1418"/>
        </w:tabs>
        <w:snapToGrid w:val="0"/>
        <w:spacing w:before="50" w:after="50" w:line="360" w:lineRule="exact"/>
        <w:rPr>
          <w:rFonts w:hint="eastAsia" w:ascii="宋体" w:hAnsi="宋体" w:eastAsia="宋体" w:cs="宋体"/>
          <w:b/>
          <w:bCs/>
          <w:color w:val="auto"/>
          <w:sz w:val="24"/>
          <w:highlight w:val="none"/>
        </w:rPr>
      </w:pPr>
    </w:p>
    <w:p w14:paraId="51EBA628">
      <w:pPr>
        <w:tabs>
          <w:tab w:val="left" w:pos="1418"/>
        </w:tabs>
        <w:snapToGrid w:val="0"/>
        <w:spacing w:before="50" w:after="50" w:line="360" w:lineRule="exact"/>
        <w:rPr>
          <w:rFonts w:hint="eastAsia" w:ascii="宋体" w:hAnsi="宋体" w:eastAsia="宋体" w:cs="宋体"/>
          <w:b/>
          <w:bCs/>
          <w:color w:val="auto"/>
          <w:sz w:val="24"/>
          <w:highlight w:val="none"/>
        </w:rPr>
      </w:pPr>
    </w:p>
    <w:p w14:paraId="027CDE59">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w:t>
      </w:r>
      <w:r>
        <w:rPr>
          <w:rFonts w:hint="eastAsia" w:ascii="宋体" w:hAnsi="宋体" w:cs="宋体"/>
          <w:b/>
          <w:color w:val="auto"/>
          <w:sz w:val="24"/>
          <w:highlight w:val="none"/>
          <w:lang w:eastAsia="zh-CN"/>
        </w:rPr>
        <w:t>投标人同类项目业绩一览表</w:t>
      </w:r>
      <w:r>
        <w:rPr>
          <w:rFonts w:hint="eastAsia" w:ascii="宋体" w:hAnsi="宋体" w:eastAsia="宋体" w:cs="宋体"/>
          <w:b/>
          <w:color w:val="auto"/>
          <w:sz w:val="24"/>
          <w:highlight w:val="none"/>
        </w:rPr>
        <w:t>格式：</w:t>
      </w:r>
    </w:p>
    <w:p w14:paraId="18C642A7">
      <w:pPr>
        <w:pStyle w:val="36"/>
        <w:snapToGrid w:val="0"/>
        <w:spacing w:line="360" w:lineRule="exact"/>
        <w:ind w:left="420" w:hanging="42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投标人同类项目业绩一览表</w:t>
      </w:r>
    </w:p>
    <w:p w14:paraId="6F8B118E">
      <w:pPr>
        <w:pStyle w:val="36"/>
        <w:snapToGrid w:val="0"/>
        <w:spacing w:line="360" w:lineRule="exact"/>
        <w:ind w:left="420" w:hanging="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（投标人同类项目合同复印件、用户验收报告、用户评价意见格式自拟）</w:t>
      </w:r>
    </w:p>
    <w:tbl>
      <w:tblPr>
        <w:tblStyle w:val="48"/>
        <w:tblW w:w="8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1080"/>
        <w:gridCol w:w="1080"/>
        <w:gridCol w:w="958"/>
        <w:gridCol w:w="720"/>
        <w:gridCol w:w="720"/>
        <w:gridCol w:w="720"/>
        <w:gridCol w:w="1327"/>
      </w:tblGrid>
      <w:tr w14:paraId="12245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0A7679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109A63D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CA7791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3B40E4A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B87CAF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2A7787E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DB732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5B9CD5FD">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1A2CE15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4C6FAEFE">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19C617C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1F33C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31A43EDD">
            <w:pPr>
              <w:widowControl/>
              <w:spacing w:line="360" w:lineRule="exact"/>
              <w:jc w:val="left"/>
              <w:rPr>
                <w:rFonts w:hint="eastAsia" w:ascii="宋体" w:hAnsi="宋体" w:eastAsia="宋体" w:cs="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54713DF">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B8F0496">
            <w:pPr>
              <w:widowControl/>
              <w:spacing w:line="360" w:lineRule="exact"/>
              <w:jc w:val="left"/>
              <w:rPr>
                <w:rFonts w:hint="eastAsia" w:ascii="宋体" w:hAnsi="宋体" w:eastAsia="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413C9D">
            <w:pPr>
              <w:widowControl/>
              <w:spacing w:line="360" w:lineRule="exact"/>
              <w:jc w:val="left"/>
              <w:rPr>
                <w:rFonts w:hint="eastAsia" w:ascii="宋体" w:hAnsi="宋体" w:eastAsia="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4D53C1F6">
            <w:pPr>
              <w:widowControl/>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317C43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1C6724B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717BC14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47321E51">
            <w:pPr>
              <w:widowControl/>
              <w:spacing w:line="360" w:lineRule="exact"/>
              <w:jc w:val="left"/>
              <w:rPr>
                <w:rFonts w:hint="eastAsia" w:ascii="宋体" w:hAnsi="宋体" w:eastAsia="宋体" w:cs="宋体"/>
                <w:color w:val="auto"/>
                <w:szCs w:val="21"/>
                <w:highlight w:val="none"/>
              </w:rPr>
            </w:pPr>
          </w:p>
        </w:tc>
      </w:tr>
      <w:tr w14:paraId="41AAC6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7351AC73">
            <w:pPr>
              <w:snapToGrid w:val="0"/>
              <w:spacing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2AEB3F9">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4FE617D">
            <w:pPr>
              <w:snapToGrid w:val="0"/>
              <w:spacing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A0E084A">
            <w:pPr>
              <w:snapToGrid w:val="0"/>
              <w:spacing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E4C93F2">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5D93638">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E09E4BA">
            <w:pPr>
              <w:snapToGrid w:val="0"/>
              <w:spacing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FD07479">
            <w:pPr>
              <w:snapToGrid w:val="0"/>
              <w:spacing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279E62F9">
            <w:pPr>
              <w:snapToGrid w:val="0"/>
              <w:spacing w:line="360" w:lineRule="exact"/>
              <w:jc w:val="left"/>
              <w:rPr>
                <w:rFonts w:hint="eastAsia" w:ascii="宋体" w:hAnsi="宋体" w:eastAsia="宋体" w:cs="宋体"/>
                <w:color w:val="auto"/>
                <w:szCs w:val="21"/>
                <w:highlight w:val="none"/>
              </w:rPr>
            </w:pPr>
          </w:p>
        </w:tc>
      </w:tr>
      <w:tr w14:paraId="4A912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3FFD040D">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5D58DDB">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E99EBD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18B93AC">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BA3503E">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8F51F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E71CDC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BEFB80E">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67E11B4">
            <w:pPr>
              <w:snapToGrid w:val="0"/>
              <w:spacing w:before="50" w:afterLines="50" w:line="360" w:lineRule="exact"/>
              <w:jc w:val="left"/>
              <w:rPr>
                <w:rFonts w:hint="eastAsia" w:ascii="宋体" w:hAnsi="宋体" w:eastAsia="宋体" w:cs="宋体"/>
                <w:color w:val="auto"/>
                <w:szCs w:val="21"/>
                <w:highlight w:val="none"/>
              </w:rPr>
            </w:pPr>
          </w:p>
        </w:tc>
      </w:tr>
      <w:tr w14:paraId="24327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0156E977">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899A32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E483D4F">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AEAA1E0">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5F4C1B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8884E8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D4CEB2F">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A3050B4">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5620A934">
            <w:pPr>
              <w:snapToGrid w:val="0"/>
              <w:spacing w:before="50" w:afterLines="50" w:line="360" w:lineRule="exact"/>
              <w:jc w:val="left"/>
              <w:rPr>
                <w:rFonts w:hint="eastAsia" w:ascii="宋体" w:hAnsi="宋体" w:eastAsia="宋体" w:cs="宋体"/>
                <w:color w:val="auto"/>
                <w:szCs w:val="21"/>
                <w:highlight w:val="none"/>
              </w:rPr>
            </w:pPr>
          </w:p>
        </w:tc>
      </w:tr>
      <w:tr w14:paraId="3109E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72CC353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A191761">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A822800">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4C65182">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43B2C40C">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8453184">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98464B8">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C3FC43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14C341E">
            <w:pPr>
              <w:snapToGrid w:val="0"/>
              <w:spacing w:before="50" w:afterLines="50" w:line="360" w:lineRule="exact"/>
              <w:jc w:val="left"/>
              <w:rPr>
                <w:rFonts w:hint="eastAsia" w:ascii="宋体" w:hAnsi="宋体" w:eastAsia="宋体" w:cs="宋体"/>
                <w:color w:val="auto"/>
                <w:szCs w:val="21"/>
                <w:highlight w:val="none"/>
              </w:rPr>
            </w:pPr>
          </w:p>
        </w:tc>
      </w:tr>
      <w:tr w14:paraId="0BD8A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5E844703">
            <w:pPr>
              <w:snapToGrid w:val="0"/>
              <w:spacing w:before="50" w:afterLines="50" w:line="360" w:lineRule="exact"/>
              <w:jc w:val="left"/>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083D1B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25D1828">
            <w:pPr>
              <w:snapToGrid w:val="0"/>
              <w:spacing w:before="50" w:afterLines="50" w:line="360" w:lineRule="exact"/>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8744BA3">
            <w:pPr>
              <w:snapToGrid w:val="0"/>
              <w:spacing w:before="50" w:afterLines="50" w:line="360" w:lineRule="exact"/>
              <w:jc w:val="left"/>
              <w:rPr>
                <w:rFonts w:hint="eastAsia" w:ascii="宋体" w:hAnsi="宋体" w:eastAsia="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C929F6B">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994F7D6">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2027C00">
            <w:pPr>
              <w:snapToGrid w:val="0"/>
              <w:spacing w:before="50" w:afterLines="50" w:line="360" w:lineRule="exact"/>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A36CAB2">
            <w:pPr>
              <w:snapToGrid w:val="0"/>
              <w:spacing w:before="50" w:afterLines="50" w:line="360" w:lineRule="exact"/>
              <w:jc w:val="left"/>
              <w:rPr>
                <w:rFonts w:hint="eastAsia" w:ascii="宋体" w:hAnsi="宋体" w:eastAsia="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8920449">
            <w:pPr>
              <w:snapToGrid w:val="0"/>
              <w:spacing w:before="50" w:afterLines="50" w:line="360" w:lineRule="exact"/>
              <w:jc w:val="left"/>
              <w:rPr>
                <w:rFonts w:hint="eastAsia" w:ascii="宋体" w:hAnsi="宋体" w:eastAsia="宋体" w:cs="宋体"/>
                <w:color w:val="auto"/>
                <w:szCs w:val="21"/>
                <w:highlight w:val="none"/>
              </w:rPr>
            </w:pPr>
          </w:p>
        </w:tc>
      </w:tr>
    </w:tbl>
    <w:p w14:paraId="3452F034">
      <w:pPr>
        <w:pStyle w:val="16"/>
        <w:snapToGrid w:val="0"/>
        <w:spacing w:line="360" w:lineRule="exact"/>
        <w:rPr>
          <w:rFonts w:hint="eastAsia" w:ascii="宋体" w:hAnsi="宋体" w:eastAsia="宋体" w:cs="宋体"/>
          <w:color w:val="auto"/>
          <w:sz w:val="21"/>
          <w:szCs w:val="21"/>
          <w:highlight w:val="none"/>
        </w:rPr>
      </w:pPr>
    </w:p>
    <w:p w14:paraId="6C0A3CFA">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46C7AA9C">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9FDBD53">
      <w:pPr>
        <w:tabs>
          <w:tab w:val="left" w:pos="1418"/>
        </w:tabs>
        <w:snapToGrid w:val="0"/>
        <w:spacing w:before="50" w:after="50" w:line="360" w:lineRule="exact"/>
        <w:rPr>
          <w:rFonts w:hint="eastAsia" w:ascii="宋体" w:hAnsi="宋体" w:eastAsia="宋体" w:cs="宋体"/>
          <w:b/>
          <w:bCs/>
          <w:color w:val="auto"/>
          <w:sz w:val="24"/>
          <w:highlight w:val="none"/>
        </w:rPr>
      </w:pPr>
    </w:p>
    <w:p w14:paraId="04448ECB">
      <w:pPr>
        <w:tabs>
          <w:tab w:val="left" w:pos="1418"/>
        </w:tabs>
        <w:snapToGrid w:val="0"/>
        <w:spacing w:before="50" w:after="50" w:line="360" w:lineRule="exact"/>
        <w:rPr>
          <w:rFonts w:hint="eastAsia" w:ascii="宋体" w:hAnsi="宋体" w:eastAsia="宋体" w:cs="宋体"/>
          <w:b/>
          <w:bCs/>
          <w:color w:val="auto"/>
          <w:sz w:val="24"/>
          <w:highlight w:val="none"/>
        </w:rPr>
      </w:pPr>
    </w:p>
    <w:p w14:paraId="09D61728">
      <w:pPr>
        <w:tabs>
          <w:tab w:val="left" w:pos="1418"/>
        </w:tabs>
        <w:snapToGrid w:val="0"/>
        <w:spacing w:before="50" w:after="50" w:line="360" w:lineRule="exact"/>
        <w:rPr>
          <w:rFonts w:hint="eastAsia" w:ascii="宋体" w:hAnsi="宋体" w:eastAsia="宋体" w:cs="宋体"/>
          <w:b/>
          <w:bCs/>
          <w:color w:val="auto"/>
          <w:sz w:val="24"/>
          <w:highlight w:val="none"/>
        </w:rPr>
      </w:pPr>
    </w:p>
    <w:p w14:paraId="3F466ACC">
      <w:pPr>
        <w:tabs>
          <w:tab w:val="left" w:pos="1418"/>
        </w:tabs>
        <w:snapToGrid w:val="0"/>
        <w:spacing w:before="50" w:after="50" w:line="360" w:lineRule="exact"/>
        <w:rPr>
          <w:rFonts w:hint="eastAsia" w:ascii="宋体" w:hAnsi="宋体" w:eastAsia="宋体" w:cs="宋体"/>
          <w:b/>
          <w:bCs/>
          <w:color w:val="auto"/>
          <w:sz w:val="24"/>
          <w:highlight w:val="none"/>
        </w:rPr>
      </w:pPr>
    </w:p>
    <w:p w14:paraId="127B83B7">
      <w:pPr>
        <w:tabs>
          <w:tab w:val="left" w:pos="1418"/>
        </w:tabs>
        <w:snapToGrid w:val="0"/>
        <w:spacing w:before="50" w:after="50" w:line="360" w:lineRule="exact"/>
        <w:rPr>
          <w:rFonts w:hint="eastAsia" w:ascii="宋体" w:hAnsi="宋体" w:eastAsia="宋体" w:cs="宋体"/>
          <w:b/>
          <w:bCs/>
          <w:color w:val="auto"/>
          <w:sz w:val="24"/>
          <w:highlight w:val="none"/>
        </w:rPr>
      </w:pPr>
    </w:p>
    <w:p w14:paraId="07F91E26">
      <w:pPr>
        <w:tabs>
          <w:tab w:val="left" w:pos="1418"/>
        </w:tabs>
        <w:snapToGrid w:val="0"/>
        <w:spacing w:before="50" w:after="50" w:line="360" w:lineRule="exact"/>
        <w:rPr>
          <w:rFonts w:hint="eastAsia" w:ascii="宋体" w:hAnsi="宋体" w:eastAsia="宋体" w:cs="宋体"/>
          <w:b/>
          <w:bCs/>
          <w:color w:val="auto"/>
          <w:sz w:val="24"/>
          <w:highlight w:val="none"/>
        </w:rPr>
      </w:pPr>
    </w:p>
    <w:p w14:paraId="692A1D88">
      <w:pPr>
        <w:tabs>
          <w:tab w:val="left" w:pos="1418"/>
        </w:tabs>
        <w:snapToGrid w:val="0"/>
        <w:spacing w:before="50" w:after="50" w:line="360" w:lineRule="exact"/>
        <w:rPr>
          <w:rFonts w:hint="eastAsia" w:ascii="宋体" w:hAnsi="宋体" w:eastAsia="宋体" w:cs="宋体"/>
          <w:b/>
          <w:bCs/>
          <w:color w:val="auto"/>
          <w:sz w:val="24"/>
          <w:highlight w:val="none"/>
        </w:rPr>
      </w:pPr>
    </w:p>
    <w:p w14:paraId="0966C44A">
      <w:pPr>
        <w:tabs>
          <w:tab w:val="left" w:pos="1418"/>
        </w:tabs>
        <w:snapToGrid w:val="0"/>
        <w:spacing w:before="50" w:after="50" w:line="360" w:lineRule="exact"/>
        <w:rPr>
          <w:rFonts w:hint="eastAsia" w:ascii="宋体" w:hAnsi="宋体" w:eastAsia="宋体" w:cs="宋体"/>
          <w:b/>
          <w:bCs/>
          <w:color w:val="auto"/>
          <w:sz w:val="24"/>
          <w:highlight w:val="none"/>
        </w:rPr>
      </w:pPr>
    </w:p>
    <w:p w14:paraId="194C257C">
      <w:pPr>
        <w:tabs>
          <w:tab w:val="left" w:pos="1418"/>
        </w:tabs>
        <w:snapToGrid w:val="0"/>
        <w:spacing w:before="50" w:after="50" w:line="360" w:lineRule="exact"/>
        <w:rPr>
          <w:rFonts w:hint="eastAsia" w:ascii="宋体" w:hAnsi="宋体" w:eastAsia="宋体" w:cs="宋体"/>
          <w:b/>
          <w:bCs/>
          <w:color w:val="auto"/>
          <w:sz w:val="24"/>
          <w:highlight w:val="none"/>
        </w:rPr>
      </w:pPr>
    </w:p>
    <w:p w14:paraId="4778E746">
      <w:pPr>
        <w:tabs>
          <w:tab w:val="left" w:pos="1418"/>
        </w:tabs>
        <w:snapToGrid w:val="0"/>
        <w:spacing w:before="50" w:after="50" w:line="360" w:lineRule="exact"/>
        <w:rPr>
          <w:rFonts w:hint="eastAsia" w:ascii="宋体" w:hAnsi="宋体" w:eastAsia="宋体" w:cs="宋体"/>
          <w:b/>
          <w:bCs/>
          <w:color w:val="auto"/>
          <w:sz w:val="24"/>
          <w:highlight w:val="none"/>
        </w:rPr>
      </w:pPr>
    </w:p>
    <w:p w14:paraId="1D0DFC35">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9C3BFD6">
      <w:pPr>
        <w:snapToGrid w:val="0"/>
        <w:spacing w:before="50" w:after="120" w:afterLines="50" w:line="360" w:lineRule="exact"/>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技术部分</w:t>
      </w:r>
    </w:p>
    <w:p w14:paraId="574FFC67">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1.设备配置清单格式：</w:t>
      </w:r>
    </w:p>
    <w:p w14:paraId="2A3639F3">
      <w:pPr>
        <w:snapToGrid w:val="0"/>
        <w:spacing w:before="50" w:afterLines="50"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设备配置清单</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tblGrid>
      <w:tr w14:paraId="36F8A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21DD5E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1960C3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839" w:type="dxa"/>
            <w:tcBorders>
              <w:top w:val="single" w:color="auto" w:sz="4" w:space="0"/>
              <w:left w:val="single" w:color="auto" w:sz="4" w:space="0"/>
              <w:bottom w:val="single" w:color="auto" w:sz="4" w:space="0"/>
              <w:right w:val="single" w:color="auto" w:sz="4" w:space="0"/>
            </w:tcBorders>
            <w:vAlign w:val="center"/>
          </w:tcPr>
          <w:p w14:paraId="7373585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4208BCF7">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193439B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14:paraId="690B0D19">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94A006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3692E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BDA4D29">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76F6E44">
            <w:pPr>
              <w:snapToGrid w:val="0"/>
              <w:spacing w:before="50" w:after="50" w:line="360" w:lineRule="exact"/>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127CE34C">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E2CD534">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9046E97">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5CA8D47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F04EF08">
            <w:pPr>
              <w:snapToGrid w:val="0"/>
              <w:spacing w:before="50" w:after="50" w:line="360" w:lineRule="exact"/>
              <w:jc w:val="center"/>
              <w:rPr>
                <w:rFonts w:hint="eastAsia" w:ascii="宋体" w:hAnsi="宋体" w:eastAsia="宋体" w:cs="宋体"/>
                <w:color w:val="auto"/>
                <w:szCs w:val="21"/>
                <w:highlight w:val="none"/>
              </w:rPr>
            </w:pPr>
          </w:p>
        </w:tc>
      </w:tr>
      <w:tr w14:paraId="59A00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19F17E1">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3C4CB675">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71EE56BE">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E31883F">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1732E15B">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46EA71AD">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5786C9A">
            <w:pPr>
              <w:snapToGrid w:val="0"/>
              <w:spacing w:before="50" w:after="50" w:line="360" w:lineRule="exact"/>
              <w:jc w:val="center"/>
              <w:rPr>
                <w:rFonts w:hint="eastAsia" w:ascii="宋体" w:hAnsi="宋体" w:eastAsia="宋体" w:cs="宋体"/>
                <w:color w:val="auto"/>
                <w:szCs w:val="21"/>
                <w:highlight w:val="none"/>
              </w:rPr>
            </w:pPr>
          </w:p>
        </w:tc>
      </w:tr>
      <w:tr w14:paraId="60CA8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306C226">
            <w:pPr>
              <w:snapToGrid w:val="0"/>
              <w:spacing w:before="50" w:after="50" w:line="360" w:lineRule="exact"/>
              <w:jc w:val="center"/>
              <w:rPr>
                <w:rFonts w:hint="eastAsia" w:ascii="宋体" w:hAnsi="宋体" w:eastAsia="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034B50ED">
            <w:pPr>
              <w:snapToGrid w:val="0"/>
              <w:spacing w:before="50" w:after="50" w:line="360" w:lineRule="exact"/>
              <w:jc w:val="center"/>
              <w:rPr>
                <w:rFonts w:hint="eastAsia" w:ascii="宋体" w:hAnsi="宋体" w:eastAsia="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AF169BA">
            <w:pPr>
              <w:snapToGrid w:val="0"/>
              <w:spacing w:before="50" w:after="50" w:line="360" w:lineRule="exact"/>
              <w:jc w:val="center"/>
              <w:rPr>
                <w:rFonts w:hint="eastAsia" w:ascii="宋体" w:hAnsi="宋体" w:eastAsia="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4A3FF83">
            <w:pPr>
              <w:snapToGrid w:val="0"/>
              <w:spacing w:before="50" w:after="50" w:line="360" w:lineRule="exact"/>
              <w:jc w:val="center"/>
              <w:rPr>
                <w:rFonts w:hint="eastAsia" w:ascii="宋体" w:hAnsi="宋体" w:eastAsia="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040B345C">
            <w:pPr>
              <w:snapToGrid w:val="0"/>
              <w:spacing w:before="50" w:after="50" w:line="360" w:lineRule="exact"/>
              <w:jc w:val="center"/>
              <w:rPr>
                <w:rFonts w:hint="eastAsia" w:ascii="宋体" w:hAnsi="宋体" w:eastAsia="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E022194">
            <w:pPr>
              <w:snapToGrid w:val="0"/>
              <w:spacing w:before="50" w:after="50" w:line="360" w:lineRule="exact"/>
              <w:jc w:val="center"/>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52DCB89">
            <w:pPr>
              <w:snapToGrid w:val="0"/>
              <w:spacing w:before="50" w:after="50" w:line="360" w:lineRule="exact"/>
              <w:jc w:val="center"/>
              <w:rPr>
                <w:rFonts w:hint="eastAsia" w:ascii="宋体" w:hAnsi="宋体" w:eastAsia="宋体" w:cs="宋体"/>
                <w:color w:val="auto"/>
                <w:szCs w:val="21"/>
                <w:highlight w:val="none"/>
              </w:rPr>
            </w:pPr>
          </w:p>
        </w:tc>
      </w:tr>
    </w:tbl>
    <w:p w14:paraId="7A507C04">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7F7F8A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817EFD0">
      <w:pPr>
        <w:snapToGrid w:val="0"/>
        <w:spacing w:before="50" w:line="360" w:lineRule="exact"/>
        <w:jc w:val="left"/>
        <w:rPr>
          <w:rFonts w:hint="eastAsia" w:ascii="宋体" w:hAnsi="宋体" w:eastAsia="宋体" w:cs="宋体"/>
          <w:b/>
          <w:color w:val="auto"/>
          <w:sz w:val="24"/>
          <w:szCs w:val="20"/>
          <w:highlight w:val="none"/>
        </w:rPr>
      </w:pPr>
      <w:r>
        <w:rPr>
          <w:rFonts w:hint="eastAsia" w:ascii="宋体" w:hAnsi="宋体" w:eastAsia="宋体" w:cs="宋体"/>
          <w:color w:val="auto"/>
          <w:spacing w:val="20"/>
          <w:szCs w:val="21"/>
          <w:highlight w:val="none"/>
        </w:rPr>
        <w:br w:type="page"/>
      </w:r>
      <w:r>
        <w:rPr>
          <w:rFonts w:hint="eastAsia" w:ascii="宋体" w:hAnsi="宋体" w:eastAsia="宋体" w:cs="宋体"/>
          <w:b/>
          <w:color w:val="auto"/>
          <w:sz w:val="24"/>
          <w:highlight w:val="none"/>
        </w:rPr>
        <w:t>2.技术响应表格式：</w:t>
      </w:r>
    </w:p>
    <w:p w14:paraId="42E84BAF">
      <w:pPr>
        <w:spacing w:before="1" w:line="404" w:lineRule="exact"/>
        <w:ind w:left="-1" w:leftChars="-1889" w:right="56" w:hanging="3966" w:hangingChars="1646"/>
        <w:jc w:val="center"/>
        <w:rPr>
          <w:rFonts w:hint="eastAsia" w:ascii="宋体" w:hAnsi="宋体" w:eastAsia="宋体" w:cs="宋体"/>
          <w:b/>
          <w:color w:val="auto"/>
          <w:sz w:val="30"/>
          <w:szCs w:val="30"/>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30"/>
          <w:szCs w:val="30"/>
          <w:highlight w:val="none"/>
        </w:rPr>
        <w:t>技术响应表</w:t>
      </w:r>
    </w:p>
    <w:tbl>
      <w:tblPr>
        <w:tblStyle w:val="48"/>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373BB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exact"/>
          <w:jc w:val="center"/>
        </w:trPr>
        <w:tc>
          <w:tcPr>
            <w:tcW w:w="826" w:type="dxa"/>
            <w:vAlign w:val="center"/>
          </w:tcPr>
          <w:p w14:paraId="789D9C3C">
            <w:pPr>
              <w:snapToGrid w:val="0"/>
              <w:spacing w:before="50" w:after="50"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序号</w:t>
            </w:r>
          </w:p>
        </w:tc>
        <w:tc>
          <w:tcPr>
            <w:tcW w:w="1363" w:type="dxa"/>
            <w:vAlign w:val="center"/>
          </w:tcPr>
          <w:p w14:paraId="25E21D46">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680" w:type="dxa"/>
            <w:tcBorders>
              <w:right w:val="single" w:color="auto" w:sz="4" w:space="0"/>
            </w:tcBorders>
            <w:vAlign w:val="center"/>
          </w:tcPr>
          <w:p w14:paraId="6C82B73D">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2118" w:type="dxa"/>
            <w:tcBorders>
              <w:left w:val="single" w:color="auto" w:sz="4" w:space="0"/>
            </w:tcBorders>
            <w:vAlign w:val="center"/>
          </w:tcPr>
          <w:p w14:paraId="57E2992B">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投标文件响应</w:t>
            </w:r>
          </w:p>
        </w:tc>
        <w:tc>
          <w:tcPr>
            <w:tcW w:w="2976" w:type="dxa"/>
            <w:vAlign w:val="center"/>
          </w:tcPr>
          <w:p w14:paraId="6A969368">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偏离情况说明</w:t>
            </w:r>
          </w:p>
        </w:tc>
      </w:tr>
      <w:tr w14:paraId="053F7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6CDFF03E">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63" w:type="dxa"/>
            <w:vAlign w:val="center"/>
          </w:tcPr>
          <w:p w14:paraId="108D12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1815130C">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0A55EAD">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1B4BD5F2">
            <w:pPr>
              <w:snapToGrid w:val="0"/>
              <w:spacing w:before="50" w:after="50" w:line="360" w:lineRule="exact"/>
              <w:jc w:val="center"/>
              <w:rPr>
                <w:rFonts w:hint="eastAsia" w:ascii="宋体" w:hAnsi="宋体" w:eastAsia="宋体" w:cs="宋体"/>
                <w:color w:val="auto"/>
                <w:szCs w:val="21"/>
                <w:highlight w:val="none"/>
              </w:rPr>
            </w:pPr>
          </w:p>
        </w:tc>
      </w:tr>
      <w:tr w14:paraId="135E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jc w:val="center"/>
        </w:trPr>
        <w:tc>
          <w:tcPr>
            <w:tcW w:w="826" w:type="dxa"/>
            <w:vAlign w:val="center"/>
          </w:tcPr>
          <w:p w14:paraId="0E5D53D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63" w:type="dxa"/>
            <w:vAlign w:val="center"/>
          </w:tcPr>
          <w:p w14:paraId="384DC54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DDE2C1E">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C948A59">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6D1D0A4D">
            <w:pPr>
              <w:snapToGrid w:val="0"/>
              <w:spacing w:before="50" w:after="50" w:line="360" w:lineRule="exact"/>
              <w:jc w:val="center"/>
              <w:rPr>
                <w:rFonts w:hint="eastAsia" w:ascii="宋体" w:hAnsi="宋体" w:eastAsia="宋体" w:cs="宋体"/>
                <w:color w:val="auto"/>
                <w:szCs w:val="21"/>
                <w:highlight w:val="none"/>
              </w:rPr>
            </w:pPr>
          </w:p>
        </w:tc>
      </w:tr>
      <w:tr w14:paraId="5FED1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826" w:type="dxa"/>
            <w:vAlign w:val="center"/>
          </w:tcPr>
          <w:p w14:paraId="4FE67234">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63" w:type="dxa"/>
            <w:vAlign w:val="center"/>
          </w:tcPr>
          <w:p w14:paraId="569C18E0">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76A3AC98">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243E3518">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3EFDB9B7">
            <w:pPr>
              <w:snapToGrid w:val="0"/>
              <w:spacing w:before="50" w:after="50" w:line="360" w:lineRule="exact"/>
              <w:jc w:val="center"/>
              <w:rPr>
                <w:rFonts w:hint="eastAsia" w:ascii="宋体" w:hAnsi="宋体" w:eastAsia="宋体" w:cs="宋体"/>
                <w:color w:val="auto"/>
                <w:szCs w:val="21"/>
                <w:highlight w:val="none"/>
              </w:rPr>
            </w:pPr>
          </w:p>
        </w:tc>
      </w:tr>
      <w:tr w14:paraId="397FA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1F328C8A">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N</w:t>
            </w:r>
          </w:p>
        </w:tc>
        <w:tc>
          <w:tcPr>
            <w:tcW w:w="1363" w:type="dxa"/>
            <w:vAlign w:val="center"/>
          </w:tcPr>
          <w:p w14:paraId="77C67732">
            <w:pPr>
              <w:snapToGrid w:val="0"/>
              <w:spacing w:before="50" w:after="50" w:line="360" w:lineRule="exact"/>
              <w:jc w:val="center"/>
              <w:rPr>
                <w:rFonts w:hint="eastAsia" w:ascii="宋体" w:hAnsi="宋体" w:eastAsia="宋体" w:cs="宋体"/>
                <w:color w:val="auto"/>
                <w:szCs w:val="21"/>
                <w:highlight w:val="none"/>
              </w:rPr>
            </w:pPr>
          </w:p>
        </w:tc>
        <w:tc>
          <w:tcPr>
            <w:tcW w:w="1680" w:type="dxa"/>
            <w:tcBorders>
              <w:right w:val="single" w:color="auto" w:sz="4" w:space="0"/>
            </w:tcBorders>
            <w:vAlign w:val="center"/>
          </w:tcPr>
          <w:p w14:paraId="2B497679">
            <w:pPr>
              <w:snapToGrid w:val="0"/>
              <w:spacing w:before="50" w:after="50" w:line="360" w:lineRule="exact"/>
              <w:jc w:val="center"/>
              <w:rPr>
                <w:rFonts w:hint="eastAsia" w:ascii="宋体" w:hAnsi="宋体" w:eastAsia="宋体" w:cs="宋体"/>
                <w:color w:val="auto"/>
                <w:szCs w:val="21"/>
                <w:highlight w:val="none"/>
              </w:rPr>
            </w:pPr>
          </w:p>
        </w:tc>
        <w:tc>
          <w:tcPr>
            <w:tcW w:w="2118" w:type="dxa"/>
            <w:tcBorders>
              <w:left w:val="single" w:color="auto" w:sz="4" w:space="0"/>
            </w:tcBorders>
            <w:vAlign w:val="center"/>
          </w:tcPr>
          <w:p w14:paraId="32111D5F">
            <w:pPr>
              <w:snapToGrid w:val="0"/>
              <w:spacing w:before="50" w:after="50" w:line="360" w:lineRule="exact"/>
              <w:jc w:val="center"/>
              <w:rPr>
                <w:rFonts w:hint="eastAsia" w:ascii="宋体" w:hAnsi="宋体" w:eastAsia="宋体" w:cs="宋体"/>
                <w:color w:val="auto"/>
                <w:szCs w:val="21"/>
                <w:highlight w:val="none"/>
              </w:rPr>
            </w:pPr>
          </w:p>
        </w:tc>
        <w:tc>
          <w:tcPr>
            <w:tcW w:w="2976" w:type="dxa"/>
            <w:vAlign w:val="center"/>
          </w:tcPr>
          <w:p w14:paraId="032A48B3">
            <w:pPr>
              <w:snapToGrid w:val="0"/>
              <w:spacing w:before="50" w:after="50" w:line="360" w:lineRule="exact"/>
              <w:jc w:val="center"/>
              <w:rPr>
                <w:rFonts w:hint="eastAsia" w:ascii="宋体" w:hAnsi="宋体" w:eastAsia="宋体" w:cs="宋体"/>
                <w:color w:val="auto"/>
                <w:szCs w:val="21"/>
                <w:highlight w:val="none"/>
              </w:rPr>
            </w:pPr>
          </w:p>
        </w:tc>
      </w:tr>
    </w:tbl>
    <w:p w14:paraId="74293F0D">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注：1、投标人应根据投标货物技术参数及其性能（配置）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对照招标文件</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要求在“偏离情况”栏注明“正偏离”、“负偏离”或“无偏离”。</w:t>
      </w:r>
    </w:p>
    <w:p w14:paraId="265D8D00">
      <w:pPr>
        <w:pStyle w:val="20"/>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2、投标人应将投标货物技术参数及其性能（配置）中与招标文件要求的有偏离的地方用明显标识，以便于评委评审，否则如给评审造成困难，其可能导致评委作出不利于投标人的评价，是投标人的责任。</w:t>
      </w:r>
    </w:p>
    <w:p w14:paraId="577FDA65">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31AF08ED">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A819569">
      <w:pPr>
        <w:snapToGrid w:val="0"/>
        <w:spacing w:before="50" w:after="50" w:line="360" w:lineRule="exact"/>
        <w:rPr>
          <w:rFonts w:hint="eastAsia" w:ascii="宋体" w:hAnsi="宋体" w:eastAsia="宋体" w:cs="宋体"/>
          <w:color w:val="auto"/>
          <w:spacing w:val="20"/>
          <w:szCs w:val="21"/>
          <w:highlight w:val="none"/>
        </w:rPr>
      </w:pPr>
    </w:p>
    <w:p w14:paraId="02A9A828">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技术响应表附件</w:t>
      </w:r>
      <w:r>
        <w:rPr>
          <w:rFonts w:hint="eastAsia" w:ascii="宋体" w:hAnsi="宋体" w:eastAsia="宋体" w:cs="宋体"/>
          <w:color w:val="auto"/>
          <w:spacing w:val="20"/>
          <w:szCs w:val="21"/>
          <w:highlight w:val="none"/>
        </w:rPr>
        <w:t>：</w:t>
      </w:r>
    </w:p>
    <w:tbl>
      <w:tblPr>
        <w:tblStyle w:val="48"/>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4DB1D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77DF93C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附件资料汇总表</w:t>
            </w:r>
          </w:p>
        </w:tc>
      </w:tr>
      <w:tr w14:paraId="2D8BD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54D3B851">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157CDAA8">
            <w:pPr>
              <w:snapToGrid w:val="0"/>
              <w:spacing w:line="36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eastAsia="宋体" w:cs="宋体"/>
                <w:color w:val="auto"/>
                <w:szCs w:val="21"/>
                <w:highlight w:val="none"/>
              </w:rPr>
              <w:t>名称</w:t>
            </w:r>
          </w:p>
        </w:tc>
        <w:tc>
          <w:tcPr>
            <w:tcW w:w="2551" w:type="dxa"/>
            <w:tcBorders>
              <w:top w:val="single" w:color="auto" w:sz="4" w:space="0"/>
              <w:left w:val="single" w:color="auto" w:sz="4" w:space="0"/>
              <w:bottom w:val="single" w:color="auto" w:sz="4" w:space="0"/>
              <w:right w:val="single" w:color="auto" w:sz="4" w:space="0"/>
            </w:tcBorders>
            <w:vAlign w:val="center"/>
          </w:tcPr>
          <w:p w14:paraId="374E8BAA">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413303CF">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r>
      <w:tr w14:paraId="27F6E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0C2155E8">
            <w:pPr>
              <w:snapToGrid w:val="0"/>
              <w:spacing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41ED1EA5">
            <w:pPr>
              <w:snapToGrid w:val="0"/>
              <w:spacing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C439B68">
            <w:pPr>
              <w:snapToGrid w:val="0"/>
              <w:spacing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79C3D3F3">
            <w:pPr>
              <w:snapToGrid w:val="0"/>
              <w:spacing w:line="360" w:lineRule="exact"/>
              <w:jc w:val="left"/>
              <w:rPr>
                <w:rFonts w:hint="eastAsia" w:ascii="宋体" w:hAnsi="宋体" w:eastAsia="宋体" w:cs="宋体"/>
                <w:color w:val="auto"/>
                <w:szCs w:val="21"/>
                <w:highlight w:val="none"/>
              </w:rPr>
            </w:pPr>
          </w:p>
        </w:tc>
      </w:tr>
      <w:tr w14:paraId="6B041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626BA86">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49072D0">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11ED43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C432C3E">
            <w:pPr>
              <w:snapToGrid w:val="0"/>
              <w:spacing w:before="50" w:afterLines="50" w:line="360" w:lineRule="exact"/>
              <w:jc w:val="left"/>
              <w:rPr>
                <w:rFonts w:hint="eastAsia" w:ascii="宋体" w:hAnsi="宋体" w:eastAsia="宋体" w:cs="宋体"/>
                <w:color w:val="auto"/>
                <w:szCs w:val="21"/>
                <w:highlight w:val="none"/>
              </w:rPr>
            </w:pPr>
          </w:p>
        </w:tc>
      </w:tr>
      <w:tr w14:paraId="2EC8C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25DA4622">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AD1DDE4">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BB3CFD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55FBF2F7">
            <w:pPr>
              <w:snapToGrid w:val="0"/>
              <w:spacing w:before="50" w:afterLines="50" w:line="360" w:lineRule="exact"/>
              <w:jc w:val="left"/>
              <w:rPr>
                <w:rFonts w:hint="eastAsia" w:ascii="宋体" w:hAnsi="宋体" w:eastAsia="宋体" w:cs="宋体"/>
                <w:color w:val="auto"/>
                <w:szCs w:val="21"/>
                <w:highlight w:val="none"/>
              </w:rPr>
            </w:pPr>
          </w:p>
        </w:tc>
      </w:tr>
      <w:tr w14:paraId="37EDC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5952136A">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11A81B2B">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A79DBE1">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D143D77">
            <w:pPr>
              <w:snapToGrid w:val="0"/>
              <w:spacing w:before="50" w:afterLines="50" w:line="360" w:lineRule="exact"/>
              <w:jc w:val="left"/>
              <w:rPr>
                <w:rFonts w:hint="eastAsia" w:ascii="宋体" w:hAnsi="宋体" w:eastAsia="宋体" w:cs="宋体"/>
                <w:color w:val="auto"/>
                <w:szCs w:val="21"/>
                <w:highlight w:val="none"/>
              </w:rPr>
            </w:pPr>
          </w:p>
        </w:tc>
      </w:tr>
      <w:tr w14:paraId="063B5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E8FAF94">
            <w:pPr>
              <w:snapToGrid w:val="0"/>
              <w:spacing w:before="50" w:afterLines="50" w:line="360" w:lineRule="exact"/>
              <w:jc w:val="left"/>
              <w:rPr>
                <w:rFonts w:hint="eastAsia" w:ascii="宋体" w:hAnsi="宋体" w:eastAsia="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696AED01">
            <w:pPr>
              <w:snapToGrid w:val="0"/>
              <w:spacing w:before="50" w:afterLines="50" w:line="360" w:lineRule="exact"/>
              <w:jc w:val="left"/>
              <w:rPr>
                <w:rFonts w:hint="eastAsia" w:ascii="宋体" w:hAnsi="宋体" w:eastAsia="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926AB3F">
            <w:pPr>
              <w:snapToGrid w:val="0"/>
              <w:spacing w:before="50" w:afterLines="50" w:line="360" w:lineRule="exact"/>
              <w:jc w:val="left"/>
              <w:rPr>
                <w:rFonts w:hint="eastAsia" w:ascii="宋体" w:hAnsi="宋体" w:eastAsia="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49CDEE7">
            <w:pPr>
              <w:snapToGrid w:val="0"/>
              <w:spacing w:before="50" w:afterLines="50" w:line="360" w:lineRule="exact"/>
              <w:jc w:val="left"/>
              <w:rPr>
                <w:rFonts w:hint="eastAsia" w:ascii="宋体" w:hAnsi="宋体" w:eastAsia="宋体" w:cs="宋体"/>
                <w:color w:val="auto"/>
                <w:szCs w:val="21"/>
                <w:highlight w:val="none"/>
              </w:rPr>
            </w:pPr>
          </w:p>
        </w:tc>
      </w:tr>
    </w:tbl>
    <w:p w14:paraId="1EA12BB1">
      <w:pPr>
        <w:snapToGrid w:val="0"/>
        <w:spacing w:beforeLines="50" w:after="50" w:line="36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注：此表后附“第</w:t>
      </w:r>
      <w:r>
        <w:rPr>
          <w:rFonts w:hint="eastAsia" w:ascii="宋体" w:hAnsi="宋体" w:cs="宋体"/>
          <w:b/>
          <w:color w:val="auto"/>
          <w:szCs w:val="21"/>
          <w:highlight w:val="none"/>
          <w:lang w:val="en-US" w:eastAsia="zh-CN"/>
        </w:rPr>
        <w:t>二</w:t>
      </w:r>
      <w:r>
        <w:rPr>
          <w:rFonts w:hint="eastAsia" w:ascii="宋体" w:hAnsi="宋体" w:eastAsia="宋体" w:cs="宋体"/>
          <w:b/>
          <w:color w:val="auto"/>
          <w:szCs w:val="21"/>
          <w:highlight w:val="none"/>
        </w:rPr>
        <w:t>章</w:t>
      </w:r>
      <w:r>
        <w:rPr>
          <w:rFonts w:hint="eastAsia" w:ascii="宋体" w:hAnsi="宋体" w:cs="宋体"/>
          <w:b/>
          <w:color w:val="auto"/>
          <w:szCs w:val="21"/>
          <w:highlight w:val="none"/>
          <w:lang w:val="en-US" w:eastAsia="zh-CN"/>
        </w:rPr>
        <w:t xml:space="preserve"> </w:t>
      </w:r>
      <w:r>
        <w:rPr>
          <w:rFonts w:hint="eastAsia" w:ascii="宋体" w:hAnsi="宋体" w:eastAsia="宋体" w:cs="宋体"/>
          <w:b/>
          <w:color w:val="auto"/>
          <w:szCs w:val="21"/>
          <w:highlight w:val="none"/>
        </w:rPr>
        <w:t>招标项目采购需求”中要求必须提供的资料，也可附供应商认为需要提供的投标货物相关资料。</w:t>
      </w:r>
    </w:p>
    <w:p w14:paraId="0AEFCD42">
      <w:pPr>
        <w:pStyle w:val="27"/>
        <w:spacing w:line="400" w:lineRule="exact"/>
        <w:jc w:val="left"/>
        <w:rPr>
          <w:rFonts w:hint="eastAsia" w:ascii="宋体" w:hAnsi="宋体" w:eastAsia="宋体" w:cs="宋体"/>
          <w:b/>
          <w:color w:val="auto"/>
          <w:sz w:val="24"/>
          <w:highlight w:val="none"/>
        </w:rPr>
      </w:pPr>
    </w:p>
    <w:p w14:paraId="12ECA152">
      <w:pPr>
        <w:pStyle w:val="27"/>
        <w:spacing w:line="400" w:lineRule="exact"/>
        <w:jc w:val="left"/>
        <w:rPr>
          <w:rFonts w:hint="eastAsia" w:ascii="宋体" w:hAnsi="宋体" w:eastAsia="宋体" w:cs="宋体"/>
          <w:b/>
          <w:color w:val="auto"/>
          <w:sz w:val="24"/>
          <w:highlight w:val="none"/>
        </w:rPr>
      </w:pPr>
    </w:p>
    <w:p w14:paraId="4E96E059">
      <w:pPr>
        <w:pStyle w:val="14"/>
        <w:rPr>
          <w:rFonts w:hint="eastAsia" w:ascii="宋体" w:hAnsi="宋体" w:eastAsia="宋体" w:cs="宋体"/>
          <w:b/>
          <w:color w:val="auto"/>
          <w:sz w:val="24"/>
          <w:highlight w:val="none"/>
        </w:rPr>
      </w:pPr>
    </w:p>
    <w:p w14:paraId="78EF7BCD">
      <w:pPr>
        <w:rPr>
          <w:rFonts w:hint="eastAsia" w:ascii="宋体" w:hAnsi="宋体" w:eastAsia="宋体" w:cs="宋体"/>
          <w:b/>
          <w:color w:val="auto"/>
          <w:sz w:val="24"/>
          <w:highlight w:val="none"/>
        </w:rPr>
      </w:pPr>
    </w:p>
    <w:p w14:paraId="51F99732">
      <w:pPr>
        <w:rPr>
          <w:rFonts w:hint="eastAsia" w:ascii="宋体" w:hAnsi="宋体" w:eastAsia="宋体" w:cs="宋体"/>
          <w:b/>
          <w:color w:val="auto"/>
          <w:sz w:val="24"/>
          <w:highlight w:val="none"/>
        </w:rPr>
      </w:pPr>
    </w:p>
    <w:p w14:paraId="6A1B7C9E">
      <w:pPr>
        <w:rPr>
          <w:rFonts w:hint="eastAsia"/>
          <w:color w:val="auto"/>
          <w:highlight w:val="none"/>
        </w:rPr>
      </w:pPr>
    </w:p>
    <w:p w14:paraId="11BE31F0">
      <w:pPr>
        <w:pStyle w:val="27"/>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3. 项目实施方案格式：</w:t>
      </w:r>
    </w:p>
    <w:p w14:paraId="45642EC3">
      <w:pPr>
        <w:pStyle w:val="27"/>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项目实施方案</w:t>
      </w:r>
    </w:p>
    <w:p w14:paraId="15C4CCDA">
      <w:pPr>
        <w:pStyle w:val="27"/>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由供应商按第</w:t>
      </w:r>
      <w:r>
        <w:rPr>
          <w:rFonts w:hint="eastAsia" w:hAnsi="宋体" w:cs="宋体"/>
          <w:color w:val="auto"/>
          <w:highlight w:val="none"/>
          <w:lang w:val="en-US" w:eastAsia="zh-CN"/>
        </w:rPr>
        <w:t>二</w:t>
      </w:r>
      <w:r>
        <w:rPr>
          <w:rFonts w:hint="eastAsia" w:ascii="宋体" w:hAnsi="宋体" w:eastAsia="宋体" w:cs="宋体"/>
          <w:color w:val="auto"/>
          <w:highlight w:val="none"/>
        </w:rPr>
        <w:t>章《招标项目采购需求》所投采购需求自行填写，所作的项目实施方案作为构成合同不可分割的部分，必须真实、诚信。</w:t>
      </w:r>
    </w:p>
    <w:p w14:paraId="3AE6498E">
      <w:pPr>
        <w:pStyle w:val="27"/>
        <w:spacing w:line="440" w:lineRule="exact"/>
        <w:ind w:firstLine="402" w:firstLineChars="200"/>
        <w:rPr>
          <w:rFonts w:hint="eastAsia" w:ascii="宋体" w:hAnsi="宋体" w:eastAsia="宋体" w:cs="宋体"/>
          <w:b/>
          <w:bCs/>
          <w:color w:val="auto"/>
          <w:sz w:val="20"/>
          <w:highlight w:val="none"/>
        </w:rPr>
      </w:pPr>
    </w:p>
    <w:p w14:paraId="5ECACEA2">
      <w:pPr>
        <w:pStyle w:val="27"/>
        <w:spacing w:line="440" w:lineRule="exact"/>
        <w:ind w:firstLine="422" w:firstLineChars="200"/>
        <w:rPr>
          <w:rFonts w:hint="eastAsia" w:ascii="宋体" w:hAnsi="宋体" w:eastAsia="宋体" w:cs="宋体"/>
          <w:b/>
          <w:bCs/>
          <w:color w:val="auto"/>
          <w:highlight w:val="none"/>
        </w:rPr>
      </w:pPr>
    </w:p>
    <w:p w14:paraId="6047ABD9">
      <w:pPr>
        <w:pStyle w:val="27"/>
        <w:rPr>
          <w:rFonts w:hint="eastAsia" w:ascii="宋体" w:hAnsi="宋体" w:eastAsia="宋体" w:cs="宋体"/>
          <w:color w:val="auto"/>
          <w:highlight w:val="none"/>
        </w:rPr>
      </w:pPr>
    </w:p>
    <w:p w14:paraId="6A468D7A">
      <w:pPr>
        <w:pStyle w:val="27"/>
        <w:rPr>
          <w:rFonts w:hint="eastAsia" w:ascii="宋体" w:hAnsi="宋体" w:eastAsia="宋体" w:cs="宋体"/>
          <w:color w:val="auto"/>
          <w:highlight w:val="none"/>
        </w:rPr>
      </w:pPr>
    </w:p>
    <w:p w14:paraId="0466C1F6">
      <w:pPr>
        <w:pStyle w:val="27"/>
        <w:rPr>
          <w:rFonts w:hint="eastAsia" w:ascii="宋体" w:hAnsi="宋体" w:eastAsia="宋体" w:cs="宋体"/>
          <w:color w:val="auto"/>
          <w:highlight w:val="none"/>
        </w:rPr>
      </w:pPr>
    </w:p>
    <w:p w14:paraId="18BBBC76">
      <w:pPr>
        <w:pStyle w:val="27"/>
        <w:rPr>
          <w:rFonts w:hint="eastAsia" w:ascii="宋体" w:hAnsi="宋体" w:eastAsia="宋体" w:cs="宋体"/>
          <w:color w:val="auto"/>
          <w:highlight w:val="none"/>
        </w:rPr>
      </w:pPr>
    </w:p>
    <w:p w14:paraId="06CD9229">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937E6E9">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543EA47">
      <w:pPr>
        <w:pStyle w:val="27"/>
        <w:rPr>
          <w:rFonts w:hint="eastAsia" w:ascii="宋体" w:hAnsi="宋体" w:eastAsia="宋体" w:cs="宋体"/>
          <w:color w:val="auto"/>
          <w:highlight w:val="none"/>
        </w:rPr>
      </w:pPr>
    </w:p>
    <w:p w14:paraId="21782C22">
      <w:pPr>
        <w:pStyle w:val="27"/>
        <w:rPr>
          <w:rFonts w:hint="eastAsia" w:ascii="宋体" w:hAnsi="宋体" w:eastAsia="宋体" w:cs="宋体"/>
          <w:color w:val="auto"/>
          <w:highlight w:val="none"/>
        </w:rPr>
      </w:pPr>
    </w:p>
    <w:p w14:paraId="097B6C2B">
      <w:pPr>
        <w:pStyle w:val="27"/>
        <w:rPr>
          <w:rFonts w:hint="eastAsia" w:ascii="宋体" w:hAnsi="宋体" w:eastAsia="宋体" w:cs="宋体"/>
          <w:color w:val="auto"/>
          <w:highlight w:val="none"/>
        </w:rPr>
      </w:pPr>
    </w:p>
    <w:p w14:paraId="3B9AFD40">
      <w:pPr>
        <w:pStyle w:val="27"/>
        <w:rPr>
          <w:rFonts w:hint="eastAsia" w:ascii="宋体" w:hAnsi="宋体" w:eastAsia="宋体" w:cs="宋体"/>
          <w:color w:val="auto"/>
          <w:highlight w:val="none"/>
        </w:rPr>
      </w:pPr>
    </w:p>
    <w:p w14:paraId="2EE49801">
      <w:pPr>
        <w:pStyle w:val="27"/>
        <w:rPr>
          <w:rFonts w:hint="eastAsia" w:ascii="宋体" w:hAnsi="宋体" w:eastAsia="宋体" w:cs="宋体"/>
          <w:color w:val="auto"/>
          <w:highlight w:val="none"/>
        </w:rPr>
      </w:pPr>
    </w:p>
    <w:p w14:paraId="36D4E5A9">
      <w:pPr>
        <w:pStyle w:val="27"/>
        <w:rPr>
          <w:rFonts w:hint="eastAsia" w:ascii="宋体" w:hAnsi="宋体" w:eastAsia="宋体" w:cs="宋体"/>
          <w:color w:val="auto"/>
          <w:highlight w:val="none"/>
        </w:rPr>
      </w:pPr>
    </w:p>
    <w:p w14:paraId="6BFE3426">
      <w:pPr>
        <w:pStyle w:val="27"/>
        <w:rPr>
          <w:rFonts w:hint="eastAsia" w:ascii="宋体" w:hAnsi="宋体" w:eastAsia="宋体" w:cs="宋体"/>
          <w:color w:val="auto"/>
          <w:highlight w:val="none"/>
        </w:rPr>
      </w:pPr>
    </w:p>
    <w:p w14:paraId="04B5DF43">
      <w:pPr>
        <w:pStyle w:val="27"/>
        <w:rPr>
          <w:rFonts w:hint="eastAsia" w:ascii="宋体" w:hAnsi="宋体" w:eastAsia="宋体" w:cs="宋体"/>
          <w:color w:val="auto"/>
          <w:highlight w:val="none"/>
        </w:rPr>
      </w:pPr>
    </w:p>
    <w:p w14:paraId="68E51088">
      <w:pPr>
        <w:pStyle w:val="27"/>
        <w:rPr>
          <w:rFonts w:hint="eastAsia" w:ascii="宋体" w:hAnsi="宋体" w:eastAsia="宋体" w:cs="宋体"/>
          <w:color w:val="auto"/>
          <w:highlight w:val="none"/>
        </w:rPr>
      </w:pPr>
    </w:p>
    <w:p w14:paraId="2641AA76">
      <w:pPr>
        <w:snapToGrid w:val="0"/>
        <w:spacing w:before="50" w:after="50" w:line="360" w:lineRule="exact"/>
        <w:rPr>
          <w:rFonts w:hint="eastAsia" w:ascii="宋体" w:hAnsi="宋体" w:eastAsia="宋体" w:cs="宋体"/>
          <w:b/>
          <w:color w:val="auto"/>
          <w:sz w:val="24"/>
          <w:highlight w:val="none"/>
        </w:rPr>
      </w:pPr>
    </w:p>
    <w:p w14:paraId="4231451B">
      <w:pPr>
        <w:snapToGrid w:val="0"/>
        <w:spacing w:before="50" w:after="50" w:line="360" w:lineRule="exact"/>
        <w:rPr>
          <w:rFonts w:hint="eastAsia" w:ascii="宋体" w:hAnsi="宋体" w:eastAsia="宋体" w:cs="宋体"/>
          <w:b/>
          <w:color w:val="auto"/>
          <w:sz w:val="24"/>
          <w:highlight w:val="none"/>
        </w:rPr>
      </w:pPr>
    </w:p>
    <w:p w14:paraId="049B85E6">
      <w:pPr>
        <w:snapToGrid w:val="0"/>
        <w:spacing w:before="50" w:after="50" w:line="360" w:lineRule="exact"/>
        <w:rPr>
          <w:rFonts w:hint="eastAsia" w:ascii="宋体" w:hAnsi="宋体" w:eastAsia="宋体" w:cs="宋体"/>
          <w:b/>
          <w:color w:val="auto"/>
          <w:sz w:val="24"/>
          <w:highlight w:val="none"/>
        </w:rPr>
      </w:pPr>
    </w:p>
    <w:p w14:paraId="14DF72C6">
      <w:pPr>
        <w:snapToGrid w:val="0"/>
        <w:spacing w:before="50" w:after="50" w:line="360" w:lineRule="exact"/>
        <w:rPr>
          <w:rFonts w:hint="eastAsia" w:ascii="宋体" w:hAnsi="宋体" w:eastAsia="宋体" w:cs="宋体"/>
          <w:b/>
          <w:color w:val="auto"/>
          <w:sz w:val="24"/>
          <w:highlight w:val="none"/>
        </w:rPr>
      </w:pPr>
    </w:p>
    <w:p w14:paraId="7C71C764">
      <w:pPr>
        <w:snapToGrid w:val="0"/>
        <w:spacing w:before="50" w:after="50" w:line="360" w:lineRule="exact"/>
        <w:rPr>
          <w:rFonts w:hint="eastAsia" w:ascii="宋体" w:hAnsi="宋体" w:eastAsia="宋体" w:cs="宋体"/>
          <w:b/>
          <w:color w:val="auto"/>
          <w:sz w:val="24"/>
          <w:highlight w:val="none"/>
        </w:rPr>
      </w:pPr>
    </w:p>
    <w:p w14:paraId="6A92ADFD">
      <w:pPr>
        <w:snapToGrid w:val="0"/>
        <w:spacing w:before="50" w:after="50" w:line="360" w:lineRule="exact"/>
        <w:rPr>
          <w:rFonts w:hint="eastAsia" w:ascii="宋体" w:hAnsi="宋体" w:eastAsia="宋体" w:cs="宋体"/>
          <w:b/>
          <w:color w:val="auto"/>
          <w:sz w:val="24"/>
          <w:highlight w:val="none"/>
        </w:rPr>
      </w:pPr>
    </w:p>
    <w:p w14:paraId="74003B74">
      <w:pPr>
        <w:snapToGrid w:val="0"/>
        <w:spacing w:before="50" w:after="50" w:line="360" w:lineRule="exact"/>
        <w:rPr>
          <w:rFonts w:hint="eastAsia" w:ascii="宋体" w:hAnsi="宋体" w:eastAsia="宋体" w:cs="宋体"/>
          <w:b/>
          <w:color w:val="auto"/>
          <w:sz w:val="24"/>
          <w:highlight w:val="none"/>
        </w:rPr>
      </w:pPr>
    </w:p>
    <w:p w14:paraId="34B5EB84">
      <w:pPr>
        <w:snapToGrid w:val="0"/>
        <w:spacing w:before="50" w:after="50" w:line="360" w:lineRule="exact"/>
        <w:rPr>
          <w:rFonts w:hint="eastAsia" w:ascii="宋体" w:hAnsi="宋体" w:eastAsia="宋体" w:cs="宋体"/>
          <w:b/>
          <w:color w:val="auto"/>
          <w:sz w:val="24"/>
          <w:highlight w:val="none"/>
        </w:rPr>
      </w:pPr>
    </w:p>
    <w:p w14:paraId="57095FA7">
      <w:pPr>
        <w:snapToGrid w:val="0"/>
        <w:spacing w:before="50" w:after="50" w:line="360" w:lineRule="exact"/>
        <w:rPr>
          <w:rFonts w:hint="eastAsia" w:ascii="宋体" w:hAnsi="宋体" w:eastAsia="宋体" w:cs="宋体"/>
          <w:b/>
          <w:color w:val="auto"/>
          <w:sz w:val="24"/>
          <w:highlight w:val="none"/>
        </w:rPr>
      </w:pPr>
    </w:p>
    <w:p w14:paraId="0B43F4A9">
      <w:pPr>
        <w:snapToGrid w:val="0"/>
        <w:spacing w:before="50" w:after="50" w:line="360" w:lineRule="exact"/>
        <w:rPr>
          <w:rFonts w:hint="eastAsia" w:ascii="宋体" w:hAnsi="宋体" w:eastAsia="宋体" w:cs="宋体"/>
          <w:b/>
          <w:color w:val="auto"/>
          <w:sz w:val="24"/>
          <w:highlight w:val="none"/>
        </w:rPr>
      </w:pPr>
    </w:p>
    <w:p w14:paraId="4D2B9CBE">
      <w:pPr>
        <w:snapToGrid w:val="0"/>
        <w:spacing w:before="50" w:after="50" w:line="360" w:lineRule="exact"/>
        <w:rPr>
          <w:rFonts w:hint="eastAsia" w:ascii="宋体" w:hAnsi="宋体" w:eastAsia="宋体" w:cs="宋体"/>
          <w:b/>
          <w:color w:val="auto"/>
          <w:sz w:val="24"/>
          <w:highlight w:val="none"/>
        </w:rPr>
      </w:pPr>
    </w:p>
    <w:p w14:paraId="72EEFFA6">
      <w:pPr>
        <w:snapToGrid w:val="0"/>
        <w:spacing w:before="50" w:after="50" w:line="360" w:lineRule="exact"/>
        <w:rPr>
          <w:rFonts w:hint="eastAsia" w:ascii="宋体" w:hAnsi="宋体" w:eastAsia="宋体" w:cs="宋体"/>
          <w:b/>
          <w:color w:val="auto"/>
          <w:sz w:val="24"/>
          <w:highlight w:val="none"/>
        </w:rPr>
      </w:pPr>
    </w:p>
    <w:p w14:paraId="4DD4B5EA">
      <w:pPr>
        <w:snapToGrid w:val="0"/>
        <w:spacing w:before="50" w:after="50" w:line="360" w:lineRule="exact"/>
        <w:rPr>
          <w:rFonts w:hint="eastAsia" w:ascii="宋体" w:hAnsi="宋体" w:eastAsia="宋体" w:cs="宋体"/>
          <w:b/>
          <w:color w:val="auto"/>
          <w:sz w:val="24"/>
          <w:highlight w:val="none"/>
        </w:rPr>
      </w:pPr>
    </w:p>
    <w:p w14:paraId="257CF469">
      <w:pPr>
        <w:snapToGrid w:val="0"/>
        <w:spacing w:before="50" w:after="50" w:line="360" w:lineRule="exact"/>
        <w:rPr>
          <w:rFonts w:hint="eastAsia" w:ascii="宋体" w:hAnsi="宋体" w:eastAsia="宋体" w:cs="宋体"/>
          <w:b/>
          <w:color w:val="auto"/>
          <w:sz w:val="24"/>
          <w:highlight w:val="none"/>
        </w:rPr>
      </w:pPr>
    </w:p>
    <w:p w14:paraId="475DC2E2">
      <w:pPr>
        <w:snapToGrid w:val="0"/>
        <w:spacing w:before="50" w:after="50" w:line="360" w:lineRule="exact"/>
        <w:rPr>
          <w:rFonts w:hint="eastAsia" w:ascii="宋体" w:hAnsi="宋体" w:eastAsia="宋体" w:cs="宋体"/>
          <w:b/>
          <w:color w:val="auto"/>
          <w:sz w:val="24"/>
          <w:highlight w:val="none"/>
        </w:rPr>
      </w:pPr>
    </w:p>
    <w:p w14:paraId="3AB74249">
      <w:pPr>
        <w:snapToGrid w:val="0"/>
        <w:spacing w:before="50" w:after="50" w:line="360" w:lineRule="exact"/>
        <w:rPr>
          <w:rFonts w:hint="eastAsia" w:ascii="宋体" w:hAnsi="宋体" w:eastAsia="宋体" w:cs="宋体"/>
          <w:b/>
          <w:color w:val="auto"/>
          <w:sz w:val="24"/>
          <w:highlight w:val="none"/>
        </w:rPr>
      </w:pPr>
    </w:p>
    <w:p w14:paraId="1FC88C5E">
      <w:pPr>
        <w:snapToGrid w:val="0"/>
        <w:spacing w:before="50" w:after="50" w:line="360" w:lineRule="exact"/>
        <w:rPr>
          <w:rFonts w:hint="eastAsia" w:ascii="宋体" w:hAnsi="宋体" w:eastAsia="宋体" w:cs="宋体"/>
          <w:b/>
          <w:color w:val="auto"/>
          <w:sz w:val="24"/>
          <w:highlight w:val="none"/>
        </w:rPr>
      </w:pPr>
    </w:p>
    <w:p w14:paraId="5D7556C9">
      <w:pPr>
        <w:snapToGrid w:val="0"/>
        <w:spacing w:before="50" w:after="50" w:line="360" w:lineRule="exact"/>
        <w:rPr>
          <w:rFonts w:hint="eastAsia" w:ascii="宋体" w:hAnsi="宋体" w:eastAsia="宋体" w:cs="宋体"/>
          <w:b/>
          <w:color w:val="auto"/>
          <w:sz w:val="24"/>
          <w:highlight w:val="none"/>
        </w:rPr>
      </w:pPr>
    </w:p>
    <w:p w14:paraId="09B8165B">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b/>
          <w:color w:val="auto"/>
          <w:sz w:val="24"/>
          <w:highlight w:val="none"/>
        </w:rPr>
        <w:t>4.售后服务方案及承诺书格式：</w:t>
      </w:r>
    </w:p>
    <w:p w14:paraId="1917B1AA">
      <w:pPr>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售后服务方案及承诺书</w:t>
      </w:r>
    </w:p>
    <w:p w14:paraId="0616F690">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第1条</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由投标人按第二章《招标项目采购需求》要求自行填写，所作的承诺作为构成合同不可分割的部分，必须真实、诚信，如提供虚假承诺或在中标、成交后不按其承诺履行的，将依法追究违约责任，并按《中华人民共和国政府采购法》规定予以处罚。）</w:t>
      </w:r>
    </w:p>
    <w:p w14:paraId="08C25295">
      <w:pPr>
        <w:snapToGrid w:val="0"/>
        <w:spacing w:before="50" w:after="50"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第2条</w:t>
      </w:r>
    </w:p>
    <w:p w14:paraId="41CD9560">
      <w:pPr>
        <w:snapToGrid w:val="0"/>
        <w:spacing w:before="50" w:after="50" w:line="360" w:lineRule="exact"/>
        <w:ind w:firstLine="210" w:firstLineChars="100"/>
        <w:rPr>
          <w:rFonts w:hint="eastAsia" w:ascii="宋体" w:hAnsi="宋体" w:eastAsia="宋体" w:cs="宋体"/>
          <w:color w:val="auto"/>
          <w:szCs w:val="21"/>
          <w:highlight w:val="none"/>
        </w:rPr>
      </w:pPr>
    </w:p>
    <w:p w14:paraId="5956FD5F">
      <w:pPr>
        <w:snapToGrid w:val="0"/>
        <w:spacing w:before="50" w:after="50" w:line="360" w:lineRule="exact"/>
        <w:ind w:firstLine="210" w:firstLineChars="100"/>
        <w:rPr>
          <w:rFonts w:hint="eastAsia" w:ascii="宋体" w:hAnsi="宋体" w:eastAsia="宋体" w:cs="宋体"/>
          <w:color w:val="auto"/>
          <w:szCs w:val="21"/>
          <w:highlight w:val="none"/>
        </w:rPr>
      </w:pPr>
    </w:p>
    <w:p w14:paraId="65C905D9">
      <w:pPr>
        <w:snapToGrid w:val="0"/>
        <w:spacing w:before="50" w:after="50" w:line="360" w:lineRule="exact"/>
        <w:ind w:firstLine="210" w:firstLineChars="100"/>
        <w:rPr>
          <w:rFonts w:hint="eastAsia" w:ascii="宋体" w:hAnsi="宋体" w:eastAsia="宋体" w:cs="宋体"/>
          <w:color w:val="auto"/>
          <w:szCs w:val="21"/>
          <w:highlight w:val="none"/>
        </w:rPr>
      </w:pPr>
    </w:p>
    <w:p w14:paraId="5DF68426">
      <w:pPr>
        <w:snapToGrid w:val="0"/>
        <w:spacing w:before="50" w:after="50" w:line="360" w:lineRule="exact"/>
        <w:ind w:firstLine="210" w:firstLineChars="100"/>
        <w:rPr>
          <w:rFonts w:hint="eastAsia" w:ascii="宋体" w:hAnsi="宋体" w:eastAsia="宋体" w:cs="宋体"/>
          <w:color w:val="auto"/>
          <w:szCs w:val="21"/>
          <w:highlight w:val="none"/>
        </w:rPr>
      </w:pPr>
    </w:p>
    <w:p w14:paraId="1645FACA">
      <w:pPr>
        <w:snapToGrid w:val="0"/>
        <w:spacing w:before="50" w:after="50" w:line="360" w:lineRule="exact"/>
        <w:ind w:firstLine="210" w:firstLineChars="100"/>
        <w:rPr>
          <w:rFonts w:hint="eastAsia" w:ascii="宋体" w:hAnsi="宋体" w:eastAsia="宋体" w:cs="宋体"/>
          <w:color w:val="auto"/>
          <w:szCs w:val="21"/>
          <w:highlight w:val="none"/>
        </w:rPr>
      </w:pPr>
    </w:p>
    <w:p w14:paraId="348CC54D">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04C6E2A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81DEF49">
      <w:pPr>
        <w:spacing w:line="360" w:lineRule="exact"/>
        <w:ind w:firstLine="6300" w:firstLineChars="3000"/>
        <w:rPr>
          <w:rFonts w:hint="eastAsia" w:ascii="宋体" w:hAnsi="宋体" w:eastAsia="宋体" w:cs="宋体"/>
          <w:color w:val="auto"/>
          <w:szCs w:val="21"/>
          <w:highlight w:val="none"/>
        </w:rPr>
      </w:pPr>
    </w:p>
    <w:p w14:paraId="00BE512A">
      <w:pPr>
        <w:spacing w:line="360" w:lineRule="exact"/>
        <w:ind w:firstLine="6300" w:firstLineChars="3000"/>
        <w:rPr>
          <w:rFonts w:hint="eastAsia" w:ascii="宋体" w:hAnsi="宋体" w:eastAsia="宋体" w:cs="宋体"/>
          <w:color w:val="auto"/>
          <w:szCs w:val="21"/>
          <w:highlight w:val="none"/>
        </w:rPr>
      </w:pPr>
    </w:p>
    <w:p w14:paraId="07FFDCA6">
      <w:pPr>
        <w:spacing w:line="360" w:lineRule="exact"/>
        <w:ind w:firstLine="6300" w:firstLineChars="3000"/>
        <w:rPr>
          <w:rFonts w:hint="eastAsia" w:ascii="宋体" w:hAnsi="宋体" w:eastAsia="宋体" w:cs="宋体"/>
          <w:color w:val="auto"/>
          <w:szCs w:val="21"/>
          <w:highlight w:val="none"/>
        </w:rPr>
      </w:pPr>
    </w:p>
    <w:p w14:paraId="38CA47E1">
      <w:pPr>
        <w:spacing w:line="360" w:lineRule="exact"/>
        <w:ind w:firstLine="6300" w:firstLineChars="3000"/>
        <w:rPr>
          <w:rFonts w:hint="eastAsia" w:ascii="宋体" w:hAnsi="宋体" w:eastAsia="宋体" w:cs="宋体"/>
          <w:color w:val="auto"/>
          <w:szCs w:val="21"/>
          <w:highlight w:val="none"/>
        </w:rPr>
      </w:pPr>
    </w:p>
    <w:p w14:paraId="152148CC">
      <w:pPr>
        <w:spacing w:line="360" w:lineRule="exact"/>
        <w:ind w:firstLine="6300" w:firstLineChars="3000"/>
        <w:rPr>
          <w:rFonts w:hint="eastAsia" w:ascii="宋体" w:hAnsi="宋体" w:eastAsia="宋体" w:cs="宋体"/>
          <w:color w:val="auto"/>
          <w:szCs w:val="21"/>
          <w:highlight w:val="none"/>
        </w:rPr>
      </w:pPr>
    </w:p>
    <w:p w14:paraId="26828CFD">
      <w:pPr>
        <w:spacing w:line="360" w:lineRule="exact"/>
        <w:ind w:firstLine="6300" w:firstLineChars="3000"/>
        <w:rPr>
          <w:rFonts w:hint="eastAsia" w:ascii="宋体" w:hAnsi="宋体" w:eastAsia="宋体" w:cs="宋体"/>
          <w:color w:val="auto"/>
          <w:szCs w:val="21"/>
          <w:highlight w:val="none"/>
        </w:rPr>
      </w:pPr>
    </w:p>
    <w:p w14:paraId="56BDA3A4">
      <w:pPr>
        <w:spacing w:line="360" w:lineRule="exact"/>
        <w:ind w:firstLine="6300" w:firstLineChars="3000"/>
        <w:rPr>
          <w:rFonts w:hint="eastAsia" w:ascii="宋体" w:hAnsi="宋体" w:eastAsia="宋体" w:cs="宋体"/>
          <w:color w:val="auto"/>
          <w:szCs w:val="21"/>
          <w:highlight w:val="none"/>
        </w:rPr>
      </w:pPr>
    </w:p>
    <w:p w14:paraId="7D62C800">
      <w:pPr>
        <w:spacing w:line="360" w:lineRule="exact"/>
        <w:ind w:firstLine="6300" w:firstLineChars="3000"/>
        <w:rPr>
          <w:rFonts w:hint="eastAsia" w:ascii="宋体" w:hAnsi="宋体" w:eastAsia="宋体" w:cs="宋体"/>
          <w:color w:val="auto"/>
          <w:szCs w:val="21"/>
          <w:highlight w:val="none"/>
        </w:rPr>
      </w:pPr>
    </w:p>
    <w:p w14:paraId="3937E925">
      <w:pPr>
        <w:spacing w:line="360" w:lineRule="exact"/>
        <w:ind w:firstLine="6300" w:firstLineChars="3000"/>
        <w:rPr>
          <w:rFonts w:hint="eastAsia" w:ascii="宋体" w:hAnsi="宋体" w:eastAsia="宋体" w:cs="宋体"/>
          <w:color w:val="auto"/>
          <w:szCs w:val="21"/>
          <w:highlight w:val="none"/>
        </w:rPr>
      </w:pPr>
    </w:p>
    <w:p w14:paraId="5813E23D">
      <w:pPr>
        <w:spacing w:line="360" w:lineRule="exact"/>
        <w:ind w:firstLine="6300" w:firstLineChars="3000"/>
        <w:rPr>
          <w:rFonts w:hint="eastAsia" w:ascii="宋体" w:hAnsi="宋体" w:eastAsia="宋体" w:cs="宋体"/>
          <w:color w:val="auto"/>
          <w:szCs w:val="21"/>
          <w:highlight w:val="none"/>
        </w:rPr>
      </w:pPr>
    </w:p>
    <w:p w14:paraId="78DC7848">
      <w:pPr>
        <w:spacing w:line="360" w:lineRule="exact"/>
        <w:ind w:firstLine="6300" w:firstLineChars="3000"/>
        <w:rPr>
          <w:rFonts w:hint="eastAsia" w:ascii="宋体" w:hAnsi="宋体" w:eastAsia="宋体" w:cs="宋体"/>
          <w:color w:val="auto"/>
          <w:szCs w:val="21"/>
          <w:highlight w:val="none"/>
        </w:rPr>
      </w:pPr>
    </w:p>
    <w:p w14:paraId="03850063">
      <w:pPr>
        <w:spacing w:line="360" w:lineRule="exact"/>
        <w:ind w:firstLine="6300" w:firstLineChars="3000"/>
        <w:rPr>
          <w:rFonts w:hint="eastAsia" w:ascii="宋体" w:hAnsi="宋体" w:eastAsia="宋体" w:cs="宋体"/>
          <w:color w:val="auto"/>
          <w:szCs w:val="21"/>
          <w:highlight w:val="none"/>
        </w:rPr>
      </w:pPr>
    </w:p>
    <w:p w14:paraId="249999B1">
      <w:pPr>
        <w:spacing w:line="360" w:lineRule="exact"/>
        <w:ind w:firstLine="6300" w:firstLineChars="3000"/>
        <w:rPr>
          <w:rFonts w:hint="eastAsia" w:ascii="宋体" w:hAnsi="宋体" w:eastAsia="宋体" w:cs="宋体"/>
          <w:color w:val="auto"/>
          <w:szCs w:val="21"/>
          <w:highlight w:val="none"/>
        </w:rPr>
      </w:pPr>
    </w:p>
    <w:p w14:paraId="21631702">
      <w:pPr>
        <w:spacing w:line="360" w:lineRule="exact"/>
        <w:ind w:firstLine="6300" w:firstLineChars="3000"/>
        <w:rPr>
          <w:rFonts w:hint="eastAsia" w:ascii="宋体" w:hAnsi="宋体" w:eastAsia="宋体" w:cs="宋体"/>
          <w:color w:val="auto"/>
          <w:szCs w:val="21"/>
          <w:highlight w:val="none"/>
        </w:rPr>
      </w:pPr>
    </w:p>
    <w:p w14:paraId="17ADCD35">
      <w:pPr>
        <w:spacing w:line="360" w:lineRule="exact"/>
        <w:ind w:firstLine="6300" w:firstLineChars="3000"/>
        <w:rPr>
          <w:rFonts w:hint="eastAsia" w:ascii="宋体" w:hAnsi="宋体" w:eastAsia="宋体" w:cs="宋体"/>
          <w:color w:val="auto"/>
          <w:szCs w:val="21"/>
          <w:highlight w:val="none"/>
        </w:rPr>
      </w:pPr>
    </w:p>
    <w:p w14:paraId="56CF63DC">
      <w:pPr>
        <w:spacing w:line="360" w:lineRule="exact"/>
        <w:ind w:firstLine="6300" w:firstLineChars="3000"/>
        <w:rPr>
          <w:rFonts w:hint="eastAsia" w:ascii="宋体" w:hAnsi="宋体" w:eastAsia="宋体" w:cs="宋体"/>
          <w:color w:val="auto"/>
          <w:szCs w:val="21"/>
          <w:highlight w:val="none"/>
        </w:rPr>
      </w:pPr>
    </w:p>
    <w:p w14:paraId="36B36E1E">
      <w:pPr>
        <w:spacing w:line="360" w:lineRule="exact"/>
        <w:ind w:firstLine="6300" w:firstLineChars="3000"/>
        <w:rPr>
          <w:rFonts w:hint="eastAsia" w:ascii="宋体" w:hAnsi="宋体" w:eastAsia="宋体" w:cs="宋体"/>
          <w:color w:val="auto"/>
          <w:szCs w:val="21"/>
          <w:highlight w:val="none"/>
        </w:rPr>
      </w:pPr>
    </w:p>
    <w:p w14:paraId="5A4DA769">
      <w:pPr>
        <w:spacing w:line="360" w:lineRule="exact"/>
        <w:ind w:firstLine="6300" w:firstLineChars="3000"/>
        <w:rPr>
          <w:rFonts w:hint="eastAsia" w:ascii="宋体" w:hAnsi="宋体" w:eastAsia="宋体" w:cs="宋体"/>
          <w:color w:val="auto"/>
          <w:szCs w:val="21"/>
          <w:highlight w:val="none"/>
        </w:rPr>
      </w:pPr>
    </w:p>
    <w:p w14:paraId="3076C487">
      <w:pPr>
        <w:spacing w:line="360" w:lineRule="exact"/>
        <w:ind w:firstLine="6300" w:firstLineChars="3000"/>
        <w:rPr>
          <w:rFonts w:hint="eastAsia" w:ascii="宋体" w:hAnsi="宋体" w:eastAsia="宋体" w:cs="宋体"/>
          <w:color w:val="auto"/>
          <w:szCs w:val="21"/>
          <w:highlight w:val="none"/>
        </w:rPr>
      </w:pPr>
    </w:p>
    <w:p w14:paraId="65E9E252">
      <w:pPr>
        <w:spacing w:line="360" w:lineRule="exact"/>
        <w:ind w:firstLine="6300" w:firstLineChars="3000"/>
        <w:rPr>
          <w:rFonts w:hint="eastAsia" w:ascii="宋体" w:hAnsi="宋体" w:eastAsia="宋体" w:cs="宋体"/>
          <w:color w:val="auto"/>
          <w:szCs w:val="21"/>
          <w:highlight w:val="none"/>
        </w:rPr>
      </w:pPr>
    </w:p>
    <w:p w14:paraId="74B3ACC4">
      <w:pPr>
        <w:spacing w:line="360" w:lineRule="exact"/>
        <w:ind w:firstLine="6300" w:firstLineChars="3000"/>
        <w:rPr>
          <w:rFonts w:hint="eastAsia" w:ascii="宋体" w:hAnsi="宋体" w:eastAsia="宋体" w:cs="宋体"/>
          <w:color w:val="auto"/>
          <w:szCs w:val="21"/>
          <w:highlight w:val="none"/>
        </w:rPr>
      </w:pPr>
    </w:p>
    <w:p w14:paraId="02ABF4EF">
      <w:pPr>
        <w:spacing w:line="360" w:lineRule="exact"/>
        <w:ind w:firstLine="6300" w:firstLineChars="3000"/>
        <w:rPr>
          <w:rFonts w:hint="eastAsia" w:ascii="宋体" w:hAnsi="宋体" w:eastAsia="宋体" w:cs="宋体"/>
          <w:color w:val="auto"/>
          <w:szCs w:val="21"/>
          <w:highlight w:val="none"/>
        </w:rPr>
      </w:pPr>
    </w:p>
    <w:p w14:paraId="74857F32">
      <w:pPr>
        <w:spacing w:line="360" w:lineRule="exact"/>
        <w:ind w:firstLine="6300" w:firstLineChars="3000"/>
        <w:rPr>
          <w:rFonts w:hint="eastAsia" w:ascii="宋体" w:hAnsi="宋体" w:eastAsia="宋体" w:cs="宋体"/>
          <w:color w:val="auto"/>
          <w:szCs w:val="21"/>
          <w:highlight w:val="none"/>
        </w:rPr>
      </w:pPr>
    </w:p>
    <w:p w14:paraId="00A1840A">
      <w:pPr>
        <w:spacing w:line="360" w:lineRule="exact"/>
        <w:ind w:firstLine="6300" w:firstLineChars="3000"/>
        <w:rPr>
          <w:rFonts w:hint="eastAsia" w:ascii="宋体" w:hAnsi="宋体" w:eastAsia="宋体" w:cs="宋体"/>
          <w:color w:val="auto"/>
          <w:szCs w:val="21"/>
          <w:highlight w:val="none"/>
        </w:rPr>
      </w:pPr>
    </w:p>
    <w:p w14:paraId="6F823CBD">
      <w:pPr>
        <w:spacing w:line="360" w:lineRule="exact"/>
        <w:ind w:firstLine="6300" w:firstLineChars="3000"/>
        <w:rPr>
          <w:rFonts w:hint="eastAsia" w:ascii="宋体" w:hAnsi="宋体" w:eastAsia="宋体" w:cs="宋体"/>
          <w:color w:val="auto"/>
          <w:szCs w:val="21"/>
          <w:highlight w:val="none"/>
        </w:rPr>
      </w:pPr>
    </w:p>
    <w:p w14:paraId="2FBF1705">
      <w:pPr>
        <w:snapToGrid w:val="0"/>
        <w:spacing w:before="50" w:afterLines="50" w:line="360" w:lineRule="exact"/>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5.选配件、专用耗材、售后服务优惠表格式：</w:t>
      </w:r>
    </w:p>
    <w:p w14:paraId="186DC8CB">
      <w:pPr>
        <w:tabs>
          <w:tab w:val="left" w:pos="315"/>
        </w:tabs>
        <w:snapToGrid w:val="0"/>
        <w:spacing w:before="50" w:after="50" w:line="360" w:lineRule="exact"/>
        <w:rPr>
          <w:rFonts w:hint="eastAsia" w:ascii="宋体" w:hAnsi="宋体" w:eastAsia="宋体" w:cs="宋体"/>
          <w:color w:val="auto"/>
          <w:sz w:val="24"/>
          <w:highlight w:val="none"/>
        </w:rPr>
      </w:pPr>
    </w:p>
    <w:p w14:paraId="3C05B4DA">
      <w:pPr>
        <w:tabs>
          <w:tab w:val="left" w:pos="315"/>
        </w:tabs>
        <w:snapToGrid w:val="0"/>
        <w:spacing w:before="50" w:after="50" w:line="3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选配件、专用耗材、售后服务优惠表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8B10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2"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F8CB73">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0CC9EFFF">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0B9719B">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FC7E5E0">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58778BFE">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iCs w:val="0"/>
                <w:color w:val="auto"/>
                <w:kern w:val="0"/>
                <w:sz w:val="21"/>
                <w:szCs w:val="21"/>
                <w:highlight w:val="none"/>
                <w:u w:val="none"/>
                <w:lang w:val="en-US" w:eastAsia="zh-CN" w:bidi="ar"/>
              </w:rPr>
              <w:t>比投标报价优惠率</w:t>
            </w:r>
          </w:p>
        </w:tc>
      </w:tr>
      <w:tr w14:paraId="30CB8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7EF03A50">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14:paraId="749A033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14:paraId="5ADF0183">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627ECA5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14:paraId="5BD3008B">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10949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5D2C1606">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14:paraId="3CB0066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19CAFE12">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FA51F09">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404E06A8">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75464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C7F459E">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14:paraId="3EB11584">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4D39FEF8">
            <w:pPr>
              <w:pStyle w:val="27"/>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02BCBD13">
            <w:pPr>
              <w:pStyle w:val="27"/>
              <w:snapToGrid w:val="0"/>
              <w:spacing w:before="295" w:after="295" w:line="360" w:lineRule="exact"/>
              <w:jc w:val="center"/>
              <w:rPr>
                <w:rFonts w:hint="eastAsia" w:ascii="宋体" w:hAnsi="宋体" w:eastAsia="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3497B69F">
            <w:pPr>
              <w:pStyle w:val="27"/>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56C7C3AB">
      <w:pPr>
        <w:snapToGrid w:val="0"/>
        <w:spacing w:before="50" w:after="50" w:line="360" w:lineRule="exact"/>
        <w:ind w:firstLine="210" w:firstLineChars="100"/>
        <w:rPr>
          <w:rFonts w:hint="eastAsia" w:ascii="宋体" w:hAnsi="宋体" w:eastAsia="宋体" w:cs="宋体"/>
          <w:color w:val="auto"/>
          <w:szCs w:val="21"/>
          <w:highlight w:val="none"/>
        </w:rPr>
      </w:pPr>
    </w:p>
    <w:p w14:paraId="489C729E">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投标人名称(电子签章)：</w:t>
      </w:r>
    </w:p>
    <w:p w14:paraId="23FCC587">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9870E3E">
      <w:pPr>
        <w:spacing w:line="360" w:lineRule="exact"/>
        <w:ind w:firstLine="6300" w:firstLineChars="3000"/>
        <w:rPr>
          <w:rFonts w:hint="eastAsia" w:ascii="宋体" w:hAnsi="宋体" w:eastAsia="宋体" w:cs="宋体"/>
          <w:color w:val="auto"/>
          <w:szCs w:val="21"/>
          <w:highlight w:val="none"/>
        </w:rPr>
      </w:pPr>
    </w:p>
    <w:p w14:paraId="31FE8996">
      <w:pPr>
        <w:spacing w:line="360" w:lineRule="exact"/>
        <w:ind w:firstLine="6300" w:firstLineChars="3000"/>
        <w:rPr>
          <w:rFonts w:hint="eastAsia" w:ascii="宋体" w:hAnsi="宋体" w:eastAsia="宋体" w:cs="宋体"/>
          <w:color w:val="auto"/>
          <w:szCs w:val="21"/>
          <w:highlight w:val="none"/>
        </w:rPr>
      </w:pPr>
    </w:p>
    <w:p w14:paraId="7A54A4FB">
      <w:pPr>
        <w:spacing w:line="360" w:lineRule="exact"/>
        <w:ind w:firstLine="6300" w:firstLineChars="3000"/>
        <w:rPr>
          <w:rFonts w:hint="eastAsia" w:ascii="宋体" w:hAnsi="宋体" w:eastAsia="宋体" w:cs="宋体"/>
          <w:color w:val="auto"/>
          <w:szCs w:val="21"/>
          <w:highlight w:val="none"/>
        </w:rPr>
      </w:pPr>
    </w:p>
    <w:p w14:paraId="1B1E84D9">
      <w:pPr>
        <w:spacing w:line="360" w:lineRule="exact"/>
        <w:ind w:firstLine="6300" w:firstLineChars="3000"/>
        <w:rPr>
          <w:rFonts w:hint="eastAsia" w:ascii="宋体" w:hAnsi="宋体" w:eastAsia="宋体" w:cs="宋体"/>
          <w:color w:val="auto"/>
          <w:szCs w:val="21"/>
          <w:highlight w:val="none"/>
        </w:rPr>
      </w:pPr>
    </w:p>
    <w:p w14:paraId="14943313">
      <w:pPr>
        <w:spacing w:line="360" w:lineRule="exact"/>
        <w:ind w:firstLine="6300" w:firstLineChars="3000"/>
        <w:rPr>
          <w:rFonts w:hint="eastAsia" w:ascii="宋体" w:hAnsi="宋体" w:eastAsia="宋体" w:cs="宋体"/>
          <w:color w:val="auto"/>
          <w:szCs w:val="21"/>
          <w:highlight w:val="none"/>
        </w:rPr>
      </w:pPr>
    </w:p>
    <w:p w14:paraId="34082A26">
      <w:pPr>
        <w:spacing w:line="360" w:lineRule="exact"/>
        <w:ind w:firstLine="6300" w:firstLineChars="3000"/>
        <w:rPr>
          <w:rFonts w:hint="eastAsia" w:ascii="宋体" w:hAnsi="宋体" w:eastAsia="宋体" w:cs="宋体"/>
          <w:color w:val="auto"/>
          <w:szCs w:val="21"/>
          <w:highlight w:val="none"/>
        </w:rPr>
      </w:pPr>
    </w:p>
    <w:p w14:paraId="6F159641">
      <w:pPr>
        <w:spacing w:line="360" w:lineRule="exact"/>
        <w:ind w:firstLine="6300" w:firstLineChars="3000"/>
        <w:rPr>
          <w:rFonts w:hint="eastAsia" w:ascii="宋体" w:hAnsi="宋体" w:eastAsia="宋体" w:cs="宋体"/>
          <w:color w:val="auto"/>
          <w:szCs w:val="21"/>
          <w:highlight w:val="none"/>
        </w:rPr>
      </w:pPr>
    </w:p>
    <w:p w14:paraId="76300BEF">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投标人对本项目的合理化建议和改进措施（格式自拟）；</w:t>
      </w:r>
    </w:p>
    <w:p w14:paraId="6E82769D">
      <w:pPr>
        <w:snapToGrid w:val="0"/>
        <w:spacing w:before="50" w:afterLines="50" w:line="360" w:lineRule="exact"/>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eastAsia="宋体" w:cs="宋体"/>
          <w:b/>
          <w:color w:val="auto"/>
          <w:sz w:val="24"/>
          <w:highlight w:val="none"/>
        </w:rPr>
        <w:t>投标人需要说明的其他文件和说明（格式自拟）。</w:t>
      </w:r>
    </w:p>
    <w:p w14:paraId="63A7BD98">
      <w:pPr>
        <w:spacing w:line="360" w:lineRule="exact"/>
        <w:ind w:firstLine="6300" w:firstLineChars="3000"/>
        <w:rPr>
          <w:rFonts w:hint="eastAsia" w:ascii="宋体" w:hAnsi="宋体" w:eastAsia="宋体" w:cs="宋体"/>
          <w:color w:val="auto"/>
          <w:szCs w:val="21"/>
          <w:highlight w:val="none"/>
        </w:rPr>
      </w:pPr>
    </w:p>
    <w:sectPr>
      <w:footerReference r:id="rId7" w:type="first"/>
      <w:headerReference r:id="rId3" w:type="default"/>
      <w:footerReference r:id="rId5" w:type="default"/>
      <w:headerReference r:id="rId4" w:type="even"/>
      <w:footerReference r:id="rId6" w:type="even"/>
      <w:pgSz w:w="11906" w:h="16838"/>
      <w:pgMar w:top="1134" w:right="1134" w:bottom="1134" w:left="1134" w:header="851" w:footer="992" w:gutter="0"/>
      <w:pgNumType w:chapStyle="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ED6E">
    <w:pPr>
      <w:pStyle w:val="2"/>
      <w:framePr w:wrap="around" w:vAnchor="text" w:hAnchor="page" w:x="5761" w:y="427"/>
      <w:rPr>
        <w:rStyle w:val="53"/>
      </w:rPr>
    </w:pPr>
    <w:r>
      <w:fldChar w:fldCharType="begin"/>
    </w:r>
    <w:r>
      <w:rPr>
        <w:rStyle w:val="53"/>
      </w:rPr>
      <w:instrText xml:space="preserve">PAGE  </w:instrText>
    </w:r>
    <w:r>
      <w:fldChar w:fldCharType="separate"/>
    </w:r>
    <w:r>
      <w:rPr>
        <w:rStyle w:val="53"/>
      </w:rPr>
      <w:t>55</w:t>
    </w:r>
    <w:r>
      <w:fldChar w:fldCharType="end"/>
    </w:r>
  </w:p>
  <w:p w14:paraId="62C3C95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EBC8">
    <w:pPr>
      <w:pStyle w:val="2"/>
      <w:framePr w:wrap="around" w:vAnchor="text" w:hAnchor="margin" w:xAlign="center" w:y="1"/>
      <w:rPr>
        <w:rStyle w:val="53"/>
      </w:rPr>
    </w:pPr>
    <w:r>
      <w:fldChar w:fldCharType="begin"/>
    </w:r>
    <w:r>
      <w:rPr>
        <w:rStyle w:val="53"/>
      </w:rPr>
      <w:instrText xml:space="preserve">PAGE  </w:instrText>
    </w:r>
    <w:r>
      <w:fldChar w:fldCharType="end"/>
    </w:r>
  </w:p>
  <w:p w14:paraId="3639267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FDED">
    <w:pPr>
      <w:pStyle w:val="2"/>
      <w:framePr w:wrap="around" w:vAnchor="text" w:hAnchor="margin" w:xAlign="right" w:y="1"/>
      <w:rPr>
        <w:rStyle w:val="53"/>
      </w:rPr>
    </w:pPr>
  </w:p>
  <w:p w14:paraId="52513756">
    <w:pPr>
      <w:pStyle w:val="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576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375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FAEB2AD"/>
    <w:multiLevelType w:val="singleLevel"/>
    <w:tmpl w:val="0FAEB2A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WM5Njk2NzhmNDBkMDcwYTM0OGUzMzBiYmFhZGEifQ=="/>
    <w:docVar w:name="KSO_WPS_MARK_KEY" w:val="7d13996a-8e5b-4025-9e8c-684fa49542d0"/>
  </w:docVars>
  <w:rsids>
    <w:rsidRoot w:val="00172A27"/>
    <w:rsid w:val="00000B38"/>
    <w:rsid w:val="00001274"/>
    <w:rsid w:val="000017C1"/>
    <w:rsid w:val="00003C99"/>
    <w:rsid w:val="00004485"/>
    <w:rsid w:val="000053EF"/>
    <w:rsid w:val="0000562E"/>
    <w:rsid w:val="00011F12"/>
    <w:rsid w:val="00013F7A"/>
    <w:rsid w:val="00021743"/>
    <w:rsid w:val="0002346D"/>
    <w:rsid w:val="0002760D"/>
    <w:rsid w:val="00030EF3"/>
    <w:rsid w:val="0003325C"/>
    <w:rsid w:val="0003361B"/>
    <w:rsid w:val="000342E2"/>
    <w:rsid w:val="00034E02"/>
    <w:rsid w:val="00035009"/>
    <w:rsid w:val="00035602"/>
    <w:rsid w:val="000363C6"/>
    <w:rsid w:val="000367E5"/>
    <w:rsid w:val="00040FC7"/>
    <w:rsid w:val="0004560A"/>
    <w:rsid w:val="00045690"/>
    <w:rsid w:val="0004685B"/>
    <w:rsid w:val="00046B9F"/>
    <w:rsid w:val="00050296"/>
    <w:rsid w:val="00050CE6"/>
    <w:rsid w:val="00054B00"/>
    <w:rsid w:val="00055193"/>
    <w:rsid w:val="0005618C"/>
    <w:rsid w:val="0005774B"/>
    <w:rsid w:val="0006009D"/>
    <w:rsid w:val="0006159D"/>
    <w:rsid w:val="00061AA4"/>
    <w:rsid w:val="00062391"/>
    <w:rsid w:val="000631D3"/>
    <w:rsid w:val="00063722"/>
    <w:rsid w:val="00063989"/>
    <w:rsid w:val="00066412"/>
    <w:rsid w:val="0006657A"/>
    <w:rsid w:val="00070676"/>
    <w:rsid w:val="000712D9"/>
    <w:rsid w:val="00072F31"/>
    <w:rsid w:val="0007347F"/>
    <w:rsid w:val="000736BC"/>
    <w:rsid w:val="000757A4"/>
    <w:rsid w:val="00075D3F"/>
    <w:rsid w:val="000765E8"/>
    <w:rsid w:val="00076D9D"/>
    <w:rsid w:val="00081456"/>
    <w:rsid w:val="00082CEB"/>
    <w:rsid w:val="0008417D"/>
    <w:rsid w:val="00084346"/>
    <w:rsid w:val="00084412"/>
    <w:rsid w:val="00084779"/>
    <w:rsid w:val="00084A5A"/>
    <w:rsid w:val="00087C5C"/>
    <w:rsid w:val="00087D3C"/>
    <w:rsid w:val="000949BB"/>
    <w:rsid w:val="00094EFB"/>
    <w:rsid w:val="0009538D"/>
    <w:rsid w:val="00096B3A"/>
    <w:rsid w:val="00097982"/>
    <w:rsid w:val="000A0E3C"/>
    <w:rsid w:val="000A22AF"/>
    <w:rsid w:val="000A2ACC"/>
    <w:rsid w:val="000A63EB"/>
    <w:rsid w:val="000A7E1D"/>
    <w:rsid w:val="000B010D"/>
    <w:rsid w:val="000B3223"/>
    <w:rsid w:val="000B471B"/>
    <w:rsid w:val="000B4F6A"/>
    <w:rsid w:val="000B6F22"/>
    <w:rsid w:val="000C04AA"/>
    <w:rsid w:val="000C3EAF"/>
    <w:rsid w:val="000C48D8"/>
    <w:rsid w:val="000C5A9E"/>
    <w:rsid w:val="000C649B"/>
    <w:rsid w:val="000C70E9"/>
    <w:rsid w:val="000C730B"/>
    <w:rsid w:val="000D068A"/>
    <w:rsid w:val="000D0E85"/>
    <w:rsid w:val="000D217B"/>
    <w:rsid w:val="000D4366"/>
    <w:rsid w:val="000D4377"/>
    <w:rsid w:val="000E1084"/>
    <w:rsid w:val="000E125D"/>
    <w:rsid w:val="000E1DD1"/>
    <w:rsid w:val="000E2DB9"/>
    <w:rsid w:val="000E2E8A"/>
    <w:rsid w:val="000E5357"/>
    <w:rsid w:val="000E5570"/>
    <w:rsid w:val="000E5FC3"/>
    <w:rsid w:val="000F0657"/>
    <w:rsid w:val="000F1780"/>
    <w:rsid w:val="000F197F"/>
    <w:rsid w:val="000F46F7"/>
    <w:rsid w:val="000F7282"/>
    <w:rsid w:val="000F7348"/>
    <w:rsid w:val="000F7667"/>
    <w:rsid w:val="000F7A8F"/>
    <w:rsid w:val="0010014E"/>
    <w:rsid w:val="00102B04"/>
    <w:rsid w:val="00103366"/>
    <w:rsid w:val="001033D1"/>
    <w:rsid w:val="00103AC6"/>
    <w:rsid w:val="001069BA"/>
    <w:rsid w:val="001118EA"/>
    <w:rsid w:val="00111F5C"/>
    <w:rsid w:val="0011257F"/>
    <w:rsid w:val="00112D96"/>
    <w:rsid w:val="00113952"/>
    <w:rsid w:val="001156D8"/>
    <w:rsid w:val="0012019C"/>
    <w:rsid w:val="00121773"/>
    <w:rsid w:val="001217F8"/>
    <w:rsid w:val="00122510"/>
    <w:rsid w:val="00122DF7"/>
    <w:rsid w:val="00123909"/>
    <w:rsid w:val="001258BF"/>
    <w:rsid w:val="00126CE0"/>
    <w:rsid w:val="00126F74"/>
    <w:rsid w:val="0013039B"/>
    <w:rsid w:val="00130905"/>
    <w:rsid w:val="00131267"/>
    <w:rsid w:val="00132E3C"/>
    <w:rsid w:val="001334F9"/>
    <w:rsid w:val="00136311"/>
    <w:rsid w:val="00145B7F"/>
    <w:rsid w:val="001462BA"/>
    <w:rsid w:val="001464DB"/>
    <w:rsid w:val="001516BD"/>
    <w:rsid w:val="00153F20"/>
    <w:rsid w:val="00154433"/>
    <w:rsid w:val="00156E4D"/>
    <w:rsid w:val="00161573"/>
    <w:rsid w:val="00161FF0"/>
    <w:rsid w:val="0016242C"/>
    <w:rsid w:val="00167838"/>
    <w:rsid w:val="00172704"/>
    <w:rsid w:val="00172A27"/>
    <w:rsid w:val="00172BDB"/>
    <w:rsid w:val="00173C7B"/>
    <w:rsid w:val="00174572"/>
    <w:rsid w:val="00174CE1"/>
    <w:rsid w:val="00191415"/>
    <w:rsid w:val="00191EC5"/>
    <w:rsid w:val="00191F05"/>
    <w:rsid w:val="001A03D1"/>
    <w:rsid w:val="001A0B12"/>
    <w:rsid w:val="001A175A"/>
    <w:rsid w:val="001A43E4"/>
    <w:rsid w:val="001A5C84"/>
    <w:rsid w:val="001A72CD"/>
    <w:rsid w:val="001B1BC5"/>
    <w:rsid w:val="001B1FBD"/>
    <w:rsid w:val="001B2B86"/>
    <w:rsid w:val="001B6049"/>
    <w:rsid w:val="001B60B7"/>
    <w:rsid w:val="001B7D42"/>
    <w:rsid w:val="001C05B8"/>
    <w:rsid w:val="001C1E29"/>
    <w:rsid w:val="001C2342"/>
    <w:rsid w:val="001C57A1"/>
    <w:rsid w:val="001C6286"/>
    <w:rsid w:val="001C7783"/>
    <w:rsid w:val="001C78C0"/>
    <w:rsid w:val="001D13FE"/>
    <w:rsid w:val="001D2278"/>
    <w:rsid w:val="001D2514"/>
    <w:rsid w:val="001D298F"/>
    <w:rsid w:val="001D310B"/>
    <w:rsid w:val="001D3E46"/>
    <w:rsid w:val="001D6659"/>
    <w:rsid w:val="001E286F"/>
    <w:rsid w:val="001E7D9B"/>
    <w:rsid w:val="001F1BB4"/>
    <w:rsid w:val="001F6025"/>
    <w:rsid w:val="001F6A47"/>
    <w:rsid w:val="001F7046"/>
    <w:rsid w:val="00207B9E"/>
    <w:rsid w:val="00210328"/>
    <w:rsid w:val="0021062C"/>
    <w:rsid w:val="00210D04"/>
    <w:rsid w:val="00212523"/>
    <w:rsid w:val="00217DA2"/>
    <w:rsid w:val="002218DC"/>
    <w:rsid w:val="00222011"/>
    <w:rsid w:val="0022431C"/>
    <w:rsid w:val="00224362"/>
    <w:rsid w:val="002262EF"/>
    <w:rsid w:val="00227396"/>
    <w:rsid w:val="00227A3F"/>
    <w:rsid w:val="00231E08"/>
    <w:rsid w:val="002343F1"/>
    <w:rsid w:val="002347E3"/>
    <w:rsid w:val="0023687C"/>
    <w:rsid w:val="00241666"/>
    <w:rsid w:val="00241FDB"/>
    <w:rsid w:val="0024242A"/>
    <w:rsid w:val="00245CA6"/>
    <w:rsid w:val="002460A1"/>
    <w:rsid w:val="002461F4"/>
    <w:rsid w:val="00246979"/>
    <w:rsid w:val="00246EBA"/>
    <w:rsid w:val="00250A99"/>
    <w:rsid w:val="0025195C"/>
    <w:rsid w:val="00251B08"/>
    <w:rsid w:val="00252126"/>
    <w:rsid w:val="00252E6A"/>
    <w:rsid w:val="002542EC"/>
    <w:rsid w:val="002575F6"/>
    <w:rsid w:val="002621F4"/>
    <w:rsid w:val="00262F9C"/>
    <w:rsid w:val="00270256"/>
    <w:rsid w:val="00270713"/>
    <w:rsid w:val="002716FA"/>
    <w:rsid w:val="00271F2F"/>
    <w:rsid w:val="00271FD7"/>
    <w:rsid w:val="00272E83"/>
    <w:rsid w:val="002747DA"/>
    <w:rsid w:val="00275014"/>
    <w:rsid w:val="00275AF1"/>
    <w:rsid w:val="00276312"/>
    <w:rsid w:val="00283FAE"/>
    <w:rsid w:val="0028707A"/>
    <w:rsid w:val="00287963"/>
    <w:rsid w:val="00290D12"/>
    <w:rsid w:val="00291426"/>
    <w:rsid w:val="00294DB5"/>
    <w:rsid w:val="002A03D6"/>
    <w:rsid w:val="002A167D"/>
    <w:rsid w:val="002A2724"/>
    <w:rsid w:val="002A3223"/>
    <w:rsid w:val="002A3409"/>
    <w:rsid w:val="002A4170"/>
    <w:rsid w:val="002A6B7B"/>
    <w:rsid w:val="002B2EC2"/>
    <w:rsid w:val="002B315A"/>
    <w:rsid w:val="002B3A04"/>
    <w:rsid w:val="002B70C2"/>
    <w:rsid w:val="002B76FA"/>
    <w:rsid w:val="002C0814"/>
    <w:rsid w:val="002C422D"/>
    <w:rsid w:val="002C4B54"/>
    <w:rsid w:val="002C6007"/>
    <w:rsid w:val="002D0452"/>
    <w:rsid w:val="002D295C"/>
    <w:rsid w:val="002D300C"/>
    <w:rsid w:val="002E0B3B"/>
    <w:rsid w:val="002E2429"/>
    <w:rsid w:val="002E2C8B"/>
    <w:rsid w:val="002E37C3"/>
    <w:rsid w:val="002E396B"/>
    <w:rsid w:val="002E526E"/>
    <w:rsid w:val="002E66E3"/>
    <w:rsid w:val="002E756A"/>
    <w:rsid w:val="002F593D"/>
    <w:rsid w:val="0030092F"/>
    <w:rsid w:val="0030361D"/>
    <w:rsid w:val="00311711"/>
    <w:rsid w:val="00314138"/>
    <w:rsid w:val="00321157"/>
    <w:rsid w:val="003243B9"/>
    <w:rsid w:val="0033026E"/>
    <w:rsid w:val="00330F6A"/>
    <w:rsid w:val="0033238E"/>
    <w:rsid w:val="003340B9"/>
    <w:rsid w:val="003344B4"/>
    <w:rsid w:val="00334EA4"/>
    <w:rsid w:val="00335686"/>
    <w:rsid w:val="00336B5E"/>
    <w:rsid w:val="00337CD3"/>
    <w:rsid w:val="003406E6"/>
    <w:rsid w:val="00341541"/>
    <w:rsid w:val="00341613"/>
    <w:rsid w:val="00344D02"/>
    <w:rsid w:val="00346084"/>
    <w:rsid w:val="00347671"/>
    <w:rsid w:val="0035105E"/>
    <w:rsid w:val="00351D1D"/>
    <w:rsid w:val="00355F1A"/>
    <w:rsid w:val="00356830"/>
    <w:rsid w:val="003578D4"/>
    <w:rsid w:val="00362042"/>
    <w:rsid w:val="003646D6"/>
    <w:rsid w:val="00364DEE"/>
    <w:rsid w:val="00367F88"/>
    <w:rsid w:val="00374EE8"/>
    <w:rsid w:val="003767BE"/>
    <w:rsid w:val="00383AF3"/>
    <w:rsid w:val="00383F20"/>
    <w:rsid w:val="00384F8A"/>
    <w:rsid w:val="003855CA"/>
    <w:rsid w:val="0038765C"/>
    <w:rsid w:val="003906CE"/>
    <w:rsid w:val="0039097E"/>
    <w:rsid w:val="00390A86"/>
    <w:rsid w:val="00391F39"/>
    <w:rsid w:val="00392B2B"/>
    <w:rsid w:val="00394300"/>
    <w:rsid w:val="003A0482"/>
    <w:rsid w:val="003A11B2"/>
    <w:rsid w:val="003A2C9B"/>
    <w:rsid w:val="003A358C"/>
    <w:rsid w:val="003A6A61"/>
    <w:rsid w:val="003A7189"/>
    <w:rsid w:val="003A7FDC"/>
    <w:rsid w:val="003B24F0"/>
    <w:rsid w:val="003B27BE"/>
    <w:rsid w:val="003B2F2B"/>
    <w:rsid w:val="003B71A2"/>
    <w:rsid w:val="003C0B0F"/>
    <w:rsid w:val="003C1478"/>
    <w:rsid w:val="003C389F"/>
    <w:rsid w:val="003C4674"/>
    <w:rsid w:val="003C4835"/>
    <w:rsid w:val="003D0616"/>
    <w:rsid w:val="003D1C93"/>
    <w:rsid w:val="003D2327"/>
    <w:rsid w:val="003D30F6"/>
    <w:rsid w:val="003D3D21"/>
    <w:rsid w:val="003D5686"/>
    <w:rsid w:val="003D6848"/>
    <w:rsid w:val="003E245A"/>
    <w:rsid w:val="003E2E37"/>
    <w:rsid w:val="003E4F36"/>
    <w:rsid w:val="003E6542"/>
    <w:rsid w:val="003F002F"/>
    <w:rsid w:val="003F0E66"/>
    <w:rsid w:val="003F7CBE"/>
    <w:rsid w:val="00400552"/>
    <w:rsid w:val="0040183B"/>
    <w:rsid w:val="0040541A"/>
    <w:rsid w:val="00414D02"/>
    <w:rsid w:val="00415917"/>
    <w:rsid w:val="00417EF5"/>
    <w:rsid w:val="004209F6"/>
    <w:rsid w:val="00422806"/>
    <w:rsid w:val="0042309D"/>
    <w:rsid w:val="00424138"/>
    <w:rsid w:val="00425DC3"/>
    <w:rsid w:val="0043126E"/>
    <w:rsid w:val="00431D70"/>
    <w:rsid w:val="004328F2"/>
    <w:rsid w:val="00434BC4"/>
    <w:rsid w:val="0043620A"/>
    <w:rsid w:val="00436DD0"/>
    <w:rsid w:val="0044034B"/>
    <w:rsid w:val="00440A59"/>
    <w:rsid w:val="00440B77"/>
    <w:rsid w:val="00440CDC"/>
    <w:rsid w:val="004411F8"/>
    <w:rsid w:val="004456DF"/>
    <w:rsid w:val="00445A63"/>
    <w:rsid w:val="00445E40"/>
    <w:rsid w:val="0044692B"/>
    <w:rsid w:val="00446A15"/>
    <w:rsid w:val="0045026A"/>
    <w:rsid w:val="00450E25"/>
    <w:rsid w:val="004518B2"/>
    <w:rsid w:val="004518F1"/>
    <w:rsid w:val="00451F9A"/>
    <w:rsid w:val="00455356"/>
    <w:rsid w:val="00456815"/>
    <w:rsid w:val="00457148"/>
    <w:rsid w:val="00460016"/>
    <w:rsid w:val="004605B9"/>
    <w:rsid w:val="00460799"/>
    <w:rsid w:val="00464DE9"/>
    <w:rsid w:val="004664F3"/>
    <w:rsid w:val="00466AB4"/>
    <w:rsid w:val="004703C9"/>
    <w:rsid w:val="00470E6F"/>
    <w:rsid w:val="0047222A"/>
    <w:rsid w:val="004732F4"/>
    <w:rsid w:val="00474422"/>
    <w:rsid w:val="00481A10"/>
    <w:rsid w:val="0048399A"/>
    <w:rsid w:val="00484F9C"/>
    <w:rsid w:val="00485B37"/>
    <w:rsid w:val="004868F3"/>
    <w:rsid w:val="004875B9"/>
    <w:rsid w:val="0049039F"/>
    <w:rsid w:val="004920B1"/>
    <w:rsid w:val="00493B71"/>
    <w:rsid w:val="00494821"/>
    <w:rsid w:val="004A7CA6"/>
    <w:rsid w:val="004B0E69"/>
    <w:rsid w:val="004B2381"/>
    <w:rsid w:val="004B62CE"/>
    <w:rsid w:val="004B6649"/>
    <w:rsid w:val="004B7131"/>
    <w:rsid w:val="004C1AE1"/>
    <w:rsid w:val="004C3B8E"/>
    <w:rsid w:val="004C479C"/>
    <w:rsid w:val="004C4C06"/>
    <w:rsid w:val="004C4FB6"/>
    <w:rsid w:val="004C5CD3"/>
    <w:rsid w:val="004C6E50"/>
    <w:rsid w:val="004D2C3A"/>
    <w:rsid w:val="004D4365"/>
    <w:rsid w:val="004D4B0B"/>
    <w:rsid w:val="004D7473"/>
    <w:rsid w:val="004E0591"/>
    <w:rsid w:val="004E09BA"/>
    <w:rsid w:val="004E25E7"/>
    <w:rsid w:val="004E3541"/>
    <w:rsid w:val="004E4B29"/>
    <w:rsid w:val="004E6875"/>
    <w:rsid w:val="004E6EFD"/>
    <w:rsid w:val="004F0049"/>
    <w:rsid w:val="004F0F8C"/>
    <w:rsid w:val="004F2F89"/>
    <w:rsid w:val="004F4178"/>
    <w:rsid w:val="004F42AF"/>
    <w:rsid w:val="004F4DD8"/>
    <w:rsid w:val="004F60EE"/>
    <w:rsid w:val="004F648B"/>
    <w:rsid w:val="005009FA"/>
    <w:rsid w:val="00507792"/>
    <w:rsid w:val="00511A88"/>
    <w:rsid w:val="005141D8"/>
    <w:rsid w:val="00515AC2"/>
    <w:rsid w:val="0052249B"/>
    <w:rsid w:val="0052311E"/>
    <w:rsid w:val="005251D3"/>
    <w:rsid w:val="005258FD"/>
    <w:rsid w:val="00525B97"/>
    <w:rsid w:val="0052799F"/>
    <w:rsid w:val="005279EE"/>
    <w:rsid w:val="00530D8D"/>
    <w:rsid w:val="00530EAF"/>
    <w:rsid w:val="00532C2A"/>
    <w:rsid w:val="00533885"/>
    <w:rsid w:val="00535F16"/>
    <w:rsid w:val="00537917"/>
    <w:rsid w:val="00537C77"/>
    <w:rsid w:val="00540A0B"/>
    <w:rsid w:val="00541D57"/>
    <w:rsid w:val="00542B4E"/>
    <w:rsid w:val="00544D58"/>
    <w:rsid w:val="00553A53"/>
    <w:rsid w:val="00555A12"/>
    <w:rsid w:val="0055623A"/>
    <w:rsid w:val="00557766"/>
    <w:rsid w:val="005627E1"/>
    <w:rsid w:val="00562AAB"/>
    <w:rsid w:val="00564260"/>
    <w:rsid w:val="00566254"/>
    <w:rsid w:val="0056729A"/>
    <w:rsid w:val="00572A55"/>
    <w:rsid w:val="0057793C"/>
    <w:rsid w:val="00584049"/>
    <w:rsid w:val="00590FFC"/>
    <w:rsid w:val="0059215A"/>
    <w:rsid w:val="00592F92"/>
    <w:rsid w:val="00594153"/>
    <w:rsid w:val="00595381"/>
    <w:rsid w:val="00595B31"/>
    <w:rsid w:val="005967F3"/>
    <w:rsid w:val="0059758A"/>
    <w:rsid w:val="005A00AB"/>
    <w:rsid w:val="005A05E9"/>
    <w:rsid w:val="005A0F5E"/>
    <w:rsid w:val="005A52A4"/>
    <w:rsid w:val="005A628C"/>
    <w:rsid w:val="005A73EC"/>
    <w:rsid w:val="005B0CBB"/>
    <w:rsid w:val="005B0DBE"/>
    <w:rsid w:val="005B116F"/>
    <w:rsid w:val="005B3217"/>
    <w:rsid w:val="005B6B3B"/>
    <w:rsid w:val="005C022D"/>
    <w:rsid w:val="005C0A3B"/>
    <w:rsid w:val="005C0A9E"/>
    <w:rsid w:val="005C1794"/>
    <w:rsid w:val="005C2586"/>
    <w:rsid w:val="005C2BFF"/>
    <w:rsid w:val="005C3F97"/>
    <w:rsid w:val="005D375E"/>
    <w:rsid w:val="005D685C"/>
    <w:rsid w:val="005D78A7"/>
    <w:rsid w:val="005E2C99"/>
    <w:rsid w:val="005E59EB"/>
    <w:rsid w:val="005E60B8"/>
    <w:rsid w:val="005E74BB"/>
    <w:rsid w:val="005F02AB"/>
    <w:rsid w:val="005F174E"/>
    <w:rsid w:val="005F2491"/>
    <w:rsid w:val="005F6407"/>
    <w:rsid w:val="005F7278"/>
    <w:rsid w:val="005F78AB"/>
    <w:rsid w:val="00600981"/>
    <w:rsid w:val="006018D5"/>
    <w:rsid w:val="00601F8E"/>
    <w:rsid w:val="00602816"/>
    <w:rsid w:val="00603B27"/>
    <w:rsid w:val="006055D7"/>
    <w:rsid w:val="006118DD"/>
    <w:rsid w:val="00611FBF"/>
    <w:rsid w:val="00612031"/>
    <w:rsid w:val="00612811"/>
    <w:rsid w:val="0061426E"/>
    <w:rsid w:val="00615B59"/>
    <w:rsid w:val="0061774A"/>
    <w:rsid w:val="00623DE6"/>
    <w:rsid w:val="00624E61"/>
    <w:rsid w:val="006256A5"/>
    <w:rsid w:val="00626ED3"/>
    <w:rsid w:val="00627D52"/>
    <w:rsid w:val="00631B51"/>
    <w:rsid w:val="00631D1A"/>
    <w:rsid w:val="00633949"/>
    <w:rsid w:val="00633F1F"/>
    <w:rsid w:val="00634862"/>
    <w:rsid w:val="0063595D"/>
    <w:rsid w:val="0063607A"/>
    <w:rsid w:val="00641E07"/>
    <w:rsid w:val="00643BCC"/>
    <w:rsid w:val="006440D3"/>
    <w:rsid w:val="006450BF"/>
    <w:rsid w:val="00645E02"/>
    <w:rsid w:val="00647056"/>
    <w:rsid w:val="00647E65"/>
    <w:rsid w:val="0065067E"/>
    <w:rsid w:val="00653273"/>
    <w:rsid w:val="00657594"/>
    <w:rsid w:val="00657CE0"/>
    <w:rsid w:val="006606D6"/>
    <w:rsid w:val="0066099F"/>
    <w:rsid w:val="00661A9C"/>
    <w:rsid w:val="006632A9"/>
    <w:rsid w:val="00663D59"/>
    <w:rsid w:val="00672BFC"/>
    <w:rsid w:val="00673476"/>
    <w:rsid w:val="00676C04"/>
    <w:rsid w:val="00681986"/>
    <w:rsid w:val="00682593"/>
    <w:rsid w:val="00683210"/>
    <w:rsid w:val="00683DE1"/>
    <w:rsid w:val="0068559A"/>
    <w:rsid w:val="00691783"/>
    <w:rsid w:val="00692222"/>
    <w:rsid w:val="00693DE8"/>
    <w:rsid w:val="00695962"/>
    <w:rsid w:val="006A0A7E"/>
    <w:rsid w:val="006A278F"/>
    <w:rsid w:val="006A67C3"/>
    <w:rsid w:val="006A763A"/>
    <w:rsid w:val="006A7773"/>
    <w:rsid w:val="006B41C0"/>
    <w:rsid w:val="006B6A72"/>
    <w:rsid w:val="006C4075"/>
    <w:rsid w:val="006D09C4"/>
    <w:rsid w:val="006D1646"/>
    <w:rsid w:val="006D2F11"/>
    <w:rsid w:val="006D3593"/>
    <w:rsid w:val="006D37F5"/>
    <w:rsid w:val="006D4A48"/>
    <w:rsid w:val="006D52D6"/>
    <w:rsid w:val="006D549D"/>
    <w:rsid w:val="006D7BD5"/>
    <w:rsid w:val="006E0844"/>
    <w:rsid w:val="006E1CD9"/>
    <w:rsid w:val="006E2701"/>
    <w:rsid w:val="006E2992"/>
    <w:rsid w:val="006E3155"/>
    <w:rsid w:val="006E4021"/>
    <w:rsid w:val="006E542A"/>
    <w:rsid w:val="006E5A36"/>
    <w:rsid w:val="006E6709"/>
    <w:rsid w:val="006F1614"/>
    <w:rsid w:val="006F177A"/>
    <w:rsid w:val="006F18A8"/>
    <w:rsid w:val="006F2464"/>
    <w:rsid w:val="006F2EAC"/>
    <w:rsid w:val="006F4C76"/>
    <w:rsid w:val="006F6406"/>
    <w:rsid w:val="006F6C4C"/>
    <w:rsid w:val="00700BD9"/>
    <w:rsid w:val="0070200D"/>
    <w:rsid w:val="007021C3"/>
    <w:rsid w:val="00702267"/>
    <w:rsid w:val="0070377D"/>
    <w:rsid w:val="00704CAD"/>
    <w:rsid w:val="00705739"/>
    <w:rsid w:val="0070616F"/>
    <w:rsid w:val="007135D0"/>
    <w:rsid w:val="007138D4"/>
    <w:rsid w:val="00715B4D"/>
    <w:rsid w:val="00715D95"/>
    <w:rsid w:val="00722AE5"/>
    <w:rsid w:val="00723AF2"/>
    <w:rsid w:val="00724A24"/>
    <w:rsid w:val="00724B1F"/>
    <w:rsid w:val="00726904"/>
    <w:rsid w:val="0072739E"/>
    <w:rsid w:val="0073023E"/>
    <w:rsid w:val="00730509"/>
    <w:rsid w:val="00731285"/>
    <w:rsid w:val="00732C32"/>
    <w:rsid w:val="00734E42"/>
    <w:rsid w:val="00735B56"/>
    <w:rsid w:val="00737A90"/>
    <w:rsid w:val="00741CBD"/>
    <w:rsid w:val="00741F87"/>
    <w:rsid w:val="00745ACE"/>
    <w:rsid w:val="00746C81"/>
    <w:rsid w:val="00747715"/>
    <w:rsid w:val="00751838"/>
    <w:rsid w:val="007526B9"/>
    <w:rsid w:val="00760F70"/>
    <w:rsid w:val="0076142C"/>
    <w:rsid w:val="00761AFB"/>
    <w:rsid w:val="00761FBC"/>
    <w:rsid w:val="00763A93"/>
    <w:rsid w:val="00764071"/>
    <w:rsid w:val="007641FC"/>
    <w:rsid w:val="00764D23"/>
    <w:rsid w:val="007651C8"/>
    <w:rsid w:val="007661E8"/>
    <w:rsid w:val="00766782"/>
    <w:rsid w:val="0076695D"/>
    <w:rsid w:val="00770DFD"/>
    <w:rsid w:val="00772586"/>
    <w:rsid w:val="00772A4D"/>
    <w:rsid w:val="00772FD1"/>
    <w:rsid w:val="00773682"/>
    <w:rsid w:val="007736C2"/>
    <w:rsid w:val="007741AE"/>
    <w:rsid w:val="007749F1"/>
    <w:rsid w:val="00775CCF"/>
    <w:rsid w:val="00777B30"/>
    <w:rsid w:val="00777D5B"/>
    <w:rsid w:val="00780206"/>
    <w:rsid w:val="00791D50"/>
    <w:rsid w:val="00791DCF"/>
    <w:rsid w:val="0079246D"/>
    <w:rsid w:val="00792F21"/>
    <w:rsid w:val="00793D80"/>
    <w:rsid w:val="00794611"/>
    <w:rsid w:val="00796AC3"/>
    <w:rsid w:val="0079702C"/>
    <w:rsid w:val="007A2499"/>
    <w:rsid w:val="007A583C"/>
    <w:rsid w:val="007A5E2B"/>
    <w:rsid w:val="007A6020"/>
    <w:rsid w:val="007A611B"/>
    <w:rsid w:val="007A70B3"/>
    <w:rsid w:val="007A7674"/>
    <w:rsid w:val="007B0E63"/>
    <w:rsid w:val="007B1BD4"/>
    <w:rsid w:val="007B25C8"/>
    <w:rsid w:val="007B4403"/>
    <w:rsid w:val="007B5419"/>
    <w:rsid w:val="007B5844"/>
    <w:rsid w:val="007B6857"/>
    <w:rsid w:val="007C183A"/>
    <w:rsid w:val="007C4B48"/>
    <w:rsid w:val="007D069B"/>
    <w:rsid w:val="007D187F"/>
    <w:rsid w:val="007D21CF"/>
    <w:rsid w:val="007D2EEC"/>
    <w:rsid w:val="007D375F"/>
    <w:rsid w:val="007D3AED"/>
    <w:rsid w:val="007D4B30"/>
    <w:rsid w:val="007D758A"/>
    <w:rsid w:val="007E193F"/>
    <w:rsid w:val="007E3743"/>
    <w:rsid w:val="007F1311"/>
    <w:rsid w:val="007F1A62"/>
    <w:rsid w:val="007F28DC"/>
    <w:rsid w:val="007F3A78"/>
    <w:rsid w:val="007F460D"/>
    <w:rsid w:val="00801A25"/>
    <w:rsid w:val="0080379F"/>
    <w:rsid w:val="00805B23"/>
    <w:rsid w:val="00806BF6"/>
    <w:rsid w:val="00807819"/>
    <w:rsid w:val="00807AF9"/>
    <w:rsid w:val="0081081D"/>
    <w:rsid w:val="00813F93"/>
    <w:rsid w:val="0081571E"/>
    <w:rsid w:val="0081648D"/>
    <w:rsid w:val="008174BB"/>
    <w:rsid w:val="008177C5"/>
    <w:rsid w:val="00820424"/>
    <w:rsid w:val="00820B36"/>
    <w:rsid w:val="0082122C"/>
    <w:rsid w:val="00821E5C"/>
    <w:rsid w:val="00824A52"/>
    <w:rsid w:val="00825FAD"/>
    <w:rsid w:val="0082668C"/>
    <w:rsid w:val="00827D1F"/>
    <w:rsid w:val="00830604"/>
    <w:rsid w:val="0083606B"/>
    <w:rsid w:val="00837994"/>
    <w:rsid w:val="008406C9"/>
    <w:rsid w:val="008424DE"/>
    <w:rsid w:val="00843CEE"/>
    <w:rsid w:val="0084404B"/>
    <w:rsid w:val="00844383"/>
    <w:rsid w:val="00845462"/>
    <w:rsid w:val="00845CC9"/>
    <w:rsid w:val="00850C0E"/>
    <w:rsid w:val="00850E6D"/>
    <w:rsid w:val="0085255A"/>
    <w:rsid w:val="0085375F"/>
    <w:rsid w:val="008538A1"/>
    <w:rsid w:val="00853C9C"/>
    <w:rsid w:val="00854054"/>
    <w:rsid w:val="008554D6"/>
    <w:rsid w:val="00855BAD"/>
    <w:rsid w:val="00856764"/>
    <w:rsid w:val="008604E3"/>
    <w:rsid w:val="008605EC"/>
    <w:rsid w:val="00860CB0"/>
    <w:rsid w:val="008617E1"/>
    <w:rsid w:val="00862198"/>
    <w:rsid w:val="00865A7C"/>
    <w:rsid w:val="0086625C"/>
    <w:rsid w:val="008710FD"/>
    <w:rsid w:val="008714B9"/>
    <w:rsid w:val="0087234F"/>
    <w:rsid w:val="008725E3"/>
    <w:rsid w:val="008743E3"/>
    <w:rsid w:val="00876A8D"/>
    <w:rsid w:val="00880B77"/>
    <w:rsid w:val="00882330"/>
    <w:rsid w:val="0088351B"/>
    <w:rsid w:val="00883910"/>
    <w:rsid w:val="00883BDA"/>
    <w:rsid w:val="00884D2D"/>
    <w:rsid w:val="00885618"/>
    <w:rsid w:val="00886924"/>
    <w:rsid w:val="00890BCE"/>
    <w:rsid w:val="00893BEB"/>
    <w:rsid w:val="00894186"/>
    <w:rsid w:val="00894994"/>
    <w:rsid w:val="00895D21"/>
    <w:rsid w:val="008968B9"/>
    <w:rsid w:val="008973D6"/>
    <w:rsid w:val="00897440"/>
    <w:rsid w:val="008A0FA3"/>
    <w:rsid w:val="008A375D"/>
    <w:rsid w:val="008A4F87"/>
    <w:rsid w:val="008A5935"/>
    <w:rsid w:val="008A5BE9"/>
    <w:rsid w:val="008A5F0D"/>
    <w:rsid w:val="008B38AB"/>
    <w:rsid w:val="008B5A48"/>
    <w:rsid w:val="008B6702"/>
    <w:rsid w:val="008B7571"/>
    <w:rsid w:val="008C02BC"/>
    <w:rsid w:val="008C455C"/>
    <w:rsid w:val="008C7076"/>
    <w:rsid w:val="008C7405"/>
    <w:rsid w:val="008D16B3"/>
    <w:rsid w:val="008D228C"/>
    <w:rsid w:val="008D310E"/>
    <w:rsid w:val="008D3172"/>
    <w:rsid w:val="008E01EE"/>
    <w:rsid w:val="008E11FD"/>
    <w:rsid w:val="008E2015"/>
    <w:rsid w:val="008E302D"/>
    <w:rsid w:val="008E44C9"/>
    <w:rsid w:val="008E4FEA"/>
    <w:rsid w:val="008E6CF1"/>
    <w:rsid w:val="008E7C0C"/>
    <w:rsid w:val="008F1C7D"/>
    <w:rsid w:val="008F4BB7"/>
    <w:rsid w:val="008F5551"/>
    <w:rsid w:val="008F7029"/>
    <w:rsid w:val="008F72E6"/>
    <w:rsid w:val="00900A03"/>
    <w:rsid w:val="00902579"/>
    <w:rsid w:val="00903CEA"/>
    <w:rsid w:val="00905257"/>
    <w:rsid w:val="00906893"/>
    <w:rsid w:val="00912308"/>
    <w:rsid w:val="009134E2"/>
    <w:rsid w:val="009147F6"/>
    <w:rsid w:val="00916548"/>
    <w:rsid w:val="00920852"/>
    <w:rsid w:val="00923406"/>
    <w:rsid w:val="0092479F"/>
    <w:rsid w:val="00924A9A"/>
    <w:rsid w:val="00924C47"/>
    <w:rsid w:val="009276A7"/>
    <w:rsid w:val="0093417D"/>
    <w:rsid w:val="00934410"/>
    <w:rsid w:val="009364C4"/>
    <w:rsid w:val="00940FB7"/>
    <w:rsid w:val="00941137"/>
    <w:rsid w:val="009419A8"/>
    <w:rsid w:val="00943B59"/>
    <w:rsid w:val="00946790"/>
    <w:rsid w:val="00950F7E"/>
    <w:rsid w:val="009512EC"/>
    <w:rsid w:val="0095625B"/>
    <w:rsid w:val="0095679B"/>
    <w:rsid w:val="00957842"/>
    <w:rsid w:val="0096043A"/>
    <w:rsid w:val="009627B0"/>
    <w:rsid w:val="00962B62"/>
    <w:rsid w:val="00962EAC"/>
    <w:rsid w:val="009632C1"/>
    <w:rsid w:val="00966CAF"/>
    <w:rsid w:val="009711F3"/>
    <w:rsid w:val="009745FF"/>
    <w:rsid w:val="00981AD7"/>
    <w:rsid w:val="00983689"/>
    <w:rsid w:val="00985100"/>
    <w:rsid w:val="00986831"/>
    <w:rsid w:val="00986D46"/>
    <w:rsid w:val="0099345F"/>
    <w:rsid w:val="009955AF"/>
    <w:rsid w:val="009A04A0"/>
    <w:rsid w:val="009A1221"/>
    <w:rsid w:val="009A153D"/>
    <w:rsid w:val="009A2C45"/>
    <w:rsid w:val="009A2C5D"/>
    <w:rsid w:val="009A37EB"/>
    <w:rsid w:val="009A384F"/>
    <w:rsid w:val="009A47BB"/>
    <w:rsid w:val="009B063F"/>
    <w:rsid w:val="009B21E5"/>
    <w:rsid w:val="009B3DA0"/>
    <w:rsid w:val="009B5EDB"/>
    <w:rsid w:val="009B6BE1"/>
    <w:rsid w:val="009C11F8"/>
    <w:rsid w:val="009C2BC7"/>
    <w:rsid w:val="009C2F27"/>
    <w:rsid w:val="009C3BA8"/>
    <w:rsid w:val="009C6DF9"/>
    <w:rsid w:val="009D1C11"/>
    <w:rsid w:val="009D526A"/>
    <w:rsid w:val="009D7D40"/>
    <w:rsid w:val="009E027E"/>
    <w:rsid w:val="009E323E"/>
    <w:rsid w:val="009E4AA6"/>
    <w:rsid w:val="009E62A9"/>
    <w:rsid w:val="009E7200"/>
    <w:rsid w:val="009E7F67"/>
    <w:rsid w:val="009F05CE"/>
    <w:rsid w:val="009F3D9B"/>
    <w:rsid w:val="009F6685"/>
    <w:rsid w:val="009F7DEA"/>
    <w:rsid w:val="00A021FB"/>
    <w:rsid w:val="00A024F5"/>
    <w:rsid w:val="00A04625"/>
    <w:rsid w:val="00A06389"/>
    <w:rsid w:val="00A06689"/>
    <w:rsid w:val="00A070A9"/>
    <w:rsid w:val="00A072E7"/>
    <w:rsid w:val="00A11864"/>
    <w:rsid w:val="00A13188"/>
    <w:rsid w:val="00A14333"/>
    <w:rsid w:val="00A14E33"/>
    <w:rsid w:val="00A14E7A"/>
    <w:rsid w:val="00A15475"/>
    <w:rsid w:val="00A165AD"/>
    <w:rsid w:val="00A17921"/>
    <w:rsid w:val="00A21828"/>
    <w:rsid w:val="00A24297"/>
    <w:rsid w:val="00A342AE"/>
    <w:rsid w:val="00A35E29"/>
    <w:rsid w:val="00A36163"/>
    <w:rsid w:val="00A44173"/>
    <w:rsid w:val="00A446BE"/>
    <w:rsid w:val="00A4741C"/>
    <w:rsid w:val="00A508D7"/>
    <w:rsid w:val="00A51262"/>
    <w:rsid w:val="00A512FD"/>
    <w:rsid w:val="00A5686C"/>
    <w:rsid w:val="00A577CE"/>
    <w:rsid w:val="00A600EF"/>
    <w:rsid w:val="00A61AF3"/>
    <w:rsid w:val="00A628E6"/>
    <w:rsid w:val="00A62FBB"/>
    <w:rsid w:val="00A6453C"/>
    <w:rsid w:val="00A66470"/>
    <w:rsid w:val="00A714BB"/>
    <w:rsid w:val="00A743E1"/>
    <w:rsid w:val="00A8465D"/>
    <w:rsid w:val="00A8659D"/>
    <w:rsid w:val="00A86ACE"/>
    <w:rsid w:val="00A874CB"/>
    <w:rsid w:val="00A955DB"/>
    <w:rsid w:val="00A95828"/>
    <w:rsid w:val="00A96AE0"/>
    <w:rsid w:val="00AA0B50"/>
    <w:rsid w:val="00AA1679"/>
    <w:rsid w:val="00AA3807"/>
    <w:rsid w:val="00AA5350"/>
    <w:rsid w:val="00AA6141"/>
    <w:rsid w:val="00AA6B14"/>
    <w:rsid w:val="00AA7076"/>
    <w:rsid w:val="00AB0D9B"/>
    <w:rsid w:val="00AB6E17"/>
    <w:rsid w:val="00AB798F"/>
    <w:rsid w:val="00AB7D1C"/>
    <w:rsid w:val="00AC0D9A"/>
    <w:rsid w:val="00AC20C2"/>
    <w:rsid w:val="00AC2797"/>
    <w:rsid w:val="00AC531A"/>
    <w:rsid w:val="00AC683C"/>
    <w:rsid w:val="00AD08EF"/>
    <w:rsid w:val="00AD0FCF"/>
    <w:rsid w:val="00AD6AD9"/>
    <w:rsid w:val="00AE0DD5"/>
    <w:rsid w:val="00AE116A"/>
    <w:rsid w:val="00AE483D"/>
    <w:rsid w:val="00AE6ADB"/>
    <w:rsid w:val="00AE71EA"/>
    <w:rsid w:val="00AE72FE"/>
    <w:rsid w:val="00AF2DCD"/>
    <w:rsid w:val="00AF4326"/>
    <w:rsid w:val="00AF4E14"/>
    <w:rsid w:val="00AF6BE7"/>
    <w:rsid w:val="00B03C6B"/>
    <w:rsid w:val="00B041DD"/>
    <w:rsid w:val="00B06426"/>
    <w:rsid w:val="00B10808"/>
    <w:rsid w:val="00B11136"/>
    <w:rsid w:val="00B122D8"/>
    <w:rsid w:val="00B124A4"/>
    <w:rsid w:val="00B13C53"/>
    <w:rsid w:val="00B16249"/>
    <w:rsid w:val="00B17379"/>
    <w:rsid w:val="00B213E0"/>
    <w:rsid w:val="00B228CD"/>
    <w:rsid w:val="00B23238"/>
    <w:rsid w:val="00B25A56"/>
    <w:rsid w:val="00B33885"/>
    <w:rsid w:val="00B3569C"/>
    <w:rsid w:val="00B37C3E"/>
    <w:rsid w:val="00B41A87"/>
    <w:rsid w:val="00B448D8"/>
    <w:rsid w:val="00B5051D"/>
    <w:rsid w:val="00B5150B"/>
    <w:rsid w:val="00B528DA"/>
    <w:rsid w:val="00B52DB8"/>
    <w:rsid w:val="00B5321A"/>
    <w:rsid w:val="00B53C85"/>
    <w:rsid w:val="00B54295"/>
    <w:rsid w:val="00B5689F"/>
    <w:rsid w:val="00B609B9"/>
    <w:rsid w:val="00B61007"/>
    <w:rsid w:val="00B64AD2"/>
    <w:rsid w:val="00B668FC"/>
    <w:rsid w:val="00B66A04"/>
    <w:rsid w:val="00B66D8F"/>
    <w:rsid w:val="00B676CF"/>
    <w:rsid w:val="00B67811"/>
    <w:rsid w:val="00B70372"/>
    <w:rsid w:val="00B7068C"/>
    <w:rsid w:val="00B70A43"/>
    <w:rsid w:val="00B75AE3"/>
    <w:rsid w:val="00B76E96"/>
    <w:rsid w:val="00B809B0"/>
    <w:rsid w:val="00B80CE5"/>
    <w:rsid w:val="00B81C14"/>
    <w:rsid w:val="00B82A09"/>
    <w:rsid w:val="00B82AC1"/>
    <w:rsid w:val="00B830C2"/>
    <w:rsid w:val="00B85C25"/>
    <w:rsid w:val="00B86155"/>
    <w:rsid w:val="00B87354"/>
    <w:rsid w:val="00B91867"/>
    <w:rsid w:val="00B92422"/>
    <w:rsid w:val="00B929EC"/>
    <w:rsid w:val="00B92FD9"/>
    <w:rsid w:val="00B969EC"/>
    <w:rsid w:val="00BA0EB8"/>
    <w:rsid w:val="00BA4F98"/>
    <w:rsid w:val="00BB16EA"/>
    <w:rsid w:val="00BB1B0B"/>
    <w:rsid w:val="00BB217C"/>
    <w:rsid w:val="00BB5653"/>
    <w:rsid w:val="00BB78DB"/>
    <w:rsid w:val="00BC0230"/>
    <w:rsid w:val="00BC2B5E"/>
    <w:rsid w:val="00BC2D85"/>
    <w:rsid w:val="00BC4FC0"/>
    <w:rsid w:val="00BC56F3"/>
    <w:rsid w:val="00BC5F1A"/>
    <w:rsid w:val="00BC5F57"/>
    <w:rsid w:val="00BC64EE"/>
    <w:rsid w:val="00BD1701"/>
    <w:rsid w:val="00BD56F4"/>
    <w:rsid w:val="00BD60C1"/>
    <w:rsid w:val="00BD6C0E"/>
    <w:rsid w:val="00BE426F"/>
    <w:rsid w:val="00BE633C"/>
    <w:rsid w:val="00BE65A0"/>
    <w:rsid w:val="00BF0560"/>
    <w:rsid w:val="00BF06EA"/>
    <w:rsid w:val="00BF1BB6"/>
    <w:rsid w:val="00BF4F39"/>
    <w:rsid w:val="00BF563D"/>
    <w:rsid w:val="00BF6B8A"/>
    <w:rsid w:val="00C01F79"/>
    <w:rsid w:val="00C023A3"/>
    <w:rsid w:val="00C03471"/>
    <w:rsid w:val="00C0604D"/>
    <w:rsid w:val="00C07620"/>
    <w:rsid w:val="00C14CC6"/>
    <w:rsid w:val="00C230D8"/>
    <w:rsid w:val="00C23EDB"/>
    <w:rsid w:val="00C26B34"/>
    <w:rsid w:val="00C2793C"/>
    <w:rsid w:val="00C3305A"/>
    <w:rsid w:val="00C348A9"/>
    <w:rsid w:val="00C34F50"/>
    <w:rsid w:val="00C37A0A"/>
    <w:rsid w:val="00C473EE"/>
    <w:rsid w:val="00C47B23"/>
    <w:rsid w:val="00C524B4"/>
    <w:rsid w:val="00C5271E"/>
    <w:rsid w:val="00C548B0"/>
    <w:rsid w:val="00C56511"/>
    <w:rsid w:val="00C61F6B"/>
    <w:rsid w:val="00C65BAA"/>
    <w:rsid w:val="00C76692"/>
    <w:rsid w:val="00C76BA7"/>
    <w:rsid w:val="00C803D3"/>
    <w:rsid w:val="00C8105C"/>
    <w:rsid w:val="00C82442"/>
    <w:rsid w:val="00C8504C"/>
    <w:rsid w:val="00C86842"/>
    <w:rsid w:val="00C90946"/>
    <w:rsid w:val="00C90B86"/>
    <w:rsid w:val="00C92092"/>
    <w:rsid w:val="00C94199"/>
    <w:rsid w:val="00C962FE"/>
    <w:rsid w:val="00CA1C33"/>
    <w:rsid w:val="00CA3400"/>
    <w:rsid w:val="00CA544D"/>
    <w:rsid w:val="00CA7C98"/>
    <w:rsid w:val="00CB09AD"/>
    <w:rsid w:val="00CB135A"/>
    <w:rsid w:val="00CB3CD6"/>
    <w:rsid w:val="00CB3EBC"/>
    <w:rsid w:val="00CB44D8"/>
    <w:rsid w:val="00CB52D0"/>
    <w:rsid w:val="00CC08D4"/>
    <w:rsid w:val="00CC320A"/>
    <w:rsid w:val="00CC34CD"/>
    <w:rsid w:val="00CC4F1C"/>
    <w:rsid w:val="00CC5466"/>
    <w:rsid w:val="00CC5A36"/>
    <w:rsid w:val="00CD1965"/>
    <w:rsid w:val="00CD3CA4"/>
    <w:rsid w:val="00CD5FC5"/>
    <w:rsid w:val="00CE0448"/>
    <w:rsid w:val="00CE334F"/>
    <w:rsid w:val="00CE6423"/>
    <w:rsid w:val="00CF1359"/>
    <w:rsid w:val="00CF29A4"/>
    <w:rsid w:val="00CF2A55"/>
    <w:rsid w:val="00D005E8"/>
    <w:rsid w:val="00D0232A"/>
    <w:rsid w:val="00D0276E"/>
    <w:rsid w:val="00D03489"/>
    <w:rsid w:val="00D044B9"/>
    <w:rsid w:val="00D06AA3"/>
    <w:rsid w:val="00D070C1"/>
    <w:rsid w:val="00D107F5"/>
    <w:rsid w:val="00D2194F"/>
    <w:rsid w:val="00D238EF"/>
    <w:rsid w:val="00D267D7"/>
    <w:rsid w:val="00D27FD2"/>
    <w:rsid w:val="00D427FE"/>
    <w:rsid w:val="00D45EA9"/>
    <w:rsid w:val="00D50493"/>
    <w:rsid w:val="00D5229B"/>
    <w:rsid w:val="00D55A96"/>
    <w:rsid w:val="00D55EA3"/>
    <w:rsid w:val="00D55FFC"/>
    <w:rsid w:val="00D56389"/>
    <w:rsid w:val="00D632F1"/>
    <w:rsid w:val="00D6443D"/>
    <w:rsid w:val="00D66607"/>
    <w:rsid w:val="00D70F44"/>
    <w:rsid w:val="00D715F8"/>
    <w:rsid w:val="00D72D65"/>
    <w:rsid w:val="00D73015"/>
    <w:rsid w:val="00D76D25"/>
    <w:rsid w:val="00D775B8"/>
    <w:rsid w:val="00D77E84"/>
    <w:rsid w:val="00D77ECD"/>
    <w:rsid w:val="00D813DA"/>
    <w:rsid w:val="00D851FE"/>
    <w:rsid w:val="00D85688"/>
    <w:rsid w:val="00D86FCC"/>
    <w:rsid w:val="00D949D1"/>
    <w:rsid w:val="00D96034"/>
    <w:rsid w:val="00D96B2B"/>
    <w:rsid w:val="00D9739A"/>
    <w:rsid w:val="00DA0676"/>
    <w:rsid w:val="00DA40AB"/>
    <w:rsid w:val="00DA59FC"/>
    <w:rsid w:val="00DA7948"/>
    <w:rsid w:val="00DB4C53"/>
    <w:rsid w:val="00DB62B4"/>
    <w:rsid w:val="00DC252B"/>
    <w:rsid w:val="00DC3433"/>
    <w:rsid w:val="00DC5E1D"/>
    <w:rsid w:val="00DC6444"/>
    <w:rsid w:val="00DC66E4"/>
    <w:rsid w:val="00DD14ED"/>
    <w:rsid w:val="00DD32CD"/>
    <w:rsid w:val="00DD3926"/>
    <w:rsid w:val="00DD4261"/>
    <w:rsid w:val="00DD53D3"/>
    <w:rsid w:val="00DE06CE"/>
    <w:rsid w:val="00DE171D"/>
    <w:rsid w:val="00DE488F"/>
    <w:rsid w:val="00DE5468"/>
    <w:rsid w:val="00DE677E"/>
    <w:rsid w:val="00DF0733"/>
    <w:rsid w:val="00DF3625"/>
    <w:rsid w:val="00DF66B3"/>
    <w:rsid w:val="00DF6FB7"/>
    <w:rsid w:val="00E0048A"/>
    <w:rsid w:val="00E01DD3"/>
    <w:rsid w:val="00E03866"/>
    <w:rsid w:val="00E052A9"/>
    <w:rsid w:val="00E06A15"/>
    <w:rsid w:val="00E07047"/>
    <w:rsid w:val="00E07D73"/>
    <w:rsid w:val="00E1024E"/>
    <w:rsid w:val="00E103CC"/>
    <w:rsid w:val="00E10833"/>
    <w:rsid w:val="00E11249"/>
    <w:rsid w:val="00E12EDA"/>
    <w:rsid w:val="00E130AC"/>
    <w:rsid w:val="00E1359D"/>
    <w:rsid w:val="00E14C7F"/>
    <w:rsid w:val="00E15358"/>
    <w:rsid w:val="00E1558B"/>
    <w:rsid w:val="00E162E6"/>
    <w:rsid w:val="00E21745"/>
    <w:rsid w:val="00E21CCD"/>
    <w:rsid w:val="00E23060"/>
    <w:rsid w:val="00E24524"/>
    <w:rsid w:val="00E25836"/>
    <w:rsid w:val="00E25EDB"/>
    <w:rsid w:val="00E273D9"/>
    <w:rsid w:val="00E30C78"/>
    <w:rsid w:val="00E32A9B"/>
    <w:rsid w:val="00E37CFA"/>
    <w:rsid w:val="00E4272B"/>
    <w:rsid w:val="00E44A72"/>
    <w:rsid w:val="00E46237"/>
    <w:rsid w:val="00E46B45"/>
    <w:rsid w:val="00E54664"/>
    <w:rsid w:val="00E54E7A"/>
    <w:rsid w:val="00E57F89"/>
    <w:rsid w:val="00E60C93"/>
    <w:rsid w:val="00E612B7"/>
    <w:rsid w:val="00E63D46"/>
    <w:rsid w:val="00E64F38"/>
    <w:rsid w:val="00E6597F"/>
    <w:rsid w:val="00E70F68"/>
    <w:rsid w:val="00E73E48"/>
    <w:rsid w:val="00E74F1D"/>
    <w:rsid w:val="00E772D8"/>
    <w:rsid w:val="00E7765E"/>
    <w:rsid w:val="00E777C5"/>
    <w:rsid w:val="00E80A57"/>
    <w:rsid w:val="00E817AB"/>
    <w:rsid w:val="00E81CCF"/>
    <w:rsid w:val="00E824AA"/>
    <w:rsid w:val="00E82D33"/>
    <w:rsid w:val="00E8458A"/>
    <w:rsid w:val="00E85AE7"/>
    <w:rsid w:val="00E90C9A"/>
    <w:rsid w:val="00E92798"/>
    <w:rsid w:val="00E938D3"/>
    <w:rsid w:val="00E94AD8"/>
    <w:rsid w:val="00EA1E27"/>
    <w:rsid w:val="00EA744C"/>
    <w:rsid w:val="00EB1CB0"/>
    <w:rsid w:val="00EB470A"/>
    <w:rsid w:val="00EB4A8C"/>
    <w:rsid w:val="00EB4F27"/>
    <w:rsid w:val="00EB5DC2"/>
    <w:rsid w:val="00EC13F3"/>
    <w:rsid w:val="00EC4129"/>
    <w:rsid w:val="00EC43BE"/>
    <w:rsid w:val="00EC6394"/>
    <w:rsid w:val="00ED2207"/>
    <w:rsid w:val="00ED23C3"/>
    <w:rsid w:val="00ED2E5E"/>
    <w:rsid w:val="00ED5B8F"/>
    <w:rsid w:val="00ED7DCA"/>
    <w:rsid w:val="00EE0664"/>
    <w:rsid w:val="00EE14C4"/>
    <w:rsid w:val="00EE25FC"/>
    <w:rsid w:val="00EE4379"/>
    <w:rsid w:val="00EE6B7D"/>
    <w:rsid w:val="00EE745F"/>
    <w:rsid w:val="00EE7DA7"/>
    <w:rsid w:val="00EF0D26"/>
    <w:rsid w:val="00EF24D1"/>
    <w:rsid w:val="00EF2CA2"/>
    <w:rsid w:val="00EF345C"/>
    <w:rsid w:val="00EF34D3"/>
    <w:rsid w:val="00EF6447"/>
    <w:rsid w:val="00F01338"/>
    <w:rsid w:val="00F02572"/>
    <w:rsid w:val="00F0357D"/>
    <w:rsid w:val="00F03EE8"/>
    <w:rsid w:val="00F06DDC"/>
    <w:rsid w:val="00F07ED5"/>
    <w:rsid w:val="00F10951"/>
    <w:rsid w:val="00F11634"/>
    <w:rsid w:val="00F16041"/>
    <w:rsid w:val="00F162DF"/>
    <w:rsid w:val="00F16AFB"/>
    <w:rsid w:val="00F20F69"/>
    <w:rsid w:val="00F21B71"/>
    <w:rsid w:val="00F21BFC"/>
    <w:rsid w:val="00F23C3C"/>
    <w:rsid w:val="00F245DA"/>
    <w:rsid w:val="00F26309"/>
    <w:rsid w:val="00F264DD"/>
    <w:rsid w:val="00F2733E"/>
    <w:rsid w:val="00F332B2"/>
    <w:rsid w:val="00F342D4"/>
    <w:rsid w:val="00F34AC4"/>
    <w:rsid w:val="00F34F91"/>
    <w:rsid w:val="00F35050"/>
    <w:rsid w:val="00F42BE7"/>
    <w:rsid w:val="00F4539E"/>
    <w:rsid w:val="00F4585F"/>
    <w:rsid w:val="00F46BF1"/>
    <w:rsid w:val="00F50040"/>
    <w:rsid w:val="00F50B22"/>
    <w:rsid w:val="00F52674"/>
    <w:rsid w:val="00F527D4"/>
    <w:rsid w:val="00F55524"/>
    <w:rsid w:val="00F56E9E"/>
    <w:rsid w:val="00F57D08"/>
    <w:rsid w:val="00F60F9E"/>
    <w:rsid w:val="00F6219F"/>
    <w:rsid w:val="00F6232D"/>
    <w:rsid w:val="00F637DE"/>
    <w:rsid w:val="00F6487F"/>
    <w:rsid w:val="00F659AD"/>
    <w:rsid w:val="00F66B1B"/>
    <w:rsid w:val="00F721F8"/>
    <w:rsid w:val="00F72505"/>
    <w:rsid w:val="00F73C4D"/>
    <w:rsid w:val="00F74EF0"/>
    <w:rsid w:val="00F759FD"/>
    <w:rsid w:val="00F770B9"/>
    <w:rsid w:val="00F77538"/>
    <w:rsid w:val="00F81A02"/>
    <w:rsid w:val="00F848F1"/>
    <w:rsid w:val="00F850FE"/>
    <w:rsid w:val="00F8695A"/>
    <w:rsid w:val="00F903FB"/>
    <w:rsid w:val="00F90BE6"/>
    <w:rsid w:val="00F93957"/>
    <w:rsid w:val="00F94841"/>
    <w:rsid w:val="00F96718"/>
    <w:rsid w:val="00F96AAC"/>
    <w:rsid w:val="00FA0894"/>
    <w:rsid w:val="00FA0C98"/>
    <w:rsid w:val="00FA1F6E"/>
    <w:rsid w:val="00FA2CD7"/>
    <w:rsid w:val="00FA3642"/>
    <w:rsid w:val="00FA6647"/>
    <w:rsid w:val="00FA726B"/>
    <w:rsid w:val="00FB0A0E"/>
    <w:rsid w:val="00FB2340"/>
    <w:rsid w:val="00FB5CE0"/>
    <w:rsid w:val="00FB669D"/>
    <w:rsid w:val="00FB6CB2"/>
    <w:rsid w:val="00FB7118"/>
    <w:rsid w:val="00FC0205"/>
    <w:rsid w:val="00FC46B7"/>
    <w:rsid w:val="00FC4B2C"/>
    <w:rsid w:val="00FD19B6"/>
    <w:rsid w:val="00FD19F6"/>
    <w:rsid w:val="00FD3483"/>
    <w:rsid w:val="00FD578A"/>
    <w:rsid w:val="00FD5C67"/>
    <w:rsid w:val="00FE19E9"/>
    <w:rsid w:val="00FE1C8D"/>
    <w:rsid w:val="00FE2897"/>
    <w:rsid w:val="00FE5B33"/>
    <w:rsid w:val="00FE6420"/>
    <w:rsid w:val="00FE6E48"/>
    <w:rsid w:val="00FF2413"/>
    <w:rsid w:val="00FF2E1D"/>
    <w:rsid w:val="00FF40C4"/>
    <w:rsid w:val="00FF4DC6"/>
    <w:rsid w:val="00FF6020"/>
    <w:rsid w:val="01002832"/>
    <w:rsid w:val="0151582E"/>
    <w:rsid w:val="018C519F"/>
    <w:rsid w:val="024C0DD3"/>
    <w:rsid w:val="02D662BE"/>
    <w:rsid w:val="02F0095C"/>
    <w:rsid w:val="03AD58A1"/>
    <w:rsid w:val="04C42EA2"/>
    <w:rsid w:val="05672BE1"/>
    <w:rsid w:val="05E45343"/>
    <w:rsid w:val="05FE4192"/>
    <w:rsid w:val="07916304"/>
    <w:rsid w:val="079B25E0"/>
    <w:rsid w:val="07A37044"/>
    <w:rsid w:val="08E23539"/>
    <w:rsid w:val="0A201949"/>
    <w:rsid w:val="0A2D14EA"/>
    <w:rsid w:val="0A71587A"/>
    <w:rsid w:val="0B163D2C"/>
    <w:rsid w:val="0B2C5E24"/>
    <w:rsid w:val="0BF24799"/>
    <w:rsid w:val="0C040028"/>
    <w:rsid w:val="0D222E5C"/>
    <w:rsid w:val="0D64051D"/>
    <w:rsid w:val="0DFE11D3"/>
    <w:rsid w:val="0DFF4B25"/>
    <w:rsid w:val="0E911D24"/>
    <w:rsid w:val="0E9F0171"/>
    <w:rsid w:val="0EE42FBA"/>
    <w:rsid w:val="0F2F5526"/>
    <w:rsid w:val="0FB0057C"/>
    <w:rsid w:val="0FDF66DA"/>
    <w:rsid w:val="0FF7412C"/>
    <w:rsid w:val="10047B5C"/>
    <w:rsid w:val="10615A49"/>
    <w:rsid w:val="10D91A83"/>
    <w:rsid w:val="113E5D8A"/>
    <w:rsid w:val="11D0732A"/>
    <w:rsid w:val="126741BF"/>
    <w:rsid w:val="12906AB9"/>
    <w:rsid w:val="1376180B"/>
    <w:rsid w:val="145C30F7"/>
    <w:rsid w:val="1499024C"/>
    <w:rsid w:val="1545589A"/>
    <w:rsid w:val="15D97AC8"/>
    <w:rsid w:val="17DE3219"/>
    <w:rsid w:val="17F01CF9"/>
    <w:rsid w:val="18B21538"/>
    <w:rsid w:val="19436634"/>
    <w:rsid w:val="19B47531"/>
    <w:rsid w:val="1A0E7548"/>
    <w:rsid w:val="1B492FD4"/>
    <w:rsid w:val="1B543E96"/>
    <w:rsid w:val="1BEF4498"/>
    <w:rsid w:val="1C5A015C"/>
    <w:rsid w:val="1C6D6618"/>
    <w:rsid w:val="1CD27605"/>
    <w:rsid w:val="1D5844D6"/>
    <w:rsid w:val="1D5B1BD3"/>
    <w:rsid w:val="1DB25842"/>
    <w:rsid w:val="1DCD0BC2"/>
    <w:rsid w:val="1E320A25"/>
    <w:rsid w:val="1E8615AD"/>
    <w:rsid w:val="1F2E4567"/>
    <w:rsid w:val="20AC2D10"/>
    <w:rsid w:val="20CC4723"/>
    <w:rsid w:val="20CF69FF"/>
    <w:rsid w:val="21C334FA"/>
    <w:rsid w:val="22552F34"/>
    <w:rsid w:val="22A60967"/>
    <w:rsid w:val="22E03145"/>
    <w:rsid w:val="22F8223D"/>
    <w:rsid w:val="23BC14BC"/>
    <w:rsid w:val="24577437"/>
    <w:rsid w:val="246A53BC"/>
    <w:rsid w:val="25C74D1A"/>
    <w:rsid w:val="260976EA"/>
    <w:rsid w:val="269B7AAF"/>
    <w:rsid w:val="26D0702D"/>
    <w:rsid w:val="27F5541C"/>
    <w:rsid w:val="280F3F39"/>
    <w:rsid w:val="29143D32"/>
    <w:rsid w:val="29AE5D4B"/>
    <w:rsid w:val="29E057D9"/>
    <w:rsid w:val="2A2E2822"/>
    <w:rsid w:val="2AA1705C"/>
    <w:rsid w:val="2AD417E1"/>
    <w:rsid w:val="2B457601"/>
    <w:rsid w:val="2C323BD3"/>
    <w:rsid w:val="2C673F8F"/>
    <w:rsid w:val="2C6C129F"/>
    <w:rsid w:val="2D776454"/>
    <w:rsid w:val="2DD41AF8"/>
    <w:rsid w:val="2DD52F4B"/>
    <w:rsid w:val="2E436043"/>
    <w:rsid w:val="2E61338C"/>
    <w:rsid w:val="2E797721"/>
    <w:rsid w:val="2E8C44DC"/>
    <w:rsid w:val="2F566C69"/>
    <w:rsid w:val="2FD12BFE"/>
    <w:rsid w:val="2FF87D20"/>
    <w:rsid w:val="30182170"/>
    <w:rsid w:val="301D1535"/>
    <w:rsid w:val="30735515"/>
    <w:rsid w:val="34034EE6"/>
    <w:rsid w:val="3532556B"/>
    <w:rsid w:val="35E850DC"/>
    <w:rsid w:val="36687282"/>
    <w:rsid w:val="36C614F9"/>
    <w:rsid w:val="370E1BD7"/>
    <w:rsid w:val="380A1955"/>
    <w:rsid w:val="389E0383"/>
    <w:rsid w:val="39396CB4"/>
    <w:rsid w:val="3A6F50F3"/>
    <w:rsid w:val="3ADD023E"/>
    <w:rsid w:val="3B2B0D40"/>
    <w:rsid w:val="3B9E4D0E"/>
    <w:rsid w:val="3BB149FB"/>
    <w:rsid w:val="3CA07775"/>
    <w:rsid w:val="3E095D75"/>
    <w:rsid w:val="3E3F4D6C"/>
    <w:rsid w:val="3F081602"/>
    <w:rsid w:val="3F1614DA"/>
    <w:rsid w:val="3F696545"/>
    <w:rsid w:val="3FB672B0"/>
    <w:rsid w:val="3FC306F2"/>
    <w:rsid w:val="40660583"/>
    <w:rsid w:val="41313092"/>
    <w:rsid w:val="4170499D"/>
    <w:rsid w:val="424A4A6E"/>
    <w:rsid w:val="42AB29D0"/>
    <w:rsid w:val="436314FD"/>
    <w:rsid w:val="44102D4B"/>
    <w:rsid w:val="44110F59"/>
    <w:rsid w:val="444F02BA"/>
    <w:rsid w:val="44EF3FD1"/>
    <w:rsid w:val="45406CEB"/>
    <w:rsid w:val="4654337F"/>
    <w:rsid w:val="466435C2"/>
    <w:rsid w:val="479B74B7"/>
    <w:rsid w:val="48504A3E"/>
    <w:rsid w:val="487877F8"/>
    <w:rsid w:val="48945F96"/>
    <w:rsid w:val="494B6CBB"/>
    <w:rsid w:val="49B06B1E"/>
    <w:rsid w:val="4A253068"/>
    <w:rsid w:val="4A2F2139"/>
    <w:rsid w:val="4AFB4960"/>
    <w:rsid w:val="4B386DCB"/>
    <w:rsid w:val="4B5A7CCA"/>
    <w:rsid w:val="4BDB2578"/>
    <w:rsid w:val="4BE3142D"/>
    <w:rsid w:val="4D447CA9"/>
    <w:rsid w:val="4D6E52CC"/>
    <w:rsid w:val="4DCD0FAD"/>
    <w:rsid w:val="4E577481"/>
    <w:rsid w:val="4E720846"/>
    <w:rsid w:val="4FC11A85"/>
    <w:rsid w:val="503C110B"/>
    <w:rsid w:val="505E7BDE"/>
    <w:rsid w:val="50836D3A"/>
    <w:rsid w:val="50E023DF"/>
    <w:rsid w:val="510D2AA8"/>
    <w:rsid w:val="51FE4AA2"/>
    <w:rsid w:val="52922741"/>
    <w:rsid w:val="52DA04DA"/>
    <w:rsid w:val="53A45945"/>
    <w:rsid w:val="53BE75EE"/>
    <w:rsid w:val="54D97FCB"/>
    <w:rsid w:val="55516632"/>
    <w:rsid w:val="55D32512"/>
    <w:rsid w:val="55D71F4A"/>
    <w:rsid w:val="561C5C67"/>
    <w:rsid w:val="56711136"/>
    <w:rsid w:val="56E60A5D"/>
    <w:rsid w:val="591F10CD"/>
    <w:rsid w:val="59653481"/>
    <w:rsid w:val="59CC781C"/>
    <w:rsid w:val="59F11964"/>
    <w:rsid w:val="5ADF1399"/>
    <w:rsid w:val="5AF26F96"/>
    <w:rsid w:val="5B661732"/>
    <w:rsid w:val="5BA139FB"/>
    <w:rsid w:val="5C345D51"/>
    <w:rsid w:val="5D5E6B65"/>
    <w:rsid w:val="5DEB2CDC"/>
    <w:rsid w:val="5E6301AB"/>
    <w:rsid w:val="5F2C2601"/>
    <w:rsid w:val="5FD21144"/>
    <w:rsid w:val="6057503D"/>
    <w:rsid w:val="605E50CE"/>
    <w:rsid w:val="608169E5"/>
    <w:rsid w:val="60D938AF"/>
    <w:rsid w:val="60E9469A"/>
    <w:rsid w:val="61330309"/>
    <w:rsid w:val="62BA2508"/>
    <w:rsid w:val="62D81168"/>
    <w:rsid w:val="62D84CC4"/>
    <w:rsid w:val="63026109"/>
    <w:rsid w:val="6315416A"/>
    <w:rsid w:val="633F11E7"/>
    <w:rsid w:val="635F7193"/>
    <w:rsid w:val="63962C8D"/>
    <w:rsid w:val="63D062E3"/>
    <w:rsid w:val="64656A2B"/>
    <w:rsid w:val="656D07F8"/>
    <w:rsid w:val="663568D1"/>
    <w:rsid w:val="6646288C"/>
    <w:rsid w:val="67650AF0"/>
    <w:rsid w:val="679118E5"/>
    <w:rsid w:val="68AB2E7A"/>
    <w:rsid w:val="69A049DA"/>
    <w:rsid w:val="69A2427D"/>
    <w:rsid w:val="6A0F7DAF"/>
    <w:rsid w:val="6A573FC3"/>
    <w:rsid w:val="6B39476E"/>
    <w:rsid w:val="6B621F16"/>
    <w:rsid w:val="6B9419A4"/>
    <w:rsid w:val="6C6972D4"/>
    <w:rsid w:val="6D1C60F5"/>
    <w:rsid w:val="6D433682"/>
    <w:rsid w:val="6DD93FE6"/>
    <w:rsid w:val="6E1E2DBD"/>
    <w:rsid w:val="6EE81BC0"/>
    <w:rsid w:val="6F0E7932"/>
    <w:rsid w:val="6F4433A9"/>
    <w:rsid w:val="702718C6"/>
    <w:rsid w:val="70BC27CE"/>
    <w:rsid w:val="71844269"/>
    <w:rsid w:val="729E4018"/>
    <w:rsid w:val="72E04F19"/>
    <w:rsid w:val="7374237F"/>
    <w:rsid w:val="7386251A"/>
    <w:rsid w:val="73F2195D"/>
    <w:rsid w:val="74241413"/>
    <w:rsid w:val="7446602D"/>
    <w:rsid w:val="744E17E0"/>
    <w:rsid w:val="746740F9"/>
    <w:rsid w:val="74741194"/>
    <w:rsid w:val="74A975F5"/>
    <w:rsid w:val="74C94DB4"/>
    <w:rsid w:val="74CE5F27"/>
    <w:rsid w:val="74F70241"/>
    <w:rsid w:val="7580193D"/>
    <w:rsid w:val="75DB1859"/>
    <w:rsid w:val="763C15B6"/>
    <w:rsid w:val="76BD44A5"/>
    <w:rsid w:val="776E4707"/>
    <w:rsid w:val="77D47397"/>
    <w:rsid w:val="77F02658"/>
    <w:rsid w:val="79B502CC"/>
    <w:rsid w:val="79F20E2E"/>
    <w:rsid w:val="7A0643B5"/>
    <w:rsid w:val="7A290AB6"/>
    <w:rsid w:val="7AC2650A"/>
    <w:rsid w:val="7B6844A1"/>
    <w:rsid w:val="7B7C65DB"/>
    <w:rsid w:val="7BE81FC4"/>
    <w:rsid w:val="7C5A4544"/>
    <w:rsid w:val="7CA70884"/>
    <w:rsid w:val="7CB31F25"/>
    <w:rsid w:val="7CF76237"/>
    <w:rsid w:val="7D372864"/>
    <w:rsid w:val="7DA20B57"/>
    <w:rsid w:val="7EC35551"/>
    <w:rsid w:val="7F806779"/>
    <w:rsid w:val="7FC71EF0"/>
    <w:rsid w:val="7FF32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5"/>
    <w:qFormat/>
    <w:uiPriority w:val="0"/>
    <w:pPr>
      <w:keepNext/>
      <w:keepLines/>
      <w:tabs>
        <w:tab w:val="left" w:pos="2580"/>
      </w:tabs>
      <w:spacing w:before="280" w:after="290" w:line="376" w:lineRule="auto"/>
      <w:ind w:left="2580" w:hanging="420"/>
      <w:outlineLvl w:val="4"/>
    </w:pPr>
    <w:rPr>
      <w:b/>
      <w:sz w:val="28"/>
    </w:rPr>
  </w:style>
  <w:style w:type="paragraph" w:styleId="9">
    <w:name w:val="heading 6"/>
    <w:basedOn w:val="1"/>
    <w:next w:val="8"/>
    <w:link w:val="66"/>
    <w:qFormat/>
    <w:uiPriority w:val="0"/>
    <w:pPr>
      <w:keepNext/>
      <w:keepLines/>
      <w:tabs>
        <w:tab w:val="left" w:pos="3000"/>
      </w:tabs>
      <w:spacing w:before="240" w:after="64" w:line="320" w:lineRule="auto"/>
      <w:ind w:left="3000" w:hanging="420"/>
      <w:outlineLvl w:val="5"/>
    </w:pPr>
    <w:rPr>
      <w:rFonts w:ascii="Arial" w:hAnsi="Arial" w:eastAsia="黑体"/>
      <w:b/>
      <w:sz w:val="24"/>
    </w:rPr>
  </w:style>
  <w:style w:type="paragraph" w:styleId="10">
    <w:name w:val="heading 7"/>
    <w:basedOn w:val="1"/>
    <w:next w:val="8"/>
    <w:link w:val="67"/>
    <w:qFormat/>
    <w:uiPriority w:val="0"/>
    <w:pPr>
      <w:keepNext/>
      <w:keepLines/>
      <w:tabs>
        <w:tab w:val="left" w:pos="3420"/>
      </w:tabs>
      <w:spacing w:before="240" w:after="64" w:line="320" w:lineRule="auto"/>
      <w:ind w:left="3420" w:hanging="420"/>
      <w:outlineLvl w:val="6"/>
    </w:pPr>
    <w:rPr>
      <w:b/>
      <w:sz w:val="24"/>
    </w:rPr>
  </w:style>
  <w:style w:type="paragraph" w:styleId="11">
    <w:name w:val="heading 8"/>
    <w:basedOn w:val="1"/>
    <w:next w:val="8"/>
    <w:link w:val="68"/>
    <w:qFormat/>
    <w:uiPriority w:val="0"/>
    <w:pPr>
      <w:keepNext/>
      <w:keepLines/>
      <w:tabs>
        <w:tab w:val="left" w:pos="3840"/>
      </w:tabs>
      <w:spacing w:before="240" w:after="64" w:line="320" w:lineRule="auto"/>
      <w:ind w:left="3840" w:hanging="420"/>
      <w:outlineLvl w:val="7"/>
    </w:pPr>
    <w:rPr>
      <w:rFonts w:ascii="Arial" w:hAnsi="Arial" w:eastAsia="黑体"/>
      <w:sz w:val="24"/>
    </w:rPr>
  </w:style>
  <w:style w:type="paragraph" w:styleId="12">
    <w:name w:val="heading 9"/>
    <w:basedOn w:val="1"/>
    <w:next w:val="8"/>
    <w:link w:val="69"/>
    <w:qFormat/>
    <w:uiPriority w:val="0"/>
    <w:pPr>
      <w:keepNext/>
      <w:keepLines/>
      <w:tabs>
        <w:tab w:val="left" w:pos="4260"/>
      </w:tabs>
      <w:spacing w:before="240" w:after="64" w:line="320" w:lineRule="auto"/>
      <w:ind w:left="4260" w:hanging="420"/>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1"/>
    <w:qFormat/>
    <w:uiPriority w:val="0"/>
    <w:pPr>
      <w:tabs>
        <w:tab w:val="center" w:pos="4153"/>
        <w:tab w:val="right" w:pos="8306"/>
      </w:tabs>
      <w:snapToGrid w:val="0"/>
      <w:jc w:val="left"/>
    </w:pPr>
    <w:rPr>
      <w:sz w:val="18"/>
      <w:szCs w:val="18"/>
    </w:rPr>
  </w:style>
  <w:style w:type="paragraph" w:styleId="8">
    <w:name w:val="Normal Indent"/>
    <w:basedOn w:val="1"/>
    <w:link w:val="64"/>
    <w:qFormat/>
    <w:uiPriority w:val="0"/>
    <w:pPr>
      <w:ind w:firstLine="420"/>
    </w:pPr>
    <w:rPr>
      <w:szCs w:val="20"/>
    </w:rPr>
  </w:style>
  <w:style w:type="paragraph" w:styleId="13">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envelope address"/>
    <w:basedOn w:val="1"/>
    <w:qFormat/>
    <w:uiPriority w:val="0"/>
    <w:pPr>
      <w:framePr w:w="7920" w:h="1980" w:hRule="exact" w:hSpace="180" w:wrap="auto" w:vAnchor="margin" w:hAnchor="page" w:xAlign="center" w:yAlign="bottom"/>
      <w:snapToGrid w:val="0"/>
      <w:spacing w:line="360" w:lineRule="auto"/>
      <w:ind w:left="100" w:leftChars="1400"/>
    </w:pPr>
    <w:rPr>
      <w:rFonts w:ascii="Arial" w:hAnsi="Arial" w:cs="Arial"/>
      <w:sz w:val="24"/>
    </w:rPr>
  </w:style>
  <w:style w:type="paragraph" w:styleId="18">
    <w:name w:val="Document Map"/>
    <w:basedOn w:val="1"/>
    <w:link w:val="71"/>
    <w:qFormat/>
    <w:uiPriority w:val="0"/>
    <w:pPr>
      <w:shd w:val="clear" w:color="auto" w:fill="000080"/>
    </w:pPr>
  </w:style>
  <w:style w:type="paragraph" w:styleId="19">
    <w:name w:val="annotation text"/>
    <w:basedOn w:val="1"/>
    <w:link w:val="100"/>
    <w:qFormat/>
    <w:uiPriority w:val="0"/>
    <w:pPr>
      <w:jc w:val="left"/>
    </w:pPr>
  </w:style>
  <w:style w:type="paragraph" w:styleId="20">
    <w:name w:val="Body Text 3"/>
    <w:basedOn w:val="1"/>
    <w:qFormat/>
    <w:uiPriority w:val="0"/>
    <w:pPr>
      <w:spacing w:after="120"/>
    </w:pPr>
    <w:rPr>
      <w:sz w:val="16"/>
      <w:szCs w:val="16"/>
    </w:rPr>
  </w:style>
  <w:style w:type="paragraph" w:styleId="21">
    <w:name w:val="Body Text"/>
    <w:basedOn w:val="1"/>
    <w:link w:val="83"/>
    <w:qFormat/>
    <w:uiPriority w:val="99"/>
    <w:pPr>
      <w:spacing w:after="120"/>
    </w:pPr>
  </w:style>
  <w:style w:type="paragraph" w:styleId="22">
    <w:name w:val="Body Text Indent"/>
    <w:basedOn w:val="1"/>
    <w:link w:val="85"/>
    <w:qFormat/>
    <w:uiPriority w:val="0"/>
    <w:pPr>
      <w:spacing w:after="120"/>
      <w:ind w:left="420" w:leftChars="200"/>
    </w:pPr>
  </w:style>
  <w:style w:type="paragraph" w:styleId="23">
    <w:name w:val="List Number 3"/>
    <w:basedOn w:val="1"/>
    <w:qFormat/>
    <w:uiPriority w:val="0"/>
    <w:pPr>
      <w:tabs>
        <w:tab w:val="left" w:pos="900"/>
        <w:tab w:val="left" w:pos="1200"/>
      </w:tabs>
      <w:ind w:left="900" w:hanging="420"/>
    </w:pPr>
  </w:style>
  <w:style w:type="paragraph" w:styleId="24">
    <w:name w:val="List 2"/>
    <w:basedOn w:val="1"/>
    <w:qFormat/>
    <w:uiPriority w:val="0"/>
    <w:pPr>
      <w:ind w:left="100" w:leftChars="200" w:hanging="200" w:hangingChars="200"/>
    </w:pPr>
  </w:style>
  <w:style w:type="paragraph" w:styleId="2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6">
    <w:name w:val="toc 3"/>
    <w:basedOn w:val="1"/>
    <w:next w:val="1"/>
    <w:qFormat/>
    <w:uiPriority w:val="39"/>
    <w:pPr>
      <w:ind w:left="840" w:leftChars="400"/>
    </w:pPr>
  </w:style>
  <w:style w:type="paragraph" w:styleId="27">
    <w:name w:val="Plain Text"/>
    <w:basedOn w:val="1"/>
    <w:next w:val="1"/>
    <w:link w:val="84"/>
    <w:qFormat/>
    <w:uiPriority w:val="0"/>
    <w:rPr>
      <w:rFonts w:ascii="宋体" w:hAnsi="Courier New" w:cs="Courier New"/>
      <w:szCs w:val="21"/>
    </w:rPr>
  </w:style>
  <w:style w:type="paragraph" w:styleId="2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9">
    <w:name w:val="Date"/>
    <w:basedOn w:val="1"/>
    <w:next w:val="1"/>
    <w:link w:val="104"/>
    <w:qFormat/>
    <w:uiPriority w:val="0"/>
    <w:pPr>
      <w:ind w:left="100" w:leftChars="2500"/>
    </w:pPr>
    <w:rPr>
      <w:rFonts w:ascii="宋体" w:hAnsi="Courier New" w:cs="Courier New"/>
      <w:szCs w:val="21"/>
    </w:rPr>
  </w:style>
  <w:style w:type="paragraph" w:styleId="30">
    <w:name w:val="Body Text Indent 2"/>
    <w:basedOn w:val="1"/>
    <w:qFormat/>
    <w:uiPriority w:val="0"/>
    <w:pPr>
      <w:ind w:firstLine="630"/>
    </w:pPr>
    <w:rPr>
      <w:sz w:val="32"/>
      <w:szCs w:val="20"/>
    </w:rPr>
  </w:style>
  <w:style w:type="paragraph" w:styleId="31">
    <w:name w:val="endnote text"/>
    <w:basedOn w:val="1"/>
    <w:qFormat/>
    <w:uiPriority w:val="0"/>
    <w:pPr>
      <w:snapToGrid w:val="0"/>
      <w:jc w:val="left"/>
    </w:pPr>
  </w:style>
  <w:style w:type="paragraph" w:styleId="32">
    <w:name w:val="Balloon Text"/>
    <w:basedOn w:val="1"/>
    <w:qFormat/>
    <w:uiPriority w:val="0"/>
    <w:rPr>
      <w:sz w:val="18"/>
      <w:szCs w:val="18"/>
    </w:rPr>
  </w:style>
  <w:style w:type="paragraph" w:styleId="33">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6">
    <w:name w:val="List"/>
    <w:basedOn w:val="1"/>
    <w:qFormat/>
    <w:uiPriority w:val="0"/>
    <w:pPr>
      <w:ind w:left="200" w:hanging="200" w:hangingChars="200"/>
    </w:pPr>
  </w:style>
  <w:style w:type="paragraph" w:styleId="37">
    <w:name w:val="footnote text"/>
    <w:basedOn w:val="1"/>
    <w:qFormat/>
    <w:uiPriority w:val="0"/>
    <w:pPr>
      <w:snapToGrid w:val="0"/>
      <w:jc w:val="left"/>
    </w:pPr>
    <w:rPr>
      <w:sz w:val="18"/>
      <w:szCs w:val="18"/>
    </w:rPr>
  </w:style>
  <w:style w:type="paragraph" w:styleId="3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9">
    <w:name w:val="Body Text Indent 3"/>
    <w:basedOn w:val="1"/>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42">
    <w:name w:val="Body Text 2"/>
    <w:basedOn w:val="1"/>
    <w:qFormat/>
    <w:uiPriority w:val="0"/>
    <w:pPr>
      <w:spacing w:after="120" w:line="480" w:lineRule="auto"/>
    </w:pPr>
  </w:style>
  <w:style w:type="paragraph" w:styleId="43">
    <w:name w:val="Normal (Web)"/>
    <w:basedOn w:val="1"/>
    <w:link w:val="86"/>
    <w:qFormat/>
    <w:uiPriority w:val="0"/>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annotation subject"/>
    <w:basedOn w:val="19"/>
    <w:next w:val="19"/>
    <w:link w:val="101"/>
    <w:semiHidden/>
    <w:qFormat/>
    <w:uiPriority w:val="0"/>
    <w:rPr>
      <w:b/>
      <w:bCs/>
    </w:rPr>
  </w:style>
  <w:style w:type="paragraph" w:styleId="46">
    <w:name w:val="Body Text First Indent"/>
    <w:basedOn w:val="21"/>
    <w:link w:val="82"/>
    <w:qFormat/>
    <w:uiPriority w:val="0"/>
    <w:pPr>
      <w:ind w:firstLine="420" w:firstLineChars="100"/>
    </w:pPr>
  </w:style>
  <w:style w:type="paragraph" w:styleId="47">
    <w:name w:val="Body Text First Indent 2"/>
    <w:basedOn w:val="22"/>
    <w:link w:val="208"/>
    <w:qFormat/>
    <w:uiPriority w:val="0"/>
    <w:pPr>
      <w:ind w:firstLine="420" w:firstLineChars="200"/>
    </w:pPr>
  </w:style>
  <w:style w:type="table" w:styleId="49">
    <w:name w:val="Table Grid"/>
    <w:basedOn w:val="48"/>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styleId="59">
    <w:name w:val="HTML Sample"/>
    <w:basedOn w:val="50"/>
    <w:unhideWhenUsed/>
    <w:qFormat/>
    <w:uiPriority w:val="99"/>
    <w:rPr>
      <w:rFonts w:ascii="宋体" w:hAnsi="宋体" w:eastAsia="宋体" w:cs="宋体"/>
    </w:rPr>
  </w:style>
  <w:style w:type="character" w:customStyle="1" w:styleId="60">
    <w:name w:val="标题 1 Char"/>
    <w:link w:val="3"/>
    <w:qFormat/>
    <w:uiPriority w:val="0"/>
    <w:rPr>
      <w:rFonts w:eastAsia="宋体"/>
      <w:b/>
      <w:bCs/>
      <w:kern w:val="44"/>
      <w:sz w:val="44"/>
      <w:szCs w:val="44"/>
      <w:lang w:val="en-US" w:eastAsia="zh-CN" w:bidi="ar-SA"/>
    </w:rPr>
  </w:style>
  <w:style w:type="character" w:customStyle="1" w:styleId="61">
    <w:name w:val="标题 2 Char"/>
    <w:link w:val="4"/>
    <w:qFormat/>
    <w:uiPriority w:val="0"/>
    <w:rPr>
      <w:rFonts w:ascii="Arial" w:hAnsi="Arial" w:eastAsia="黑体"/>
      <w:b/>
      <w:bCs/>
      <w:kern w:val="2"/>
      <w:sz w:val="32"/>
      <w:szCs w:val="32"/>
      <w:lang w:val="en-US" w:eastAsia="zh-CN" w:bidi="ar-SA"/>
    </w:rPr>
  </w:style>
  <w:style w:type="character" w:customStyle="1" w:styleId="62">
    <w:name w:val="标题 3 Char"/>
    <w:link w:val="5"/>
    <w:qFormat/>
    <w:uiPriority w:val="0"/>
    <w:rPr>
      <w:rFonts w:eastAsia="宋体"/>
      <w:b/>
      <w:bCs/>
      <w:kern w:val="2"/>
      <w:sz w:val="32"/>
      <w:szCs w:val="32"/>
      <w:lang w:val="en-US" w:eastAsia="zh-CN" w:bidi="ar-SA"/>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正文缩进 Char"/>
    <w:link w:val="8"/>
    <w:qFormat/>
    <w:uiPriority w:val="0"/>
    <w:rPr>
      <w:kern w:val="2"/>
      <w:sz w:val="21"/>
    </w:rPr>
  </w:style>
  <w:style w:type="character" w:customStyle="1" w:styleId="65">
    <w:name w:val="标题 5 Char"/>
    <w:link w:val="7"/>
    <w:qFormat/>
    <w:uiPriority w:val="0"/>
    <w:rPr>
      <w:b/>
      <w:kern w:val="2"/>
      <w:sz w:val="28"/>
      <w:szCs w:val="24"/>
    </w:rPr>
  </w:style>
  <w:style w:type="character" w:customStyle="1" w:styleId="66">
    <w:name w:val="标题 6 Char"/>
    <w:link w:val="9"/>
    <w:qFormat/>
    <w:uiPriority w:val="0"/>
    <w:rPr>
      <w:rFonts w:ascii="Arial" w:hAnsi="Arial" w:eastAsia="黑体"/>
      <w:b/>
      <w:kern w:val="2"/>
      <w:sz w:val="24"/>
      <w:szCs w:val="24"/>
    </w:rPr>
  </w:style>
  <w:style w:type="character" w:customStyle="1" w:styleId="67">
    <w:name w:val="标题 7 Char"/>
    <w:link w:val="10"/>
    <w:qFormat/>
    <w:uiPriority w:val="99"/>
    <w:rPr>
      <w:b/>
      <w:kern w:val="2"/>
      <w:sz w:val="24"/>
      <w:szCs w:val="24"/>
    </w:rPr>
  </w:style>
  <w:style w:type="character" w:customStyle="1" w:styleId="68">
    <w:name w:val="标题 8 Char"/>
    <w:link w:val="11"/>
    <w:qFormat/>
    <w:uiPriority w:val="0"/>
    <w:rPr>
      <w:rFonts w:ascii="Arial" w:hAnsi="Arial" w:eastAsia="黑体"/>
      <w:kern w:val="2"/>
      <w:sz w:val="24"/>
      <w:szCs w:val="24"/>
    </w:rPr>
  </w:style>
  <w:style w:type="character" w:customStyle="1" w:styleId="69">
    <w:name w:val="标题 9 Char"/>
    <w:link w:val="12"/>
    <w:qFormat/>
    <w:uiPriority w:val="0"/>
    <w:rPr>
      <w:rFonts w:ascii="Arial" w:hAnsi="Arial" w:eastAsia="黑体"/>
      <w:kern w:val="2"/>
      <w:sz w:val="21"/>
      <w:szCs w:val="24"/>
    </w:rPr>
  </w:style>
  <w:style w:type="character" w:customStyle="1" w:styleId="70">
    <w:name w:val="small"/>
    <w:basedOn w:val="50"/>
    <w:qFormat/>
    <w:uiPriority w:val="0"/>
  </w:style>
  <w:style w:type="character" w:customStyle="1" w:styleId="71">
    <w:name w:val="文档结构图 Char"/>
    <w:link w:val="18"/>
    <w:qFormat/>
    <w:uiPriority w:val="0"/>
    <w:rPr>
      <w:kern w:val="2"/>
      <w:sz w:val="21"/>
      <w:szCs w:val="24"/>
      <w:shd w:val="clear" w:color="auto" w:fill="000080"/>
    </w:rPr>
  </w:style>
  <w:style w:type="character" w:customStyle="1" w:styleId="72">
    <w:name w:val="style21"/>
    <w:qFormat/>
    <w:uiPriority w:val="0"/>
    <w:rPr>
      <w:sz w:val="15"/>
      <w:szCs w:val="15"/>
    </w:rPr>
  </w:style>
  <w:style w:type="character" w:customStyle="1" w:styleId="73">
    <w:name w:val="项目编号A Char"/>
    <w:link w:val="74"/>
    <w:qFormat/>
    <w:uiPriority w:val="0"/>
    <w:rPr>
      <w:rFonts w:ascii="Arial" w:hAnsi="Arial"/>
      <w:kern w:val="2"/>
      <w:sz w:val="24"/>
      <w:szCs w:val="24"/>
    </w:rPr>
  </w:style>
  <w:style w:type="paragraph" w:customStyle="1" w:styleId="74">
    <w:name w:val="项目编号A"/>
    <w:basedOn w:val="1"/>
    <w:link w:val="73"/>
    <w:qFormat/>
    <w:uiPriority w:val="0"/>
    <w:pPr>
      <w:tabs>
        <w:tab w:val="left" w:pos="959"/>
      </w:tabs>
      <w:spacing w:line="360" w:lineRule="auto"/>
      <w:ind w:left="959" w:hanging="420"/>
    </w:pPr>
    <w:rPr>
      <w:rFonts w:ascii="Arial" w:hAnsi="Arial"/>
      <w:sz w:val="24"/>
    </w:rPr>
  </w:style>
  <w:style w:type="character" w:customStyle="1" w:styleId="75">
    <w:name w:val="小四 段落 宋体 Char Char Char Char1"/>
    <w:link w:val="76"/>
    <w:qFormat/>
    <w:uiPriority w:val="0"/>
    <w:rPr>
      <w:kern w:val="2"/>
      <w:sz w:val="24"/>
      <w:szCs w:val="24"/>
    </w:rPr>
  </w:style>
  <w:style w:type="paragraph" w:customStyle="1" w:styleId="76">
    <w:name w:val="小四 段落 宋体 Char Char Char"/>
    <w:basedOn w:val="15"/>
    <w:link w:val="75"/>
    <w:qFormat/>
    <w:uiPriority w:val="0"/>
    <w:pPr>
      <w:widowControl w:val="0"/>
      <w:tabs>
        <w:tab w:val="clear" w:pos="454"/>
        <w:tab w:val="clear" w:pos="720"/>
        <w:tab w:val="clear" w:pos="840"/>
      </w:tabs>
      <w:spacing w:afterLines="0" w:line="360" w:lineRule="auto"/>
      <w:ind w:left="0" w:right="-33" w:firstLine="480" w:firstLineChars="200"/>
    </w:pPr>
    <w:rPr>
      <w:kern w:val="2"/>
      <w:szCs w:val="24"/>
    </w:rPr>
  </w:style>
  <w:style w:type="character" w:customStyle="1" w:styleId="77">
    <w:name w:val="span_param1"/>
    <w:basedOn w:val="50"/>
    <w:qFormat/>
    <w:uiPriority w:val="0"/>
  </w:style>
  <w:style w:type="character" w:customStyle="1" w:styleId="78">
    <w:name w:val="case31"/>
    <w:qFormat/>
    <w:uiPriority w:val="0"/>
    <w:rPr>
      <w:rFonts w:hint="default"/>
      <w:sz w:val="21"/>
      <w:szCs w:val="21"/>
    </w:rPr>
  </w:style>
  <w:style w:type="character" w:customStyle="1" w:styleId="79">
    <w:name w:val="ccc1"/>
    <w:qFormat/>
    <w:uiPriority w:val="0"/>
    <w:rPr>
      <w:rFonts w:hint="default" w:ascii="Arial" w:hAnsi="Arial" w:cs="Arial"/>
      <w:sz w:val="16"/>
      <w:szCs w:val="16"/>
    </w:rPr>
  </w:style>
  <w:style w:type="character" w:customStyle="1" w:styleId="80">
    <w:name w:val="方案文档 Char"/>
    <w:link w:val="81"/>
    <w:qFormat/>
    <w:uiPriority w:val="0"/>
    <w:rPr>
      <w:rFonts w:ascii="仿宋_GB2312" w:hAnsi="Arial" w:eastAsia="仿宋_GB2312"/>
      <w:b/>
      <w:color w:val="000000"/>
      <w:kern w:val="2"/>
      <w:sz w:val="24"/>
      <w:szCs w:val="24"/>
    </w:rPr>
  </w:style>
  <w:style w:type="paragraph" w:customStyle="1" w:styleId="81">
    <w:name w:val="方案文档"/>
    <w:basedOn w:val="1"/>
    <w:link w:val="80"/>
    <w:qFormat/>
    <w:uiPriority w:val="0"/>
    <w:pPr>
      <w:spacing w:before="120" w:after="120" w:line="400" w:lineRule="exact"/>
      <w:ind w:right="32" w:firstLine="472" w:firstLineChars="196"/>
    </w:pPr>
    <w:rPr>
      <w:rFonts w:ascii="仿宋_GB2312" w:hAnsi="Arial" w:eastAsia="仿宋_GB2312"/>
      <w:b/>
      <w:color w:val="000000"/>
      <w:sz w:val="24"/>
    </w:rPr>
  </w:style>
  <w:style w:type="character" w:customStyle="1" w:styleId="82">
    <w:name w:val="正文首行缩进 Char"/>
    <w:basedOn w:val="83"/>
    <w:link w:val="46"/>
    <w:qFormat/>
    <w:uiPriority w:val="0"/>
    <w:rPr>
      <w:kern w:val="2"/>
      <w:sz w:val="21"/>
      <w:szCs w:val="24"/>
    </w:rPr>
  </w:style>
  <w:style w:type="character" w:customStyle="1" w:styleId="83">
    <w:name w:val="正文文本 Char1"/>
    <w:link w:val="21"/>
    <w:qFormat/>
    <w:uiPriority w:val="99"/>
    <w:rPr>
      <w:kern w:val="2"/>
      <w:sz w:val="21"/>
      <w:szCs w:val="24"/>
    </w:rPr>
  </w:style>
  <w:style w:type="character" w:customStyle="1" w:styleId="84">
    <w:name w:val="纯文本 Char"/>
    <w:link w:val="27"/>
    <w:qFormat/>
    <w:uiPriority w:val="0"/>
    <w:rPr>
      <w:rFonts w:ascii="宋体" w:hAnsi="Courier New" w:eastAsia="宋体" w:cs="Courier New"/>
      <w:kern w:val="2"/>
      <w:sz w:val="21"/>
      <w:szCs w:val="21"/>
      <w:lang w:val="en-US" w:eastAsia="zh-CN" w:bidi="ar-SA"/>
    </w:rPr>
  </w:style>
  <w:style w:type="character" w:customStyle="1" w:styleId="85">
    <w:name w:val="正文文本缩进 Char"/>
    <w:link w:val="22"/>
    <w:qFormat/>
    <w:uiPriority w:val="0"/>
    <w:rPr>
      <w:kern w:val="2"/>
      <w:sz w:val="21"/>
      <w:szCs w:val="24"/>
    </w:rPr>
  </w:style>
  <w:style w:type="character" w:customStyle="1" w:styleId="86">
    <w:name w:val="普通(网站) Char"/>
    <w:link w:val="43"/>
    <w:qFormat/>
    <w:uiPriority w:val="0"/>
    <w:rPr>
      <w:rFonts w:ascii="宋体" w:hAnsi="宋体"/>
      <w:sz w:val="24"/>
      <w:szCs w:val="24"/>
    </w:rPr>
  </w:style>
  <w:style w:type="character" w:customStyle="1" w:styleId="87">
    <w:name w:val="huei12b1"/>
    <w:qFormat/>
    <w:uiPriority w:val="0"/>
    <w:rPr>
      <w:b/>
      <w:bCs/>
      <w:color w:val="333333"/>
      <w:sz w:val="16"/>
      <w:szCs w:val="16"/>
    </w:rPr>
  </w:style>
  <w:style w:type="character" w:customStyle="1" w:styleId="88">
    <w:name w:val="span_paramvalue"/>
    <w:basedOn w:val="50"/>
    <w:qFormat/>
    <w:uiPriority w:val="0"/>
  </w:style>
  <w:style w:type="character" w:customStyle="1" w:styleId="89">
    <w:name w:val="article11"/>
    <w:qFormat/>
    <w:uiPriority w:val="0"/>
    <w:rPr>
      <w:color w:val="000000"/>
      <w:sz w:val="23"/>
      <w:szCs w:val="23"/>
    </w:rPr>
  </w:style>
  <w:style w:type="character" w:customStyle="1" w:styleId="90">
    <w:name w:val="style13"/>
    <w:basedOn w:val="50"/>
    <w:qFormat/>
    <w:uiPriority w:val="0"/>
  </w:style>
  <w:style w:type="character" w:customStyle="1" w:styleId="91">
    <w:name w:val="项目符号A Char"/>
    <w:link w:val="92"/>
    <w:qFormat/>
    <w:uiPriority w:val="0"/>
    <w:rPr>
      <w:rFonts w:ascii="仿宋_GB2312" w:hAnsi="Arial" w:eastAsia="仿宋_GB2312"/>
      <w:spacing w:val="-4"/>
      <w:kern w:val="2"/>
      <w:sz w:val="24"/>
      <w:szCs w:val="24"/>
    </w:rPr>
  </w:style>
  <w:style w:type="paragraph" w:customStyle="1" w:styleId="92">
    <w:name w:val="项目符号A"/>
    <w:basedOn w:val="1"/>
    <w:link w:val="91"/>
    <w:qFormat/>
    <w:uiPriority w:val="0"/>
    <w:pPr>
      <w:tabs>
        <w:tab w:val="left" w:pos="1021"/>
      </w:tabs>
      <w:spacing w:line="400" w:lineRule="exact"/>
      <w:ind w:firstLine="465"/>
    </w:pPr>
    <w:rPr>
      <w:rFonts w:ascii="仿宋_GB2312" w:hAnsi="Arial" w:eastAsia="仿宋_GB2312"/>
      <w:spacing w:val="-4"/>
      <w:sz w:val="24"/>
    </w:rPr>
  </w:style>
  <w:style w:type="character" w:customStyle="1" w:styleId="93">
    <w:name w:val="表格正文 Char"/>
    <w:link w:val="94"/>
    <w:qFormat/>
    <w:uiPriority w:val="0"/>
    <w:rPr>
      <w:rFonts w:ascii="宋体" w:hAnsi="Arial"/>
      <w:sz w:val="24"/>
    </w:rPr>
  </w:style>
  <w:style w:type="paragraph" w:customStyle="1" w:styleId="94">
    <w:name w:val="表格正文"/>
    <w:basedOn w:val="1"/>
    <w:link w:val="93"/>
    <w:qFormat/>
    <w:uiPriority w:val="0"/>
    <w:pPr>
      <w:adjustRightInd w:val="0"/>
      <w:snapToGrid w:val="0"/>
      <w:spacing w:before="120" w:after="120"/>
      <w:ind w:right="46" w:rightChars="19"/>
      <w:jc w:val="left"/>
    </w:pPr>
    <w:rPr>
      <w:rFonts w:ascii="宋体" w:hAnsi="Arial"/>
      <w:kern w:val="0"/>
      <w:sz w:val="24"/>
      <w:szCs w:val="20"/>
    </w:rPr>
  </w:style>
  <w:style w:type="character" w:customStyle="1" w:styleId="95">
    <w:name w:val="标准文本 Char"/>
    <w:link w:val="96"/>
    <w:qFormat/>
    <w:uiPriority w:val="0"/>
    <w:rPr>
      <w:rFonts w:cs="宋体"/>
      <w:kern w:val="2"/>
      <w:sz w:val="24"/>
    </w:rPr>
  </w:style>
  <w:style w:type="paragraph" w:customStyle="1" w:styleId="96">
    <w:name w:val="标准文本"/>
    <w:basedOn w:val="1"/>
    <w:link w:val="95"/>
    <w:qFormat/>
    <w:uiPriority w:val="0"/>
    <w:pPr>
      <w:spacing w:line="360" w:lineRule="auto"/>
      <w:ind w:firstLine="480" w:firstLineChars="200"/>
    </w:pPr>
    <w:rPr>
      <w:sz w:val="24"/>
      <w:szCs w:val="20"/>
    </w:rPr>
  </w:style>
  <w:style w:type="character" w:customStyle="1" w:styleId="97">
    <w:name w:val="Plain Text Char"/>
    <w:qFormat/>
    <w:locked/>
    <w:uiPriority w:val="0"/>
    <w:rPr>
      <w:rFonts w:ascii="宋体" w:hAnsi="Courier New" w:eastAsia="宋体"/>
      <w:sz w:val="21"/>
    </w:rPr>
  </w:style>
  <w:style w:type="paragraph" w:customStyle="1" w:styleId="9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character" w:customStyle="1" w:styleId="100">
    <w:name w:val="批注文字 Char"/>
    <w:link w:val="19"/>
    <w:qFormat/>
    <w:uiPriority w:val="0"/>
    <w:rPr>
      <w:rFonts w:eastAsia="宋体"/>
      <w:kern w:val="2"/>
      <w:sz w:val="21"/>
      <w:szCs w:val="24"/>
      <w:lang w:val="en-US" w:eastAsia="zh-CN" w:bidi="ar-SA"/>
    </w:rPr>
  </w:style>
  <w:style w:type="character" w:customStyle="1" w:styleId="101">
    <w:name w:val="批注主题 Char"/>
    <w:link w:val="45"/>
    <w:semiHidden/>
    <w:qFormat/>
    <w:uiPriority w:val="0"/>
    <w:rPr>
      <w:rFonts w:eastAsia="宋体"/>
      <w:b/>
      <w:bCs/>
      <w:kern w:val="2"/>
      <w:sz w:val="21"/>
      <w:szCs w:val="24"/>
      <w:lang w:val="en-US" w:eastAsia="zh-CN" w:bidi="ar-SA"/>
    </w:rPr>
  </w:style>
  <w:style w:type="paragraph" w:customStyle="1" w:styleId="102">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4">
    <w:name w:val="日期 Char"/>
    <w:link w:val="29"/>
    <w:qFormat/>
    <w:uiPriority w:val="0"/>
    <w:rPr>
      <w:rFonts w:ascii="宋体" w:hAnsi="Courier New" w:eastAsia="宋体" w:cs="Courier New"/>
      <w:kern w:val="2"/>
      <w:sz w:val="21"/>
      <w:szCs w:val="21"/>
      <w:lang w:val="en-US" w:eastAsia="zh-CN" w:bidi="ar-SA"/>
    </w:rPr>
  </w:style>
  <w:style w:type="paragraph" w:customStyle="1" w:styleId="105">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font6"/>
    <w:basedOn w:val="1"/>
    <w:qFormat/>
    <w:uiPriority w:val="0"/>
    <w:pPr>
      <w:widowControl/>
      <w:spacing w:before="100" w:beforeAutospacing="1" w:after="100" w:afterAutospacing="1"/>
      <w:jc w:val="left"/>
    </w:pPr>
    <w:rPr>
      <w:color w:val="000000"/>
      <w:kern w:val="0"/>
      <w:szCs w:val="21"/>
    </w:rPr>
  </w:style>
  <w:style w:type="paragraph" w:customStyle="1" w:styleId="108">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09">
    <w:name w:val="Char"/>
    <w:basedOn w:val="1"/>
    <w:qFormat/>
    <w:uiPriority w:val="0"/>
    <w:rPr>
      <w:rFonts w:ascii="宋体" w:hAnsi="Courier New"/>
      <w:szCs w:val="20"/>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11">
    <w:name w:val="页脚 Char"/>
    <w:link w:val="2"/>
    <w:semiHidden/>
    <w:qFormat/>
    <w:uiPriority w:val="0"/>
    <w:rPr>
      <w:rFonts w:eastAsia="宋体"/>
      <w:kern w:val="2"/>
      <w:sz w:val="18"/>
      <w:szCs w:val="18"/>
      <w:lang w:val="en-US" w:eastAsia="zh-CN" w:bidi="ar-SA"/>
    </w:rPr>
  </w:style>
  <w:style w:type="paragraph" w:customStyle="1" w:styleId="112">
    <w:name w:val="表格"/>
    <w:basedOn w:val="1"/>
    <w:qFormat/>
    <w:uiPriority w:val="0"/>
    <w:pPr>
      <w:spacing w:line="400" w:lineRule="exact"/>
    </w:pPr>
    <w:rPr>
      <w:sz w:val="24"/>
    </w:rPr>
  </w:style>
  <w:style w:type="character" w:customStyle="1" w:styleId="113">
    <w:name w:val="页眉 Char"/>
    <w:link w:val="33"/>
    <w:qFormat/>
    <w:uiPriority w:val="0"/>
    <w:rPr>
      <w:rFonts w:eastAsia="宋体"/>
      <w:kern w:val="2"/>
      <w:sz w:val="18"/>
      <w:szCs w:val="18"/>
      <w:lang w:val="en-US" w:eastAsia="zh-CN" w:bidi="ar-SA"/>
    </w:rPr>
  </w:style>
  <w:style w:type="paragraph" w:customStyle="1" w:styleId="11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
    <w:name w:val="xl4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
    <w:name w:val="xl50"/>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20">
    <w:name w:val="xl4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4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122">
    <w:name w:val="Char1 Char Char Char"/>
    <w:basedOn w:val="1"/>
    <w:qFormat/>
    <w:uiPriority w:val="0"/>
    <w:pPr>
      <w:widowControl/>
      <w:jc w:val="left"/>
    </w:pPr>
    <w:rPr>
      <w:szCs w:val="20"/>
    </w:rPr>
  </w:style>
  <w:style w:type="paragraph" w:customStyle="1" w:styleId="123">
    <w:name w:val="xl24"/>
    <w:basedOn w:val="1"/>
    <w:qFormat/>
    <w:uiPriority w:val="0"/>
    <w:pPr>
      <w:widowControl/>
      <w:spacing w:before="100" w:beforeAutospacing="1" w:after="100" w:afterAutospacing="1"/>
      <w:jc w:val="center"/>
    </w:pPr>
    <w:rPr>
      <w:rFonts w:ascii="宋体" w:hAnsi="宋体" w:cs="宋体"/>
      <w:b/>
      <w:bCs/>
      <w:kern w:val="0"/>
      <w:sz w:val="26"/>
      <w:szCs w:val="26"/>
    </w:rPr>
  </w:style>
  <w:style w:type="paragraph" w:customStyle="1" w:styleId="12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正文段"/>
    <w:basedOn w:val="1"/>
    <w:qFormat/>
    <w:uiPriority w:val="0"/>
    <w:pPr>
      <w:widowControl/>
      <w:snapToGrid w:val="0"/>
      <w:spacing w:afterLines="50"/>
      <w:ind w:firstLine="200" w:firstLineChars="200"/>
    </w:pPr>
    <w:rPr>
      <w:kern w:val="0"/>
      <w:sz w:val="24"/>
      <w:szCs w:val="20"/>
    </w:rPr>
  </w:style>
  <w:style w:type="paragraph" w:customStyle="1" w:styleId="127">
    <w:name w:val="Char Char Char Char Char Char Char Char Char Char"/>
    <w:basedOn w:val="1"/>
    <w:qFormat/>
    <w:uiPriority w:val="0"/>
    <w:pPr>
      <w:adjustRightInd w:val="0"/>
      <w:spacing w:line="360" w:lineRule="auto"/>
    </w:pPr>
    <w:rPr>
      <w:rFonts w:ascii="Tahoma" w:hAnsi="Tahoma"/>
      <w:kern w:val="0"/>
      <w:sz w:val="24"/>
      <w:szCs w:val="20"/>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Char1"/>
    <w:basedOn w:val="1"/>
    <w:qFormat/>
    <w:uiPriority w:val="0"/>
    <w:rPr>
      <w:szCs w:val="21"/>
    </w:rPr>
  </w:style>
  <w:style w:type="paragraph" w:customStyle="1" w:styleId="13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3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4">
    <w:name w:val="Char Char Char Char"/>
    <w:basedOn w:val="1"/>
    <w:qFormat/>
    <w:uiPriority w:val="0"/>
  </w:style>
  <w:style w:type="paragraph" w:customStyle="1" w:styleId="135">
    <w:name w:val="Char4"/>
    <w:basedOn w:val="1"/>
    <w:qFormat/>
    <w:uiPriority w:val="0"/>
  </w:style>
  <w:style w:type="paragraph" w:customStyle="1" w:styleId="136">
    <w:name w:val="xl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3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8">
    <w:name w:val="xl4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50">
    <w:name w:val="xl4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2">
    <w:name w:val="xl47"/>
    <w:basedOn w:val="1"/>
    <w:qFormat/>
    <w:uiPriority w:val="0"/>
    <w:pPr>
      <w:widowControl/>
      <w:pBdr>
        <w:top w:val="single" w:color="auto" w:sz="4" w:space="0"/>
      </w:pBdr>
      <w:spacing w:before="100" w:beforeAutospacing="1" w:after="100" w:afterAutospacing="1"/>
      <w:jc w:val="left"/>
    </w:pPr>
    <w:rPr>
      <w:rFonts w:ascii="宋体" w:hAnsi="宋体" w:cs="宋体"/>
      <w:kern w:val="0"/>
      <w:sz w:val="20"/>
      <w:szCs w:val="20"/>
    </w:rPr>
  </w:style>
  <w:style w:type="paragraph" w:customStyle="1" w:styleId="153">
    <w:name w:val="xl5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4">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5">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xl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Char Char"/>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61">
    <w:name w:val="样式2"/>
    <w:basedOn w:val="4"/>
    <w:qFormat/>
    <w:uiPriority w:val="0"/>
    <w:pPr>
      <w:jc w:val="center"/>
    </w:pPr>
    <w:rPr>
      <w:rFonts w:eastAsia="华文中宋"/>
      <w:sz w:val="36"/>
      <w:szCs w:val="36"/>
    </w:rPr>
  </w:style>
  <w:style w:type="paragraph" w:customStyle="1" w:styleId="16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63">
    <w:name w:val="F2"/>
    <w:basedOn w:val="1"/>
    <w:qFormat/>
    <w:uiPriority w:val="0"/>
    <w:pPr>
      <w:autoSpaceDE w:val="0"/>
      <w:autoSpaceDN w:val="0"/>
      <w:adjustRightInd w:val="0"/>
      <w:ind w:firstLine="601"/>
      <w:textAlignment w:val="baseline"/>
    </w:pPr>
    <w:rPr>
      <w:kern w:val="0"/>
      <w:sz w:val="24"/>
      <w:szCs w:val="20"/>
    </w:rPr>
  </w:style>
  <w:style w:type="paragraph" w:customStyle="1" w:styleId="164">
    <w:name w:val="Char12"/>
    <w:basedOn w:val="1"/>
    <w:qFormat/>
    <w:uiPriority w:val="0"/>
    <w:rPr>
      <w:rFonts w:ascii="Tahoma" w:hAnsi="Tahoma"/>
      <w:sz w:val="24"/>
      <w:szCs w:val="20"/>
    </w:rPr>
  </w:style>
  <w:style w:type="paragraph" w:customStyle="1" w:styleId="165">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图1"/>
    <w:basedOn w:val="1"/>
    <w:next w:val="1"/>
    <w:qFormat/>
    <w:uiPriority w:val="0"/>
    <w:pPr>
      <w:tabs>
        <w:tab w:val="left" w:pos="425"/>
      </w:tabs>
      <w:spacing w:beforeLines="50" w:afterLines="100" w:line="360" w:lineRule="auto"/>
      <w:ind w:left="1105" w:hanging="748"/>
      <w:jc w:val="center"/>
    </w:pPr>
    <w:rPr>
      <w:kern w:val="0"/>
      <w:sz w:val="24"/>
    </w:rPr>
  </w:style>
  <w:style w:type="paragraph" w:customStyle="1" w:styleId="16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9">
    <w:name w:val="Char Char Char1 Char"/>
    <w:basedOn w:val="18"/>
    <w:qFormat/>
    <w:uiPriority w:val="0"/>
    <w:rPr>
      <w:rFonts w:ascii="Tahoma" w:hAnsi="Tahoma"/>
      <w:sz w:val="24"/>
    </w:rPr>
  </w:style>
  <w:style w:type="paragraph" w:customStyle="1" w:styleId="17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1">
    <w:name w:val="Char Char Char Char Char Char Char1 Char Char Char Char Char Char"/>
    <w:basedOn w:val="1"/>
    <w:qFormat/>
    <w:uiPriority w:val="0"/>
    <w:pPr>
      <w:adjustRightInd w:val="0"/>
      <w:spacing w:line="360" w:lineRule="auto"/>
    </w:pPr>
    <w:rPr>
      <w:kern w:val="0"/>
      <w:sz w:val="24"/>
      <w:szCs w:val="20"/>
    </w:rPr>
  </w:style>
  <w:style w:type="paragraph" w:customStyle="1" w:styleId="172">
    <w:name w:val="项目符号B"/>
    <w:basedOn w:val="1"/>
    <w:qFormat/>
    <w:uiPriority w:val="0"/>
    <w:pPr>
      <w:tabs>
        <w:tab w:val="left" w:pos="360"/>
      </w:tabs>
      <w:spacing w:line="360" w:lineRule="auto"/>
    </w:pPr>
    <w:rPr>
      <w:rFonts w:ascii="Arial" w:hAnsi="Arial"/>
      <w:sz w:val="24"/>
      <w:szCs w:val="20"/>
    </w:rPr>
  </w:style>
  <w:style w:type="paragraph" w:customStyle="1" w:styleId="173">
    <w:name w:val="表格标题"/>
    <w:basedOn w:val="1"/>
    <w:qFormat/>
    <w:uiPriority w:val="0"/>
    <w:pPr>
      <w:spacing w:line="240" w:lineRule="atLeast"/>
      <w:jc w:val="center"/>
    </w:pPr>
    <w:rPr>
      <w:rFonts w:eastAsia="楷体_GB2312"/>
      <w:b/>
      <w:bCs/>
      <w:sz w:val="24"/>
    </w:rPr>
  </w:style>
  <w:style w:type="paragraph" w:customStyle="1" w:styleId="174">
    <w:name w:val="庄制定的正文"/>
    <w:basedOn w:val="1"/>
    <w:qFormat/>
    <w:uiPriority w:val="0"/>
    <w:pPr>
      <w:spacing w:after="50" w:line="360" w:lineRule="auto"/>
      <w:ind w:firstLine="454"/>
    </w:pPr>
    <w:rPr>
      <w:rFonts w:ascii="宋体" w:hAnsi="宋体" w:cs="宋体"/>
      <w:kern w:val="44"/>
      <w:sz w:val="24"/>
      <w:szCs w:val="20"/>
    </w:rPr>
  </w:style>
  <w:style w:type="character" w:customStyle="1" w:styleId="175">
    <w:name w:val="普通文字 Char Char2"/>
    <w:qFormat/>
    <w:uiPriority w:val="0"/>
    <w:rPr>
      <w:rFonts w:ascii="宋体" w:hAnsi="Courier New" w:eastAsia="宋体" w:cs="Courier New"/>
      <w:kern w:val="2"/>
      <w:sz w:val="21"/>
      <w:szCs w:val="21"/>
      <w:lang w:val="en-US" w:eastAsia="zh-CN" w:bidi="ar-SA"/>
    </w:rPr>
  </w:style>
  <w:style w:type="character" w:customStyle="1" w:styleId="176">
    <w:name w:val="font81"/>
    <w:basedOn w:val="50"/>
    <w:qFormat/>
    <w:uiPriority w:val="0"/>
    <w:rPr>
      <w:rFonts w:ascii="宋体" w:hAnsi="宋体" w:eastAsia="宋体" w:cs="宋体"/>
      <w:color w:val="000000"/>
      <w:sz w:val="22"/>
      <w:szCs w:val="22"/>
      <w:u w:val="none"/>
    </w:rPr>
  </w:style>
  <w:style w:type="character" w:customStyle="1" w:styleId="177">
    <w:name w:val="font21"/>
    <w:basedOn w:val="50"/>
    <w:qFormat/>
    <w:uiPriority w:val="0"/>
    <w:rPr>
      <w:rFonts w:hint="eastAsia" w:ascii="宋体" w:hAnsi="宋体" w:eastAsia="宋体" w:cs="宋体"/>
      <w:color w:val="000000"/>
      <w:sz w:val="22"/>
      <w:szCs w:val="22"/>
      <w:u w:val="none"/>
    </w:rPr>
  </w:style>
  <w:style w:type="character" w:customStyle="1" w:styleId="178">
    <w:name w:val="font61"/>
    <w:basedOn w:val="50"/>
    <w:qFormat/>
    <w:uiPriority w:val="0"/>
    <w:rPr>
      <w:rFonts w:hint="default" w:ascii="Times New Roman" w:hAnsi="Times New Roman" w:cs="Times New Roman"/>
      <w:color w:val="000000"/>
      <w:sz w:val="22"/>
      <w:szCs w:val="22"/>
      <w:u w:val="none"/>
    </w:rPr>
  </w:style>
  <w:style w:type="character" w:customStyle="1" w:styleId="179">
    <w:name w:val="font71"/>
    <w:basedOn w:val="50"/>
    <w:qFormat/>
    <w:uiPriority w:val="0"/>
    <w:rPr>
      <w:rFonts w:hint="default" w:ascii="Times New Roman" w:hAnsi="Times New Roman" w:cs="Times New Roman"/>
      <w:color w:val="000000"/>
      <w:sz w:val="20"/>
      <w:szCs w:val="20"/>
      <w:u w:val="none"/>
    </w:rPr>
  </w:style>
  <w:style w:type="character" w:customStyle="1" w:styleId="180">
    <w:name w:val="font41"/>
    <w:basedOn w:val="50"/>
    <w:qFormat/>
    <w:uiPriority w:val="0"/>
    <w:rPr>
      <w:rFonts w:hint="eastAsia" w:ascii="宋体" w:hAnsi="宋体" w:eastAsia="宋体" w:cs="宋体"/>
      <w:color w:val="000000"/>
      <w:sz w:val="20"/>
      <w:szCs w:val="20"/>
      <w:u w:val="none"/>
    </w:rPr>
  </w:style>
  <w:style w:type="character" w:customStyle="1" w:styleId="181">
    <w:name w:val="font31"/>
    <w:basedOn w:val="50"/>
    <w:qFormat/>
    <w:uiPriority w:val="0"/>
    <w:rPr>
      <w:rFonts w:hint="default" w:ascii="华文仿宋" w:hAnsi="华文仿宋" w:eastAsia="华文仿宋" w:cs="华文仿宋"/>
      <w:color w:val="000000"/>
      <w:sz w:val="22"/>
      <w:szCs w:val="22"/>
      <w:u w:val="none"/>
    </w:rPr>
  </w:style>
  <w:style w:type="character" w:customStyle="1" w:styleId="182">
    <w:name w:val="Char Char15"/>
    <w:qFormat/>
    <w:uiPriority w:val="0"/>
    <w:rPr>
      <w:szCs w:val="24"/>
      <w:shd w:val="clear" w:color="auto" w:fill="000080"/>
    </w:rPr>
  </w:style>
  <w:style w:type="character" w:customStyle="1" w:styleId="183">
    <w:name w:val="Char Char8"/>
    <w:basedOn w:val="184"/>
    <w:qFormat/>
    <w:uiPriority w:val="0"/>
    <w:rPr>
      <w:kern w:val="2"/>
      <w:sz w:val="21"/>
      <w:szCs w:val="24"/>
    </w:rPr>
  </w:style>
  <w:style w:type="character" w:customStyle="1" w:styleId="184">
    <w:name w:val="正文文本 Char"/>
    <w:qFormat/>
    <w:uiPriority w:val="0"/>
    <w:rPr>
      <w:kern w:val="2"/>
      <w:sz w:val="21"/>
      <w:szCs w:val="24"/>
    </w:rPr>
  </w:style>
  <w:style w:type="character" w:customStyle="1" w:styleId="185">
    <w:name w:val="Char Char14"/>
    <w:qFormat/>
    <w:uiPriority w:val="0"/>
  </w:style>
  <w:style w:type="character" w:customStyle="1" w:styleId="186">
    <w:name w:val="Char Char13"/>
    <w:qFormat/>
    <w:uiPriority w:val="0"/>
    <w:rPr>
      <w:szCs w:val="24"/>
    </w:rPr>
  </w:style>
  <w:style w:type="paragraph" w:customStyle="1" w:styleId="187">
    <w:name w:val="Char1 Char Char Char1"/>
    <w:basedOn w:val="1"/>
    <w:qFormat/>
    <w:uiPriority w:val="0"/>
    <w:pPr>
      <w:widowControl/>
      <w:jc w:val="left"/>
    </w:pPr>
    <w:rPr>
      <w:szCs w:val="20"/>
    </w:rPr>
  </w:style>
  <w:style w:type="paragraph" w:customStyle="1" w:styleId="188">
    <w:name w:val="Char Char Char Char Char Char Char Char Char Char1"/>
    <w:basedOn w:val="1"/>
    <w:qFormat/>
    <w:uiPriority w:val="0"/>
    <w:pPr>
      <w:adjustRightInd w:val="0"/>
      <w:spacing w:line="360" w:lineRule="auto"/>
    </w:pPr>
    <w:rPr>
      <w:rFonts w:ascii="Tahoma" w:hAnsi="Tahoma"/>
      <w:kern w:val="0"/>
      <w:sz w:val="24"/>
      <w:szCs w:val="20"/>
    </w:rPr>
  </w:style>
  <w:style w:type="paragraph" w:customStyle="1" w:styleId="189">
    <w:name w:val="Char Char Char Char1"/>
    <w:basedOn w:val="1"/>
    <w:qFormat/>
    <w:uiPriority w:val="0"/>
  </w:style>
  <w:style w:type="paragraph" w:customStyle="1" w:styleId="190">
    <w:name w:val="Char3"/>
    <w:basedOn w:val="1"/>
    <w:qFormat/>
    <w:uiPriority w:val="0"/>
  </w:style>
  <w:style w:type="paragraph" w:customStyle="1" w:styleId="191">
    <w:name w:val="Char Char2"/>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92">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3">
    <w:name w:val="Char11"/>
    <w:basedOn w:val="1"/>
    <w:qFormat/>
    <w:uiPriority w:val="0"/>
    <w:rPr>
      <w:rFonts w:ascii="Tahoma" w:hAnsi="Tahoma"/>
      <w:sz w:val="24"/>
      <w:szCs w:val="20"/>
    </w:rPr>
  </w:style>
  <w:style w:type="paragraph" w:customStyle="1" w:styleId="194">
    <w:name w:val="Char Char Char 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9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96">
    <w:name w:val="Char Char Char Char Char Char Char1 Char Char Char Char Char Char1"/>
    <w:basedOn w:val="1"/>
    <w:qFormat/>
    <w:uiPriority w:val="0"/>
    <w:pPr>
      <w:adjustRightInd w:val="0"/>
      <w:spacing w:line="360" w:lineRule="auto"/>
    </w:pPr>
    <w:rPr>
      <w:kern w:val="0"/>
      <w:sz w:val="24"/>
      <w:szCs w:val="20"/>
    </w:rPr>
  </w:style>
  <w:style w:type="paragraph" w:styleId="197">
    <w:name w:val="List Paragraph"/>
    <w:basedOn w:val="1"/>
    <w:qFormat/>
    <w:uiPriority w:val="34"/>
    <w:pPr>
      <w:ind w:firstLine="420" w:firstLineChars="200"/>
    </w:pPr>
  </w:style>
  <w:style w:type="character" w:customStyle="1" w:styleId="198">
    <w:name w:val="普通文字 Char Char3"/>
    <w:qFormat/>
    <w:uiPriority w:val="0"/>
    <w:rPr>
      <w:rFonts w:ascii="宋体" w:hAnsi="Courier New"/>
      <w:kern w:val="2"/>
      <w:sz w:val="21"/>
    </w:rPr>
  </w:style>
  <w:style w:type="paragraph" w:customStyle="1" w:styleId="199">
    <w:name w:val="Table Paragraph"/>
    <w:basedOn w:val="1"/>
    <w:qFormat/>
    <w:uiPriority w:val="1"/>
    <w:pPr>
      <w:ind w:left="100" w:right="-10"/>
      <w:jc w:val="left"/>
    </w:pPr>
    <w:rPr>
      <w:rFonts w:ascii="宋体" w:hAnsi="宋体" w:cs="宋体"/>
      <w:kern w:val="0"/>
      <w:sz w:val="22"/>
      <w:szCs w:val="22"/>
      <w:lang w:eastAsia="en-US"/>
    </w:rPr>
  </w:style>
  <w:style w:type="paragraph" w:customStyle="1" w:styleId="20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02">
    <w:name w:val="标题 51"/>
    <w:basedOn w:val="1"/>
    <w:qFormat/>
    <w:uiPriority w:val="1"/>
    <w:pPr>
      <w:ind w:left="112" w:right="115"/>
      <w:jc w:val="left"/>
      <w:outlineLvl w:val="5"/>
    </w:pPr>
    <w:rPr>
      <w:rFonts w:ascii="Microsoft JhengHei" w:hAnsi="Microsoft JhengHei" w:eastAsia="Microsoft JhengHei" w:cs="Microsoft JhengHei"/>
      <w:b/>
      <w:bCs/>
      <w:kern w:val="0"/>
      <w:szCs w:val="21"/>
      <w:lang w:eastAsia="en-US"/>
    </w:rPr>
  </w:style>
  <w:style w:type="character" w:customStyle="1" w:styleId="203">
    <w:name w:val="font161"/>
    <w:qFormat/>
    <w:uiPriority w:val="0"/>
    <w:rPr>
      <w:rFonts w:hint="eastAsia" w:ascii="宋体" w:hAnsi="宋体" w:eastAsia="宋体" w:cs="宋体"/>
      <w:color w:val="FF0000"/>
      <w:sz w:val="22"/>
      <w:szCs w:val="22"/>
      <w:u w:val="none"/>
    </w:rPr>
  </w:style>
  <w:style w:type="character" w:customStyle="1" w:styleId="204">
    <w:name w:val="纯文本 Char4"/>
    <w:qFormat/>
    <w:uiPriority w:val="99"/>
    <w:rPr>
      <w:rFonts w:ascii="宋体" w:eastAsia="宋体"/>
      <w:szCs w:val="21"/>
    </w:rPr>
  </w:style>
  <w:style w:type="character" w:customStyle="1" w:styleId="205">
    <w:name w:val="bookmark-item"/>
    <w:basedOn w:val="50"/>
    <w:qFormat/>
    <w:uiPriority w:val="0"/>
  </w:style>
  <w:style w:type="paragraph" w:customStyle="1" w:styleId="206">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8">
    <w:name w:val="正文首行缩进 2 Char"/>
    <w:basedOn w:val="85"/>
    <w:link w:val="47"/>
    <w:qFormat/>
    <w:uiPriority w:val="0"/>
    <w:rPr>
      <w:kern w:val="2"/>
      <w:sz w:val="21"/>
      <w:szCs w:val="24"/>
    </w:rPr>
  </w:style>
  <w:style w:type="character" w:customStyle="1" w:styleId="209">
    <w:name w:val="NormalCharacter"/>
    <w:qFormat/>
    <w:uiPriority w:val="0"/>
  </w:style>
  <w:style w:type="paragraph" w:customStyle="1" w:styleId="21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TOC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74</Pages>
  <Words>34837</Words>
  <Characters>37049</Characters>
  <Lines>392</Lines>
  <Paragraphs>110</Paragraphs>
  <TotalTime>4</TotalTime>
  <ScaleCrop>false</ScaleCrop>
  <LinksUpToDate>false</LinksUpToDate>
  <CharactersWithSpaces>38552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2025-05-23T06:42:00Z</dcterms:created>
  <dc:creator>L600-03R</dc:creator>
  <cp:lastModifiedBy>Min</cp:lastModifiedBy>
  <cp:lastPrinted>2025-08-28T09:18:00Z</cp:lastPrinted>
  <dcterms:modified xsi:type="dcterms:W3CDTF">2025-09-30T15:24:00Z</dcterms:modified>
  <dc:title>广西德元工程项目管理有限责任公司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FFB67A78948B47D98CA1F32E079B2216_13</vt:lpwstr>
  </property>
  <property fmtid="{D5CDD505-2E9C-101B-9397-08002B2CF9AE}" pid="4" name="KSOTemplateDocerSaveRecord">
    <vt:lpwstr>eyJoZGlkIjoiMjkwZWMzN2YxZmVhZDFiYjYwOWIxZjgzNzg3NmE1YjgiLCJ1c2VySWQiOiIyNjY0Njg2OTMifQ==</vt:lpwstr>
  </property>
</Properties>
</file>