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84356">
      <w:pPr>
        <w:spacing w:before="120" w:beforeLines="50"/>
        <w:jc w:val="center"/>
        <w:rPr>
          <w:rFonts w:hint="eastAsia" w:ascii="宋体" w:hAnsi="宋体" w:eastAsia="宋体" w:cs="宋体"/>
          <w:b/>
          <w:color w:val="auto"/>
          <w:sz w:val="44"/>
          <w:szCs w:val="44"/>
          <w:highlight w:val="none"/>
        </w:rPr>
      </w:pPr>
      <w:bookmarkStart w:id="104" w:name="_GoBack"/>
    </w:p>
    <w:p w14:paraId="3B5FD399">
      <w:pPr>
        <w:spacing w:before="120" w:beforeLines="50"/>
        <w:jc w:val="center"/>
        <w:rPr>
          <w:rFonts w:hint="eastAsia" w:ascii="宋体" w:hAnsi="宋体" w:eastAsia="宋体" w:cs="宋体"/>
          <w:b/>
          <w:color w:val="auto"/>
          <w:sz w:val="44"/>
          <w:szCs w:val="44"/>
          <w:highlight w:val="none"/>
        </w:rPr>
      </w:pPr>
    </w:p>
    <w:p w14:paraId="0891EE27">
      <w:pPr>
        <w:spacing w:before="120" w:beforeLines="50"/>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广西德元工程项目管理有限责任公司</w:t>
      </w:r>
    </w:p>
    <w:p w14:paraId="7D868BF2">
      <w:pPr>
        <w:spacing w:before="120" w:beforeLines="50"/>
        <w:rPr>
          <w:rFonts w:hint="eastAsia" w:ascii="宋体" w:hAnsi="宋体" w:eastAsia="宋体" w:cs="宋体"/>
          <w:color w:val="auto"/>
          <w:sz w:val="48"/>
          <w:szCs w:val="48"/>
          <w:highlight w:val="none"/>
        </w:rPr>
      </w:pPr>
    </w:p>
    <w:p w14:paraId="6BC1EB06">
      <w:pPr>
        <w:spacing w:before="120" w:beforeLines="50"/>
        <w:rPr>
          <w:rFonts w:hint="eastAsia" w:ascii="宋体" w:hAnsi="宋体" w:eastAsia="宋体" w:cs="宋体"/>
          <w:color w:val="auto"/>
          <w:sz w:val="48"/>
          <w:szCs w:val="48"/>
          <w:highlight w:val="none"/>
        </w:rPr>
      </w:pPr>
    </w:p>
    <w:p w14:paraId="5F0AA9D5">
      <w:pPr>
        <w:spacing w:before="120" w:beforeLines="5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公开招标采购文件</w:t>
      </w:r>
    </w:p>
    <w:p w14:paraId="1EDAA169">
      <w:pPr>
        <w:snapToGrid w:val="0"/>
        <w:spacing w:before="120" w:beforeLines="50" w:line="360" w:lineRule="auto"/>
        <w:rPr>
          <w:rFonts w:hint="eastAsia" w:ascii="宋体" w:hAnsi="宋体" w:eastAsia="宋体" w:cs="宋体"/>
          <w:color w:val="auto"/>
          <w:sz w:val="30"/>
          <w:szCs w:val="72"/>
          <w:highlight w:val="none"/>
        </w:rPr>
      </w:pPr>
    </w:p>
    <w:p w14:paraId="008355C9">
      <w:pPr>
        <w:snapToGrid w:val="0"/>
        <w:spacing w:before="120" w:beforeLines="50" w:line="360" w:lineRule="auto"/>
        <w:rPr>
          <w:rFonts w:hint="eastAsia" w:ascii="宋体" w:hAnsi="宋体" w:eastAsia="宋体" w:cs="宋体"/>
          <w:color w:val="auto"/>
          <w:sz w:val="30"/>
          <w:szCs w:val="72"/>
          <w:highlight w:val="none"/>
        </w:rPr>
      </w:pPr>
    </w:p>
    <w:p w14:paraId="0B24A1AE">
      <w:pPr>
        <w:snapToGrid w:val="0"/>
        <w:spacing w:before="120" w:beforeLines="50" w:line="360" w:lineRule="auto"/>
        <w:rPr>
          <w:rFonts w:hint="eastAsia" w:ascii="宋体" w:hAnsi="宋体" w:eastAsia="宋体" w:cs="宋体"/>
          <w:color w:val="auto"/>
          <w:sz w:val="30"/>
          <w:szCs w:val="72"/>
          <w:highlight w:val="none"/>
        </w:rPr>
      </w:pPr>
    </w:p>
    <w:p w14:paraId="084D253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cs="宋体"/>
          <w:b/>
          <w:bCs/>
          <w:color w:val="auto"/>
          <w:sz w:val="32"/>
          <w:szCs w:val="32"/>
          <w:highlight w:val="none"/>
          <w:lang w:eastAsia="zh-CN"/>
        </w:rPr>
        <w:t>防汛排涝应急设施设备更新工程4标段</w:t>
      </w:r>
    </w:p>
    <w:p w14:paraId="013FCFA6">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ascii="宋体" w:hAnsi="宋体" w:cs="宋体"/>
          <w:b/>
          <w:bCs/>
          <w:color w:val="auto"/>
          <w:sz w:val="32"/>
          <w:szCs w:val="32"/>
          <w:highlight w:val="none"/>
          <w:lang w:eastAsia="zh-CN"/>
        </w:rPr>
        <w:t>LZZC2025-G1-990738-GXDY</w:t>
      </w:r>
    </w:p>
    <w:p w14:paraId="7C98BE40">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2A58A7FB">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1073625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 xml:space="preserve">采购单位：柳州市市政设施维护管理处 </w:t>
      </w:r>
    </w:p>
    <w:p w14:paraId="1C7B5D56">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采购代理机构：广西德元工程项目管理有限责任公司</w:t>
      </w:r>
    </w:p>
    <w:p w14:paraId="50BE28C3">
      <w:pPr>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72251784">
      <w:pPr>
        <w:rPr>
          <w:rFonts w:hint="eastAsia" w:ascii="宋体" w:hAnsi="宋体" w:eastAsia="宋体" w:cs="宋体"/>
          <w:b/>
          <w:bCs/>
          <w:color w:val="auto"/>
          <w:w w:val="95"/>
          <w:sz w:val="30"/>
          <w:szCs w:val="30"/>
          <w:highlight w:val="none"/>
        </w:rPr>
      </w:pPr>
    </w:p>
    <w:p w14:paraId="68A40A8E">
      <w:pPr>
        <w:ind w:firstLine="3692" w:firstLineChars="129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lang w:eastAsia="zh-CN"/>
        </w:rPr>
        <w:t xml:space="preserve">  2025年9月</w:t>
      </w:r>
    </w:p>
    <w:p w14:paraId="2BD19133">
      <w:pPr>
        <w:pStyle w:val="27"/>
        <w:spacing w:before="120" w:after="120"/>
        <w:rPr>
          <w:rFonts w:hint="eastAsia" w:ascii="宋体" w:hAnsi="宋体" w:eastAsia="宋体" w:cs="宋体"/>
          <w:color w:val="auto"/>
          <w:highlight w:val="none"/>
        </w:rPr>
      </w:pPr>
    </w:p>
    <w:p w14:paraId="11CEFCC0">
      <w:pPr>
        <w:pStyle w:val="27"/>
        <w:spacing w:before="120" w:after="120"/>
        <w:rPr>
          <w:rFonts w:hint="eastAsia" w:ascii="宋体" w:hAnsi="宋体" w:eastAsia="宋体" w:cs="宋体"/>
          <w:color w:val="auto"/>
          <w:highlight w:val="none"/>
        </w:rPr>
      </w:pPr>
    </w:p>
    <w:p w14:paraId="00325830">
      <w:pPr>
        <w:pStyle w:val="27"/>
        <w:spacing w:before="120" w:after="1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971B24C">
      <w:pPr>
        <w:pStyle w:val="27"/>
        <w:spacing w:before="120" w:after="120"/>
        <w:rPr>
          <w:rFonts w:hint="eastAsia" w:ascii="宋体" w:hAnsi="宋体" w:eastAsia="宋体" w:cs="宋体"/>
          <w:color w:val="auto"/>
          <w:highlight w:val="none"/>
          <w:lang w:val="en-US" w:eastAsia="zh-CN"/>
        </w:rPr>
      </w:pPr>
    </w:p>
    <w:p w14:paraId="0EC70B9C">
      <w:pPr>
        <w:pStyle w:val="27"/>
        <w:spacing w:before="120" w:after="120"/>
        <w:rPr>
          <w:rFonts w:hint="eastAsia" w:ascii="宋体" w:hAnsi="宋体" w:eastAsia="宋体" w:cs="宋体"/>
          <w:color w:val="auto"/>
          <w:highlight w:val="none"/>
          <w:lang w:val="en-US" w:eastAsia="zh-CN"/>
        </w:rPr>
      </w:pPr>
    </w:p>
    <w:p w14:paraId="4B9E31A6">
      <w:pPr>
        <w:pStyle w:val="2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2F8947C4">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TOC \o "1-3" \h \z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_Toc4368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第一章  公开招标公告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_Toc4368 \h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7E36FF9F">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_Toc14947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  招标项目采购需求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_Toc14947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995B1E7">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_Toc8327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第三章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_Toc8327 \h </w:instrText>
      </w:r>
      <w:r>
        <w:rPr>
          <w:color w:val="auto"/>
          <w:sz w:val="32"/>
          <w:szCs w:val="32"/>
          <w:highlight w:val="none"/>
        </w:rPr>
        <w:fldChar w:fldCharType="separate"/>
      </w:r>
      <w:r>
        <w:rPr>
          <w:color w:val="auto"/>
          <w:sz w:val="32"/>
          <w:szCs w:val="32"/>
          <w:highlight w:val="none"/>
        </w:rPr>
        <w:t>14</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4B4B80C">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_Toc29000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第四章 评标办法及评分标准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_Toc29000 \h </w:instrText>
      </w:r>
      <w:r>
        <w:rPr>
          <w:color w:val="auto"/>
          <w:sz w:val="32"/>
          <w:szCs w:val="32"/>
          <w:highlight w:val="none"/>
        </w:rPr>
        <w:fldChar w:fldCharType="separate"/>
      </w:r>
      <w:r>
        <w:rPr>
          <w:color w:val="auto"/>
          <w:sz w:val="32"/>
          <w:szCs w:val="32"/>
          <w:highlight w:val="none"/>
        </w:rPr>
        <w:t>35</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FF706DC">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_Toc14162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第五章 合同主要条款格式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_Toc14162 \h </w:instrText>
      </w:r>
      <w:r>
        <w:rPr>
          <w:color w:val="auto"/>
          <w:sz w:val="32"/>
          <w:szCs w:val="32"/>
          <w:highlight w:val="none"/>
        </w:rPr>
        <w:fldChar w:fldCharType="separate"/>
      </w:r>
      <w:r>
        <w:rPr>
          <w:color w:val="auto"/>
          <w:sz w:val="32"/>
          <w:szCs w:val="32"/>
          <w:highlight w:val="none"/>
        </w:rPr>
        <w:t>41</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F35CAE2">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_Toc32317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_Toc32317 \h </w:instrText>
      </w:r>
      <w:r>
        <w:rPr>
          <w:color w:val="auto"/>
          <w:sz w:val="32"/>
          <w:szCs w:val="32"/>
          <w:highlight w:val="none"/>
        </w:rPr>
        <w:fldChar w:fldCharType="separate"/>
      </w:r>
      <w:r>
        <w:rPr>
          <w:color w:val="auto"/>
          <w:sz w:val="32"/>
          <w:szCs w:val="32"/>
          <w:highlight w:val="none"/>
        </w:rPr>
        <w:t>47</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32BFA9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color w:val="auto"/>
          <w:sz w:val="30"/>
          <w:highlight w:val="none"/>
        </w:rPr>
      </w:pPr>
      <w:r>
        <w:rPr>
          <w:rFonts w:hint="eastAsia" w:ascii="宋体" w:hAnsi="宋体" w:eastAsia="宋体" w:cs="宋体"/>
          <w:color w:val="auto"/>
          <w:sz w:val="32"/>
          <w:szCs w:val="32"/>
          <w:highlight w:val="none"/>
        </w:rPr>
        <w:fldChar w:fldCharType="end"/>
      </w:r>
    </w:p>
    <w:p w14:paraId="61152E1A">
      <w:pPr>
        <w:spacing w:before="120" w:beforeLines="50" w:line="480" w:lineRule="exact"/>
        <w:rPr>
          <w:rFonts w:hint="eastAsia" w:ascii="宋体" w:hAnsi="宋体" w:eastAsia="宋体" w:cs="宋体"/>
          <w:color w:val="auto"/>
          <w:sz w:val="30"/>
          <w:highlight w:val="none"/>
        </w:rPr>
      </w:pPr>
    </w:p>
    <w:p w14:paraId="24DBAABA">
      <w:pPr>
        <w:spacing w:before="120" w:beforeLines="50" w:line="480" w:lineRule="exact"/>
        <w:rPr>
          <w:rFonts w:hint="eastAsia" w:ascii="宋体" w:hAnsi="宋体" w:eastAsia="宋体" w:cs="宋体"/>
          <w:color w:val="auto"/>
          <w:sz w:val="30"/>
          <w:highlight w:val="none"/>
        </w:rPr>
      </w:pPr>
    </w:p>
    <w:p w14:paraId="1E8B4CC8">
      <w:pPr>
        <w:spacing w:before="120" w:beforeLines="50" w:line="480" w:lineRule="exact"/>
        <w:rPr>
          <w:rFonts w:hint="eastAsia" w:ascii="宋体" w:hAnsi="宋体" w:eastAsia="宋体" w:cs="宋体"/>
          <w:color w:val="auto"/>
          <w:sz w:val="30"/>
          <w:highlight w:val="none"/>
        </w:rPr>
      </w:pPr>
    </w:p>
    <w:p w14:paraId="247CA112">
      <w:pPr>
        <w:spacing w:before="120" w:beforeLines="50" w:line="480" w:lineRule="exact"/>
        <w:rPr>
          <w:rFonts w:hint="eastAsia" w:ascii="宋体" w:hAnsi="宋体" w:eastAsia="宋体" w:cs="宋体"/>
          <w:color w:val="auto"/>
          <w:sz w:val="30"/>
          <w:highlight w:val="none"/>
        </w:rPr>
      </w:pPr>
    </w:p>
    <w:p w14:paraId="0A2AB638">
      <w:pPr>
        <w:spacing w:before="120" w:beforeLines="50" w:line="480" w:lineRule="exact"/>
        <w:rPr>
          <w:rFonts w:hint="eastAsia" w:ascii="宋体" w:hAnsi="宋体" w:eastAsia="宋体" w:cs="宋体"/>
          <w:color w:val="auto"/>
          <w:sz w:val="30"/>
          <w:highlight w:val="none"/>
        </w:rPr>
      </w:pPr>
    </w:p>
    <w:p w14:paraId="3500E8C0">
      <w:pPr>
        <w:spacing w:before="120" w:beforeLines="50" w:line="480" w:lineRule="exact"/>
        <w:rPr>
          <w:rFonts w:hint="eastAsia" w:ascii="宋体" w:hAnsi="宋体" w:eastAsia="宋体" w:cs="宋体"/>
          <w:color w:val="auto"/>
          <w:sz w:val="30"/>
          <w:highlight w:val="none"/>
        </w:rPr>
      </w:pPr>
    </w:p>
    <w:p w14:paraId="0930CDC3">
      <w:pPr>
        <w:spacing w:before="120" w:beforeLines="50" w:line="480" w:lineRule="exact"/>
        <w:rPr>
          <w:rFonts w:hint="eastAsia" w:ascii="宋体" w:hAnsi="宋体" w:eastAsia="宋体" w:cs="宋体"/>
          <w:color w:val="auto"/>
          <w:sz w:val="30"/>
          <w:highlight w:val="none"/>
        </w:rPr>
      </w:pPr>
    </w:p>
    <w:p w14:paraId="77FFB177">
      <w:pPr>
        <w:spacing w:before="120" w:beforeLines="50" w:line="480" w:lineRule="exact"/>
        <w:rPr>
          <w:rFonts w:hint="eastAsia" w:ascii="宋体" w:hAnsi="宋体" w:eastAsia="宋体" w:cs="宋体"/>
          <w:color w:val="auto"/>
          <w:sz w:val="30"/>
          <w:highlight w:val="none"/>
        </w:rPr>
      </w:pPr>
    </w:p>
    <w:p w14:paraId="4E48A9ED">
      <w:pPr>
        <w:spacing w:before="120" w:beforeLines="50" w:line="480" w:lineRule="exact"/>
        <w:rPr>
          <w:rFonts w:hint="eastAsia" w:ascii="宋体" w:hAnsi="宋体" w:eastAsia="宋体" w:cs="宋体"/>
          <w:color w:val="auto"/>
          <w:sz w:val="30"/>
          <w:highlight w:val="none"/>
        </w:rPr>
      </w:pPr>
    </w:p>
    <w:p w14:paraId="2B6BB50F">
      <w:pPr>
        <w:spacing w:before="120" w:beforeLines="50" w:line="480" w:lineRule="exact"/>
        <w:rPr>
          <w:rFonts w:hint="eastAsia" w:ascii="宋体" w:hAnsi="宋体" w:eastAsia="宋体" w:cs="宋体"/>
          <w:color w:val="auto"/>
          <w:sz w:val="30"/>
          <w:highlight w:val="none"/>
        </w:rPr>
      </w:pPr>
    </w:p>
    <w:p w14:paraId="651C02CD">
      <w:pPr>
        <w:spacing w:before="120" w:beforeLines="50" w:line="480" w:lineRule="exact"/>
        <w:rPr>
          <w:rFonts w:hint="eastAsia" w:ascii="宋体" w:hAnsi="宋体" w:eastAsia="宋体" w:cs="宋体"/>
          <w:color w:val="auto"/>
          <w:sz w:val="30"/>
          <w:highlight w:val="none"/>
        </w:rPr>
      </w:pPr>
    </w:p>
    <w:p w14:paraId="2914A610">
      <w:pPr>
        <w:spacing w:before="120" w:beforeLines="50" w:line="480" w:lineRule="exact"/>
        <w:rPr>
          <w:rFonts w:hint="eastAsia" w:ascii="宋体" w:hAnsi="宋体" w:eastAsia="宋体" w:cs="宋体"/>
          <w:color w:val="auto"/>
          <w:sz w:val="30"/>
          <w:highlight w:val="none"/>
        </w:rPr>
      </w:pPr>
    </w:p>
    <w:p w14:paraId="5E40E907">
      <w:pPr>
        <w:spacing w:before="120" w:beforeLines="50" w:line="480" w:lineRule="exact"/>
        <w:rPr>
          <w:rFonts w:hint="eastAsia" w:ascii="宋体" w:hAnsi="宋体" w:eastAsia="宋体" w:cs="宋体"/>
          <w:color w:val="auto"/>
          <w:sz w:val="30"/>
          <w:highlight w:val="none"/>
        </w:rPr>
      </w:pPr>
    </w:p>
    <w:p w14:paraId="68A91D7C">
      <w:pPr>
        <w:spacing w:before="120" w:beforeLines="50" w:line="480" w:lineRule="exact"/>
        <w:rPr>
          <w:rFonts w:hint="eastAsia" w:ascii="宋体" w:hAnsi="宋体" w:eastAsia="宋体" w:cs="宋体"/>
          <w:color w:val="auto"/>
          <w:sz w:val="30"/>
          <w:highlight w:val="none"/>
        </w:rPr>
      </w:pPr>
    </w:p>
    <w:p w14:paraId="7EFB8B8D">
      <w:pPr>
        <w:pStyle w:val="27"/>
        <w:keepNext w:val="0"/>
        <w:keepLines w:val="0"/>
        <w:pageBreakBefore w:val="0"/>
        <w:kinsoku/>
        <w:wordWrap/>
        <w:overflowPunct/>
        <w:topLinePunct w:val="0"/>
        <w:autoSpaceDE/>
        <w:autoSpaceDN/>
        <w:bidi w:val="0"/>
        <w:adjustRightInd/>
        <w:snapToGrid w:val="0"/>
        <w:spacing w:line="360" w:lineRule="exact"/>
        <w:jc w:val="center"/>
        <w:textAlignment w:val="auto"/>
        <w:outlineLvl w:val="0"/>
        <w:rPr>
          <w:rFonts w:hint="eastAsia" w:asciiTheme="majorEastAsia" w:hAnsiTheme="majorEastAsia" w:eastAsiaTheme="majorEastAsia" w:cstheme="majorEastAsia"/>
          <w:b/>
          <w:bCs/>
          <w:color w:val="auto"/>
          <w:sz w:val="21"/>
          <w:szCs w:val="21"/>
          <w:highlight w:val="none"/>
        </w:rPr>
      </w:pPr>
      <w:bookmarkStart w:id="0" w:name="_Toc254970630"/>
      <w:bookmarkStart w:id="1" w:name="_Toc254970489"/>
      <w:bookmarkStart w:id="2" w:name="_Toc4368"/>
      <w:r>
        <w:rPr>
          <w:rFonts w:hint="eastAsia" w:ascii="宋体" w:hAnsi="宋体" w:eastAsia="宋体" w:cs="宋体"/>
          <w:b/>
          <w:bCs/>
          <w:color w:val="auto"/>
          <w:sz w:val="28"/>
          <w:szCs w:val="28"/>
          <w:highlight w:val="none"/>
        </w:rPr>
        <w:t>第一章  公开招标公告</w:t>
      </w:r>
      <w:bookmarkEnd w:id="0"/>
      <w:bookmarkEnd w:id="1"/>
      <w:bookmarkEnd w:id="2"/>
    </w:p>
    <w:p w14:paraId="6F5374FA">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项目概况                                                    </w:t>
      </w:r>
    </w:p>
    <w:p w14:paraId="664617CE">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防汛排涝应急设施设备更新工程4标段招标项目的潜在投标人应在</w:t>
      </w:r>
      <w:r>
        <w:rPr>
          <w:rFonts w:hint="eastAsia" w:asciiTheme="minorEastAsia" w:hAnsiTheme="minorEastAsia" w:eastAsiaTheme="minorEastAsia" w:cstheme="minorEastAsia"/>
          <w:color w:val="auto"/>
          <w:sz w:val="21"/>
          <w:szCs w:val="21"/>
          <w:highlight w:val="none"/>
          <w:u w:val="none"/>
        </w:rPr>
        <w:t>广西政府采购云平台（https://www.gcy.zfcg.gxzf.gov.cn/）</w:t>
      </w:r>
      <w:r>
        <w:rPr>
          <w:rFonts w:hint="eastAsia" w:asciiTheme="minorEastAsia" w:hAnsiTheme="minorEastAsia" w:eastAsiaTheme="minorEastAsia" w:cstheme="minorEastAsia"/>
          <w:color w:val="auto"/>
          <w:sz w:val="21"/>
          <w:szCs w:val="21"/>
          <w:highlight w:val="none"/>
        </w:rPr>
        <w:t>获取招标文件，并于2025年10月21日 09:20（北京时间）前递交投标文件。                                                </w:t>
      </w:r>
    </w:p>
    <w:p w14:paraId="35A1E4A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inorEastAsia" w:hAnsiTheme="minorEastAsia" w:eastAsiaTheme="minorEastAsia" w:cstheme="minorEastAsia"/>
          <w:color w:val="auto"/>
          <w:sz w:val="21"/>
          <w:szCs w:val="21"/>
          <w:highlight w:val="none"/>
        </w:rPr>
      </w:pPr>
      <w:r>
        <w:rPr>
          <w:rStyle w:val="51"/>
          <w:rFonts w:hint="eastAsia" w:asciiTheme="minorEastAsia" w:hAnsiTheme="minorEastAsia" w:eastAsiaTheme="minorEastAsia" w:cstheme="minorEastAsia"/>
          <w:color w:val="auto"/>
          <w:sz w:val="21"/>
          <w:szCs w:val="21"/>
          <w:highlight w:val="none"/>
        </w:rPr>
        <w:t>一、项目基本情况</w:t>
      </w:r>
      <w:r>
        <w:rPr>
          <w:rFonts w:hint="eastAsia" w:asciiTheme="minorEastAsia" w:hAnsiTheme="minorEastAsia" w:eastAsiaTheme="minorEastAsia" w:cstheme="minorEastAsia"/>
          <w:color w:val="auto"/>
          <w:sz w:val="21"/>
          <w:szCs w:val="21"/>
          <w:highlight w:val="none"/>
        </w:rPr>
        <w:t>                                            </w:t>
      </w:r>
    </w:p>
    <w:p w14:paraId="6D7AFC1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项目编号：LZZC2025-G1-990738-GXDY </w:t>
      </w:r>
    </w:p>
    <w:p w14:paraId="349ACC8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项目名称：防汛排涝应急设施设备更新工程4标段</w:t>
      </w:r>
    </w:p>
    <w:p w14:paraId="271F9CE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预算总金额（元）：879233  </w:t>
      </w:r>
    </w:p>
    <w:p w14:paraId="74D5A43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采购需求：</w:t>
      </w:r>
    </w:p>
    <w:p w14:paraId="798C188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标项名称:防汛排涝应急设施设备更新工程4标段</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数量:1</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预算金额（元）:879233</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简要规格描述或项目基本概况介绍、用途：采购水陆两栖全地形车（管道机器人）1台、轴流泵20台、无人机2台、管道潜望镜2台，具体内容及要求详见招标文件第二章《招标项目采购需求》。</w:t>
      </w:r>
    </w:p>
    <w:p w14:paraId="1D644C4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最高限价（如有）：879233</w:t>
      </w:r>
    </w:p>
    <w:p w14:paraId="0EAF2F6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合同履约期限：自合同签订之日起120天内全部货物安装调试完毕并交付使用。</w:t>
      </w:r>
    </w:p>
    <w:p w14:paraId="2C230F1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本标项（否）接受联合体投标</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备注：本项目为线上电子招标项目，采用远程异地评标，有意向参与本项目的供应商应当做好参与全流程电子招投标交易的充分准备。</w:t>
      </w:r>
    </w:p>
    <w:p w14:paraId="344F9831">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Style w:val="51"/>
          <w:rFonts w:hint="eastAsia" w:asciiTheme="minorEastAsia" w:hAnsiTheme="minorEastAsia" w:eastAsiaTheme="minorEastAsia" w:cstheme="minorEastAsia"/>
          <w:color w:val="auto"/>
          <w:sz w:val="21"/>
          <w:szCs w:val="21"/>
          <w:highlight w:val="none"/>
        </w:rPr>
        <w:t>二、申请人的资格要求：</w:t>
      </w:r>
    </w:p>
    <w:p w14:paraId="3FEF3D9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1.满足《中华人民共和国政府采购法》第二十二条规定；</w:t>
      </w:r>
    </w:p>
    <w:p w14:paraId="30DC59D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2.落实政府采购政策需满足的资格要求：分标1：无 </w:t>
      </w:r>
    </w:p>
    <w:p w14:paraId="1CB61E2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3.本项目的特定资格要求：无 </w:t>
      </w:r>
    </w:p>
    <w:p w14:paraId="1B921A2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inorEastAsia" w:hAnsiTheme="minorEastAsia" w:eastAsiaTheme="minorEastAsia" w:cstheme="minorEastAsia"/>
          <w:color w:val="auto"/>
          <w:sz w:val="21"/>
          <w:szCs w:val="21"/>
          <w:highlight w:val="none"/>
        </w:rPr>
      </w:pPr>
      <w:r>
        <w:rPr>
          <w:rStyle w:val="51"/>
          <w:rFonts w:hint="eastAsia" w:asciiTheme="minorEastAsia" w:hAnsiTheme="minorEastAsia" w:eastAsiaTheme="minorEastAsia" w:cstheme="minorEastAsia"/>
          <w:color w:val="auto"/>
          <w:sz w:val="21"/>
          <w:szCs w:val="21"/>
          <w:highlight w:val="none"/>
        </w:rPr>
        <w:t>三、获取招标文件</w:t>
      </w:r>
      <w:r>
        <w:rPr>
          <w:rFonts w:hint="eastAsia" w:asciiTheme="minorEastAsia" w:hAnsiTheme="minorEastAsia" w:eastAsiaTheme="minorEastAsia" w:cstheme="minorEastAsia"/>
          <w:color w:val="auto"/>
          <w:sz w:val="21"/>
          <w:szCs w:val="21"/>
          <w:highlight w:val="none"/>
        </w:rPr>
        <w:t> </w:t>
      </w:r>
    </w:p>
    <w:p w14:paraId="3D4B8A0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sz w:val="21"/>
          <w:szCs w:val="21"/>
          <w:highlight w:val="none"/>
          <w:u w:val="none"/>
        </w:rPr>
        <w:t>时间：2025年09月30日至2025年10月16日 ，每天上午00:00至12:00 ，下午12:00至23:59（北京时间，法定节假日除外）</w:t>
      </w:r>
    </w:p>
    <w:p w14:paraId="6E253FB1">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地点（网址）：广西政府采购云平台（https://www.gcy.zfcg.gxzf.gov.cn/） </w:t>
      </w:r>
    </w:p>
    <w:p w14:paraId="42D38BC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方式：网上下载。本项目为全流程电子化项目，不发放纸质文件，供应商可自行在“广西政府采购云平台”（https://www.gcy.zfcg.gxzf.gov.cn/）下载采购文件，实名申请获取采购文件，如在操作过程中遇到问题或者需要技术支持，请致电广西政府采购云平台客服热线：95763。供应商登陆“广西政府采购云平台”，应进行“申请获取采购文件”操作，否则，有可能导致无法在线编制投标文件并参与竞标，其不利后果由供应商自行承担。 </w:t>
      </w:r>
    </w:p>
    <w:p w14:paraId="56AC3F4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售价（元）：0 </w:t>
      </w:r>
    </w:p>
    <w:p w14:paraId="0F5E33E1">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inorEastAsia" w:hAnsiTheme="minorEastAsia" w:eastAsiaTheme="minorEastAsia" w:cstheme="minorEastAsia"/>
          <w:color w:val="auto"/>
          <w:sz w:val="21"/>
          <w:szCs w:val="21"/>
          <w:highlight w:val="none"/>
        </w:rPr>
      </w:pPr>
      <w:r>
        <w:rPr>
          <w:rStyle w:val="51"/>
          <w:rFonts w:hint="eastAsia" w:asciiTheme="minorEastAsia" w:hAnsiTheme="minorEastAsia" w:eastAsiaTheme="minorEastAsia" w:cstheme="minorEastAsia"/>
          <w:color w:val="auto"/>
          <w:sz w:val="21"/>
          <w:szCs w:val="21"/>
          <w:highlight w:val="none"/>
        </w:rPr>
        <w:t>四、提交投标文件截止时间、开标时间和地点</w:t>
      </w:r>
    </w:p>
    <w:p w14:paraId="5A28270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sz w:val="21"/>
          <w:szCs w:val="21"/>
          <w:highlight w:val="none"/>
          <w:u w:val="none"/>
        </w:rPr>
        <w:t> 提交投标文件截止时间：2025年10月21日 09:20（北京时间）</w:t>
      </w:r>
    </w:p>
    <w:p w14:paraId="05073EC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sz w:val="21"/>
          <w:szCs w:val="21"/>
          <w:highlight w:val="none"/>
          <w:u w:val="none"/>
        </w:rPr>
        <w:t> 投标地点（网址）：请登录广西政府采购云平台（https://www.gcy.zfcg.gxzf.gov.cn/）投标客户端投标</w:t>
      </w:r>
      <w:r>
        <w:rPr>
          <w:rFonts w:hint="eastAsia" w:asciiTheme="minorEastAsia" w:hAnsiTheme="minorEastAsia" w:eastAsiaTheme="minorEastAsia" w:cstheme="minorEastAsia"/>
          <w:color w:val="auto"/>
          <w:sz w:val="21"/>
          <w:szCs w:val="21"/>
          <w:highlight w:val="none"/>
        </w:rPr>
        <w:t> </w:t>
      </w:r>
    </w:p>
    <w:p w14:paraId="1B0ED71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rPr>
        <w:t>    开标时间：2025年10月21日 09:20</w:t>
      </w:r>
      <w:r>
        <w:rPr>
          <w:rFonts w:hint="eastAsia" w:asciiTheme="minorEastAsia" w:hAnsiTheme="minorEastAsia" w:eastAsiaTheme="minorEastAsia" w:cstheme="minorEastAsia"/>
          <w:color w:val="auto"/>
          <w:sz w:val="21"/>
          <w:szCs w:val="21"/>
          <w:highlight w:val="none"/>
        </w:rPr>
        <w:t> </w:t>
      </w:r>
    </w:p>
    <w:p w14:paraId="1995CE2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none"/>
        </w:rPr>
        <w:t>    开标地点：广西政府采购云平台（https://www.gcy.zfcg.gxzf.gov.cn/）</w:t>
      </w:r>
      <w:r>
        <w:rPr>
          <w:rFonts w:hint="eastAsia" w:asciiTheme="minorEastAsia" w:hAnsiTheme="minorEastAsia" w:eastAsiaTheme="minorEastAsia" w:cstheme="minorEastAsia"/>
          <w:color w:val="auto"/>
          <w:sz w:val="21"/>
          <w:szCs w:val="21"/>
          <w:highlight w:val="none"/>
        </w:rPr>
        <w:t>  </w:t>
      </w:r>
    </w:p>
    <w:p w14:paraId="4A6BEA8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inorEastAsia" w:hAnsiTheme="minorEastAsia" w:eastAsiaTheme="minorEastAsia" w:cstheme="minorEastAsia"/>
          <w:color w:val="auto"/>
          <w:sz w:val="21"/>
          <w:szCs w:val="21"/>
          <w:highlight w:val="none"/>
        </w:rPr>
      </w:pPr>
      <w:r>
        <w:rPr>
          <w:rStyle w:val="51"/>
          <w:rFonts w:hint="eastAsia" w:asciiTheme="minorEastAsia" w:hAnsiTheme="minorEastAsia" w:eastAsiaTheme="minorEastAsia" w:cstheme="minorEastAsia"/>
          <w:color w:val="auto"/>
          <w:sz w:val="21"/>
          <w:szCs w:val="21"/>
          <w:highlight w:val="none"/>
        </w:rPr>
        <w:t>五、公告期限</w:t>
      </w:r>
      <w:r>
        <w:rPr>
          <w:rFonts w:hint="eastAsia" w:asciiTheme="minorEastAsia" w:hAnsiTheme="minorEastAsia" w:eastAsiaTheme="minorEastAsia" w:cstheme="minorEastAsia"/>
          <w:color w:val="auto"/>
          <w:sz w:val="21"/>
          <w:szCs w:val="21"/>
          <w:highlight w:val="none"/>
        </w:rPr>
        <w:t> </w:t>
      </w:r>
    </w:p>
    <w:p w14:paraId="4967337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自本公告发布之日起5个工作日。</w:t>
      </w:r>
    </w:p>
    <w:p w14:paraId="4055E8A1">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inorEastAsia" w:hAnsiTheme="minorEastAsia" w:eastAsiaTheme="minorEastAsia" w:cstheme="minorEastAsia"/>
          <w:color w:val="auto"/>
          <w:sz w:val="21"/>
          <w:szCs w:val="21"/>
          <w:highlight w:val="none"/>
        </w:rPr>
      </w:pPr>
      <w:r>
        <w:rPr>
          <w:rStyle w:val="51"/>
          <w:rFonts w:hint="eastAsia" w:asciiTheme="minorEastAsia" w:hAnsiTheme="minorEastAsia" w:eastAsiaTheme="minorEastAsia" w:cstheme="minorEastAsia"/>
          <w:color w:val="auto"/>
          <w:sz w:val="21"/>
          <w:szCs w:val="21"/>
          <w:highlight w:val="none"/>
        </w:rPr>
        <w:t>六、其他补充事宜</w:t>
      </w:r>
    </w:p>
    <w:p w14:paraId="4F75C45A">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1.本项目需要落实的政府采购政策：</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（1）政府采购促进中小企业发展。</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（2）政府采购促进残疾人就业政策。</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（3）政府采购支持监狱企业发展。</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（4）政府采购支持采用本国产品的政策。</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（5）强制采购节能产品；优先采购节能产品、环境标志产品。</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4.投标保证金：人民币捌仟元整（8000.00元），不得少于规定金额交纳，否则投标无效。投标保证金应在投标有效期内保持有效。投标保证金的交纳方式：转账、电汇、网上银行、支票、汇票、本票或者银行、保险机构出具的保函，禁止采用现钞方式。采用转账、电汇、网上银行方式的，在投标截止时间前交至广西德元工程项目管理有限责任公司（收款单位名称），开户银行：柳州银行北站支行营业部，银行账号：707002011010900000108；采用支票、汇票、本票或者保函等方式的，投标人应当递交单独密封的支票、汇票、本票或者保函原件，否则视为无效投标保证金。原件递交的形式是在线下开标现场【广西柳州市龙湖路13号柳州市民服务中心北楼4楼柳州市公共资源交易服务中心开标区对应开标室（具体开标室根据电子屏幕显示的安排）】递交密封好的原件（原件放入一个密封袋中，并在封口处加盖供应商公章或委托代理人签字，以示密封，在封套上标记“项目名称（项目编号）投标保证金”字样）；若广西德元工程项目管理有限责任公司在投标保证金规定递交时间内没有收到上述原件的，其投标无效；因此供应商递交上述原件时应充分考虑到达时间，以免影响投标。</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5.公告发布媒介：http://www.ccgp.gov.cn/（中国政府采购网）、http://zfcg.gxzf.gov.cn（广西政府采购网）、http://www.zfcg.lzscz.liuzhou.gov.cn（广西柳州政府采购网）</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6.广西政府采购云平台电子投标相关事宜：</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1）投标文件提交方式：本项目为全流程电子化项目，通过“广西政府采购云平台”（https://www.gcy.zfcg.gxzf.gov.cn/）实行在线电子投标，并按照本项目采购文件和“广西政府采购云平台”的要求编制、加密后在投标截止时间前通过网络上传至“广西政府采购云平台”。</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2）若对项目采购电子交易系统操作有疑问，可登陆广西政府采购云平台（https://www.gcy.zfcg.gxzf.gov.cn/），点击右侧咨询小采，获取采小蜜智能服务管家帮助，或拨打广西政府采购云平台服务热线95763获取热线服务帮助。</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7.政府采购行政监管及投诉受理部门：柳州市财政局政府采购监督管理科，联系电话：0772-2830320。   </w:t>
      </w:r>
    </w:p>
    <w:p w14:paraId="0A89D29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Theme="minorEastAsia" w:hAnsiTheme="minorEastAsia" w:eastAsiaTheme="minorEastAsia" w:cstheme="minorEastAsia"/>
          <w:color w:val="auto"/>
          <w:sz w:val="21"/>
          <w:szCs w:val="21"/>
          <w:highlight w:val="none"/>
        </w:rPr>
      </w:pPr>
      <w:r>
        <w:rPr>
          <w:rStyle w:val="51"/>
          <w:rFonts w:hint="eastAsia" w:asciiTheme="minorEastAsia" w:hAnsiTheme="minorEastAsia" w:eastAsiaTheme="minorEastAsia" w:cstheme="minorEastAsia"/>
          <w:color w:val="auto"/>
          <w:sz w:val="21"/>
          <w:szCs w:val="21"/>
          <w:highlight w:val="none"/>
        </w:rPr>
        <w:t>七、对本次采购提出询问，请按以下方式联系</w:t>
      </w:r>
    </w:p>
    <w:p w14:paraId="35BEB0A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1.采购人信息</w:t>
      </w:r>
    </w:p>
    <w:p w14:paraId="47F4EC6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名    称：柳州市市政设施维护管理处 </w:t>
      </w:r>
    </w:p>
    <w:p w14:paraId="798099F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地    址：柳州市八一路107号 </w:t>
      </w:r>
    </w:p>
    <w:p w14:paraId="19AEEF8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项目联系人：韦工  </w:t>
      </w:r>
    </w:p>
    <w:p w14:paraId="0768F37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项目联系方式：0772-5332730，5332759 </w:t>
      </w:r>
    </w:p>
    <w:p w14:paraId="705AD75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rPr>
        <w:t>    2.采购代理机构信息            </w:t>
      </w:r>
    </w:p>
    <w:p w14:paraId="1F2D9E1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名    称：广西德元工程项目管理有限责任公司             </w:t>
      </w:r>
    </w:p>
    <w:p w14:paraId="1EA8255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地    址：柳州市跃进路19号天元金都1单元410室               </w:t>
      </w:r>
    </w:p>
    <w:p w14:paraId="548AE0A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项目联系人：杨工              </w:t>
      </w:r>
    </w:p>
    <w:p w14:paraId="51F7173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项目联系方式：0772-2805114 </w:t>
      </w:r>
    </w:p>
    <w:p w14:paraId="31649CB5">
      <w:pPr>
        <w:pStyle w:val="43"/>
        <w:keepNext w:val="0"/>
        <w:keepLines w:val="0"/>
        <w:widowControl/>
        <w:suppressLineNumbers w:val="0"/>
        <w:spacing w:before="75" w:beforeAutospacing="0" w:after="75" w:afterAutospacing="0"/>
        <w:ind w:left="0" w:right="0"/>
        <w:rPr>
          <w:color w:val="auto"/>
          <w:highlight w:val="none"/>
        </w:rPr>
      </w:pPr>
    </w:p>
    <w:p w14:paraId="4FE8B4B3">
      <w:pPr>
        <w:pStyle w:val="43"/>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p>
    <w:p w14:paraId="00CFD8A7">
      <w:pPr>
        <w:widowControl/>
        <w:spacing w:line="360" w:lineRule="exact"/>
        <w:ind w:left="480"/>
        <w:jc w:val="center"/>
        <w:outlineLvl w:val="0"/>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3" w:name="_Toc14947"/>
      <w:r>
        <w:rPr>
          <w:rFonts w:hint="eastAsia" w:ascii="宋体" w:hAnsi="宋体" w:eastAsia="宋体" w:cs="宋体"/>
          <w:b/>
          <w:color w:val="auto"/>
          <w:sz w:val="28"/>
          <w:szCs w:val="28"/>
          <w:highlight w:val="none"/>
        </w:rPr>
        <w:t xml:space="preserve">第二章  </w:t>
      </w:r>
      <w:bookmarkEnd w:id="3"/>
      <w:r>
        <w:rPr>
          <w:rFonts w:hint="eastAsia" w:ascii="宋体" w:hAnsi="宋体" w:eastAsia="宋体" w:cs="宋体"/>
          <w:b/>
          <w:color w:val="auto"/>
          <w:sz w:val="28"/>
          <w:szCs w:val="28"/>
          <w:highlight w:val="none"/>
        </w:rPr>
        <w:t>招标项目采购需求</w:t>
      </w:r>
    </w:p>
    <w:p w14:paraId="06FDD10D">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46AE4D7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1.本章中如提及品牌型号，仅起参考作用。供应商可选用其他品牌型号替代，但这些替代的品牌型号要实质上参照或相当于或优于参考品牌型号及其技术参数性能（配置）要求。</w:t>
      </w:r>
    </w:p>
    <w:p w14:paraId="7832C3F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投标人必须自行为其投标产品侵权其他投标人或专利人的专利成果</w:t>
      </w:r>
      <w:r>
        <w:rPr>
          <w:rFonts w:hint="eastAsia" w:ascii="宋体" w:hAnsi="宋体" w:cs="宋体"/>
          <w:color w:val="auto"/>
          <w:highlight w:val="none"/>
          <w:lang w:val="en-US" w:eastAsia="zh-CN"/>
        </w:rPr>
        <w:t>承担</w:t>
      </w:r>
      <w:r>
        <w:rPr>
          <w:rFonts w:hint="eastAsia" w:ascii="宋体" w:hAnsi="宋体" w:eastAsia="宋体" w:cs="宋体"/>
          <w:color w:val="auto"/>
          <w:highlight w:val="none"/>
        </w:rPr>
        <w:t>相应法律责任；同时，具有产品专利的投标人应在其投标文件中提供与其自有产品专利相关的有效证明材料，否则，不能就其产品的专利在本项目投标过程中被侵权问题提出异议。</w:t>
      </w:r>
    </w:p>
    <w:p w14:paraId="3F971C6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highlight w:val="none"/>
        </w:rPr>
        <w:t>▲</w:t>
      </w:r>
      <w:r>
        <w:rPr>
          <w:rFonts w:hint="eastAsia" w:ascii="宋体" w:hAnsi="宋体" w:cs="宋体"/>
          <w:b w:val="0"/>
          <w:bCs/>
          <w:color w:val="auto"/>
          <w:highlight w:val="none"/>
          <w:lang w:val="en-US" w:eastAsia="zh-CN"/>
        </w:rPr>
        <w:t>3.</w:t>
      </w:r>
      <w:r>
        <w:rPr>
          <w:rFonts w:hint="eastAsia" w:ascii="宋体" w:hAnsi="宋体" w:eastAsia="宋体" w:cs="宋体"/>
          <w:b w:val="0"/>
          <w:bCs/>
          <w:color w:val="auto"/>
          <w:highlight w:val="none"/>
        </w:rPr>
        <w:t>本项目包括以下</w:t>
      </w:r>
      <w:r>
        <w:rPr>
          <w:rFonts w:hint="eastAsia" w:ascii="宋体" w:hAnsi="宋体" w:cs="宋体"/>
          <w:b w:val="0"/>
          <w:bCs/>
          <w:color w:val="auto"/>
          <w:highlight w:val="none"/>
          <w:lang w:val="en-US" w:eastAsia="zh-CN"/>
        </w:rPr>
        <w:t>货物</w:t>
      </w:r>
      <w:r>
        <w:rPr>
          <w:rFonts w:hint="eastAsia" w:ascii="宋体" w:hAnsi="宋体" w:eastAsia="宋体" w:cs="宋体"/>
          <w:b w:val="0"/>
          <w:bCs/>
          <w:color w:val="auto"/>
          <w:highlight w:val="none"/>
        </w:rPr>
        <w:t>，根据财办库（2008）248号文件有关规定，本项目不允许进口产品（即通过中国海关报关验放</w:t>
      </w:r>
      <w:r>
        <w:rPr>
          <w:rFonts w:hint="eastAsia" w:ascii="宋体" w:hAnsi="宋体" w:eastAsia="宋体" w:cs="宋体"/>
          <w:b w:val="0"/>
          <w:bCs/>
          <w:color w:val="auto"/>
          <w:szCs w:val="21"/>
          <w:highlight w:val="none"/>
        </w:rPr>
        <w:t>进入中国境内且产自关境外的产品）参加投标，如有此类产品参与投标的做无效标处理。</w:t>
      </w:r>
    </w:p>
    <w:p w14:paraId="4FEA38BB">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default" w:ascii="宋体" w:hAnsi="宋体" w:eastAsia="宋体" w:cs="宋体"/>
          <w:b/>
          <w:bCs w:val="0"/>
          <w:color w:val="auto"/>
          <w:highlight w:val="none"/>
          <w:lang w:val="en-US" w:eastAsia="zh-CN"/>
        </w:rPr>
      </w:pPr>
      <w:r>
        <w:rPr>
          <w:rFonts w:hint="eastAsia" w:ascii="宋体" w:hAnsi="宋体" w:cs="宋体"/>
          <w:b/>
          <w:bCs w:val="0"/>
          <w:color w:val="auto"/>
          <w:highlight w:val="none"/>
          <w:lang w:val="en-US" w:eastAsia="zh-CN"/>
        </w:rPr>
        <w:t>4.</w:t>
      </w:r>
      <w:r>
        <w:rPr>
          <w:rFonts w:hint="eastAsia" w:ascii="宋体" w:hAnsi="宋体" w:eastAsia="宋体" w:cs="宋体"/>
          <w:b/>
          <w:bCs w:val="0"/>
          <w:color w:val="auto"/>
          <w:highlight w:val="none"/>
          <w:lang w:val="en-US" w:eastAsia="zh-CN"/>
        </w:rPr>
        <w:t>根据《财政部 发展改革委 生态环境部 市场监管总局关于调整优化节能产品、环境标志产品政府采购执行机制的通知》（财库〔2019〕9号）和《关于印发节能产品政府采购品目清单的通知》（财库〔2019〕19 号）</w:t>
      </w:r>
      <w:r>
        <w:rPr>
          <w:rFonts w:hint="eastAsia" w:ascii="宋体" w:hAnsi="宋体" w:cs="宋体"/>
          <w:b/>
          <w:bCs w:val="0"/>
          <w:color w:val="auto"/>
          <w:highlight w:val="none"/>
          <w:lang w:val="en-US" w:eastAsia="zh-CN"/>
        </w:rPr>
        <w:t>、</w:t>
      </w:r>
      <w:r>
        <w:rPr>
          <w:rFonts w:hint="eastAsia" w:ascii="宋体" w:hAnsi="宋体" w:eastAsia="宋体" w:cs="宋体"/>
          <w:b/>
          <w:bCs w:val="0"/>
          <w:color w:val="auto"/>
          <w:kern w:val="2"/>
          <w:sz w:val="21"/>
          <w:szCs w:val="21"/>
          <w:highlight w:val="none"/>
          <w:u w:val="none"/>
          <w:lang w:val="en-US" w:eastAsia="zh-CN" w:bidi="ar-SA"/>
        </w:rPr>
        <w:t>《</w:t>
      </w:r>
      <w:r>
        <w:rPr>
          <w:rFonts w:hint="eastAsia" w:ascii="宋体" w:hAnsi="宋体" w:cs="宋体"/>
          <w:b/>
          <w:bCs w:val="0"/>
          <w:color w:val="auto"/>
          <w:kern w:val="2"/>
          <w:sz w:val="21"/>
          <w:szCs w:val="21"/>
          <w:highlight w:val="none"/>
          <w:u w:val="none"/>
          <w:lang w:val="en-US" w:eastAsia="zh-CN" w:bidi="ar-SA"/>
        </w:rPr>
        <w:t>关于印发</w:t>
      </w:r>
      <w:r>
        <w:rPr>
          <w:rFonts w:hint="eastAsia" w:ascii="宋体" w:hAnsi="宋体" w:eastAsia="宋体" w:cs="宋体"/>
          <w:b/>
          <w:bCs w:val="0"/>
          <w:color w:val="auto"/>
          <w:kern w:val="2"/>
          <w:sz w:val="21"/>
          <w:szCs w:val="21"/>
          <w:highlight w:val="none"/>
          <w:u w:val="none"/>
          <w:lang w:val="en-US" w:eastAsia="zh-CN" w:bidi="ar-SA"/>
        </w:rPr>
        <w:t>环境标志产品政府采购品目清单</w:t>
      </w:r>
      <w:r>
        <w:rPr>
          <w:rFonts w:hint="eastAsia" w:ascii="宋体" w:hAnsi="宋体" w:cs="宋体"/>
          <w:b/>
          <w:bCs w:val="0"/>
          <w:color w:val="auto"/>
          <w:kern w:val="2"/>
          <w:sz w:val="21"/>
          <w:szCs w:val="21"/>
          <w:highlight w:val="none"/>
          <w:u w:val="none"/>
          <w:lang w:val="en-US" w:eastAsia="zh-CN" w:bidi="ar-SA"/>
        </w:rPr>
        <w:t>的通知</w:t>
      </w:r>
      <w:r>
        <w:rPr>
          <w:rFonts w:hint="eastAsia" w:ascii="宋体" w:hAnsi="宋体" w:eastAsia="宋体" w:cs="宋体"/>
          <w:b/>
          <w:bCs w:val="0"/>
          <w:color w:val="auto"/>
          <w:kern w:val="2"/>
          <w:sz w:val="21"/>
          <w:szCs w:val="21"/>
          <w:highlight w:val="none"/>
          <w:u w:val="none"/>
          <w:lang w:val="en-US" w:eastAsia="zh-CN" w:bidi="ar-SA"/>
        </w:rPr>
        <w:t>》（财库〔2019〕18 号）</w:t>
      </w:r>
      <w:r>
        <w:rPr>
          <w:rFonts w:hint="eastAsia" w:ascii="宋体" w:hAnsi="宋体" w:eastAsia="宋体" w:cs="宋体"/>
          <w:b/>
          <w:bCs w:val="0"/>
          <w:color w:val="auto"/>
          <w:highlight w:val="none"/>
          <w:lang w:val="en-US" w:eastAsia="zh-CN"/>
        </w:rPr>
        <w:t>规定，节能产品</w:t>
      </w:r>
      <w:r>
        <w:rPr>
          <w:rFonts w:hint="eastAsia" w:ascii="宋体" w:hAnsi="宋体" w:cs="宋体"/>
          <w:b/>
          <w:bCs w:val="0"/>
          <w:color w:val="auto"/>
          <w:highlight w:val="none"/>
          <w:lang w:val="en-US" w:eastAsia="zh-CN"/>
        </w:rPr>
        <w:t>、</w:t>
      </w:r>
      <w:r>
        <w:rPr>
          <w:rFonts w:hint="eastAsia" w:ascii="宋体" w:hAnsi="宋体" w:eastAsia="宋体" w:cs="宋体"/>
          <w:b/>
          <w:bCs w:val="0"/>
          <w:color w:val="auto"/>
          <w:kern w:val="2"/>
          <w:sz w:val="21"/>
          <w:szCs w:val="21"/>
          <w:highlight w:val="none"/>
          <w:u w:val="none"/>
          <w:lang w:val="en-US" w:eastAsia="zh-CN" w:bidi="ar-SA"/>
        </w:rPr>
        <w:t>环境标志产品</w:t>
      </w:r>
      <w:r>
        <w:rPr>
          <w:rFonts w:hint="eastAsia" w:ascii="宋体" w:hAnsi="宋体" w:eastAsia="宋体" w:cs="宋体"/>
          <w:b/>
          <w:bCs w:val="0"/>
          <w:color w:val="auto"/>
          <w:highlight w:val="none"/>
          <w:lang w:val="en-US" w:eastAsia="zh-CN"/>
        </w:rPr>
        <w:t>政府采购执行政策仅适用于列入“节能产品政府采购品目清单”</w:t>
      </w:r>
      <w:r>
        <w:rPr>
          <w:rFonts w:hint="eastAsia" w:ascii="宋体" w:hAnsi="宋体" w:cs="宋体"/>
          <w:b/>
          <w:bCs w:val="0"/>
          <w:color w:val="auto"/>
          <w:highlight w:val="none"/>
          <w:lang w:val="en-US" w:eastAsia="zh-CN"/>
        </w:rPr>
        <w:t>、“</w:t>
      </w:r>
      <w:r>
        <w:rPr>
          <w:rFonts w:hint="eastAsia" w:ascii="宋体" w:hAnsi="宋体" w:eastAsia="宋体" w:cs="宋体"/>
          <w:b/>
          <w:bCs w:val="0"/>
          <w:color w:val="auto"/>
          <w:kern w:val="2"/>
          <w:sz w:val="21"/>
          <w:szCs w:val="21"/>
          <w:highlight w:val="none"/>
          <w:u w:val="none"/>
          <w:lang w:val="en-US" w:eastAsia="zh-CN" w:bidi="ar-SA"/>
        </w:rPr>
        <w:t>环境标志产品政府采购品目清单</w:t>
      </w:r>
      <w:r>
        <w:rPr>
          <w:rFonts w:hint="eastAsia" w:ascii="宋体" w:hAnsi="宋体" w:cs="宋体"/>
          <w:b/>
          <w:bCs w:val="0"/>
          <w:color w:val="auto"/>
          <w:highlight w:val="none"/>
          <w:lang w:val="en-US" w:eastAsia="zh-CN"/>
        </w:rPr>
        <w:t>”</w:t>
      </w:r>
      <w:r>
        <w:rPr>
          <w:rFonts w:hint="eastAsia" w:ascii="宋体" w:hAnsi="宋体" w:eastAsia="宋体" w:cs="宋体"/>
          <w:b/>
          <w:bCs w:val="0"/>
          <w:color w:val="auto"/>
          <w:highlight w:val="none"/>
          <w:lang w:val="en-US" w:eastAsia="zh-CN"/>
        </w:rPr>
        <w:t>的产品；鉴于本项目所采购产品不在该清单内，因此本项目不适用该政策。</w:t>
      </w:r>
    </w:p>
    <w:p w14:paraId="5B24DDC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w:t>
      </w:r>
      <w:r>
        <w:rPr>
          <w:rFonts w:hint="eastAsia" w:ascii="宋体" w:hAnsi="宋体" w:cs="宋体"/>
          <w:b w:val="0"/>
          <w:bCs/>
          <w:color w:val="auto"/>
          <w:highlight w:val="none"/>
          <w:lang w:val="en-US" w:eastAsia="zh-CN"/>
        </w:rPr>
        <w:t>5.</w:t>
      </w:r>
      <w:r>
        <w:rPr>
          <w:rFonts w:hint="eastAsia" w:ascii="宋体" w:hAnsi="宋体" w:eastAsia="宋体" w:cs="宋体"/>
          <w:b w:val="0"/>
          <w:bCs/>
          <w:color w:val="auto"/>
          <w:highlight w:val="none"/>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14:paraId="469E323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auto"/>
          <w:highlight w:val="none"/>
          <w:lang w:eastAsia="zh-CN"/>
        </w:rPr>
        <w:t>进行</w:t>
      </w:r>
      <w:r>
        <w:rPr>
          <w:rFonts w:hint="eastAsia" w:ascii="宋体" w:hAnsi="宋体" w:eastAsia="宋体" w:cs="宋体"/>
          <w:color w:val="auto"/>
          <w:highlight w:val="none"/>
        </w:rPr>
        <w:t>赔偿。</w:t>
      </w:r>
    </w:p>
    <w:p w14:paraId="613604C4">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cs="宋体"/>
          <w:b/>
          <w:color w:val="auto"/>
          <w:highlight w:val="none"/>
          <w:lang w:val="en-US" w:eastAsia="zh-CN"/>
        </w:rPr>
        <w:t>7.</w:t>
      </w:r>
      <w:r>
        <w:rPr>
          <w:rFonts w:hint="eastAsia" w:ascii="宋体" w:hAnsi="宋体" w:eastAsia="宋体" w:cs="宋体"/>
          <w:b/>
          <w:color w:val="auto"/>
          <w:highlight w:val="none"/>
        </w:rPr>
        <w:t>标注“▲”的条款或要求系指实质性条款或实质性要求，必须满足，如存在负偏离将导致投标被否决。</w:t>
      </w:r>
    </w:p>
    <w:p w14:paraId="6C0BF763">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cs="宋体"/>
          <w:b/>
          <w:color w:val="auto"/>
          <w:highlight w:val="none"/>
          <w:lang w:val="en-US" w:eastAsia="zh-CN"/>
        </w:rPr>
        <w:t>8.</w:t>
      </w:r>
      <w:r>
        <w:rPr>
          <w:rFonts w:hint="eastAsia" w:ascii="宋体" w:hAnsi="宋体" w:eastAsia="宋体" w:cs="宋体"/>
          <w:b/>
          <w:color w:val="auto"/>
          <w:highlight w:val="none"/>
        </w:rPr>
        <w:t>本项目所属行业：</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u w:val="single"/>
          <w:lang w:val="en-US" w:eastAsia="zh-CN"/>
        </w:rPr>
        <w:t>工业</w:t>
      </w:r>
      <w:r>
        <w:rPr>
          <w:rFonts w:hint="eastAsia" w:ascii="宋体" w:hAnsi="宋体" w:eastAsia="宋体" w:cs="宋体"/>
          <w:b/>
          <w:color w:val="auto"/>
          <w:highlight w:val="none"/>
          <w:u w:val="single"/>
        </w:rPr>
        <w:t xml:space="preserve">  </w:t>
      </w:r>
      <w:r>
        <w:rPr>
          <w:rFonts w:hint="eastAsia" w:ascii="宋体" w:hAnsi="宋体" w:cs="宋体"/>
          <w:b/>
          <w:color w:val="auto"/>
          <w:highlight w:val="none"/>
          <w:lang w:eastAsia="zh-CN"/>
        </w:rPr>
        <w:t>，</w:t>
      </w:r>
      <w:r>
        <w:rPr>
          <w:rFonts w:hint="eastAsia" w:ascii="宋体" w:hAnsi="宋体" w:eastAsia="宋体" w:cs="宋体"/>
          <w:b/>
          <w:color w:val="auto"/>
          <w:highlight w:val="none"/>
        </w:rPr>
        <w:t>划分依据：《关于印发中小企业划型标准规定的通知》（工信部联企业[2011]300号）。</w:t>
      </w:r>
    </w:p>
    <w:tbl>
      <w:tblPr>
        <w:tblStyle w:val="48"/>
        <w:tblW w:w="93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6"/>
        <w:gridCol w:w="1457"/>
        <w:gridCol w:w="938"/>
        <w:gridCol w:w="6403"/>
      </w:tblGrid>
      <w:tr w14:paraId="3F2C5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334" w:type="dxa"/>
            <w:gridSpan w:val="4"/>
            <w:noWrap w:val="0"/>
            <w:vAlign w:val="center"/>
          </w:tcPr>
          <w:p w14:paraId="39C9539F">
            <w:pPr>
              <w:keepNext w:val="0"/>
              <w:keepLines w:val="0"/>
              <w:pageBreakBefore w:val="0"/>
              <w:widowControl/>
              <w:kinsoku/>
              <w:wordWrap/>
              <w:overflowPunct/>
              <w:topLinePunct w:val="0"/>
              <w:autoSpaceDE/>
              <w:autoSpaceDN/>
              <w:bidi w:val="0"/>
              <w:adjustRightInd/>
              <w:snapToGrid/>
              <w:spacing w:line="360" w:lineRule="exact"/>
              <w:ind w:left="0"/>
              <w:jc w:val="left"/>
              <w:textAlignment w:val="auto"/>
              <w:outlineLvl w:val="0"/>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一、</w:t>
            </w:r>
            <w:r>
              <w:rPr>
                <w:rFonts w:hint="eastAsia" w:asciiTheme="majorEastAsia" w:hAnsiTheme="majorEastAsia" w:eastAsiaTheme="majorEastAsia" w:cstheme="majorEastAsia"/>
                <w:b/>
                <w:bCs/>
                <w:color w:val="auto"/>
                <w:sz w:val="21"/>
                <w:szCs w:val="21"/>
                <w:highlight w:val="none"/>
              </w:rPr>
              <w:t>技术参数及其性能（配置）要求：</w:t>
            </w:r>
          </w:p>
        </w:tc>
      </w:tr>
      <w:tr w14:paraId="5CA8D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noWrap w:val="0"/>
            <w:vAlign w:val="center"/>
          </w:tcPr>
          <w:p w14:paraId="544FF85D">
            <w:pPr>
              <w:pageBreakBefore w:val="0"/>
              <w:kinsoku/>
              <w:wordWrap/>
              <w:overflowPunct/>
              <w:topLinePunct w:val="0"/>
              <w:autoSpaceDE/>
              <w:autoSpaceDN/>
              <w:bidi w:val="0"/>
              <w:spacing w:line="360" w:lineRule="exact"/>
              <w:ind w:lef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br w:type="page"/>
            </w:r>
            <w:r>
              <w:rPr>
                <w:rFonts w:hint="eastAsia" w:asciiTheme="majorEastAsia" w:hAnsiTheme="majorEastAsia" w:eastAsiaTheme="majorEastAsia" w:cstheme="majorEastAsia"/>
                <w:b/>
                <w:bCs/>
                <w:color w:val="auto"/>
                <w:sz w:val="21"/>
                <w:szCs w:val="21"/>
                <w:highlight w:val="none"/>
              </w:rPr>
              <w:t>序号</w:t>
            </w:r>
          </w:p>
        </w:tc>
        <w:tc>
          <w:tcPr>
            <w:tcW w:w="1457" w:type="dxa"/>
            <w:noWrap w:val="0"/>
            <w:vAlign w:val="center"/>
          </w:tcPr>
          <w:p w14:paraId="568AB228">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货物名称</w:t>
            </w:r>
          </w:p>
        </w:tc>
        <w:tc>
          <w:tcPr>
            <w:tcW w:w="938" w:type="dxa"/>
            <w:noWrap w:val="0"/>
            <w:vAlign w:val="top"/>
          </w:tcPr>
          <w:p w14:paraId="7AEC489E">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数量及单位</w:t>
            </w:r>
          </w:p>
        </w:tc>
        <w:tc>
          <w:tcPr>
            <w:tcW w:w="6403" w:type="dxa"/>
            <w:noWrap w:val="0"/>
            <w:vAlign w:val="center"/>
          </w:tcPr>
          <w:p w14:paraId="57C4A00D">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color w:val="auto"/>
                <w:sz w:val="21"/>
                <w:szCs w:val="21"/>
                <w:highlight w:val="none"/>
              </w:rPr>
              <w:t>技术参数及其性能（配置）</w:t>
            </w:r>
            <w:r>
              <w:rPr>
                <w:rFonts w:hint="eastAsia" w:asciiTheme="majorEastAsia" w:hAnsiTheme="majorEastAsia" w:eastAsiaTheme="majorEastAsia" w:cstheme="majorEastAsia"/>
                <w:b/>
                <w:color w:val="auto"/>
                <w:sz w:val="21"/>
                <w:szCs w:val="21"/>
                <w:highlight w:val="none"/>
                <w:lang w:val="en-US" w:eastAsia="zh-CN"/>
              </w:rPr>
              <w:t>要求</w:t>
            </w:r>
          </w:p>
        </w:tc>
      </w:tr>
      <w:tr w14:paraId="4E6B0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6" w:type="dxa"/>
            <w:noWrap w:val="0"/>
            <w:vAlign w:val="center"/>
          </w:tcPr>
          <w:p w14:paraId="4E932933">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457" w:type="dxa"/>
            <w:noWrap w:val="0"/>
            <w:vAlign w:val="center"/>
          </w:tcPr>
          <w:p w14:paraId="7647D14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水陆两栖全地形车（管道机器人）</w:t>
            </w:r>
          </w:p>
        </w:tc>
        <w:tc>
          <w:tcPr>
            <w:tcW w:w="938" w:type="dxa"/>
            <w:noWrap w:val="0"/>
            <w:vAlign w:val="center"/>
          </w:tcPr>
          <w:p w14:paraId="2E4C4DF2">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1台</w:t>
            </w:r>
          </w:p>
        </w:tc>
        <w:tc>
          <w:tcPr>
            <w:tcW w:w="6403" w:type="dxa"/>
            <w:noWrap w:val="0"/>
            <w:vAlign w:val="center"/>
          </w:tcPr>
          <w:p w14:paraId="1DE769B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▲1.需配备螺旋底盘和轮式底盘两种驱动底盘，快速组合成多种形态的爬行器，满足不同工况的检测需求。</w:t>
            </w:r>
          </w:p>
          <w:p w14:paraId="141B7DE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摄像头：高清摄像头，全景球机、前视、后视摄像头像素≥200万；摄像机具备云台切换功能，球机云台：水平旋转角度≥360°、俯仰角度≥90°；方形云台：轴向旋转角度≥360°、径向旋转角度≥180°；均具备镜头一键复位功能。</w:t>
            </w:r>
          </w:p>
          <w:p w14:paraId="465C1D12">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3.防尘、IP68防水、防爆。</w:t>
            </w:r>
          </w:p>
          <w:p w14:paraId="57FEB71C">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4.电动线缆车：</w:t>
            </w:r>
          </w:p>
          <w:p w14:paraId="4620C2E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▲(1)电池：线缆车内置电池；续航≥8小时，与机器人电池通用；</w:t>
            </w:r>
          </w:p>
          <w:p w14:paraId="685D9F68">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(2)线缆长度：≥300米</w:t>
            </w:r>
          </w:p>
          <w:p w14:paraId="634C6D8D">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(3)控制功能：电动收线，白动匹配爬行器回退速度，带有紧急停止功能，电缆线全自动排线，手动辅助。</w:t>
            </w:r>
          </w:p>
          <w:p w14:paraId="34D6A658">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(4)线缆材质：可漂浮专用线缆，可漂浮在水面，减少爬行阻力，防水、防油、耐磨、耐腐蚀。</w:t>
            </w:r>
          </w:p>
          <w:p w14:paraId="7F60BAC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5.智能控制终端要求：</w:t>
            </w:r>
          </w:p>
          <w:p w14:paraId="3C81799B">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(1)控制终端：平板电脑内置APP控制，可在安卓手机上安装APP控制。</w:t>
            </w:r>
          </w:p>
          <w:p w14:paraId="70977798">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(2)防护等级：≥IP65</w:t>
            </w:r>
          </w:p>
          <w:p w14:paraId="5A31EAD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(3)控制对象：摄像头、爬行器、电缆盘。</w:t>
            </w:r>
          </w:p>
          <w:p w14:paraId="774A2801">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(4)控制方式：平板电脑无线控制。</w:t>
            </w:r>
          </w:p>
          <w:p w14:paraId="0BFFB45D">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(5)控制单元：可控制机器人的前进、后退、转向、停止、速度调节；灯光亮度调节；镜头可上下左右任意翻转、调焦、变倍、前后视切换等功能。</w:t>
            </w:r>
          </w:p>
          <w:p w14:paraId="6C5E846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(6)显示器：中文界面</w:t>
            </w:r>
          </w:p>
          <w:p w14:paraId="0E1ED09C">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6.拓展功能要求：</w:t>
            </w:r>
          </w:p>
          <w:p w14:paraId="0F2611B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(1)可搭载声纳，实时测算水下淤泥高度，对水下管道缺陷进行判别，可在控制软件上同时显示实时视频和实时声纳数据，并可一键生成声纳检测报告。</w:t>
            </w:r>
          </w:p>
          <w:p w14:paraId="17B6B4D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(2)可搭载二维激光雷达，三维激光雷达，可测绘管道数据，3D建模。</w:t>
            </w:r>
          </w:p>
          <w:p w14:paraId="7FBFE42C">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b w:val="0"/>
                <w:bCs w:val="0"/>
                <w:color w:val="auto"/>
                <w:sz w:val="21"/>
                <w:szCs w:val="21"/>
                <w:highlight w:val="none"/>
                <w:u w:val="none"/>
                <w:lang w:val="en-US" w:eastAsia="zh-CN"/>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(3)可搭载四合一气体传感器，检测氧气，二氧化碳，一氧化碳,硫化氢，甲烷，任选四种。</w:t>
            </w:r>
          </w:p>
        </w:tc>
      </w:tr>
      <w:tr w14:paraId="5F0DC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6" w:type="dxa"/>
            <w:noWrap w:val="0"/>
            <w:vAlign w:val="center"/>
          </w:tcPr>
          <w:p w14:paraId="7533248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color w:val="auto"/>
                <w:highlight w:val="none"/>
                <w:lang w:val="en-US" w:eastAsia="zh-CN"/>
              </w:rPr>
              <w:t>2</w:t>
            </w:r>
          </w:p>
        </w:tc>
        <w:tc>
          <w:tcPr>
            <w:tcW w:w="1457" w:type="dxa"/>
            <w:noWrap w:val="0"/>
            <w:vAlign w:val="center"/>
          </w:tcPr>
          <w:p w14:paraId="4632B391">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color w:val="auto"/>
                <w:sz w:val="21"/>
                <w:szCs w:val="21"/>
                <w:highlight w:val="none"/>
                <w:lang w:eastAsia="zh-CN"/>
              </w:rPr>
            </w:pPr>
            <w:r>
              <w:rPr>
                <w:rFonts w:hint="eastAsia"/>
                <w:color w:val="auto"/>
                <w:highlight w:val="none"/>
                <w:lang w:val="en-US" w:eastAsia="zh-CN"/>
              </w:rPr>
              <w:t>轴流泵（核心产品）</w:t>
            </w:r>
          </w:p>
        </w:tc>
        <w:tc>
          <w:tcPr>
            <w:tcW w:w="938" w:type="dxa"/>
            <w:noWrap w:val="0"/>
            <w:vAlign w:val="center"/>
          </w:tcPr>
          <w:p w14:paraId="0FF0E2A7">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highlight w:val="none"/>
                <w:lang w:val="en-US" w:eastAsia="zh-CN"/>
              </w:rPr>
              <w:t>20台</w:t>
            </w:r>
          </w:p>
        </w:tc>
        <w:tc>
          <w:tcPr>
            <w:tcW w:w="6403" w:type="dxa"/>
            <w:noWrap w:val="0"/>
            <w:vAlign w:val="center"/>
          </w:tcPr>
          <w:p w14:paraId="7D40C740">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1.泵材质：不锈钢；</w:t>
            </w:r>
          </w:p>
          <w:p w14:paraId="628BDFBD">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2.功率不小于5.5Kw；</w:t>
            </w:r>
          </w:p>
          <w:p w14:paraId="205D7E6A">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3.出水口直径：150mm；</w:t>
            </w:r>
          </w:p>
          <w:p w14:paraId="30BAB688">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▲4.最大流量不小于200m3/h；</w:t>
            </w:r>
          </w:p>
          <w:p w14:paraId="4A0BFB3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▲5.最大扬程不小于8米；</w:t>
            </w:r>
          </w:p>
          <w:p w14:paraId="7ECA91F1">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▲6.泵重量小于20公斤；</w:t>
            </w:r>
          </w:p>
          <w:p w14:paraId="2816D52C">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b w:val="0"/>
                <w:bCs w:val="0"/>
                <w:color w:val="auto"/>
                <w:sz w:val="21"/>
                <w:szCs w:val="21"/>
                <w:highlight w:val="none"/>
                <w:u w:val="none"/>
                <w:lang w:val="en-US" w:eastAsia="zh-CN"/>
              </w:rPr>
            </w:pPr>
            <w:r>
              <w:rPr>
                <w:rFonts w:hint="eastAsia" w:asciiTheme="majorEastAsia" w:hAnsiTheme="majorEastAsia" w:eastAsiaTheme="majorEastAsia" w:cstheme="majorEastAsia"/>
                <w:color w:val="auto"/>
                <w:highlight w:val="none"/>
                <w:lang w:val="en-US" w:eastAsia="zh-CN"/>
              </w:rPr>
              <w:t>7.控制柜一台，重量小于5公斤。</w:t>
            </w:r>
          </w:p>
        </w:tc>
      </w:tr>
      <w:tr w14:paraId="400FB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noWrap w:val="0"/>
            <w:vAlign w:val="center"/>
          </w:tcPr>
          <w:p w14:paraId="2444BB56">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1457" w:type="dxa"/>
            <w:noWrap w:val="0"/>
            <w:vAlign w:val="center"/>
          </w:tcPr>
          <w:p w14:paraId="4F252BCA">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无人机</w:t>
            </w:r>
          </w:p>
        </w:tc>
        <w:tc>
          <w:tcPr>
            <w:tcW w:w="938" w:type="dxa"/>
            <w:noWrap w:val="0"/>
            <w:vAlign w:val="center"/>
          </w:tcPr>
          <w:p w14:paraId="17B5FB2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2台</w:t>
            </w:r>
          </w:p>
        </w:tc>
        <w:tc>
          <w:tcPr>
            <w:tcW w:w="6403" w:type="dxa"/>
            <w:noWrap w:val="0"/>
            <w:vAlign w:val="center"/>
          </w:tcPr>
          <w:p w14:paraId="270D4E1C">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应用领域：高精度专业测绘、精细化表面巡检、文物普查、地灾调查、科教场景等领域；</w:t>
            </w:r>
          </w:p>
          <w:p w14:paraId="2424A23B">
            <w:pPr>
              <w:pageBreakBefore w:val="0"/>
              <w:widowControl w:val="0"/>
              <w:kinsoku/>
              <w:wordWrap/>
              <w:overflowPunct/>
              <w:topLinePunct w:val="0"/>
              <w:autoSpaceDE/>
              <w:autoSpaceDN/>
              <w:bidi w:val="0"/>
              <w:spacing w:line="360" w:lineRule="exact"/>
              <w:ind w:left="0"/>
              <w:jc w:val="left"/>
              <w:rPr>
                <w:rFonts w:hint="default"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▲1.标配与无人机同品牌离线版建模软件：可见光二三维重建、多光谱重建、实时重建、精细化巡检等功能。</w:t>
            </w:r>
          </w:p>
          <w:p w14:paraId="63165A51">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▲2.配备能流畅运行建模软件的建模工作站：处理器：≥Intel Core Ultra 9 285K；内存：≥DDR5（64GB，频率 5200 MT/s）；硬盘：≥512GB PCIe SSD + 4T企业级；操作系统：≥Windows 11 home ADV（Windows 11 家庭高级版 ）； 显卡：≥5070 12G；电源：≥750W ；显示器：≥4K 27寸IPS。</w:t>
            </w:r>
          </w:p>
          <w:p w14:paraId="78FC853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3.具备长焦相机、中长焦相机、广角相机：≥4800万有效像素</w:t>
            </w:r>
          </w:p>
          <w:p w14:paraId="57641E52">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4.测绘相机：≥2000万有效像素，机械快门；</w:t>
            </w:r>
          </w:p>
          <w:p w14:paraId="39B4E86B">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5.快速起飞：15秒，通过定位刷新返航点，无需等待搜星</w:t>
            </w:r>
          </w:p>
          <w:p w14:paraId="0D20D72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6.最大飞行速度：21米/秒1000米距离，50秒内快速抵达</w:t>
            </w:r>
          </w:p>
          <w:p w14:paraId="49100116">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7.最长图传距离：全新算法，抗干扰能力强，飞机配备8天线系统（2发4收），传输距离≥25公里。</w:t>
            </w:r>
          </w:p>
          <w:p w14:paraId="17A112F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8.硬件性能：≥7英寸高亮屏，内置高增益天线阵列，IP54防护等级</w:t>
            </w:r>
          </w:p>
          <w:p w14:paraId="67C3CC93">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9.融合定位：支持通过视觉定位刷新返航点，支持无信号返航；</w:t>
            </w:r>
          </w:p>
          <w:p w14:paraId="0C20A3FD">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10.低光感知：低光鱼眼，可实现城镇暗光环境，下的自动避障、智能绕行与安全返航。</w:t>
            </w:r>
          </w:p>
          <w:p w14:paraId="460E58E2">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11.导入地形数据：支持自动加载地形和司空端预加载精细化地形数据，可在夜间返航时自动规划路径绕障飞行；</w:t>
            </w:r>
          </w:p>
          <w:p w14:paraId="55D90774">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12.夜景模式：通过机载算力对影像进行多帧合成，提升相机在暗光环境下的画面和拍摄效果。</w:t>
            </w:r>
          </w:p>
          <w:p w14:paraId="509B699B">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13.支持全彩夜视，支持中（15fps）高（5fps）两档增强降噪，开启后在所有可见光相机上同步生效，相机支持黑白夜视及近红外补光。</w:t>
            </w:r>
          </w:p>
          <w:p w14:paraId="172267F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14.全彩夜视：夜景模式。</w:t>
            </w:r>
          </w:p>
          <w:p w14:paraId="2B776681">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15.黑白夜视：黑白夜视结合近红外补光灯，黑白夜视及近红外补光灯功能。</w:t>
            </w:r>
          </w:p>
          <w:p w14:paraId="29823FB6">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16.智能检测AI赋能：检测类型支持检测人、车、船目标；</w:t>
            </w:r>
          </w:p>
          <w:p w14:paraId="20DE1C56">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17.检测数量图传画面128个目标、照片1000个目标功能支持目标告警功能、拍照统计并支持超清矩阵大范围统计目标数量及计算密度；</w:t>
            </w:r>
          </w:p>
          <w:p w14:paraId="4ACDA9A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18.折照统计：通过拍照可统计目标数量，单张照片上检测多达1000个目标，注意拍照前需开启AI 检测功能；</w:t>
            </w:r>
          </w:p>
          <w:p w14:paraId="416D2154">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19.高容量电池，无人机提供长达≥30分钟的续航时间或≥30分钟的悬停时间；</w:t>
            </w:r>
          </w:p>
          <w:p w14:paraId="16BD5F73">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20.具备探照灯；</w:t>
            </w:r>
          </w:p>
          <w:p w14:paraId="452DE4D6">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b w:val="0"/>
                <w:bCs w:val="0"/>
                <w:color w:val="auto"/>
                <w:sz w:val="21"/>
                <w:szCs w:val="21"/>
                <w:highlight w:val="none"/>
                <w:u w:val="none"/>
                <w:lang w:val="en-US" w:eastAsia="zh-CN"/>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21.存储卡：256G TF卡；</w:t>
            </w:r>
          </w:p>
        </w:tc>
      </w:tr>
      <w:tr w14:paraId="242D2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shd w:val="clear" w:color="auto" w:fill="auto"/>
            <w:noWrap w:val="0"/>
            <w:vAlign w:val="center"/>
          </w:tcPr>
          <w:p w14:paraId="620C4F4A">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1457" w:type="dxa"/>
            <w:shd w:val="clear" w:color="auto" w:fill="auto"/>
            <w:noWrap w:val="0"/>
            <w:vAlign w:val="center"/>
          </w:tcPr>
          <w:p w14:paraId="168D551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管道潜望镜</w:t>
            </w:r>
          </w:p>
        </w:tc>
        <w:tc>
          <w:tcPr>
            <w:tcW w:w="938" w:type="dxa"/>
            <w:shd w:val="clear" w:color="auto" w:fill="auto"/>
            <w:noWrap w:val="0"/>
            <w:vAlign w:val="center"/>
          </w:tcPr>
          <w:p w14:paraId="58B09FCD">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1台</w:t>
            </w:r>
          </w:p>
        </w:tc>
        <w:tc>
          <w:tcPr>
            <w:tcW w:w="6403" w:type="dxa"/>
            <w:shd w:val="clear" w:color="auto" w:fill="auto"/>
            <w:noWrap w:val="0"/>
            <w:vAlign w:val="center"/>
          </w:tcPr>
          <w:p w14:paraId="4956D113">
            <w:pPr>
              <w:pageBreakBefore w:val="0"/>
              <w:widowControl w:val="0"/>
              <w:kinsoku/>
              <w:wordWrap/>
              <w:overflowPunct/>
              <w:topLinePunct w:val="0"/>
              <w:autoSpaceDE/>
              <w:autoSpaceDN/>
              <w:bidi w:val="0"/>
              <w:spacing w:line="360" w:lineRule="exact"/>
              <w:ind w:left="0"/>
              <w:jc w:val="left"/>
              <w:rPr>
                <w:rFonts w:hint="default"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1.激光测距：≥100米；</w:t>
            </w:r>
          </w:p>
          <w:p w14:paraId="554E6F4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▲2.照明设备：需配备远光灯、中光灯、近光灯；</w:t>
            </w:r>
          </w:p>
          <w:p w14:paraId="4389B260">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▲3.图像分辨率：≥400万像素；</w:t>
            </w:r>
          </w:p>
          <w:p w14:paraId="17BD99D6">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4.变焦范围：光学变倍≥30倍，数字变倍≥12倍；</w:t>
            </w:r>
          </w:p>
          <w:p w14:paraId="02AE3FAF">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▲5.俯仰角度：俯仰≥110度，可垂直观测井底；</w:t>
            </w:r>
          </w:p>
          <w:p w14:paraId="203349D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6.电池容量及续航时间：单颗电池续航时间≥2.5h，标配≥3颗电池；</w:t>
            </w:r>
          </w:p>
          <w:p w14:paraId="3B2A0252">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7.伸缩杆：高强度碳纤维材质，≥主杆5米+3米延长杆(含防撞杆)；</w:t>
            </w:r>
          </w:p>
          <w:p w14:paraId="5B8450B5">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8.可搭载扩展模块：如RTK、4G实时通讯等模块。</w:t>
            </w:r>
          </w:p>
        </w:tc>
      </w:tr>
      <w:tr w14:paraId="4BCAB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shd w:val="clear" w:color="auto" w:fill="auto"/>
            <w:noWrap w:val="0"/>
            <w:vAlign w:val="center"/>
          </w:tcPr>
          <w:p w14:paraId="77D18870">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1457" w:type="dxa"/>
            <w:shd w:val="clear" w:color="auto" w:fill="auto"/>
            <w:noWrap w:val="0"/>
            <w:vAlign w:val="center"/>
          </w:tcPr>
          <w:p w14:paraId="0C76D936">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超远距离管道潜望镜</w:t>
            </w:r>
          </w:p>
        </w:tc>
        <w:tc>
          <w:tcPr>
            <w:tcW w:w="938" w:type="dxa"/>
            <w:shd w:val="clear" w:color="auto" w:fill="auto"/>
            <w:noWrap w:val="0"/>
            <w:vAlign w:val="center"/>
          </w:tcPr>
          <w:p w14:paraId="4610ECB5">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1台</w:t>
            </w:r>
          </w:p>
        </w:tc>
        <w:tc>
          <w:tcPr>
            <w:tcW w:w="6403" w:type="dxa"/>
            <w:shd w:val="clear" w:color="auto" w:fill="auto"/>
            <w:noWrap w:val="0"/>
            <w:vAlign w:val="center"/>
          </w:tcPr>
          <w:p w14:paraId="67B7B31E">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1.激光测距：≥120米；</w:t>
            </w:r>
          </w:p>
          <w:p w14:paraId="7338DCC6">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▲2.照明设备：需配备远光灯、中灯、近光灯；</w:t>
            </w:r>
          </w:p>
          <w:p w14:paraId="633458F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3.图像分辨率：≥400万像素，分辨率≥2560</w:t>
            </w:r>
            <w:r>
              <w:rPr>
                <w:rFonts w:hint="default" w:asciiTheme="majorEastAsia" w:hAnsiTheme="majorEastAsia" w:eastAsiaTheme="majorEastAsia" w:cstheme="majorEastAsia"/>
                <w:color w:val="auto"/>
                <w:kern w:val="2"/>
                <w:sz w:val="21"/>
                <w:szCs w:val="21"/>
                <w:highlight w:val="none"/>
                <w:vertAlign w:val="baseline"/>
                <w:lang w:val="en-US" w:eastAsia="zh-CN" w:bidi="ar-SA"/>
              </w:rPr>
              <w:t>×</w:t>
            </w:r>
            <w:r>
              <w:rPr>
                <w:rFonts w:hint="eastAsia" w:asciiTheme="majorEastAsia" w:hAnsiTheme="majorEastAsia" w:eastAsiaTheme="majorEastAsia" w:cstheme="majorEastAsia"/>
                <w:color w:val="auto"/>
                <w:kern w:val="2"/>
                <w:sz w:val="21"/>
                <w:szCs w:val="21"/>
                <w:highlight w:val="none"/>
                <w:vertAlign w:val="baseline"/>
                <w:lang w:val="en-US" w:eastAsia="zh-CN" w:bidi="ar-SA"/>
              </w:rPr>
              <w:t>1440；</w:t>
            </w:r>
          </w:p>
          <w:p w14:paraId="015A9151">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4.变焦范围：光学变倍≥32倍，数字变倍≥12倍；</w:t>
            </w:r>
          </w:p>
          <w:p w14:paraId="408364FD">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▲5.俯仰角度：俯仰可调范围≥60°，仰视≥20°，俯视≥40°，电动左右旋转±120°</w:t>
            </w:r>
          </w:p>
          <w:p w14:paraId="6D78704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6.电池容量及续航时间：单颗容量≥3500mAh，电池数量≥3颗，单颗电池可续航≥2.5小时；</w:t>
            </w:r>
          </w:p>
          <w:p w14:paraId="2B78DA8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7.伸缩杆：高强度碳纤维材质,≥主杆5米+3米延长杆(含防撞杆)</w:t>
            </w:r>
          </w:p>
          <w:p w14:paraId="024FBDD9">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8.可搭载扩展模块：如RTK、4G实时通讯等模块。</w:t>
            </w:r>
          </w:p>
        </w:tc>
      </w:tr>
      <w:tr w14:paraId="2ADA9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4" w:type="dxa"/>
            <w:gridSpan w:val="4"/>
            <w:tcBorders>
              <w:top w:val="single" w:color="auto" w:sz="4" w:space="0"/>
              <w:left w:val="single" w:color="auto" w:sz="4" w:space="0"/>
              <w:bottom w:val="single" w:color="auto" w:sz="4" w:space="0"/>
              <w:right w:val="single" w:color="auto" w:sz="4" w:space="0"/>
            </w:tcBorders>
            <w:noWrap w:val="0"/>
            <w:vAlign w:val="top"/>
          </w:tcPr>
          <w:p w14:paraId="7A9856D7">
            <w:pPr>
              <w:keepNext/>
              <w:keepLines/>
              <w:pageBreakBefore w:val="0"/>
              <w:kinsoku/>
              <w:wordWrap/>
              <w:overflowPunct/>
              <w:topLinePunct w:val="0"/>
              <w:autoSpaceDE/>
              <w:autoSpaceDN/>
              <w:bidi w:val="0"/>
              <w:adjustRightInd w:val="0"/>
              <w:snapToGrid w:val="0"/>
              <w:spacing w:line="360" w:lineRule="exact"/>
              <w:ind w:left="0" w:leftChars="0" w:right="0"/>
              <w:jc w:val="left"/>
              <w:outlineLvl w:val="2"/>
              <w:rPr>
                <w:rFonts w:hint="eastAsia" w:asciiTheme="majorEastAsia" w:hAnsiTheme="majorEastAsia" w:eastAsiaTheme="majorEastAsia" w:cstheme="majorEastAsia"/>
                <w:b/>
                <w:color w:val="auto"/>
                <w:kern w:val="0"/>
                <w:sz w:val="21"/>
                <w:szCs w:val="21"/>
                <w:highlight w:val="none"/>
                <w:lang w:val="en-US" w:eastAsia="zh-CN"/>
              </w:rPr>
            </w:pPr>
            <w:r>
              <w:rPr>
                <w:rFonts w:hint="eastAsia" w:asciiTheme="majorEastAsia" w:hAnsiTheme="majorEastAsia" w:eastAsiaTheme="majorEastAsia" w:cstheme="majorEastAsia"/>
                <w:b/>
                <w:color w:val="auto"/>
                <w:kern w:val="0"/>
                <w:sz w:val="21"/>
                <w:szCs w:val="21"/>
                <w:highlight w:val="none"/>
                <w:lang w:val="en-US" w:eastAsia="zh-CN"/>
              </w:rPr>
              <w:t>二、</w:t>
            </w:r>
            <w:r>
              <w:rPr>
                <w:rFonts w:hint="eastAsia" w:asciiTheme="majorEastAsia" w:hAnsiTheme="majorEastAsia" w:eastAsiaTheme="majorEastAsia" w:cstheme="majorEastAsia"/>
                <w:color w:val="auto"/>
                <w:kern w:val="2"/>
                <w:sz w:val="21"/>
                <w:szCs w:val="21"/>
                <w:highlight w:val="none"/>
                <w:lang w:val="en-US" w:eastAsia="zh-CN" w:bidi="ar-SA"/>
              </w:rPr>
              <w:t>▲</w:t>
            </w:r>
            <w:r>
              <w:rPr>
                <w:rFonts w:hint="eastAsia" w:asciiTheme="majorEastAsia" w:hAnsiTheme="majorEastAsia" w:eastAsiaTheme="majorEastAsia" w:cstheme="majorEastAsia"/>
                <w:b/>
                <w:color w:val="auto"/>
                <w:kern w:val="0"/>
                <w:sz w:val="21"/>
                <w:szCs w:val="21"/>
                <w:highlight w:val="none"/>
              </w:rPr>
              <w:t>商务条款</w:t>
            </w:r>
            <w:r>
              <w:rPr>
                <w:rFonts w:hint="eastAsia" w:asciiTheme="majorEastAsia" w:hAnsiTheme="majorEastAsia" w:eastAsiaTheme="majorEastAsia" w:cstheme="majorEastAsia"/>
                <w:b/>
                <w:color w:val="auto"/>
                <w:kern w:val="0"/>
                <w:sz w:val="21"/>
                <w:szCs w:val="21"/>
                <w:highlight w:val="none"/>
                <w:lang w:eastAsia="zh-CN"/>
              </w:rPr>
              <w:t>（</w:t>
            </w:r>
            <w:r>
              <w:rPr>
                <w:rFonts w:hint="eastAsia" w:asciiTheme="majorEastAsia" w:hAnsiTheme="majorEastAsia" w:eastAsiaTheme="majorEastAsia" w:cstheme="majorEastAsia"/>
                <w:b/>
                <w:color w:val="auto"/>
                <w:kern w:val="0"/>
                <w:sz w:val="21"/>
                <w:szCs w:val="21"/>
                <w:highlight w:val="none"/>
                <w:lang w:val="en-US" w:eastAsia="zh-CN"/>
              </w:rPr>
              <w:t>要求</w:t>
            </w:r>
            <w:r>
              <w:rPr>
                <w:rFonts w:hint="eastAsia" w:asciiTheme="majorEastAsia" w:hAnsiTheme="majorEastAsia" w:eastAsiaTheme="majorEastAsia" w:cstheme="majorEastAsia"/>
                <w:b/>
                <w:color w:val="auto"/>
                <w:kern w:val="0"/>
                <w:sz w:val="21"/>
                <w:szCs w:val="21"/>
                <w:highlight w:val="none"/>
                <w:lang w:eastAsia="zh-CN"/>
              </w:rPr>
              <w:t>）</w:t>
            </w:r>
          </w:p>
        </w:tc>
      </w:tr>
      <w:tr w14:paraId="06645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2D57C79">
            <w:pPr>
              <w:pageBreakBefore w:val="0"/>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基本要求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7B9B454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l.中标供应商提供的货物必须是全新、完整、未使用过的原装产品，且在正常安装、使用和保养条件下，其使用寿命期内各项指标均达到质量要求。</w:t>
            </w:r>
          </w:p>
          <w:p w14:paraId="1470C46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2.中标供应商负责设备的包装、运输、装卸、就位、安装、调试、保险及通过相关部门的检测验收，并承担相关的一切费用。</w:t>
            </w:r>
          </w:p>
          <w:p w14:paraId="393EBC2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3.中标供应商须在交货时提供详细完整的设备相关证书、中文操作手册、产品合格证明材料、使用说明书及提供由国家认可的第三方检测机构出具的“轴流泵”的检测报告等资料交给采购人。</w:t>
            </w:r>
          </w:p>
          <w:p w14:paraId="3842B75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4.设备在国内有维修中心及零配件库，中标供应商应可提供以上设备的零配件供应。</w:t>
            </w:r>
          </w:p>
        </w:tc>
      </w:tr>
      <w:tr w14:paraId="219A6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31857D04">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报价要求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0B3A0FD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投标报价是履行合同的最终价格，必须包含投标货款、标准附件、备品备件、专用工具、包装、运输、装卸、保险、税金、货到就位以及安装、安装所需辅材、调试、检验、验收等所需的一切使本项目完成验收的费用及供货商对业主承诺技术培训、售前、售后质量保证等相关费用等在内的一切可能发生的费用。</w:t>
            </w:r>
          </w:p>
        </w:tc>
      </w:tr>
      <w:tr w14:paraId="5687A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295663AD">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售后服务要求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6933C92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保修期要求：中标供应商对设备提供承诺的保修服务。保修期内设备发生一般故障时，中标供应商应负责维修、更换零配件：设备发生大故障（指主要部件出现质量问题）时，中标供应商应负责更换相同品牌、型号的新设备，设备维修或更换后其保修期相应顺延。所有非故意性损坏以及在要求质量标准范围内的正常使用造成的损坏均要维修。保修期内发生的故障维修服务及更换配件均包含在投标报价中，采购人不再另外支付费用。对因采购人人员的不正当使用所造成的设备损坏不在中标供应商保修范围，但中标供应商也要积极帮助采购人修理设备，并保证提供优惠价格的配件和服务。</w:t>
            </w:r>
          </w:p>
          <w:p w14:paraId="073C4AC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2.须在投标文件中提供相关设备的维修工程师姓名及电话号码。</w:t>
            </w:r>
          </w:p>
          <w:p w14:paraId="679F1A5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故障响应时间：当接到设备报修通知后2小时内响应，并于12小时内到达现场，12小时内排除故障，12小时故障排除不了，维保期按停机天数期限顺延。每次维修应提供维修报告交给采购人备案。规定时限内中标供应商未能按时响应，采购人有权聘请第三方进行维修处理，由此产生的相关费用由中标供应商承担。</w:t>
            </w:r>
          </w:p>
          <w:p w14:paraId="314AF3E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人员培训：设备安装完毕，由中标供应商工程师对采购人操作人员和维修人员现场进行设备的应用、保养和维护培训，培训主要内容包括设备的基本结构、性能、主要部件的构造，日常使用保养与管理，常见故障的维修，使相关人员掌握常规操作规程和各种功能的使用，并能处理简单故障，由此产生的一切支出，由中标供应商承担。</w:t>
            </w:r>
          </w:p>
        </w:tc>
      </w:tr>
      <w:tr w14:paraId="13F93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7F280CFE">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质保期</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2296C39D">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质保期不少于一年，质保期自交货并验收合格之日起计，质保期内免费上门维修，免费更换零配件</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满足国家规定的三包要求，另包含货物本身配备的原厂保修进行承诺保修。</w:t>
            </w:r>
          </w:p>
        </w:tc>
      </w:tr>
      <w:tr w14:paraId="14887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8034171">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备品备件及耗材等要求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D6B5912">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投标产品如包括必备的易损易耗备品备件和专用工具，投标人应在交货时提供其清单。</w:t>
            </w:r>
          </w:p>
        </w:tc>
      </w:tr>
      <w:tr w14:paraId="20913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0E83A9DD">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合同签订时间</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69EC939">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自中标通知书发出之日起25日内。</w:t>
            </w:r>
          </w:p>
        </w:tc>
      </w:tr>
      <w:tr w14:paraId="36D8B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758412C7">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交货时间及地点</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4557790E">
            <w:pPr>
              <w:pStyle w:val="2"/>
              <w:pageBreakBefore w:val="0"/>
              <w:widowControl w:val="0"/>
              <w:numPr>
                <w:ilvl w:val="0"/>
                <w:numId w:val="1"/>
              </w:numPr>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交货时间：自合同签订之日起120天内全部货物安装调试完毕并交付使用。</w:t>
            </w:r>
          </w:p>
          <w:p w14:paraId="113479E1">
            <w:pPr>
              <w:pStyle w:val="2"/>
              <w:pageBreakBefore w:val="0"/>
              <w:widowControl w:val="0"/>
              <w:numPr>
                <w:ilvl w:val="0"/>
                <w:numId w:val="1"/>
              </w:numPr>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lang w:val="en-US" w:eastAsia="en-US"/>
              </w:rPr>
            </w:pPr>
            <w:r>
              <w:rPr>
                <w:rFonts w:hint="eastAsia" w:asciiTheme="majorEastAsia" w:hAnsiTheme="majorEastAsia" w:eastAsiaTheme="majorEastAsia" w:cstheme="majorEastAsia"/>
                <w:color w:val="auto"/>
                <w:sz w:val="21"/>
                <w:szCs w:val="21"/>
                <w:highlight w:val="none"/>
                <w:lang w:val="en-US" w:eastAsia="zh-CN"/>
              </w:rPr>
              <w:t>交付地点：广西柳州市内采购人指定地点。</w:t>
            </w:r>
          </w:p>
        </w:tc>
      </w:tr>
      <w:tr w14:paraId="2E0AA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25298D05">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交货要求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0201C8B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1．中标供应商提供不符合招标文件（或采购、投标文件）和签订的合同规定的货物，采购人有权拒绝接收。</w:t>
            </w:r>
          </w:p>
          <w:p w14:paraId="57F3DF0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2．中标供应商交货前应对产品作出全面检查和对验收文件进行整理，并列出清单，作为采购人收货验收和使用的技术条件依据，检验的结果应随货物交采购人。</w:t>
            </w:r>
          </w:p>
          <w:p w14:paraId="769C352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中标供应商负责货物的卸货、搬运及安装，按照采购人要求将货物搬运至指定地点并负责安装、组合成套。设备到达现场，确认包装完好性后，由采购人验货。中标供应商应将所提供货物的装箱清单、使用说明书、合格证（境内）、保修卡（境内）、用户手册、原厂保修卡、随机资料、工具和备品、备件等交付给采购人，如有缺失应及时补齐，否则视为逾期交货。中标供应商应按采购人安排的时间派人到现场，对货物进行清点交付，并签字确认。若发现货物与装箱单不符，中标供应商负责补齐或收回。</w:t>
            </w:r>
          </w:p>
          <w:p w14:paraId="4226EE3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4．如果在设备交付使用前因事故造成设备损坏、部件短缺，中标供应商要立即予以更换，不得拒绝和延误，以保证设备顺利安装完成。所造成的费用及其他后果由中标供应商负责。</w:t>
            </w:r>
          </w:p>
          <w:p w14:paraId="590CE8C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人对中标供应商提供的货物在使用前进行调试时，中标供应商需负责安装并培训采购人的使用操作人员，并协助采购人一起调试，直到符合技术要求，采购人才做最终验收。因中标供应商与采购人存在对需求理解有差异的可能性，要求所有设备功能及软件功能需求的响应以采购人意见为准。</w:t>
            </w:r>
          </w:p>
        </w:tc>
      </w:tr>
      <w:tr w14:paraId="487F7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429DD7C9">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付款方式</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7A0FA3E2">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合同签订后10个工作日内，采购人向中标供应商支付合同金额的30%；全部货物到货安装调试并验收合格后10个工作日内，采购人向中标供应商支付合同金额的70%，中标供应商需向采购人提供等额正式发票。</w:t>
            </w:r>
          </w:p>
        </w:tc>
      </w:tr>
      <w:tr w14:paraId="02212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0A8756CB">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设备调试与验收标准</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4FDBFD0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一、调试要求</w:t>
            </w:r>
          </w:p>
          <w:p w14:paraId="7B98948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调试责任：中标供应商负责全部成套设备、配套部件及材料的现场安装、调试工作，直至验收合格并投入正常运转。</w:t>
            </w:r>
          </w:p>
          <w:p w14:paraId="4AD323E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安装前置沟通：若设备安装有特殊要求，中标供应商应在合同签订后、设备安装前7个工作日内，以书面形式向采购人提出安装场地环境要求，并为采购人提供安装场地环境的咨询技术支持。</w:t>
            </w:r>
          </w:p>
          <w:p w14:paraId="651C497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调试过程配合：安装、调试过程中，中标供应商应对采购人技术人员提出的技术问题给予满意答复，并提供安装调试相关文档资料，确保采购人掌握设备操作及维护方法。</w:t>
            </w:r>
          </w:p>
          <w:p w14:paraId="5783D04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二、验收流程与要求</w:t>
            </w:r>
          </w:p>
          <w:p w14:paraId="3E5AA2F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（一）验收准备</w:t>
            </w:r>
          </w:p>
          <w:p w14:paraId="2FE6EA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中标供应商在交货前须对设备进行全面检查，并整理验收文件清单（含检测报告），作为采购人验收和使用的技术条件及依据；交货时需同步提供随机备件备品、装箱单、中文随机资料等，确保产品包装完整无破损。</w:t>
            </w:r>
          </w:p>
          <w:p w14:paraId="3AE8660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中标供应商在完成本合同各阶段交付内容签收后7个工作日内，向采购人提交验收申请。</w:t>
            </w:r>
          </w:p>
          <w:p w14:paraId="4A83274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（二）验收组织与参与方</w:t>
            </w:r>
          </w:p>
          <w:p w14:paraId="607E7B4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采购人在收到验收申请后7个工作日内组织验收，验收时采购人、中标供应商须共同在场；采购人如有需要，可邀请行业专家参与，也有权委托有资质的质检部门进行抽检，相关费用由中标供应商承担。</w:t>
            </w:r>
          </w:p>
          <w:p w14:paraId="2E8E7F8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对技术复杂的货物，采购人可请国家认定的专业检测机构参与初步验收及最终验收，并由其出具质量检测报告。</w:t>
            </w:r>
          </w:p>
          <w:p w14:paraId="6B9B702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若为采购人委托第三方组织的验收项目，验收时间以验收方案确定的时间为准，验收结果以验收报告结论为准。</w:t>
            </w:r>
          </w:p>
          <w:p w14:paraId="7F1682F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（三）验收依据与标准</w:t>
            </w:r>
          </w:p>
          <w:p w14:paraId="4547DA4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到货验收主要核查：数量、外观质量、随机备件备品、装箱单、随机资料完整性及产品包装状况。</w:t>
            </w:r>
          </w:p>
          <w:p w14:paraId="60E54CC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性能验收依据：招标文件技术规格要求、投标文件技术参数响应表、配置清单，以及国家或行业相关标准；以满足采购需求为原则，验收小组依据上述文件逐条验收。</w:t>
            </w:r>
          </w:p>
          <w:p w14:paraId="35836E3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涉及国家强制认证（CCC认证）或前置许可、认证的产品，中标供应商供货时须一并提供相关许可、认证材料。</w:t>
            </w:r>
          </w:p>
          <w:p w14:paraId="033EE47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（四）验收结果处理</w:t>
            </w:r>
          </w:p>
          <w:p w14:paraId="53C1BB9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 验收合格</w:t>
            </w:r>
          </w:p>
          <w:p w14:paraId="031FAD5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设备各项参数指标及配置达到招标要求和采购人技术需求，性能符合标准的，双方共同签署验收单（或验收报告）并加盖双方公章，各执一份，验收完成。</w:t>
            </w:r>
          </w:p>
          <w:p w14:paraId="07CB92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 验收不合格</w:t>
            </w:r>
          </w:p>
          <w:p w14:paraId="7B22E04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若发现货物短装、次品、损坏或不符合标准及合同约定情形，采购人应做出现场记录或双方签署备忘录，作为补充、缺失和更换损坏部件的有效证据，由此产生的时间延误与费用由中标供应商承担，验收期限相应顺延。</w:t>
            </w:r>
          </w:p>
          <w:p w14:paraId="7FA6CFB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设备技术参数与招投标文件存在以下不符情形的，作相应处理：①有漏项的，以不实质响应招投标要求论处；②实际负偏离但投标文件标明无偏离/正偏离、实际无偏离但标明正偏离、实际正偏离未达响应范围的，均以虚假应标论处。</w:t>
            </w:r>
          </w:p>
          <w:p w14:paraId="13149E6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验收不合格的，采购人不予签收，后果由中标供应商负责；中标供应商维修后仍不能达到合同约定质量标准的，采购人有权退货，视作中标供应商不能交付货物，中标供应商须支付违约赔偿金，采购人还可依法追究其他违约责任。</w:t>
            </w:r>
          </w:p>
          <w:p w14:paraId="52CDA6E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三、责任与其他</w:t>
            </w:r>
          </w:p>
          <w:p w14:paraId="78B832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验收前责任：产品验收通过前，外包装数量、质量及内部产品数量、质量均由中标供应商负责，出现问题中标供应商应承担“三包”（包修、包换、包退）责任及相关费用。</w:t>
            </w:r>
          </w:p>
          <w:p w14:paraId="7AC8A5A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违约处理：验收中发现中标供应商违约的，可暂缓资金结算，待违约问题解决后方可办理；若验收时发现设备技术参数达不到投标文件响应内容，属虚假应标行为，采购人将单方面终止合同、拒收货物，追究中标供应商违约责任，要求赔偿因采购时间延长造成的经济损失，并视情形上报政府采购监督管理部门。</w:t>
            </w:r>
          </w:p>
          <w:p w14:paraId="57839F4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未尽事宜：严格按照《关于印发广西壮族自治区政府采购项目履约验收管理办法的通知》（桂财采〔2015〕22 号）及《财政部关于进一步加强政府采购需求和履约验收管理的指导意见》（财库〔2016〕205 号）规定执行。</w:t>
            </w:r>
          </w:p>
        </w:tc>
      </w:tr>
      <w:tr w14:paraId="2DEDE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49963C54">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产品质量要求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7DB5D7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要求投标货物及其所有零部件、配件必须是符合国家有关质量和安全强制要求和标准的产品。</w:t>
            </w:r>
          </w:p>
        </w:tc>
      </w:tr>
      <w:tr w14:paraId="155A1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4D6E5F13">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rPr>
              <w:t>履约保证金</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6DCA6D6C">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1．履约保证金金额：</w:t>
            </w:r>
            <w:r>
              <w:rPr>
                <w:rFonts w:hint="eastAsia" w:asciiTheme="majorEastAsia" w:hAnsiTheme="majorEastAsia" w:eastAsiaTheme="majorEastAsia" w:cstheme="majorEastAsia"/>
                <w:color w:val="auto"/>
                <w:sz w:val="21"/>
                <w:szCs w:val="21"/>
                <w:highlight w:val="none"/>
                <w:lang w:eastAsia="zh-CN"/>
              </w:rPr>
              <w:t>合同金额的5%，若中标人是中型企业的，则履约保证金按合同金额的2%收取，若中标人是小微企业的则免收履约保证金。</w:t>
            </w:r>
          </w:p>
          <w:p w14:paraId="27806D08">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2．履约保证金提交时间及方式：合同签订前5日内，</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必须以银行转账、支票、汇票、本票或者金融机构、担保机构出具的保险、保函（含电子保函）等非现金方式向采购人提交履约保证金。</w:t>
            </w:r>
          </w:p>
          <w:p w14:paraId="5481F72E">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3．履约保证金退付条件及时间:自项目验收合格之日起至质保期满无质量问题，采购人收到退付履约保证金申请后15个工作日内退还(无息)。</w:t>
            </w:r>
          </w:p>
          <w:p w14:paraId="03E80549">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4．下列情况因履约保证金不能退还或另行处理，所产生的后果由</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负责：</w:t>
            </w:r>
          </w:p>
          <w:p w14:paraId="1DE54AA1">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（1）履行合同约定权利义务期间，</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不按合同履行质量保证义务的，采购人有权对采购标的进行更换、维修维保，所需费用从</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提交的履约保证金中扣除，履约保证金不足以抵扣更换、维修维保费用的，不足部分由</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承担。同时，采购人保留起诉</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的权利。</w:t>
            </w:r>
          </w:p>
          <w:p w14:paraId="3E8BD99A">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未履行完合同约定权利义务事项前，</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变更单位名称、联系方式等不及时告知采购人并提供相关变更材料，造成采购人无法通知</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的，视</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自动放弃领回履约保证金权利，采购人有权对履约保证金进行另外处置。</w:t>
            </w:r>
          </w:p>
          <w:p w14:paraId="475374F0">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（3）其他因</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原因导致履约保证金无法按时退回的情形。</w:t>
            </w:r>
          </w:p>
          <w:p w14:paraId="4F8D29A9">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备注：</w:t>
            </w:r>
          </w:p>
          <w:p w14:paraId="02A8BB0F">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必须在签订合同前，按照规定提交方式，足额缴纳履约保证金。</w:t>
            </w:r>
          </w:p>
          <w:p w14:paraId="7E1641A6">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未按规定缴纳履约保证金的，暂缓签订合同，责任由</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承担。</w:t>
            </w:r>
          </w:p>
        </w:tc>
      </w:tr>
    </w:tbl>
    <w:p w14:paraId="441D4772">
      <w:pPr>
        <w:rPr>
          <w:rFonts w:hint="default" w:ascii="宋体" w:hAnsi="宋体" w:eastAsia="宋体" w:cs="宋体"/>
          <w:color w:val="auto"/>
          <w:sz w:val="32"/>
          <w:szCs w:val="32"/>
          <w:highlight w:val="none"/>
          <w:lang w:val="en-US" w:eastAsia="zh-CN"/>
        </w:rPr>
      </w:pPr>
    </w:p>
    <w:p w14:paraId="4E9F824A">
      <w:pPr>
        <w:rPr>
          <w:rFonts w:hint="eastAsia" w:ascii="宋体" w:hAnsi="宋体" w:eastAsia="宋体" w:cs="宋体"/>
          <w:color w:val="auto"/>
          <w:sz w:val="32"/>
          <w:szCs w:val="32"/>
          <w:highlight w:val="none"/>
        </w:rPr>
      </w:pPr>
    </w:p>
    <w:p w14:paraId="3E0CF3F4">
      <w:pPr>
        <w:pStyle w:val="2"/>
        <w:rPr>
          <w:rFonts w:hint="eastAsia" w:ascii="宋体" w:hAnsi="宋体" w:eastAsia="宋体" w:cs="宋体"/>
          <w:color w:val="auto"/>
          <w:sz w:val="32"/>
          <w:szCs w:val="32"/>
          <w:highlight w:val="none"/>
        </w:rPr>
      </w:pPr>
    </w:p>
    <w:p w14:paraId="0E23AE0E">
      <w:pPr>
        <w:pStyle w:val="2"/>
        <w:rPr>
          <w:rFonts w:hint="eastAsia" w:ascii="宋体" w:hAnsi="宋体" w:eastAsia="宋体" w:cs="宋体"/>
          <w:color w:val="auto"/>
          <w:sz w:val="32"/>
          <w:szCs w:val="32"/>
          <w:highlight w:val="none"/>
        </w:rPr>
      </w:pPr>
    </w:p>
    <w:p w14:paraId="46EC0764">
      <w:pPr>
        <w:pStyle w:val="21"/>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5821E456">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48"/>
        <w:tblW w:w="9600" w:type="dxa"/>
        <w:jc w:val="center"/>
        <w:tblLayout w:type="fixed"/>
        <w:tblCellMar>
          <w:top w:w="0" w:type="dxa"/>
          <w:left w:w="108" w:type="dxa"/>
          <w:bottom w:w="0" w:type="dxa"/>
          <w:right w:w="108" w:type="dxa"/>
        </w:tblCellMar>
      </w:tblPr>
      <w:tblGrid>
        <w:gridCol w:w="1700"/>
        <w:gridCol w:w="1383"/>
        <w:gridCol w:w="913"/>
        <w:gridCol w:w="1619"/>
        <w:gridCol w:w="2535"/>
        <w:gridCol w:w="1450"/>
      </w:tblGrid>
      <w:tr w14:paraId="405F1010">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69ED2EA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2334CCE1">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14:paraId="5D4255C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ign w:val="center"/>
          </w:tcPr>
          <w:p w14:paraId="01C1063B">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2536" w:type="dxa"/>
            <w:tcBorders>
              <w:top w:val="single" w:color="auto" w:sz="4" w:space="0"/>
              <w:left w:val="nil"/>
              <w:bottom w:val="single" w:color="auto" w:sz="4" w:space="0"/>
              <w:right w:val="single" w:color="auto" w:sz="4" w:space="0"/>
            </w:tcBorders>
            <w:noWrap/>
            <w:vAlign w:val="center"/>
          </w:tcPr>
          <w:p w14:paraId="1653AF54">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450" w:type="dxa"/>
            <w:tcBorders>
              <w:top w:val="single" w:color="auto" w:sz="4" w:space="0"/>
              <w:left w:val="nil"/>
              <w:bottom w:val="single" w:color="auto" w:sz="4" w:space="0"/>
              <w:right w:val="single" w:color="auto" w:sz="4" w:space="0"/>
            </w:tcBorders>
            <w:noWrap/>
            <w:vAlign w:val="center"/>
          </w:tcPr>
          <w:p w14:paraId="366D982D">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7623F8C">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7C3C856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ign w:val="center"/>
          </w:tcPr>
          <w:p w14:paraId="2BB712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504ED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4D82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76C896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450" w:type="dxa"/>
            <w:tcBorders>
              <w:top w:val="nil"/>
              <w:left w:val="nil"/>
              <w:bottom w:val="single" w:color="auto" w:sz="4" w:space="0"/>
              <w:right w:val="single" w:color="auto" w:sz="4" w:space="0"/>
            </w:tcBorders>
            <w:noWrap/>
            <w:vAlign w:val="center"/>
          </w:tcPr>
          <w:p w14:paraId="23406F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0EBD5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35BFAD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ign w:val="center"/>
          </w:tcPr>
          <w:p w14:paraId="369D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E4CF3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8FA4E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695C13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7443D2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4B6EA9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003000">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E9E20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48B5C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E339D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2536" w:type="dxa"/>
            <w:tcBorders>
              <w:top w:val="nil"/>
              <w:left w:val="nil"/>
              <w:bottom w:val="single" w:color="auto" w:sz="4" w:space="0"/>
              <w:right w:val="single" w:color="auto" w:sz="4" w:space="0"/>
            </w:tcBorders>
            <w:noWrap/>
            <w:vAlign w:val="center"/>
          </w:tcPr>
          <w:p w14:paraId="165C6C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450" w:type="dxa"/>
            <w:tcBorders>
              <w:top w:val="nil"/>
              <w:left w:val="nil"/>
              <w:bottom w:val="single" w:color="auto" w:sz="4" w:space="0"/>
              <w:right w:val="single" w:color="auto" w:sz="4" w:space="0"/>
            </w:tcBorders>
            <w:noWrap/>
            <w:vAlign w:val="center"/>
          </w:tcPr>
          <w:p w14:paraId="5426DD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6B249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95B59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ign w:val="center"/>
          </w:tcPr>
          <w:p w14:paraId="42B1BC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5D560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8B67F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2536" w:type="dxa"/>
            <w:tcBorders>
              <w:top w:val="nil"/>
              <w:left w:val="nil"/>
              <w:bottom w:val="single" w:color="auto" w:sz="4" w:space="0"/>
              <w:right w:val="single" w:color="auto" w:sz="4" w:space="0"/>
            </w:tcBorders>
            <w:noWrap/>
            <w:vAlign w:val="center"/>
          </w:tcPr>
          <w:p w14:paraId="292FDF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450" w:type="dxa"/>
            <w:tcBorders>
              <w:top w:val="nil"/>
              <w:left w:val="nil"/>
              <w:bottom w:val="single" w:color="auto" w:sz="4" w:space="0"/>
              <w:right w:val="single" w:color="auto" w:sz="4" w:space="0"/>
            </w:tcBorders>
            <w:noWrap/>
            <w:vAlign w:val="center"/>
          </w:tcPr>
          <w:p w14:paraId="31657B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877867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8ADDE6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EA097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28C222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37048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2536" w:type="dxa"/>
            <w:tcBorders>
              <w:top w:val="nil"/>
              <w:left w:val="nil"/>
              <w:bottom w:val="single" w:color="auto" w:sz="4" w:space="0"/>
              <w:right w:val="single" w:color="auto" w:sz="4" w:space="0"/>
            </w:tcBorders>
            <w:noWrap/>
            <w:vAlign w:val="center"/>
          </w:tcPr>
          <w:p w14:paraId="165C5E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450" w:type="dxa"/>
            <w:tcBorders>
              <w:top w:val="nil"/>
              <w:left w:val="nil"/>
              <w:bottom w:val="single" w:color="auto" w:sz="4" w:space="0"/>
              <w:right w:val="single" w:color="auto" w:sz="4" w:space="0"/>
            </w:tcBorders>
            <w:noWrap/>
            <w:vAlign w:val="center"/>
          </w:tcPr>
          <w:p w14:paraId="167B36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3BE0D81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2792EA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ign w:val="center"/>
          </w:tcPr>
          <w:p w14:paraId="64C8E4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EAD17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26B9C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2536" w:type="dxa"/>
            <w:tcBorders>
              <w:top w:val="nil"/>
              <w:left w:val="nil"/>
              <w:bottom w:val="single" w:color="auto" w:sz="4" w:space="0"/>
              <w:right w:val="single" w:color="auto" w:sz="4" w:space="0"/>
            </w:tcBorders>
            <w:noWrap/>
            <w:vAlign w:val="center"/>
          </w:tcPr>
          <w:p w14:paraId="5DB47F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450" w:type="dxa"/>
            <w:tcBorders>
              <w:top w:val="nil"/>
              <w:left w:val="nil"/>
              <w:bottom w:val="single" w:color="auto" w:sz="4" w:space="0"/>
              <w:right w:val="single" w:color="auto" w:sz="4" w:space="0"/>
            </w:tcBorders>
            <w:noWrap/>
            <w:vAlign w:val="center"/>
          </w:tcPr>
          <w:p w14:paraId="239A9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75F4AC8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889EE94">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536FF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B4903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56A84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2536" w:type="dxa"/>
            <w:tcBorders>
              <w:top w:val="nil"/>
              <w:left w:val="nil"/>
              <w:bottom w:val="single" w:color="auto" w:sz="4" w:space="0"/>
              <w:right w:val="single" w:color="auto" w:sz="4" w:space="0"/>
            </w:tcBorders>
            <w:noWrap/>
            <w:vAlign w:val="center"/>
          </w:tcPr>
          <w:p w14:paraId="542D08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50" w:type="dxa"/>
            <w:tcBorders>
              <w:top w:val="nil"/>
              <w:left w:val="nil"/>
              <w:bottom w:val="single" w:color="auto" w:sz="4" w:space="0"/>
              <w:right w:val="single" w:color="auto" w:sz="4" w:space="0"/>
            </w:tcBorders>
            <w:noWrap/>
            <w:vAlign w:val="center"/>
          </w:tcPr>
          <w:p w14:paraId="1B441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99C108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470860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ign w:val="center"/>
          </w:tcPr>
          <w:p w14:paraId="68FAE9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5696D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4C0B2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2536" w:type="dxa"/>
            <w:tcBorders>
              <w:top w:val="nil"/>
              <w:left w:val="nil"/>
              <w:bottom w:val="single" w:color="auto" w:sz="4" w:space="0"/>
              <w:right w:val="single" w:color="auto" w:sz="4" w:space="0"/>
            </w:tcBorders>
            <w:noWrap/>
            <w:vAlign w:val="center"/>
          </w:tcPr>
          <w:p w14:paraId="6D1EB5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450" w:type="dxa"/>
            <w:tcBorders>
              <w:top w:val="nil"/>
              <w:left w:val="nil"/>
              <w:bottom w:val="single" w:color="auto" w:sz="4" w:space="0"/>
              <w:right w:val="single" w:color="auto" w:sz="4" w:space="0"/>
            </w:tcBorders>
            <w:noWrap/>
            <w:vAlign w:val="center"/>
          </w:tcPr>
          <w:p w14:paraId="270CFF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3595816">
        <w:tblPrEx>
          <w:tblCellMar>
            <w:top w:w="0" w:type="dxa"/>
            <w:left w:w="108" w:type="dxa"/>
            <w:bottom w:w="0" w:type="dxa"/>
            <w:right w:w="108" w:type="dxa"/>
          </w:tblCellMar>
        </w:tblPrEx>
        <w:trPr>
          <w:trHeight w:val="90"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CF1E21A">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DF7F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9384D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DF017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53E69F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450" w:type="dxa"/>
            <w:tcBorders>
              <w:top w:val="nil"/>
              <w:left w:val="nil"/>
              <w:bottom w:val="single" w:color="auto" w:sz="4" w:space="0"/>
              <w:right w:val="single" w:color="auto" w:sz="4" w:space="0"/>
            </w:tcBorders>
            <w:noWrap/>
            <w:vAlign w:val="center"/>
          </w:tcPr>
          <w:p w14:paraId="6D18E4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AE344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8F3E1E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ign w:val="center"/>
          </w:tcPr>
          <w:p w14:paraId="071EEB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D4DB9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4C2E4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60E1E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654C4C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A2726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58461D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4ABE65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4E33B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0616B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2536" w:type="dxa"/>
            <w:tcBorders>
              <w:top w:val="nil"/>
              <w:left w:val="nil"/>
              <w:bottom w:val="single" w:color="auto" w:sz="4" w:space="0"/>
              <w:right w:val="single" w:color="auto" w:sz="4" w:space="0"/>
            </w:tcBorders>
            <w:noWrap/>
            <w:vAlign w:val="center"/>
          </w:tcPr>
          <w:p w14:paraId="3BCF7E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450" w:type="dxa"/>
            <w:tcBorders>
              <w:top w:val="nil"/>
              <w:left w:val="nil"/>
              <w:bottom w:val="single" w:color="auto" w:sz="4" w:space="0"/>
              <w:right w:val="single" w:color="auto" w:sz="4" w:space="0"/>
            </w:tcBorders>
            <w:noWrap/>
            <w:vAlign w:val="center"/>
          </w:tcPr>
          <w:p w14:paraId="1440D2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6ABF0B9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12041A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ign w:val="center"/>
          </w:tcPr>
          <w:p w14:paraId="47D238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785B8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F3EA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2536" w:type="dxa"/>
            <w:tcBorders>
              <w:top w:val="nil"/>
              <w:left w:val="nil"/>
              <w:bottom w:val="single" w:color="auto" w:sz="4" w:space="0"/>
              <w:right w:val="single" w:color="auto" w:sz="4" w:space="0"/>
            </w:tcBorders>
            <w:noWrap/>
            <w:vAlign w:val="center"/>
          </w:tcPr>
          <w:p w14:paraId="237E8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450" w:type="dxa"/>
            <w:tcBorders>
              <w:top w:val="nil"/>
              <w:left w:val="nil"/>
              <w:bottom w:val="single" w:color="auto" w:sz="4" w:space="0"/>
              <w:right w:val="single" w:color="auto" w:sz="4" w:space="0"/>
            </w:tcBorders>
            <w:noWrap/>
            <w:vAlign w:val="center"/>
          </w:tcPr>
          <w:p w14:paraId="57807A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0C4E41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529AE7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42E97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A456C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51071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2536" w:type="dxa"/>
            <w:tcBorders>
              <w:top w:val="nil"/>
              <w:left w:val="nil"/>
              <w:bottom w:val="single" w:color="auto" w:sz="4" w:space="0"/>
              <w:right w:val="single" w:color="auto" w:sz="4" w:space="0"/>
            </w:tcBorders>
            <w:noWrap/>
            <w:vAlign w:val="center"/>
          </w:tcPr>
          <w:p w14:paraId="66D384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500F3D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EACB16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DB3E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ign w:val="center"/>
          </w:tcPr>
          <w:p w14:paraId="111B8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61BAB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C93D2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45D6C4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39C8AB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8EAB80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6E5664D">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E65B4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7F827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5E1B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2536" w:type="dxa"/>
            <w:tcBorders>
              <w:top w:val="nil"/>
              <w:left w:val="nil"/>
              <w:bottom w:val="single" w:color="auto" w:sz="4" w:space="0"/>
              <w:right w:val="single" w:color="auto" w:sz="4" w:space="0"/>
            </w:tcBorders>
            <w:noWrap/>
            <w:vAlign w:val="center"/>
          </w:tcPr>
          <w:p w14:paraId="4EFD1F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6EA06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E9A75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A1C16F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ign w:val="center"/>
          </w:tcPr>
          <w:p w14:paraId="22491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E5536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5462BE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FCD2C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64E492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C878F8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82FAEF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11A21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1191C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598DC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4679CA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4144BF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498264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5A1E0E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ign w:val="center"/>
          </w:tcPr>
          <w:p w14:paraId="03C43D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046C9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46383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136E0A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B393C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1CF88C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C7959A">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1BC07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E460D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E339A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1E2389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6CA548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30F1EE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2AF57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ign w:val="center"/>
          </w:tcPr>
          <w:p w14:paraId="389B96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7F8C1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30842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2536" w:type="dxa"/>
            <w:tcBorders>
              <w:top w:val="nil"/>
              <w:left w:val="nil"/>
              <w:bottom w:val="single" w:color="auto" w:sz="4" w:space="0"/>
              <w:right w:val="single" w:color="auto" w:sz="4" w:space="0"/>
            </w:tcBorders>
            <w:noWrap/>
            <w:vAlign w:val="center"/>
          </w:tcPr>
          <w:p w14:paraId="6AF8E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23217C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885D0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35A8EBB">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AC22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DC939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4F13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2536" w:type="dxa"/>
            <w:tcBorders>
              <w:top w:val="nil"/>
              <w:left w:val="nil"/>
              <w:bottom w:val="single" w:color="auto" w:sz="4" w:space="0"/>
              <w:right w:val="single" w:color="auto" w:sz="4" w:space="0"/>
            </w:tcBorders>
            <w:noWrap/>
            <w:vAlign w:val="center"/>
          </w:tcPr>
          <w:p w14:paraId="1234D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7B789E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DA2CEB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43DD6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3C948F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C2873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A19B0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F3C52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1BB952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FECE3E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A799DE9">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1252C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7D851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A02B2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2536" w:type="dxa"/>
            <w:tcBorders>
              <w:top w:val="nil"/>
              <w:left w:val="nil"/>
              <w:bottom w:val="single" w:color="auto" w:sz="4" w:space="0"/>
              <w:right w:val="single" w:color="auto" w:sz="4" w:space="0"/>
            </w:tcBorders>
            <w:noWrap/>
            <w:vAlign w:val="center"/>
          </w:tcPr>
          <w:p w14:paraId="474E7E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450" w:type="dxa"/>
            <w:tcBorders>
              <w:top w:val="nil"/>
              <w:left w:val="nil"/>
              <w:bottom w:val="single" w:color="auto" w:sz="4" w:space="0"/>
              <w:right w:val="single" w:color="auto" w:sz="4" w:space="0"/>
            </w:tcBorders>
            <w:noWrap/>
            <w:vAlign w:val="center"/>
          </w:tcPr>
          <w:p w14:paraId="3D6475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90118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F4EEF3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ign w:val="center"/>
          </w:tcPr>
          <w:p w14:paraId="570514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430E4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29692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2536" w:type="dxa"/>
            <w:tcBorders>
              <w:top w:val="nil"/>
              <w:left w:val="nil"/>
              <w:bottom w:val="single" w:color="auto" w:sz="4" w:space="0"/>
              <w:right w:val="single" w:color="auto" w:sz="4" w:space="0"/>
            </w:tcBorders>
            <w:noWrap/>
            <w:vAlign w:val="center"/>
          </w:tcPr>
          <w:p w14:paraId="003773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450" w:type="dxa"/>
            <w:tcBorders>
              <w:top w:val="nil"/>
              <w:left w:val="nil"/>
              <w:bottom w:val="single" w:color="auto" w:sz="4" w:space="0"/>
              <w:right w:val="single" w:color="auto" w:sz="4" w:space="0"/>
            </w:tcBorders>
            <w:noWrap/>
            <w:vAlign w:val="center"/>
          </w:tcPr>
          <w:p w14:paraId="1C2572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1FAA52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0F0E2F8">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E6094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43617C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3AE5C6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2536" w:type="dxa"/>
            <w:tcBorders>
              <w:top w:val="nil"/>
              <w:left w:val="nil"/>
              <w:bottom w:val="single" w:color="auto" w:sz="4" w:space="0"/>
              <w:right w:val="single" w:color="auto" w:sz="4" w:space="0"/>
            </w:tcBorders>
            <w:noWrap/>
            <w:vAlign w:val="center"/>
          </w:tcPr>
          <w:p w14:paraId="7B428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450" w:type="dxa"/>
            <w:tcBorders>
              <w:top w:val="nil"/>
              <w:left w:val="nil"/>
              <w:bottom w:val="single" w:color="auto" w:sz="4" w:space="0"/>
              <w:right w:val="single" w:color="auto" w:sz="4" w:space="0"/>
            </w:tcBorders>
            <w:noWrap/>
            <w:vAlign w:val="center"/>
          </w:tcPr>
          <w:p w14:paraId="558D88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C0F997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F095B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ign w:val="center"/>
          </w:tcPr>
          <w:p w14:paraId="7DE906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CEE9E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7E4A27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29BBED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50" w:type="dxa"/>
            <w:tcBorders>
              <w:top w:val="nil"/>
              <w:left w:val="nil"/>
              <w:bottom w:val="single" w:color="auto" w:sz="4" w:space="0"/>
              <w:right w:val="single" w:color="auto" w:sz="4" w:space="0"/>
            </w:tcBorders>
            <w:noWrap/>
            <w:vAlign w:val="center"/>
          </w:tcPr>
          <w:p w14:paraId="43B713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705A2D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4D0ED92">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D9A2B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FF397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8C40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2536" w:type="dxa"/>
            <w:tcBorders>
              <w:top w:val="nil"/>
              <w:left w:val="nil"/>
              <w:bottom w:val="single" w:color="auto" w:sz="4" w:space="0"/>
              <w:right w:val="single" w:color="auto" w:sz="4" w:space="0"/>
            </w:tcBorders>
            <w:noWrap/>
            <w:vAlign w:val="center"/>
          </w:tcPr>
          <w:p w14:paraId="1CD1BD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450" w:type="dxa"/>
            <w:tcBorders>
              <w:top w:val="nil"/>
              <w:left w:val="nil"/>
              <w:bottom w:val="single" w:color="auto" w:sz="4" w:space="0"/>
              <w:right w:val="single" w:color="auto" w:sz="4" w:space="0"/>
            </w:tcBorders>
            <w:noWrap/>
            <w:vAlign w:val="center"/>
          </w:tcPr>
          <w:p w14:paraId="78336C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077015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43D91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ign w:val="center"/>
          </w:tcPr>
          <w:p w14:paraId="5109F6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8C09D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E7FC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57D02F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710FED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E72AA8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591492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9AE95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083C30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D0535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2536" w:type="dxa"/>
            <w:tcBorders>
              <w:top w:val="nil"/>
              <w:left w:val="nil"/>
              <w:bottom w:val="single" w:color="auto" w:sz="4" w:space="0"/>
              <w:right w:val="single" w:color="auto" w:sz="4" w:space="0"/>
            </w:tcBorders>
            <w:noWrap/>
            <w:vAlign w:val="center"/>
          </w:tcPr>
          <w:p w14:paraId="4B573D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450" w:type="dxa"/>
            <w:tcBorders>
              <w:top w:val="nil"/>
              <w:left w:val="nil"/>
              <w:bottom w:val="single" w:color="auto" w:sz="4" w:space="0"/>
              <w:right w:val="single" w:color="auto" w:sz="4" w:space="0"/>
            </w:tcBorders>
            <w:noWrap/>
            <w:vAlign w:val="center"/>
          </w:tcPr>
          <w:p w14:paraId="738AAE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DC8AC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3D1A391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ign w:val="center"/>
          </w:tcPr>
          <w:p w14:paraId="53C482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48E48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270420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05D5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3D0F3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7621B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C36CE19">
      <w:pPr>
        <w:widowControl/>
        <w:spacing w:line="360" w:lineRule="exact"/>
        <w:ind w:left="480"/>
        <w:jc w:val="center"/>
        <w:outlineLvl w:val="0"/>
        <w:rPr>
          <w:rFonts w:hint="eastAsia" w:ascii="宋体" w:hAnsi="宋体" w:eastAsia="宋体" w:cs="宋体"/>
          <w:b/>
          <w:color w:val="auto"/>
          <w:sz w:val="28"/>
          <w:szCs w:val="28"/>
          <w:highlight w:val="none"/>
        </w:rPr>
      </w:pPr>
    </w:p>
    <w:p w14:paraId="1FB484E5">
      <w:pPr>
        <w:widowControl/>
        <w:spacing w:line="360" w:lineRule="exact"/>
        <w:ind w:left="480"/>
        <w:jc w:val="center"/>
        <w:outlineLvl w:val="0"/>
        <w:rPr>
          <w:rFonts w:hint="eastAsia" w:ascii="宋体" w:hAnsi="宋体" w:eastAsia="宋体" w:cs="宋体"/>
          <w:b/>
          <w:color w:val="auto"/>
          <w:sz w:val="28"/>
          <w:szCs w:val="28"/>
          <w:highlight w:val="none"/>
        </w:rPr>
      </w:pPr>
    </w:p>
    <w:p w14:paraId="1D6783CA">
      <w:pPr>
        <w:widowControl/>
        <w:spacing w:line="360" w:lineRule="exact"/>
        <w:ind w:left="480"/>
        <w:jc w:val="center"/>
        <w:outlineLvl w:val="0"/>
        <w:rPr>
          <w:rFonts w:hint="eastAsia" w:ascii="宋体" w:hAnsi="宋体" w:eastAsia="宋体" w:cs="宋体"/>
          <w:b/>
          <w:color w:val="auto"/>
          <w:sz w:val="28"/>
          <w:szCs w:val="28"/>
          <w:highlight w:val="none"/>
        </w:rPr>
      </w:pPr>
    </w:p>
    <w:p w14:paraId="22764479">
      <w:pPr>
        <w:widowControl/>
        <w:spacing w:line="360" w:lineRule="exact"/>
        <w:ind w:left="480"/>
        <w:jc w:val="center"/>
        <w:outlineLvl w:val="0"/>
        <w:rPr>
          <w:rFonts w:hint="eastAsia" w:ascii="宋体" w:hAnsi="宋体" w:eastAsia="宋体" w:cs="宋体"/>
          <w:b/>
          <w:color w:val="auto"/>
          <w:sz w:val="28"/>
          <w:szCs w:val="28"/>
          <w:highlight w:val="none"/>
        </w:rPr>
      </w:pPr>
    </w:p>
    <w:p w14:paraId="639B52D9">
      <w:pPr>
        <w:widowControl/>
        <w:spacing w:line="360" w:lineRule="exact"/>
        <w:ind w:left="480"/>
        <w:jc w:val="center"/>
        <w:outlineLvl w:val="0"/>
        <w:rPr>
          <w:rFonts w:hint="eastAsia" w:ascii="宋体" w:hAnsi="宋体" w:eastAsia="宋体" w:cs="宋体"/>
          <w:b/>
          <w:color w:val="auto"/>
          <w:sz w:val="28"/>
          <w:szCs w:val="28"/>
          <w:highlight w:val="none"/>
        </w:rPr>
      </w:pPr>
    </w:p>
    <w:p w14:paraId="7A2E46C2">
      <w:pPr>
        <w:widowControl/>
        <w:spacing w:line="360" w:lineRule="exact"/>
        <w:ind w:left="480"/>
        <w:jc w:val="center"/>
        <w:outlineLvl w:val="0"/>
        <w:rPr>
          <w:rFonts w:hint="eastAsia" w:ascii="宋体" w:hAnsi="宋体" w:eastAsia="宋体" w:cs="宋体"/>
          <w:b/>
          <w:color w:val="auto"/>
          <w:sz w:val="28"/>
          <w:szCs w:val="28"/>
          <w:highlight w:val="none"/>
        </w:rPr>
      </w:pPr>
    </w:p>
    <w:p w14:paraId="1557889B">
      <w:pPr>
        <w:widowControl/>
        <w:spacing w:line="360" w:lineRule="exact"/>
        <w:ind w:left="480"/>
        <w:jc w:val="center"/>
        <w:outlineLvl w:val="0"/>
        <w:rPr>
          <w:rFonts w:hint="eastAsia" w:ascii="宋体" w:hAnsi="宋体" w:eastAsia="宋体" w:cs="宋体"/>
          <w:b/>
          <w:color w:val="auto"/>
          <w:sz w:val="28"/>
          <w:szCs w:val="28"/>
          <w:highlight w:val="none"/>
        </w:rPr>
      </w:pPr>
    </w:p>
    <w:p w14:paraId="68273E5A">
      <w:pPr>
        <w:widowControl/>
        <w:spacing w:line="360" w:lineRule="exact"/>
        <w:ind w:left="480"/>
        <w:jc w:val="center"/>
        <w:outlineLvl w:val="0"/>
        <w:rPr>
          <w:rFonts w:hint="eastAsia" w:ascii="宋体" w:hAnsi="宋体" w:eastAsia="宋体" w:cs="宋体"/>
          <w:b/>
          <w:color w:val="auto"/>
          <w:sz w:val="28"/>
          <w:szCs w:val="28"/>
          <w:highlight w:val="none"/>
        </w:rPr>
      </w:pPr>
    </w:p>
    <w:p w14:paraId="64A9AE54">
      <w:pPr>
        <w:widowControl/>
        <w:spacing w:line="360" w:lineRule="exact"/>
        <w:ind w:left="480"/>
        <w:jc w:val="center"/>
        <w:outlineLvl w:val="0"/>
        <w:rPr>
          <w:rFonts w:hint="eastAsia" w:ascii="宋体" w:hAnsi="宋体" w:eastAsia="宋体" w:cs="宋体"/>
          <w:b/>
          <w:color w:val="auto"/>
          <w:sz w:val="28"/>
          <w:szCs w:val="28"/>
          <w:highlight w:val="none"/>
        </w:rPr>
      </w:pPr>
    </w:p>
    <w:p w14:paraId="6FE0879D">
      <w:pPr>
        <w:widowControl/>
        <w:spacing w:line="360" w:lineRule="exact"/>
        <w:ind w:left="480"/>
        <w:jc w:val="center"/>
        <w:outlineLvl w:val="0"/>
        <w:rPr>
          <w:rFonts w:hint="eastAsia" w:ascii="宋体" w:hAnsi="宋体" w:eastAsia="宋体" w:cs="宋体"/>
          <w:b/>
          <w:color w:val="auto"/>
          <w:sz w:val="28"/>
          <w:szCs w:val="28"/>
          <w:highlight w:val="none"/>
        </w:rPr>
      </w:pPr>
    </w:p>
    <w:p w14:paraId="46A290FD">
      <w:pPr>
        <w:widowControl/>
        <w:spacing w:line="360" w:lineRule="exact"/>
        <w:ind w:left="480"/>
        <w:jc w:val="center"/>
        <w:outlineLvl w:val="0"/>
        <w:rPr>
          <w:rFonts w:hint="eastAsia" w:ascii="宋体" w:hAnsi="宋体" w:eastAsia="宋体" w:cs="宋体"/>
          <w:b/>
          <w:color w:val="auto"/>
          <w:sz w:val="28"/>
          <w:szCs w:val="28"/>
          <w:highlight w:val="none"/>
        </w:rPr>
      </w:pPr>
    </w:p>
    <w:p w14:paraId="3C89B035">
      <w:pPr>
        <w:widowControl/>
        <w:spacing w:line="360" w:lineRule="exact"/>
        <w:jc w:val="center"/>
        <w:outlineLvl w:val="0"/>
        <w:rPr>
          <w:rFonts w:hint="eastAsia" w:ascii="宋体" w:hAnsi="宋体" w:eastAsia="宋体" w:cs="宋体"/>
          <w:b/>
          <w:color w:val="auto"/>
          <w:sz w:val="30"/>
          <w:szCs w:val="30"/>
          <w:highlight w:val="none"/>
        </w:rPr>
      </w:pPr>
      <w:bookmarkStart w:id="4" w:name="_Toc8327"/>
      <w:r>
        <w:rPr>
          <w:rFonts w:hint="eastAsia" w:ascii="宋体" w:hAnsi="宋体" w:eastAsia="宋体" w:cs="宋体"/>
          <w:b/>
          <w:color w:val="auto"/>
          <w:sz w:val="28"/>
          <w:szCs w:val="28"/>
          <w:highlight w:val="none"/>
        </w:rPr>
        <w:t>第三章  投标人须知</w:t>
      </w:r>
      <w:bookmarkEnd w:id="4"/>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637"/>
      </w:tblGrid>
      <w:tr w14:paraId="398EA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512" w:type="dxa"/>
            <w:gridSpan w:val="2"/>
            <w:tcBorders>
              <w:top w:val="single" w:color="auto" w:sz="4" w:space="0"/>
              <w:left w:val="single" w:color="auto" w:sz="4" w:space="0"/>
              <w:bottom w:val="single" w:color="auto" w:sz="4" w:space="0"/>
              <w:right w:val="single" w:color="auto" w:sz="4" w:space="0"/>
            </w:tcBorders>
            <w:vAlign w:val="center"/>
          </w:tcPr>
          <w:p w14:paraId="2E35FE5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投标人须知前附表</w:t>
            </w:r>
          </w:p>
        </w:tc>
      </w:tr>
      <w:tr w14:paraId="7C3CE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50FA8B2">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637" w:type="dxa"/>
            <w:tcBorders>
              <w:top w:val="single" w:color="auto" w:sz="4" w:space="0"/>
              <w:left w:val="single" w:color="auto" w:sz="4" w:space="0"/>
              <w:bottom w:val="single" w:color="auto" w:sz="4" w:space="0"/>
              <w:right w:val="single" w:color="auto" w:sz="4" w:space="0"/>
            </w:tcBorders>
            <w:vAlign w:val="center"/>
          </w:tcPr>
          <w:p w14:paraId="2043E1C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7D708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CDD393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637" w:type="dxa"/>
            <w:tcBorders>
              <w:top w:val="single" w:color="auto" w:sz="4" w:space="0"/>
              <w:left w:val="single" w:color="auto" w:sz="4" w:space="0"/>
              <w:bottom w:val="single" w:color="auto" w:sz="4" w:space="0"/>
              <w:right w:val="single" w:color="auto" w:sz="4" w:space="0"/>
            </w:tcBorders>
            <w:vAlign w:val="center"/>
          </w:tcPr>
          <w:p w14:paraId="5B1A100A">
            <w:pPr>
              <w:keepNext w:val="0"/>
              <w:keepLines w:val="0"/>
              <w:pageBreakBefore w:val="0"/>
              <w:kinsoku/>
              <w:wordWrap/>
              <w:overflowPunct/>
              <w:topLinePunct w:val="0"/>
              <w:bidi w:val="0"/>
              <w:snapToGrid w:val="0"/>
              <w:spacing w:line="36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kern w:val="0"/>
                <w:szCs w:val="21"/>
                <w:highlight w:val="none"/>
                <w:lang w:eastAsia="zh-CN"/>
              </w:rPr>
              <w:t>防汛排涝应急设施设备更新工程4标段</w:t>
            </w:r>
          </w:p>
          <w:p w14:paraId="42148C16">
            <w:pPr>
              <w:pStyle w:val="126"/>
              <w:keepNext w:val="0"/>
              <w:keepLines w:val="0"/>
              <w:pageBreakBefore w:val="0"/>
              <w:widowControl w:val="0"/>
              <w:kinsoku/>
              <w:wordWrap/>
              <w:overflowPunct/>
              <w:topLinePunct w:val="0"/>
              <w:bidi w:val="0"/>
              <w:spacing w:afterLines="0" w:line="360" w:lineRule="exact"/>
              <w:ind w:left="0" w:leftChars="0" w:firstLine="0" w:firstLineChars="0"/>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LZZC2025-G1-990738-GXDY</w:t>
            </w:r>
          </w:p>
        </w:tc>
      </w:tr>
      <w:tr w14:paraId="533AE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CCF7FBE">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637" w:type="dxa"/>
            <w:tcBorders>
              <w:top w:val="single" w:color="auto" w:sz="4" w:space="0"/>
              <w:left w:val="single" w:color="auto" w:sz="4" w:space="0"/>
              <w:bottom w:val="single" w:color="auto" w:sz="4" w:space="0"/>
              <w:right w:val="single" w:color="auto" w:sz="4" w:space="0"/>
            </w:tcBorders>
            <w:vAlign w:val="center"/>
          </w:tcPr>
          <w:p w14:paraId="7F5A58C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投标人资格要求：</w:t>
            </w:r>
          </w:p>
          <w:p w14:paraId="0B1A30E2">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61195460">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Theme="majorEastAsia" w:hAnsiTheme="majorEastAsia" w:eastAsiaTheme="majorEastAsia" w:cstheme="majorEastAsia"/>
                <w:i w:val="0"/>
                <w:iCs w:val="0"/>
                <w:caps w:val="0"/>
                <w:color w:val="auto"/>
                <w:spacing w:val="0"/>
                <w:sz w:val="21"/>
                <w:szCs w:val="21"/>
                <w:highlight w:val="none"/>
              </w:rPr>
              <w:t>无</w:t>
            </w:r>
            <w:r>
              <w:rPr>
                <w:rFonts w:hint="eastAsia" w:ascii="宋体" w:hAnsi="宋体" w:eastAsia="宋体" w:cs="宋体"/>
                <w:bCs/>
                <w:color w:val="auto"/>
                <w:highlight w:val="none"/>
              </w:rPr>
              <w:t>；</w:t>
            </w:r>
          </w:p>
          <w:p w14:paraId="2F324764">
            <w:pPr>
              <w:keepNext w:val="0"/>
              <w:keepLines w:val="0"/>
              <w:pageBreakBefore w:val="0"/>
              <w:kinsoku/>
              <w:wordWrap/>
              <w:overflowPunct/>
              <w:topLinePunct w:val="0"/>
              <w:bidi w:val="0"/>
              <w:spacing w:line="360" w:lineRule="exact"/>
              <w:ind w:firstLine="420" w:firstLineChars="200"/>
              <w:rPr>
                <w:rFonts w:hint="eastAsia" w:ascii="宋体" w:hAnsi="宋体" w:eastAsia="宋体" w:cs="宋体"/>
                <w:iCs/>
                <w:color w:val="auto"/>
                <w:szCs w:val="21"/>
                <w:highlight w:val="none"/>
                <w:u w:val="single"/>
              </w:rPr>
            </w:pPr>
            <w:r>
              <w:rPr>
                <w:rFonts w:hint="eastAsia" w:ascii="宋体" w:hAnsi="宋体" w:eastAsia="宋体" w:cs="宋体"/>
                <w:color w:val="auto"/>
                <w:szCs w:val="21"/>
                <w:highlight w:val="none"/>
              </w:rPr>
              <w:t>3.本项目的特定资格要求：无；</w:t>
            </w:r>
          </w:p>
          <w:p w14:paraId="68637A97">
            <w:pPr>
              <w:pStyle w:val="2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485E14AF">
            <w:pPr>
              <w:pStyle w:val="2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26F3D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62F073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637" w:type="dxa"/>
            <w:tcBorders>
              <w:top w:val="single" w:color="auto" w:sz="4" w:space="0"/>
              <w:left w:val="single" w:color="auto" w:sz="4" w:space="0"/>
              <w:bottom w:val="single" w:color="auto" w:sz="4" w:space="0"/>
              <w:right w:val="single" w:color="auto" w:sz="4" w:space="0"/>
            </w:tcBorders>
            <w:vAlign w:val="center"/>
          </w:tcPr>
          <w:p w14:paraId="7669EBAE">
            <w:pPr>
              <w:pStyle w:val="207"/>
              <w:keepNext w:val="0"/>
              <w:keepLines w:val="0"/>
              <w:pageBreakBefore w:val="0"/>
              <w:kinsoku/>
              <w:wordWrap/>
              <w:overflowPunct/>
              <w:topLinePunct w:val="0"/>
              <w:bidi w:val="0"/>
              <w:spacing w:line="360" w:lineRule="exact"/>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本项目不收取投标保证金。 </w:t>
            </w:r>
          </w:p>
          <w:p w14:paraId="49BA5EF0">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hAnsi="宋体" w:cs="宋体"/>
                <w:color w:val="auto"/>
                <w:kern w:val="0"/>
                <w:highlight w:val="none"/>
                <w:lang w:eastAsia="zh-CN"/>
              </w:rPr>
              <w:t>☑</w:t>
            </w:r>
            <w:r>
              <w:rPr>
                <w:rFonts w:hint="eastAsia" w:ascii="宋体" w:hAnsi="宋体" w:eastAsia="宋体" w:cs="宋体"/>
                <w:color w:val="auto"/>
                <w:highlight w:val="none"/>
              </w:rPr>
              <w:t xml:space="preserve">本项目收取投标保证金，具体规定如下： </w:t>
            </w:r>
          </w:p>
          <w:p w14:paraId="4850183B">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w:t>
            </w:r>
            <w:r>
              <w:rPr>
                <w:rFonts w:hint="eastAsia" w:hAnsi="宋体" w:cs="宋体"/>
                <w:color w:val="auto"/>
                <w:szCs w:val="21"/>
                <w:highlight w:val="none"/>
                <w:lang w:val="en-US" w:eastAsia="zh-CN"/>
              </w:rPr>
              <w:t>人民币捌仟元整（8000.00元）</w:t>
            </w:r>
            <w:r>
              <w:rPr>
                <w:rFonts w:hint="eastAsia" w:ascii="宋体" w:hAnsi="宋体" w:eastAsia="宋体" w:cs="宋体"/>
                <w:color w:val="auto"/>
                <w:highlight w:val="none"/>
              </w:rPr>
              <w:t>，不得少于规定金额交纳，否则投标无效。投标保证金应在投标有效期内保持有效。</w:t>
            </w:r>
          </w:p>
          <w:p w14:paraId="2077CC0A">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投标保证金的交纳方式：转账、电汇、网上银行、支票、汇票、本票或者银行、保险机构出具的保函，禁止采用现钞方式。采用转账、电汇、网上银行方式的，在投标截止时间前交至</w:t>
            </w:r>
            <w:r>
              <w:rPr>
                <w:rFonts w:hint="eastAsia" w:ascii="宋体" w:hAnsi="宋体" w:eastAsia="宋体" w:cs="宋体"/>
                <w:color w:val="auto"/>
                <w:highlight w:val="none"/>
                <w:u w:val="single"/>
              </w:rPr>
              <w:t>广西德元工程项目管理有限责任公司</w:t>
            </w:r>
            <w:r>
              <w:rPr>
                <w:rFonts w:hint="eastAsia" w:ascii="宋体" w:hAnsi="宋体" w:eastAsia="宋体" w:cs="宋体"/>
                <w:color w:val="auto"/>
                <w:highlight w:val="none"/>
              </w:rPr>
              <w:t>（收款单位名称），开户银行：</w:t>
            </w:r>
            <w:r>
              <w:rPr>
                <w:rFonts w:hint="eastAsia" w:ascii="宋体" w:hAnsi="宋体" w:eastAsia="宋体" w:cs="宋体"/>
                <w:color w:val="auto"/>
                <w:highlight w:val="none"/>
                <w:u w:val="single"/>
              </w:rPr>
              <w:t>柳州银行北站支行营业部</w:t>
            </w: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707002011010900000108</w:t>
            </w:r>
            <w:r>
              <w:rPr>
                <w:rFonts w:hint="eastAsia" w:ascii="宋体" w:hAnsi="宋体" w:eastAsia="宋体" w:cs="宋体"/>
                <w:color w:val="auto"/>
                <w:highlight w:val="none"/>
              </w:rPr>
              <w:t>；采用支票、汇票、本票或者保函等方式的，投标人应当递交单独密封的支票、汇票、本票或者保函原件，</w:t>
            </w:r>
            <w:r>
              <w:rPr>
                <w:rFonts w:hint="eastAsia" w:ascii="宋体" w:hAnsi="宋体" w:eastAsia="宋体" w:cs="宋体"/>
                <w:b/>
                <w:bCs/>
                <w:color w:val="auto"/>
                <w:highlight w:val="none"/>
              </w:rPr>
              <w:t>否则视为无效投标保证金。</w:t>
            </w:r>
            <w:r>
              <w:rPr>
                <w:rFonts w:hint="eastAsia" w:ascii="宋体" w:hAnsi="宋体" w:eastAsia="宋体" w:cs="宋体"/>
                <w:color w:val="auto"/>
                <w:highlight w:val="none"/>
              </w:rPr>
              <w:t>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w:t>
            </w:r>
            <w:r>
              <w:rPr>
                <w:rFonts w:hint="eastAsia" w:hAnsi="宋体" w:cs="宋体"/>
                <w:color w:val="auto"/>
                <w:highlight w:val="none"/>
                <w:lang w:eastAsia="zh-CN"/>
              </w:rPr>
              <w:t>投标保证金规定递交时间内没有收到上述原件的</w:t>
            </w:r>
            <w:r>
              <w:rPr>
                <w:rFonts w:hint="eastAsia" w:ascii="宋体" w:hAnsi="宋体" w:eastAsia="宋体" w:cs="宋体"/>
                <w:color w:val="auto"/>
                <w:highlight w:val="none"/>
              </w:rPr>
              <w:t>，</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w:t>
            </w:r>
            <w:r>
              <w:rPr>
                <w:rFonts w:hint="eastAsia" w:hAnsi="宋体" w:cs="宋体"/>
                <w:color w:val="auto"/>
                <w:highlight w:val="none"/>
                <w:lang w:eastAsia="zh-CN"/>
              </w:rPr>
              <w:t>考虑到达时间，以免影响投标</w:t>
            </w:r>
            <w:r>
              <w:rPr>
                <w:rFonts w:hint="eastAsia" w:ascii="宋体" w:hAnsi="宋体" w:eastAsia="宋体" w:cs="宋体"/>
                <w:color w:val="auto"/>
                <w:highlight w:val="none"/>
              </w:rPr>
              <w:t>。</w:t>
            </w:r>
          </w:p>
        </w:tc>
      </w:tr>
      <w:tr w14:paraId="78B4A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91216CB">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637" w:type="dxa"/>
            <w:tcBorders>
              <w:top w:val="single" w:color="auto" w:sz="4" w:space="0"/>
              <w:left w:val="single" w:color="auto" w:sz="4" w:space="0"/>
              <w:bottom w:val="single" w:color="auto" w:sz="4" w:space="0"/>
              <w:right w:val="single" w:color="auto" w:sz="4" w:space="0"/>
            </w:tcBorders>
            <w:vAlign w:val="center"/>
          </w:tcPr>
          <w:p w14:paraId="313A8BF3">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现场考察或答疑会：</w:t>
            </w:r>
          </w:p>
          <w:p w14:paraId="16F77279">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□组织。集中考察时间：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，集中考察地点：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FA2DE5">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不组织。供应商自行考察现场。</w:t>
            </w:r>
          </w:p>
        </w:tc>
      </w:tr>
      <w:tr w14:paraId="2DDD2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D762F01">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637" w:type="dxa"/>
            <w:tcBorders>
              <w:top w:val="single" w:color="auto" w:sz="4" w:space="0"/>
              <w:left w:val="single" w:color="auto" w:sz="4" w:space="0"/>
              <w:bottom w:val="single" w:color="auto" w:sz="4" w:space="0"/>
              <w:right w:val="single" w:color="auto" w:sz="4" w:space="0"/>
            </w:tcBorders>
            <w:vAlign w:val="center"/>
          </w:tcPr>
          <w:p w14:paraId="07D2218D">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是否需要演示：</w:t>
            </w:r>
          </w:p>
          <w:p w14:paraId="324CCD06">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不需演示。</w:t>
            </w:r>
          </w:p>
          <w:p w14:paraId="3F93FA39">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需要演示</w:t>
            </w:r>
          </w:p>
          <w:p w14:paraId="6A3D348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演示时间：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55BA7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D01CC2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637" w:type="dxa"/>
            <w:tcBorders>
              <w:top w:val="single" w:color="auto" w:sz="4" w:space="0"/>
              <w:left w:val="single" w:color="auto" w:sz="4" w:space="0"/>
              <w:bottom w:val="single" w:color="auto" w:sz="4" w:space="0"/>
              <w:right w:val="single" w:color="auto" w:sz="4" w:space="0"/>
            </w:tcBorders>
            <w:vAlign w:val="center"/>
          </w:tcPr>
          <w:p w14:paraId="585180AA">
            <w:pPr>
              <w:keepNext w:val="0"/>
              <w:keepLines w:val="0"/>
              <w:pageBreakBefore w:val="0"/>
              <w:kinsoku/>
              <w:wordWrap/>
              <w:overflowPunct/>
              <w:topLinePunct w:val="0"/>
              <w:bidi w:val="0"/>
              <w:snapToGrid w:val="0"/>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联合体投标：</w:t>
            </w:r>
          </w:p>
          <w:p w14:paraId="1FA8E1D2">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接受联合体投标。</w:t>
            </w:r>
          </w:p>
          <w:p w14:paraId="04C3D8F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不接受联合体投标</w:t>
            </w:r>
          </w:p>
        </w:tc>
      </w:tr>
      <w:tr w14:paraId="62116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46204A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8637" w:type="dxa"/>
            <w:tcBorders>
              <w:top w:val="single" w:color="auto" w:sz="4" w:space="0"/>
              <w:left w:val="single" w:color="auto" w:sz="4" w:space="0"/>
              <w:bottom w:val="single" w:color="auto" w:sz="4" w:space="0"/>
              <w:right w:val="single" w:color="auto" w:sz="4" w:space="0"/>
            </w:tcBorders>
            <w:vAlign w:val="center"/>
          </w:tcPr>
          <w:p w14:paraId="2B09F408">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是否允许分包：</w:t>
            </w:r>
          </w:p>
          <w:p w14:paraId="1E3CD22E">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☑不允许分包</w:t>
            </w:r>
          </w:p>
          <w:p w14:paraId="1D43C50F">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□允许分包</w:t>
            </w:r>
          </w:p>
          <w:p w14:paraId="32125BBE">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分包内容：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tc>
      </w:tr>
      <w:tr w14:paraId="7DF6D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20A0BC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8637" w:type="dxa"/>
            <w:tcBorders>
              <w:top w:val="single" w:color="auto" w:sz="4" w:space="0"/>
              <w:left w:val="single" w:color="auto" w:sz="4" w:space="0"/>
              <w:bottom w:val="single" w:color="auto" w:sz="4" w:space="0"/>
              <w:right w:val="single" w:color="auto" w:sz="4" w:space="0"/>
            </w:tcBorders>
            <w:vAlign w:val="center"/>
          </w:tcPr>
          <w:p w14:paraId="24943244">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Cs w:val="21"/>
                <w:highlight w:val="none"/>
              </w:rPr>
              <w:t>组成：</w:t>
            </w:r>
            <w:r>
              <w:rPr>
                <w:rFonts w:hint="eastAsia" w:ascii="宋体" w:hAnsi="宋体" w:eastAsia="宋体" w:cs="宋体"/>
                <w:b/>
                <w:bCs/>
                <w:color w:val="auto"/>
                <w:szCs w:val="21"/>
                <w:highlight w:val="none"/>
                <w:lang w:val="en-US" w:eastAsia="zh-CN"/>
              </w:rPr>
              <w:t>投标文件由</w:t>
            </w:r>
            <w:r>
              <w:rPr>
                <w:rFonts w:hint="eastAsia" w:ascii="宋体" w:hAnsi="宋体" w:eastAsia="宋体" w:cs="宋体"/>
                <w:b/>
                <w:bCs/>
                <w:color w:val="auto"/>
                <w:szCs w:val="21"/>
                <w:highlight w:val="none"/>
              </w:rPr>
              <w:t>资格文件、</w:t>
            </w:r>
            <w:r>
              <w:rPr>
                <w:rFonts w:hint="eastAsia" w:ascii="宋体" w:hAnsi="宋体" w:eastAsia="宋体" w:cs="宋体"/>
                <w:b/>
                <w:bCs/>
                <w:color w:val="auto"/>
                <w:szCs w:val="21"/>
                <w:highlight w:val="none"/>
                <w:lang w:eastAsia="zh-CN"/>
              </w:rPr>
              <w:t>报价文件</w:t>
            </w:r>
            <w:r>
              <w:rPr>
                <w:rFonts w:hint="eastAsia" w:ascii="宋体" w:hAnsi="宋体" w:eastAsia="宋体" w:cs="宋体"/>
                <w:b/>
                <w:bCs/>
                <w:color w:val="auto"/>
                <w:szCs w:val="21"/>
                <w:highlight w:val="none"/>
              </w:rPr>
              <w:t>、商务技术文件</w:t>
            </w:r>
            <w:r>
              <w:rPr>
                <w:rFonts w:hint="eastAsia" w:ascii="宋体" w:hAnsi="宋体" w:eastAsia="宋体" w:cs="宋体"/>
                <w:b/>
                <w:bCs/>
                <w:color w:val="auto"/>
                <w:szCs w:val="21"/>
                <w:highlight w:val="none"/>
                <w:lang w:val="en-US" w:eastAsia="zh-CN"/>
              </w:rPr>
              <w:t>组成</w:t>
            </w:r>
            <w:r>
              <w:rPr>
                <w:rFonts w:hint="eastAsia" w:ascii="宋体" w:hAnsi="宋体" w:eastAsia="宋体" w:cs="宋体"/>
                <w:b/>
                <w:bCs/>
                <w:color w:val="auto"/>
                <w:szCs w:val="21"/>
                <w:highlight w:val="none"/>
              </w:rPr>
              <w:t>。</w:t>
            </w:r>
          </w:p>
          <w:p w14:paraId="4867A535">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1.资格文件（以下文件标注“▲”的必须提供，否则投标无效，其他可根据实际情况提供）</w:t>
            </w:r>
          </w:p>
          <w:p w14:paraId="5503B06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▲注：以下标注“▲”均要加盖投标人单位电子公章或自然人加盖手指指印，否则其投标无效。</w:t>
            </w:r>
          </w:p>
          <w:p w14:paraId="5F7531C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▲（1）投标声明书（按第六章要求格式填写）；</w:t>
            </w:r>
          </w:p>
          <w:p w14:paraId="1479388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▲（2）投标人</w:t>
            </w:r>
            <w:r>
              <w:rPr>
                <w:rFonts w:hint="eastAsia" w:ascii="宋体" w:hAnsi="宋体" w:eastAsia="宋体" w:cs="宋体"/>
                <w:color w:val="auto"/>
                <w:highlight w:val="none"/>
              </w:rPr>
              <w:t>合法的主体资格证明（如营业执照、事业单位法人证书、执业许可证、个体工商户营业执照、自然人身份证等）复印件</w:t>
            </w:r>
            <w:r>
              <w:rPr>
                <w:rFonts w:hint="eastAsia" w:ascii="宋体" w:hAnsi="宋体" w:eastAsia="宋体" w:cs="宋体"/>
                <w:bCs/>
                <w:color w:val="auto"/>
                <w:szCs w:val="21"/>
                <w:highlight w:val="none"/>
              </w:rPr>
              <w:t>；</w:t>
            </w:r>
          </w:p>
          <w:p w14:paraId="3D92E5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highlight w:val="none"/>
              </w:rPr>
              <w:t>政府采购供应商资格信用承诺函</w:t>
            </w:r>
            <w:r>
              <w:rPr>
                <w:rFonts w:hint="eastAsia" w:ascii="宋体" w:hAnsi="宋体" w:eastAsia="宋体" w:cs="宋体"/>
                <w:color w:val="auto"/>
                <w:szCs w:val="21"/>
                <w:highlight w:val="none"/>
              </w:rPr>
              <w:t>（按第六章要求格式填写）；</w:t>
            </w:r>
          </w:p>
          <w:p w14:paraId="44F26C6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▲（4）参加政府采购活动前三年内在经营活动中没有重大违法记录和不良信用记录的书面声明书（格式自拟）</w:t>
            </w:r>
            <w:r>
              <w:rPr>
                <w:rFonts w:hint="eastAsia" w:ascii="宋体" w:hAnsi="宋体" w:eastAsia="宋体" w:cs="宋体"/>
                <w:color w:val="auto"/>
                <w:highlight w:val="none"/>
                <w:lang w:eastAsia="zh-CN"/>
              </w:rPr>
              <w:t>；</w:t>
            </w:r>
          </w:p>
          <w:p w14:paraId="4C1C881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投标人如为分支机构投标的，须提供其总公司“营业执照”副本复印件和总公司对投标人参与本项目投标的授权书原件</w:t>
            </w:r>
            <w:r>
              <w:rPr>
                <w:rFonts w:hint="eastAsia" w:ascii="宋体" w:hAnsi="宋体" w:eastAsia="宋体" w:cs="宋体"/>
                <w:color w:val="auto"/>
                <w:szCs w:val="21"/>
                <w:highlight w:val="none"/>
                <w:lang w:eastAsia="zh-CN"/>
              </w:rPr>
              <w:t>；</w:t>
            </w:r>
          </w:p>
          <w:p w14:paraId="58131C3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投标人直接控股、管理关系信息表（按第六章要求格式填写）；</w:t>
            </w:r>
          </w:p>
          <w:p w14:paraId="0224E47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bCs/>
                <w:color w:val="auto"/>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highlight w:val="none"/>
              </w:rPr>
              <w:t>特定资格条件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无</w:t>
            </w:r>
            <w:r>
              <w:rPr>
                <w:rFonts w:hint="eastAsia" w:ascii="宋体" w:hAnsi="宋体" w:eastAsia="宋体" w:cs="宋体"/>
                <w:color w:val="auto"/>
                <w:szCs w:val="21"/>
                <w:highlight w:val="none"/>
                <w:lang w:eastAsia="zh-CN"/>
              </w:rPr>
              <w:t>。</w:t>
            </w:r>
          </w:p>
          <w:p w14:paraId="365F992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报价文件</w:t>
            </w:r>
            <w:r>
              <w:rPr>
                <w:rFonts w:hint="eastAsia" w:ascii="宋体" w:hAnsi="宋体" w:eastAsia="宋体" w:cs="宋体"/>
                <w:b/>
                <w:color w:val="auto"/>
                <w:szCs w:val="21"/>
                <w:highlight w:val="none"/>
              </w:rPr>
              <w:t>（以下文件标注“▲”的必须提供，</w:t>
            </w:r>
            <w:r>
              <w:rPr>
                <w:rFonts w:hint="eastAsia" w:ascii="宋体" w:hAnsi="宋体" w:eastAsia="宋体" w:cs="宋体"/>
                <w:b/>
                <w:color w:val="auto"/>
                <w:highlight w:val="none"/>
              </w:rPr>
              <w:t>否则投标无效，</w:t>
            </w:r>
            <w:r>
              <w:rPr>
                <w:rFonts w:hint="eastAsia" w:ascii="宋体" w:hAnsi="宋体" w:eastAsia="宋体" w:cs="宋体"/>
                <w:b/>
                <w:color w:val="auto"/>
                <w:szCs w:val="21"/>
                <w:highlight w:val="none"/>
              </w:rPr>
              <w:t>其他可根据实际情况提供</w:t>
            </w:r>
            <w:r>
              <w:rPr>
                <w:rFonts w:hint="eastAsia" w:ascii="宋体" w:hAnsi="宋体" w:eastAsia="宋体" w:cs="宋体"/>
                <w:color w:val="auto"/>
                <w:szCs w:val="21"/>
                <w:highlight w:val="none"/>
              </w:rPr>
              <w:t>）</w:t>
            </w:r>
          </w:p>
          <w:p w14:paraId="295F606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▲注：以下标注“▲”均要加盖投标人单位电子公章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w:t>
            </w:r>
          </w:p>
          <w:p w14:paraId="2321B7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（1）投标函（按第六章要求格式填写）；</w:t>
            </w:r>
          </w:p>
          <w:p w14:paraId="5DD672C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jc w:val="left"/>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（2）开标一览表（按第六章要求格式填写）；</w:t>
            </w:r>
            <w:r>
              <w:rPr>
                <w:rFonts w:hint="eastAsia" w:ascii="宋体" w:hAnsi="宋体" w:eastAsia="宋体" w:cs="宋体"/>
                <w:b/>
                <w:bCs/>
                <w:color w:val="auto"/>
                <w:szCs w:val="21"/>
                <w:highlight w:val="none"/>
              </w:rPr>
              <w:t xml:space="preserve"> </w:t>
            </w:r>
          </w:p>
          <w:p w14:paraId="720520E0">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（3）中小企业声明函</w:t>
            </w:r>
            <w:r>
              <w:rPr>
                <w:rFonts w:hint="eastAsia" w:ascii="宋体" w:hAnsi="宋体" w:eastAsia="宋体" w:cs="宋体"/>
                <w:bCs/>
                <w:color w:val="auto"/>
                <w:highlight w:val="none"/>
              </w:rPr>
              <w:t>（</w:t>
            </w:r>
            <w:r>
              <w:rPr>
                <w:rFonts w:hint="eastAsia" w:ascii="宋体" w:hAnsi="宋体" w:eastAsia="宋体" w:cs="宋体"/>
                <w:color w:val="auto"/>
                <w:kern w:val="0"/>
                <w:highlight w:val="none"/>
              </w:rPr>
              <w:t>各货物制造商</w:t>
            </w:r>
            <w:r>
              <w:rPr>
                <w:rFonts w:hint="eastAsia" w:ascii="宋体" w:hAnsi="宋体" w:eastAsia="宋体" w:cs="宋体"/>
                <w:bCs/>
                <w:color w:val="auto"/>
                <w:highlight w:val="none"/>
              </w:rPr>
              <w:t>如为中小微型企业的请按第六章要求的格式提供，否则不予享受优惠政策）；</w:t>
            </w:r>
          </w:p>
          <w:p w14:paraId="54047BC2">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color w:val="auto"/>
                <w:highlight w:val="none"/>
              </w:rPr>
            </w:pPr>
            <w:r>
              <w:rPr>
                <w:rFonts w:hint="eastAsia" w:ascii="宋体" w:hAnsi="宋体" w:eastAsia="宋体" w:cs="宋体"/>
                <w:bCs/>
                <w:color w:val="auto"/>
                <w:highlight w:val="none"/>
              </w:rPr>
              <w:t>（4）监狱企业由省级以上监狱管理局、戒毒管理局（含新疆生产建设兵团）出具的属于监狱企业的证明文件；</w:t>
            </w:r>
          </w:p>
          <w:p w14:paraId="4C3C7C49">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（5）</w:t>
            </w:r>
            <w:r>
              <w:rPr>
                <w:rFonts w:hint="eastAsia" w:ascii="宋体" w:hAnsi="宋体" w:eastAsia="宋体" w:cs="宋体"/>
                <w:bCs/>
                <w:color w:val="auto"/>
                <w:highlight w:val="none"/>
              </w:rPr>
              <w:t>残疾人福利性单位声明函（投标人如为残疾人福利性单位的请按第六章要求的格式提供，否则不予享受优惠政策）；</w:t>
            </w:r>
          </w:p>
          <w:p w14:paraId="449B7795">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（6）投标人针对报价需要说明的其他文件和说明（如有，格式自拟）</w:t>
            </w:r>
          </w:p>
          <w:p w14:paraId="45F84C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3.商务技术文件（以下文件标注“▲”的必须提供，</w:t>
            </w:r>
            <w:r>
              <w:rPr>
                <w:rFonts w:hint="eastAsia" w:ascii="宋体" w:hAnsi="宋体" w:eastAsia="宋体" w:cs="宋体"/>
                <w:b/>
                <w:color w:val="auto"/>
                <w:highlight w:val="none"/>
              </w:rPr>
              <w:t>否则投标无效，</w:t>
            </w:r>
            <w:r>
              <w:rPr>
                <w:rFonts w:hint="eastAsia" w:ascii="宋体" w:hAnsi="宋体" w:eastAsia="宋体" w:cs="宋体"/>
                <w:b/>
                <w:color w:val="auto"/>
                <w:szCs w:val="21"/>
                <w:highlight w:val="none"/>
              </w:rPr>
              <w:t>其他可根据实际情况提供。</w:t>
            </w:r>
          </w:p>
          <w:p w14:paraId="1109E4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3.1商务部分</w:t>
            </w:r>
          </w:p>
          <w:p w14:paraId="2D15A54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highlight w:val="none"/>
              </w:rPr>
              <w:t>▲注：以下标注“▲”均要加盖投标人单位电子公章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自然人加盖手指指印，否则其投标无效。第</w:t>
            </w:r>
            <w:r>
              <w:rPr>
                <w:rFonts w:hint="eastAsia" w:ascii="宋体" w:hAnsi="宋体" w:eastAsia="宋体" w:cs="宋体"/>
                <w:b/>
                <w:color w:val="auto"/>
                <w:szCs w:val="21"/>
                <w:highlight w:val="none"/>
              </w:rPr>
              <w:t>（1）、（2）项由法定代表人签名，否则其投标无效</w:t>
            </w:r>
            <w:r>
              <w:rPr>
                <w:rFonts w:hint="eastAsia" w:ascii="宋体" w:hAnsi="宋体" w:eastAsia="宋体" w:cs="宋体"/>
                <w:color w:val="auto"/>
                <w:szCs w:val="21"/>
                <w:highlight w:val="none"/>
                <w:lang w:eastAsia="zh-CN"/>
              </w:rPr>
              <w:t>。</w:t>
            </w:r>
          </w:p>
          <w:p w14:paraId="16D1347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p>
          <w:p w14:paraId="2B6DD3D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▲（1）法定代表人身份证明书（按第六章要求格式填写）； </w:t>
            </w:r>
          </w:p>
          <w:p w14:paraId="2D96FD9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▲（2）法定代表人授权委托书及被授权委托人身份证复印件（委托代理时，按第六章要求格式填写）；</w:t>
            </w:r>
          </w:p>
          <w:p w14:paraId="4E1B21B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▲（3）投标保证金缴纳证明材料复印件（按第六章要求格式填写）；</w:t>
            </w:r>
          </w:p>
          <w:p w14:paraId="5B78CF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▲（4）商务响应表（按第六章要求格式填写）；</w:t>
            </w:r>
          </w:p>
          <w:p w14:paraId="413015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▲（5）代理服务费承诺书(按第六章要求格式填写)</w:t>
            </w:r>
            <w:r>
              <w:rPr>
                <w:rFonts w:hint="eastAsia" w:ascii="宋体" w:hAnsi="宋体" w:eastAsia="宋体" w:cs="宋体"/>
                <w:color w:val="auto"/>
                <w:highlight w:val="none"/>
                <w:lang w:eastAsia="zh-CN"/>
              </w:rPr>
              <w:t>；</w:t>
            </w:r>
          </w:p>
          <w:p w14:paraId="09DFB1B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cs="宋体"/>
                <w:color w:val="auto"/>
                <w:highlight w:val="none"/>
                <w:lang w:eastAsia="zh-CN"/>
              </w:rPr>
              <w:t>投标人同类项目业绩一览表</w:t>
            </w:r>
            <w:r>
              <w:rPr>
                <w:rFonts w:hint="eastAsia" w:ascii="宋体" w:hAnsi="宋体" w:eastAsia="宋体" w:cs="宋体"/>
                <w:color w:val="auto"/>
                <w:highlight w:val="none"/>
              </w:rPr>
              <w:t>（按第六章要求格式填写）；</w:t>
            </w:r>
          </w:p>
          <w:p w14:paraId="5932F63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）投标人认为需要提供的其他证明材料。</w:t>
            </w:r>
          </w:p>
          <w:p w14:paraId="0A990B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3.2技术部分</w:t>
            </w:r>
          </w:p>
          <w:p w14:paraId="4AFB9059">
            <w:pPr>
              <w:keepNext w:val="0"/>
              <w:keepLines w:val="0"/>
              <w:pageBreakBefore w:val="0"/>
              <w:kinsoku/>
              <w:wordWrap/>
              <w:overflowPunct/>
              <w:topLinePunct w:val="0"/>
              <w:bidi w:val="0"/>
              <w:snapToGrid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（1）设备配置清单(按第六章要求格式填写)；</w:t>
            </w:r>
          </w:p>
          <w:p w14:paraId="47D1461B">
            <w:pPr>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（2）技术响应表(按第六章要求格式填写</w:t>
            </w:r>
            <w:r>
              <w:rPr>
                <w:rFonts w:hint="eastAsia" w:ascii="宋体" w:hAnsi="宋体" w:eastAsia="宋体" w:cs="宋体"/>
                <w:bCs/>
                <w:color w:val="auto"/>
                <w:szCs w:val="21"/>
                <w:highlight w:val="none"/>
              </w:rPr>
              <w:t>，附“第</w:t>
            </w:r>
            <w:r>
              <w:rPr>
                <w:rFonts w:hint="eastAsia" w:ascii="宋体" w:hAnsi="宋体" w:cs="宋体"/>
                <w:bCs/>
                <w:color w:val="auto"/>
                <w:szCs w:val="21"/>
                <w:highlight w:val="none"/>
                <w:lang w:val="en-US" w:eastAsia="zh-CN"/>
              </w:rPr>
              <w:t>二</w:t>
            </w:r>
            <w:r>
              <w:rPr>
                <w:rFonts w:hint="eastAsia" w:ascii="宋体" w:hAnsi="宋体" w:eastAsia="宋体" w:cs="宋体"/>
                <w:bCs/>
                <w:color w:val="auto"/>
                <w:szCs w:val="21"/>
                <w:highlight w:val="none"/>
              </w:rPr>
              <w:t>章</w:t>
            </w:r>
            <w:r>
              <w:rPr>
                <w:rFonts w:hint="eastAsia" w:ascii="宋体" w:hAnsi="宋体" w:cs="宋体"/>
                <w:bCs/>
                <w:color w:val="auto"/>
                <w:szCs w:val="21"/>
                <w:highlight w:val="none"/>
                <w:lang w:val="en-US" w:eastAsia="zh-CN"/>
              </w:rPr>
              <w:t xml:space="preserve"> </w:t>
            </w:r>
            <w:r>
              <w:rPr>
                <w:rFonts w:hint="eastAsia" w:ascii="宋体" w:hAnsi="宋体" w:eastAsia="宋体" w:cs="宋体"/>
                <w:bCs/>
                <w:color w:val="auto"/>
                <w:szCs w:val="21"/>
                <w:highlight w:val="none"/>
              </w:rPr>
              <w:t>招标项目采购需求”中要求提供的相关材料</w:t>
            </w:r>
            <w:r>
              <w:rPr>
                <w:rFonts w:hint="eastAsia" w:ascii="宋体" w:hAnsi="宋体" w:eastAsia="宋体" w:cs="宋体"/>
                <w:color w:val="auto"/>
                <w:szCs w:val="21"/>
                <w:highlight w:val="none"/>
              </w:rPr>
              <w:t>)；</w:t>
            </w:r>
          </w:p>
          <w:p w14:paraId="53FB21AA">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（3）项目实施方案；(按第六章要求格式填写)；</w:t>
            </w:r>
          </w:p>
          <w:p w14:paraId="0D257B8D">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▲（4）售后服务方案及承诺书(按第六章要求格式填写)；</w:t>
            </w:r>
          </w:p>
          <w:p w14:paraId="0CDE9713">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▲（5）选配件、专用耗材、售后服务优惠表(按第六章要求格式填写)；</w:t>
            </w:r>
          </w:p>
          <w:p w14:paraId="1574AC5F">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（6）投标人对本项目的合理化建议和改进措施（格式自拟）；</w:t>
            </w:r>
          </w:p>
          <w:p w14:paraId="73221E52">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（7）投标人需要说明的其他文件和说明（格式自拟）。</w:t>
            </w:r>
          </w:p>
          <w:p w14:paraId="7F180C20">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firstLineChars="199"/>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 xml:space="preserve">注：若招标文件中有专门标注的某关联点，并要求供应商在电子投标系统中作出响应的，如供应商未对关联点进行响应或者在投标文件其它内容进行描述，造成电子评审不能查询的责任由供应商自行承担。 </w:t>
            </w:r>
          </w:p>
        </w:tc>
      </w:tr>
      <w:tr w14:paraId="732FC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E6FDC0D">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8637" w:type="dxa"/>
            <w:tcBorders>
              <w:top w:val="single" w:color="auto" w:sz="4" w:space="0"/>
              <w:left w:val="single" w:color="auto" w:sz="4" w:space="0"/>
              <w:bottom w:val="single" w:color="auto" w:sz="4" w:space="0"/>
              <w:right w:val="single" w:color="auto" w:sz="4" w:space="0"/>
            </w:tcBorders>
            <w:vAlign w:val="center"/>
          </w:tcPr>
          <w:p w14:paraId="0DAC9F0D">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答疑与澄清：投标人如认为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招标采购单位可以视采购具体情况，延长投标截止时间和开标时间，将变更时间书面通知所有招标文件收受人，并在财政部门指定的政府采购信息发布媒体上发布更正公告。</w:t>
            </w:r>
          </w:p>
        </w:tc>
      </w:tr>
      <w:tr w14:paraId="28FB8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449F0B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8637" w:type="dxa"/>
            <w:tcBorders>
              <w:top w:val="single" w:color="auto" w:sz="4" w:space="0"/>
              <w:left w:val="single" w:color="auto" w:sz="4" w:space="0"/>
              <w:bottom w:val="single" w:color="auto" w:sz="4" w:space="0"/>
              <w:right w:val="single" w:color="auto" w:sz="4" w:space="0"/>
            </w:tcBorders>
            <w:vAlign w:val="center"/>
          </w:tcPr>
          <w:p w14:paraId="10F014EB">
            <w:pPr>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最高限价：</w:t>
            </w:r>
            <w:r>
              <w:rPr>
                <w:rFonts w:hint="eastAsia" w:ascii="宋体" w:hAnsi="宋体" w:eastAsia="宋体" w:cs="宋体"/>
                <w:color w:val="auto"/>
                <w:szCs w:val="21"/>
                <w:highlight w:val="none"/>
              </w:rPr>
              <w:t>人民币</w:t>
            </w:r>
            <w:r>
              <w:rPr>
                <w:rFonts w:hint="eastAsia" w:ascii="宋体" w:hAnsi="宋体" w:cs="宋体"/>
                <w:color w:val="auto"/>
                <w:szCs w:val="21"/>
                <w:highlight w:val="none"/>
                <w:lang w:val="en-US" w:eastAsia="zh-CN"/>
              </w:rPr>
              <w:t>捌拾柒万玖仟贰佰叁拾叁元整</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879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233.00</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w:t>
            </w:r>
          </w:p>
        </w:tc>
      </w:tr>
      <w:tr w14:paraId="2CD28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33A0067">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8637" w:type="dxa"/>
            <w:tcBorders>
              <w:top w:val="single" w:color="auto" w:sz="4" w:space="0"/>
              <w:left w:val="single" w:color="auto" w:sz="4" w:space="0"/>
              <w:bottom w:val="single" w:color="auto" w:sz="4" w:space="0"/>
              <w:right w:val="single" w:color="auto" w:sz="4" w:space="0"/>
            </w:tcBorders>
            <w:vAlign w:val="center"/>
          </w:tcPr>
          <w:p w14:paraId="6C86F152">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投标报价及费用：</w:t>
            </w:r>
          </w:p>
          <w:p w14:paraId="2F9382AB">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1、本项目投标应以人民币报价；</w:t>
            </w:r>
          </w:p>
          <w:p w14:paraId="5DC15937">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2、不论投标结果如何，投标人均应自行承担所有与投标有关的全部费用；</w:t>
            </w:r>
          </w:p>
          <w:p w14:paraId="694FD742">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3、代理服务费</w:t>
            </w:r>
            <w:r>
              <w:rPr>
                <w:rFonts w:hint="eastAsia" w:hAnsi="宋体" w:cs="宋体"/>
                <w:color w:val="auto"/>
                <w:highlight w:val="none"/>
                <w:lang w:eastAsia="zh-CN"/>
              </w:rPr>
              <w:t>以中标金额作为计费额</w:t>
            </w:r>
            <w:r>
              <w:rPr>
                <w:rFonts w:hint="eastAsia" w:ascii="宋体" w:hAnsi="宋体" w:eastAsia="宋体" w:cs="宋体"/>
                <w:color w:val="auto"/>
                <w:highlight w:val="none"/>
              </w:rPr>
              <w:t>，参照国家发展计划委员会文件计价格（2002）1980号“国家计委关于印发《招标代理服务收费管理暂行办法》的通知”规定的</w:t>
            </w:r>
            <w:r>
              <w:rPr>
                <w:rFonts w:hint="eastAsia" w:ascii="宋体" w:hAnsi="宋体" w:eastAsia="宋体" w:cs="宋体"/>
                <w:color w:val="auto"/>
                <w:highlight w:val="none"/>
                <w:lang w:val="en-US" w:eastAsia="zh-CN"/>
              </w:rPr>
              <w:t>货物类</w:t>
            </w:r>
            <w:r>
              <w:rPr>
                <w:rFonts w:hint="eastAsia" w:ascii="宋体" w:hAnsi="宋体" w:eastAsia="宋体" w:cs="宋体"/>
                <w:color w:val="auto"/>
                <w:highlight w:val="none"/>
              </w:rPr>
              <w:t>标准</w:t>
            </w:r>
            <w:r>
              <w:rPr>
                <w:rFonts w:hint="eastAsia" w:ascii="宋体" w:hAnsi="宋体" w:eastAsia="宋体" w:cs="宋体"/>
                <w:color w:val="auto"/>
                <w:highlight w:val="none"/>
                <w:lang w:val="en-US" w:eastAsia="zh-CN"/>
              </w:rPr>
              <w:t>下浮30%</w:t>
            </w:r>
            <w:r>
              <w:rPr>
                <w:rFonts w:hint="eastAsia" w:ascii="宋体" w:hAnsi="宋体" w:eastAsia="宋体" w:cs="宋体"/>
                <w:color w:val="auto"/>
                <w:highlight w:val="none"/>
              </w:rPr>
              <w:t>向中标人收取。</w:t>
            </w:r>
          </w:p>
        </w:tc>
      </w:tr>
      <w:tr w14:paraId="12E4C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A23886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8637" w:type="dxa"/>
            <w:tcBorders>
              <w:top w:val="single" w:color="auto" w:sz="4" w:space="0"/>
              <w:left w:val="single" w:color="auto" w:sz="4" w:space="0"/>
              <w:bottom w:val="single" w:color="auto" w:sz="4" w:space="0"/>
              <w:right w:val="single" w:color="auto" w:sz="4" w:space="0"/>
            </w:tcBorders>
            <w:vAlign w:val="center"/>
          </w:tcPr>
          <w:p w14:paraId="7DB053C8">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提交投标文件截止时间：</w:t>
            </w:r>
            <w:r>
              <w:rPr>
                <w:rFonts w:hint="eastAsia" w:ascii="宋体" w:hAnsi="宋体" w:cs="宋体"/>
                <w:color w:val="auto"/>
                <w:szCs w:val="21"/>
                <w:highlight w:val="none"/>
                <w:lang w:eastAsia="zh-CN"/>
              </w:rPr>
              <w:t>2025年10月21日</w:t>
            </w:r>
            <w:r>
              <w:rPr>
                <w:rFonts w:hint="eastAsia" w:ascii="宋体" w:hAnsi="宋体" w:eastAsia="宋体" w:cs="宋体"/>
                <w:color w:val="auto"/>
                <w:szCs w:val="21"/>
                <w:highlight w:val="none"/>
              </w:rPr>
              <w:t xml:space="preserve"> 09:20（北京时间）</w:t>
            </w:r>
          </w:p>
          <w:p w14:paraId="55BC2ABD">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投标地点（网址）：登录广西政府采购云平台在线提交。</w:t>
            </w:r>
          </w:p>
          <w:p w14:paraId="73C81247">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2025年10月21日</w:t>
            </w:r>
            <w:r>
              <w:rPr>
                <w:rFonts w:hint="eastAsia" w:ascii="宋体" w:hAnsi="宋体" w:eastAsia="宋体" w:cs="宋体"/>
                <w:color w:val="auto"/>
                <w:szCs w:val="21"/>
                <w:highlight w:val="none"/>
              </w:rPr>
              <w:t>09:20</w:t>
            </w:r>
          </w:p>
          <w:p w14:paraId="2DA5913E">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开标地点：本次招标在广西政府采购云平台电子开标大厅开标。</w:t>
            </w:r>
          </w:p>
          <w:p w14:paraId="30FD3B6C">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CA 证书在线解密：供应商投标时，需携带制作投标文件时用来加密的有效数字证书（CA 认证）登录广西政府采购云平台电子开标大厅现场按规定时间对加密的投标文件进行解密，否则后果自负。</w:t>
            </w:r>
          </w:p>
          <w:p w14:paraId="2AFCEC1A">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在首次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广西政府采购云平台将予以拒收。</w:t>
            </w:r>
          </w:p>
        </w:tc>
      </w:tr>
      <w:tr w14:paraId="16C14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E245526">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8637" w:type="dxa"/>
            <w:tcBorders>
              <w:top w:val="single" w:color="auto" w:sz="4" w:space="0"/>
              <w:left w:val="single" w:color="auto" w:sz="4" w:space="0"/>
              <w:bottom w:val="single" w:color="auto" w:sz="4" w:space="0"/>
              <w:right w:val="single" w:color="auto" w:sz="4" w:space="0"/>
            </w:tcBorders>
            <w:vAlign w:val="center"/>
          </w:tcPr>
          <w:p w14:paraId="19CD2D25">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评标办法及评分标准：综合评分法</w:t>
            </w:r>
          </w:p>
        </w:tc>
      </w:tr>
      <w:tr w14:paraId="37E0B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503628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8637" w:type="dxa"/>
            <w:tcBorders>
              <w:top w:val="single" w:color="auto" w:sz="4" w:space="0"/>
              <w:left w:val="single" w:color="auto" w:sz="4" w:space="0"/>
              <w:bottom w:val="single" w:color="auto" w:sz="4" w:space="0"/>
              <w:right w:val="single" w:color="auto" w:sz="4" w:space="0"/>
            </w:tcBorders>
            <w:vAlign w:val="center"/>
          </w:tcPr>
          <w:p w14:paraId="35061B60">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发布媒体：http://www.ccgp.gov.cn/（中国政府采购网）、http://zfcg.gxzf.gov.cn（</w:t>
            </w:r>
            <w:r>
              <w:rPr>
                <w:rFonts w:hint="eastAsia" w:ascii="宋体" w:hAnsi="宋体" w:eastAsia="宋体" w:cs="宋体"/>
                <w:color w:val="auto"/>
                <w:highlight w:val="none"/>
              </w:rPr>
              <w:t>广西政府采购网</w:t>
            </w:r>
            <w:r>
              <w:rPr>
                <w:rFonts w:hint="eastAsia" w:ascii="宋体" w:hAnsi="宋体" w:eastAsia="宋体" w:cs="宋体"/>
                <w:color w:val="auto"/>
                <w:szCs w:val="21"/>
                <w:highlight w:val="none"/>
              </w:rPr>
              <w:t>）、http://www.zfcg.lzscz.liuzhou.gov.cn（</w:t>
            </w:r>
            <w:r>
              <w:rPr>
                <w:rFonts w:hint="eastAsia" w:ascii="宋体" w:hAnsi="宋体" w:eastAsia="宋体" w:cs="宋体"/>
                <w:color w:val="auto"/>
                <w:highlight w:val="none"/>
              </w:rPr>
              <w:t>广西柳州政府采购网</w:t>
            </w:r>
            <w:r>
              <w:rPr>
                <w:rFonts w:hint="eastAsia" w:ascii="宋体" w:hAnsi="宋体" w:eastAsia="宋体" w:cs="宋体"/>
                <w:color w:val="auto"/>
                <w:szCs w:val="21"/>
                <w:highlight w:val="none"/>
              </w:rPr>
              <w:t>）</w:t>
            </w:r>
          </w:p>
        </w:tc>
      </w:tr>
      <w:tr w14:paraId="538C0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C72C0D2">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8637" w:type="dxa"/>
            <w:tcBorders>
              <w:top w:val="single" w:color="auto" w:sz="4" w:space="0"/>
              <w:left w:val="single" w:color="auto" w:sz="4" w:space="0"/>
              <w:bottom w:val="single" w:color="auto" w:sz="4" w:space="0"/>
              <w:right w:val="single" w:color="auto" w:sz="4" w:space="0"/>
            </w:tcBorders>
            <w:vAlign w:val="center"/>
          </w:tcPr>
          <w:p w14:paraId="16B22572">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中标公告及中标通知书：</w:t>
            </w:r>
            <w:r>
              <w:rPr>
                <w:rFonts w:hint="eastAsia" w:ascii="宋体" w:hAnsi="宋体" w:eastAsia="宋体" w:cs="宋体"/>
                <w:color w:val="auto"/>
                <w:highlight w:val="none"/>
              </w:rPr>
              <w:t>中标供应商确定后，采购代理机构或采购人须在“信用中国”网站（www.creditchina.gov.cn）和中国政府采购网（http://www.ccgp.gov.cn/）查询中标供应商主体信用记录，如其未被列入失信被执行人、重大税收违法案件当事人名单、政府采购严重违法失信行为记录名单，则采购代理机构在中国政府采购网、广西政府采购网、柳州市政府采购网发布中标公告同时向中标供应商发出中标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14:paraId="07F51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9989C4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8637" w:type="dxa"/>
            <w:tcBorders>
              <w:top w:val="single" w:color="auto" w:sz="4" w:space="0"/>
              <w:left w:val="single" w:color="auto" w:sz="4" w:space="0"/>
              <w:bottom w:val="single" w:color="auto" w:sz="4" w:space="0"/>
              <w:right w:val="single" w:color="auto" w:sz="4" w:space="0"/>
            </w:tcBorders>
            <w:vAlign w:val="center"/>
          </w:tcPr>
          <w:p w14:paraId="2B11CD33">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签订合同时间：中标通知书发出之日起二十五日内。</w:t>
            </w:r>
          </w:p>
        </w:tc>
      </w:tr>
      <w:tr w14:paraId="52982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246E1F2">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8637" w:type="dxa"/>
            <w:tcBorders>
              <w:top w:val="single" w:color="auto" w:sz="4" w:space="0"/>
              <w:left w:val="single" w:color="auto" w:sz="4" w:space="0"/>
              <w:bottom w:val="single" w:color="auto" w:sz="4" w:space="0"/>
              <w:right w:val="single" w:color="auto" w:sz="4" w:space="0"/>
            </w:tcBorders>
            <w:vAlign w:val="center"/>
          </w:tcPr>
          <w:p w14:paraId="1B680E7F">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p w14:paraId="4C4BD904">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不需要提交</w:t>
            </w:r>
          </w:p>
          <w:p w14:paraId="07558A69">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hAnsi="宋体" w:cs="宋体"/>
                <w:color w:val="auto"/>
                <w:kern w:val="0"/>
                <w:highlight w:val="none"/>
                <w:lang w:eastAsia="zh-CN"/>
              </w:rPr>
              <w:t>☑</w:t>
            </w:r>
            <w:r>
              <w:rPr>
                <w:rFonts w:hint="eastAsia" w:ascii="宋体" w:hAnsi="宋体" w:eastAsia="宋体" w:cs="宋体"/>
                <w:color w:val="auto"/>
                <w:szCs w:val="21"/>
                <w:highlight w:val="none"/>
              </w:rPr>
              <w:t>需要提交</w:t>
            </w:r>
          </w:p>
          <w:p w14:paraId="77E807D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1．履约保证金金额：合同金额的5%，若</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标人是中型企业的，</w:t>
            </w:r>
            <w:r>
              <w:rPr>
                <w:rFonts w:hint="eastAsia" w:ascii="宋体" w:hAnsi="宋体" w:cs="宋体"/>
                <w:color w:val="auto"/>
                <w:szCs w:val="21"/>
                <w:highlight w:val="none"/>
              </w:rPr>
              <w:t>则履约保证金按合同金额的2%收取</w:t>
            </w:r>
            <w:r>
              <w:rPr>
                <w:rFonts w:hint="eastAsia" w:ascii="宋体" w:hAnsi="宋体" w:cs="宋体"/>
                <w:color w:val="auto"/>
                <w:szCs w:val="21"/>
                <w:highlight w:val="none"/>
                <w:lang w:eastAsia="zh-CN"/>
              </w:rPr>
              <w:t>，</w:t>
            </w:r>
            <w:r>
              <w:rPr>
                <w:rFonts w:hint="eastAsia" w:ascii="宋体" w:hAnsi="宋体" w:cs="宋体"/>
                <w:color w:val="auto"/>
                <w:szCs w:val="21"/>
                <w:highlight w:val="none"/>
              </w:rPr>
              <w:t>若</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标人</w:t>
            </w:r>
            <w:r>
              <w:rPr>
                <w:rFonts w:hint="eastAsia" w:ascii="宋体" w:hAnsi="宋体" w:eastAsia="宋体" w:cs="宋体"/>
                <w:color w:val="auto"/>
                <w:szCs w:val="21"/>
                <w:highlight w:val="none"/>
                <w:lang w:val="en-US" w:eastAsia="zh-CN"/>
              </w:rPr>
              <w:t>是</w:t>
            </w:r>
            <w:r>
              <w:rPr>
                <w:rFonts w:hint="eastAsia" w:ascii="宋体" w:hAnsi="宋体" w:cs="宋体"/>
                <w:color w:val="auto"/>
                <w:szCs w:val="21"/>
                <w:highlight w:val="none"/>
                <w:lang w:eastAsia="zh-CN"/>
              </w:rPr>
              <w:t>小微企业的</w:t>
            </w:r>
            <w:r>
              <w:rPr>
                <w:rFonts w:hint="eastAsia" w:ascii="宋体" w:hAnsi="宋体" w:cs="宋体"/>
                <w:color w:val="auto"/>
                <w:szCs w:val="21"/>
                <w:highlight w:val="none"/>
              </w:rPr>
              <w:t>则</w:t>
            </w:r>
            <w:r>
              <w:rPr>
                <w:rFonts w:hint="eastAsia" w:ascii="宋体" w:hAnsi="宋体" w:cs="宋体"/>
                <w:color w:val="auto"/>
                <w:szCs w:val="21"/>
                <w:highlight w:val="none"/>
                <w:lang w:eastAsia="zh-CN"/>
              </w:rPr>
              <w:t>免收履约保证金</w:t>
            </w:r>
            <w:r>
              <w:rPr>
                <w:rFonts w:hint="eastAsia" w:ascii="宋体" w:hAnsi="宋体" w:cs="宋体"/>
                <w:color w:val="auto"/>
                <w:szCs w:val="21"/>
                <w:highlight w:val="none"/>
              </w:rPr>
              <w:t>。</w:t>
            </w:r>
          </w:p>
          <w:p w14:paraId="7730017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2．履约保证金提交时间及方式：合同签订前5日内，</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必须以银行转账、支票、汇票、本票或者金融机构、担保机构出具的保险、保函（含电子保函）等非现金方式向采购人提交履约保证金。</w:t>
            </w:r>
          </w:p>
          <w:p w14:paraId="3B4EC0D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3．履约保证金退付条件及时间:自项目验收合格之日起至质保期满无质量问题，采购人收到退付履约保证金申请后15个工作日内退还(无息)。</w:t>
            </w:r>
          </w:p>
          <w:p w14:paraId="30A0B20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w:t>
            </w:r>
          </w:p>
          <w:p w14:paraId="05472D1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不按合同履行质量保证义务的，采购人有权对采购标的进行更换、维修维保，所需费用从</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承担。同时，采购人保留起诉</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的权利。</w:t>
            </w:r>
          </w:p>
          <w:p w14:paraId="02C5048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变更单位名称、联系方式等不及时告知采购人并提供相关变更材料，造成采购人无法通知</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自动放弃领回履约保证金权利，采购人有权对履约保证金进行另外处置。</w:t>
            </w:r>
          </w:p>
          <w:p w14:paraId="21181B4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原因导致履约保证金无法按时退回的情形。</w:t>
            </w:r>
          </w:p>
          <w:p w14:paraId="48F3E42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p>
          <w:p w14:paraId="796CDA2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必须在签订合同前，按照规定提交方式，足额缴纳履约保证金。</w:t>
            </w:r>
          </w:p>
          <w:p w14:paraId="03ABC272">
            <w:pPr>
              <w:spacing w:line="3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未按规定缴纳履约保证金的，暂缓签订合同，责任由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承担。</w:t>
            </w:r>
          </w:p>
        </w:tc>
      </w:tr>
      <w:tr w14:paraId="31FE4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CEF7E6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8637" w:type="dxa"/>
            <w:tcBorders>
              <w:top w:val="single" w:color="auto" w:sz="4" w:space="0"/>
              <w:left w:val="single" w:color="auto" w:sz="4" w:space="0"/>
              <w:bottom w:val="single" w:color="auto" w:sz="4" w:space="0"/>
              <w:right w:val="single" w:color="auto" w:sz="4" w:space="0"/>
            </w:tcBorders>
            <w:vAlign w:val="center"/>
          </w:tcPr>
          <w:p w14:paraId="26FDE9D8">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内容中涉及商业秘密的部分，未注明的视为投标文件中不涉及商业秘密。</w:t>
            </w:r>
          </w:p>
        </w:tc>
      </w:tr>
      <w:tr w14:paraId="06A95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3C476D0">
            <w:pPr>
              <w:keepNext w:val="0"/>
              <w:keepLines w:val="0"/>
              <w:pageBreakBefore w:val="0"/>
              <w:kinsoku/>
              <w:wordWrap/>
              <w:overflowPunct/>
              <w:topLinePunct w:val="0"/>
              <w:bidi w:val="0"/>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637" w:type="dxa"/>
            <w:tcBorders>
              <w:top w:val="single" w:color="auto" w:sz="4" w:space="0"/>
              <w:left w:val="single" w:color="auto" w:sz="4" w:space="0"/>
              <w:bottom w:val="single" w:color="auto" w:sz="4" w:space="0"/>
              <w:right w:val="single" w:color="auto" w:sz="4" w:space="0"/>
            </w:tcBorders>
            <w:vAlign w:val="center"/>
          </w:tcPr>
          <w:p w14:paraId="6E9A4AE6">
            <w:pPr>
              <w:autoSpaceDE w:val="0"/>
              <w:autoSpaceDN w:val="0"/>
              <w:snapToGrid w:val="0"/>
              <w:spacing w:line="360" w:lineRule="exact"/>
              <w:textAlignment w:val="bottom"/>
              <w:rPr>
                <w:rFonts w:hint="eastAsia" w:ascii="宋体" w:hAnsi="宋体" w:eastAsia="宋体" w:cs="宋体"/>
                <w:color w:val="auto"/>
                <w:highlight w:val="none"/>
              </w:rPr>
            </w:pPr>
            <w:r>
              <w:rPr>
                <w:rFonts w:hint="eastAsia" w:ascii="宋体" w:hAnsi="宋体"/>
                <w:color w:val="auto"/>
                <w:szCs w:val="21"/>
                <w:highlight w:val="none"/>
              </w:rPr>
              <w:t>采购资金来源：</w:t>
            </w:r>
            <w:r>
              <w:rPr>
                <w:rFonts w:hint="eastAsia" w:ascii="宋体" w:hAnsi="宋体" w:cs="宋体"/>
                <w:color w:val="auto"/>
                <w:kern w:val="0"/>
                <w:szCs w:val="21"/>
                <w:highlight w:val="none"/>
                <w:lang w:eastAsia="zh-CN"/>
              </w:rPr>
              <w:t>☑</w:t>
            </w:r>
            <w:r>
              <w:rPr>
                <w:color w:val="auto"/>
                <w:highlight w:val="none"/>
              </w:rPr>
              <w:t>预算资金</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预算外资金</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其他资金</w:t>
            </w:r>
          </w:p>
        </w:tc>
      </w:tr>
      <w:tr w14:paraId="42114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3CFC035">
            <w:pPr>
              <w:keepNext w:val="0"/>
              <w:keepLines w:val="0"/>
              <w:pageBreakBefore w:val="0"/>
              <w:kinsoku/>
              <w:wordWrap/>
              <w:overflowPunct/>
              <w:topLinePunct w:val="0"/>
              <w:bidi w:val="0"/>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8637" w:type="dxa"/>
            <w:tcBorders>
              <w:top w:val="single" w:color="auto" w:sz="4" w:space="0"/>
              <w:left w:val="single" w:color="auto" w:sz="4" w:space="0"/>
              <w:bottom w:val="single" w:color="auto" w:sz="4" w:space="0"/>
              <w:right w:val="single" w:color="auto" w:sz="4" w:space="0"/>
            </w:tcBorders>
            <w:vAlign w:val="center"/>
          </w:tcPr>
          <w:p w14:paraId="60C5A6CF">
            <w:pPr>
              <w:autoSpaceDE w:val="0"/>
              <w:autoSpaceDN w:val="0"/>
              <w:snapToGrid w:val="0"/>
              <w:spacing w:line="360" w:lineRule="exact"/>
              <w:textAlignment w:val="bottom"/>
              <w:rPr>
                <w:rFonts w:hint="eastAsia" w:ascii="宋体" w:hAnsi="宋体" w:eastAsia="宋体" w:cs="宋体"/>
                <w:color w:val="auto"/>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lang w:eastAsia="zh-CN"/>
              </w:rPr>
              <w:t>☑</w:t>
            </w:r>
            <w:r>
              <w:rPr>
                <w:color w:val="auto"/>
                <w:highlight w:val="none"/>
              </w:rPr>
              <w:t>国库集中支付或采购专户支付</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采购人自行支付</w:t>
            </w:r>
          </w:p>
        </w:tc>
      </w:tr>
      <w:tr w14:paraId="20E69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6561FE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8637" w:type="dxa"/>
            <w:tcBorders>
              <w:top w:val="single" w:color="auto" w:sz="4" w:space="0"/>
              <w:left w:val="single" w:color="auto" w:sz="4" w:space="0"/>
              <w:bottom w:val="single" w:color="auto" w:sz="4" w:space="0"/>
              <w:right w:val="single" w:color="auto" w:sz="4" w:space="0"/>
            </w:tcBorders>
            <w:vAlign w:val="center"/>
          </w:tcPr>
          <w:p w14:paraId="50F36A29">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投标有效期：投标截止日期后60天。</w:t>
            </w:r>
          </w:p>
        </w:tc>
      </w:tr>
      <w:tr w14:paraId="06944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BA06E57">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8637" w:type="dxa"/>
            <w:tcBorders>
              <w:top w:val="single" w:color="auto" w:sz="4" w:space="0"/>
              <w:left w:val="single" w:color="auto" w:sz="4" w:space="0"/>
              <w:bottom w:val="single" w:color="auto" w:sz="4" w:space="0"/>
              <w:right w:val="single" w:color="auto" w:sz="4" w:space="0"/>
            </w:tcBorders>
            <w:vAlign w:val="center"/>
          </w:tcPr>
          <w:p w14:paraId="57DA4B5F">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解释：本招标文件的解释权属于采购单位。</w:t>
            </w:r>
          </w:p>
        </w:tc>
      </w:tr>
      <w:tr w14:paraId="6EC51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474E346">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8637" w:type="dxa"/>
            <w:tcBorders>
              <w:top w:val="single" w:color="auto" w:sz="4" w:space="0"/>
              <w:left w:val="single" w:color="auto" w:sz="4" w:space="0"/>
              <w:bottom w:val="single" w:color="auto" w:sz="4" w:space="0"/>
              <w:right w:val="single" w:color="auto" w:sz="4" w:space="0"/>
            </w:tcBorders>
            <w:vAlign w:val="center"/>
          </w:tcPr>
          <w:p w14:paraId="25379E5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注意事项：</w:t>
            </w:r>
          </w:p>
          <w:p w14:paraId="24AAA05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广西政府采购云平台（www.gcy.zfcg.gxzf.gov.cn）实行在线电子投标，供应商应按照本项目招标文件和广西政府采购云平台的要求编制、加密后在提交投标文件截止时间前通过网络上传至广西政府采购云平台，</w:t>
            </w:r>
            <w:r>
              <w:rPr>
                <w:rFonts w:hint="eastAsia" w:ascii="宋体" w:hAnsi="宋体" w:eastAsia="宋体" w:cs="宋体"/>
                <w:b/>
                <w:bCs/>
                <w:color w:val="auto"/>
                <w:szCs w:val="21"/>
                <w:highlight w:val="none"/>
              </w:rPr>
              <w:t>供应商在广西政府采购云平台提交电子投标文件时，请填写参加远程采购活动经办人联系方式。</w:t>
            </w:r>
            <w:r>
              <w:rPr>
                <w:rFonts w:hint="eastAsia" w:ascii="宋体" w:hAnsi="宋体" w:eastAsia="宋体" w:cs="宋体"/>
                <w:color w:val="auto"/>
                <w:szCs w:val="21"/>
                <w:highlight w:val="none"/>
              </w:rPr>
              <w:t>供应商登录广西政府采购云平台，依次进入“服务中心-项目采购-操作流程-电子招投标-政府采购项目电子交易管理操作指南-供应商”查看电子投标具体操作流程。</w:t>
            </w:r>
          </w:p>
          <w:p w14:paraId="0506F60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供应商应当在提交投标文件截止时间前，完成电子交易平台上的CA数字证书办理及投标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5F03E3F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（3）CA证书在线解密：投标截止时间后，需携带制作投标文件时用来加密的有效数字证书（CA认证）登录广西政府采购云平台电子开标大厅现场按规定时间对加密的投标文件进行解密，否则后果自负。</w:t>
            </w:r>
          </w:p>
          <w:p w14:paraId="36AD67F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0D6AF4CA">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（4）供应商需要在具备有摄像头及语音功能且互联网网络状况良好的电脑登录广西政府采购云平台远程开标大厅参与本次投标，否则后果自负。</w:t>
            </w:r>
          </w:p>
          <w:p w14:paraId="063F2349">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为电子标项目，不要求参与投标的供应商到达现场，但投标人应派法定代表人或委托代理人在线准时出席电子标评审，随时关注项目评审进度，在评审过程中对评标小组发出的询标函于规定的时间内进行确认回复。</w:t>
            </w:r>
          </w:p>
          <w:p w14:paraId="664B3C6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若对项目采购电子交易系统操作有疑问，可登陆广西政府采购云平台（https://www.gcy.zfcg.gxzf.gov.cn/），点击右侧咨询小采，获取采小蜜智能服务管家帮助，或拨打广西政府采购云平台服务热线95763获取热线服务帮助。</w:t>
            </w:r>
          </w:p>
        </w:tc>
      </w:tr>
      <w:tr w14:paraId="540D3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457347D">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8637" w:type="dxa"/>
            <w:tcBorders>
              <w:top w:val="single" w:color="auto" w:sz="4" w:space="0"/>
              <w:left w:val="single" w:color="auto" w:sz="4" w:space="0"/>
              <w:bottom w:val="single" w:color="auto" w:sz="4" w:space="0"/>
              <w:right w:val="single" w:color="auto" w:sz="4" w:space="0"/>
            </w:tcBorders>
            <w:vAlign w:val="center"/>
          </w:tcPr>
          <w:p w14:paraId="25B35A87">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电子投标文件的制作、加密：</w:t>
            </w:r>
          </w:p>
          <w:p w14:paraId="735F6A6E">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1、供应商制作电子投标文件前，应登陆“广西政府采购云平台</w:t>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kern w:val="2"/>
                <w:sz w:val="21"/>
                <w:szCs w:val="21"/>
                <w:highlight w:val="none"/>
              </w:rPr>
              <w:t>”进行“申请获取采购文件”操作，否则，有可能导致无法在线编制投标文件并参与投标，其不利后果由供应商自行承担。</w:t>
            </w:r>
          </w:p>
          <w:p w14:paraId="7B416A4D">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2、供应商下载或获取招标文件后，登录“广西政府采购云平台电子投标客户端”，按照本招标文件规定的投标文件格式、顺序以及“广西政府采购云平台</w:t>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kern w:val="2"/>
                <w:sz w:val="21"/>
                <w:szCs w:val="21"/>
                <w:highlight w:val="none"/>
              </w:rPr>
              <w:t>”的要求，通过“广西政府采购云平台电子投标客户端”编制电子投标文件。</w:t>
            </w:r>
          </w:p>
          <w:p w14:paraId="7404F9E3">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应按“广西政府采购云平台电子投标客户端”载明的“标书关联”功能进行电子投标文件的关联定位，以便评标小组在评审时点击相应评审项可直接定位到该评审内容；如供应商的电子投标文件未能关联定位相应内容，或者关联定位的内容与该评审项不符，导致评标小组无法查询并做出对供应商不利的评审，相关后果由供应商自行承担。</w:t>
            </w:r>
          </w:p>
          <w:p w14:paraId="48201644">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电子投标文件不得涂改，若有修改错漏处，须由法定代表人（负责人、自然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29476203">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5、供应商编制、生成电子投标文件后应当加密投标文件。供应商未按规定编制并加密的投标文件，“广西政府采购云平台”将予以拒收。</w:t>
            </w:r>
          </w:p>
        </w:tc>
      </w:tr>
      <w:tr w14:paraId="711A4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B8F592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c>
          <w:tcPr>
            <w:tcW w:w="8637" w:type="dxa"/>
            <w:tcBorders>
              <w:top w:val="single" w:color="auto" w:sz="4" w:space="0"/>
              <w:left w:val="single" w:color="auto" w:sz="4" w:space="0"/>
              <w:bottom w:val="single" w:color="auto" w:sz="4" w:space="0"/>
              <w:right w:val="single" w:color="auto" w:sz="4" w:space="0"/>
            </w:tcBorders>
            <w:vAlign w:val="center"/>
          </w:tcPr>
          <w:p w14:paraId="11913809">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供应商公章及签字：</w:t>
            </w:r>
          </w:p>
          <w:p w14:paraId="7C0C944A">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1、本招标文件中描述供应商的“公章”是指供应商通过指定电子化政府采购平台办理数字证书（CA认证证书）获得的以法定主体行为名称制作的电子印章。</w:t>
            </w:r>
          </w:p>
          <w:p w14:paraId="0AB7E8F6">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2、本招标文件中要求供应商对其电子投标文件的相关内容加盖公章的，均指采用CA证书签章。</w:t>
            </w:r>
          </w:p>
          <w:p w14:paraId="2EB0C4E8">
            <w:pPr>
              <w:pStyle w:val="206"/>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7861A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7F79084">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8637" w:type="dxa"/>
            <w:tcBorders>
              <w:top w:val="single" w:color="auto" w:sz="4" w:space="0"/>
              <w:left w:val="single" w:color="auto" w:sz="4" w:space="0"/>
              <w:bottom w:val="single" w:color="auto" w:sz="4" w:space="0"/>
              <w:right w:val="single" w:color="auto" w:sz="4" w:space="0"/>
            </w:tcBorders>
            <w:vAlign w:val="center"/>
          </w:tcPr>
          <w:p w14:paraId="5D544C9F">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投标文件的解密：</w:t>
            </w:r>
          </w:p>
          <w:p w14:paraId="3CDDA1B4">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采购代理机构将在“招标公告”规定的时间通过电子交易平台组织投标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投标文件在线解密。发起解密指令之时起5分钟内供应商还未进行解密的，代理机构通知供应商，供应商没预留联系方式或预留联系方式无效，非代理机构原因导致代理机构无法联系到供应商进行解密的，视为投标文件无效。(解密异常情况处理：</w:t>
            </w:r>
            <w:r>
              <w:rPr>
                <w:rFonts w:hint="eastAsia" w:ascii="宋体" w:hAnsi="宋体" w:eastAsia="宋体" w:cs="宋体"/>
                <w:bCs/>
                <w:color w:val="auto"/>
                <w:highlight w:val="none"/>
              </w:rPr>
              <w:t>详见本章第五点（九）电子交易活动的中止</w:t>
            </w:r>
            <w:r>
              <w:rPr>
                <w:rFonts w:hint="eastAsia" w:ascii="宋体" w:hAnsi="宋体" w:eastAsia="宋体" w:cs="宋体"/>
                <w:color w:val="auto"/>
                <w:highlight w:val="none"/>
              </w:rPr>
              <w:t>。)</w:t>
            </w:r>
          </w:p>
        </w:tc>
      </w:tr>
    </w:tbl>
    <w:p w14:paraId="3E3B5466">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C2E2B90">
      <w:pPr>
        <w:pStyle w:val="27"/>
        <w:snapToGrid w:val="0"/>
        <w:spacing w:before="120" w:after="120"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投标人须知正文</w:t>
      </w:r>
    </w:p>
    <w:p w14:paraId="44C181D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一、总  则</w:t>
      </w:r>
    </w:p>
    <w:p w14:paraId="4464C9B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5" w:name="_Toc254970527"/>
      <w:bookmarkStart w:id="6" w:name="_Toc254970668"/>
      <w:r>
        <w:rPr>
          <w:rFonts w:hint="eastAsia" w:ascii="宋体" w:hAnsi="宋体" w:eastAsia="宋体" w:cs="宋体"/>
          <w:b/>
          <w:color w:val="auto"/>
          <w:szCs w:val="21"/>
          <w:highlight w:val="none"/>
        </w:rPr>
        <w:t>（一） 适用范围</w:t>
      </w:r>
      <w:bookmarkEnd w:id="5"/>
      <w:bookmarkEnd w:id="6"/>
    </w:p>
    <w:p w14:paraId="5465351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本招标文件适用于本项目的招标、投标、评标、定标、验收、合同履约、付款等行为（法律、法规另有规定的，从其规定）。</w:t>
      </w:r>
    </w:p>
    <w:p w14:paraId="329C636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10" w:firstLineChars="147"/>
        <w:jc w:val="left"/>
        <w:textAlignment w:val="auto"/>
        <w:rPr>
          <w:rFonts w:hint="eastAsia" w:ascii="宋体" w:hAnsi="宋体" w:eastAsia="宋体" w:cs="宋体"/>
          <w:b/>
          <w:color w:val="auto"/>
          <w:szCs w:val="21"/>
          <w:highlight w:val="none"/>
        </w:rPr>
      </w:pPr>
      <w:bookmarkStart w:id="7" w:name="_Toc254970669"/>
      <w:bookmarkStart w:id="8" w:name="_Toc254970528"/>
      <w:r>
        <w:rPr>
          <w:rFonts w:hint="eastAsia" w:ascii="宋体" w:hAnsi="宋体" w:eastAsia="宋体" w:cs="宋体"/>
          <w:b/>
          <w:color w:val="auto"/>
          <w:szCs w:val="21"/>
          <w:highlight w:val="none"/>
        </w:rPr>
        <w:t>（二）定义</w:t>
      </w:r>
      <w:bookmarkEnd w:id="7"/>
      <w:bookmarkEnd w:id="8"/>
    </w:p>
    <w:p w14:paraId="170D4CA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1.招标采购单位系指组织本次招标的采购人及代理机构。</w:t>
      </w:r>
    </w:p>
    <w:p w14:paraId="43EBFB8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2.“投标人”系指向招标方提交投标文件的法人、其他组织或者自然人。</w:t>
      </w:r>
    </w:p>
    <w:p w14:paraId="3E32A0F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3.“货物”系指各种形态和种类的物品，包括原材料、燃料、设备、产品等。</w:t>
      </w:r>
    </w:p>
    <w:p w14:paraId="2F2D76C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4.“服务”系指是指除货物和工程以外的其他政府采购对象。</w:t>
      </w:r>
    </w:p>
    <w:p w14:paraId="569B27A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5.“项目”系指投标人按招标文件规定向采购人提供的产品和服务。</w:t>
      </w:r>
    </w:p>
    <w:p w14:paraId="7F9C92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6.“书面形式”包括是指合同书、信件和数据电文（包括电报、电传、传真、电子数据交换和电子邮件）等可以有形地表现所载内容的形式。</w:t>
      </w:r>
    </w:p>
    <w:p w14:paraId="54AA312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7.“▲”系指实质性要求条款。</w:t>
      </w:r>
    </w:p>
    <w:p w14:paraId="1A05E61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 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16DE3EF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9. 本招标文件中描述投标人的“签字/签名”是指</w:t>
      </w:r>
      <w:r>
        <w:rPr>
          <w:rFonts w:hint="eastAsia" w:ascii="宋体" w:hAnsi="宋体" w:eastAsia="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0FC667B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 本招标文件中描述供应商的“公章”是指供应商通过指定电子化政府采购平台办理数字证书（CA认证证书）获得的以法定主体行为名称制作的电子印章。本招标文件中要求供应商对其电子投标文件的相关内容加盖公章的，均指采用CA证书签章。</w:t>
      </w:r>
    </w:p>
    <w:p w14:paraId="7482B93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本招标文件所称的“以上”“以下”“以内”“届满”，包括本数；所称的“不满”“超过”“以外”，不包括本数；如招标文件另有特殊规定的从其规定。 </w:t>
      </w:r>
    </w:p>
    <w:p w14:paraId="0009937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highlight w:val="none"/>
        </w:rPr>
        <w:t>“复印件”包含“扫描件”。</w:t>
      </w:r>
    </w:p>
    <w:p w14:paraId="7436DE2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9" w:name="_Toc254970529"/>
      <w:bookmarkStart w:id="10" w:name="_Toc254970670"/>
      <w:r>
        <w:rPr>
          <w:rFonts w:hint="eastAsia" w:ascii="宋体" w:hAnsi="宋体" w:eastAsia="宋体" w:cs="宋体"/>
          <w:b/>
          <w:color w:val="auto"/>
          <w:szCs w:val="21"/>
          <w:highlight w:val="none"/>
        </w:rPr>
        <w:t>（三）</w:t>
      </w:r>
      <w:bookmarkEnd w:id="9"/>
      <w:bookmarkEnd w:id="10"/>
      <w:r>
        <w:rPr>
          <w:rFonts w:hint="eastAsia" w:ascii="宋体" w:hAnsi="宋体" w:eastAsia="宋体" w:cs="宋体"/>
          <w:b/>
          <w:color w:val="auto"/>
          <w:szCs w:val="21"/>
          <w:highlight w:val="none"/>
        </w:rPr>
        <w:t>投标人的资格要求</w:t>
      </w:r>
    </w:p>
    <w:p w14:paraId="3C2E10C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kern w:val="0"/>
          <w:szCs w:val="21"/>
          <w:highlight w:val="none"/>
        </w:rPr>
      </w:pPr>
      <w:bookmarkStart w:id="11" w:name="_Toc254970671"/>
      <w:bookmarkStart w:id="12" w:name="_Toc254970530"/>
      <w:r>
        <w:rPr>
          <w:rFonts w:hint="eastAsia" w:ascii="宋体" w:hAnsi="宋体" w:eastAsia="宋体" w:cs="宋体"/>
          <w:color w:val="auto"/>
          <w:kern w:val="0"/>
          <w:szCs w:val="21"/>
          <w:highlight w:val="none"/>
        </w:rPr>
        <w:t>投标人的资格要求详见“投标人须知前附表”。</w:t>
      </w:r>
    </w:p>
    <w:p w14:paraId="4C5FD3A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（四）投标委托</w:t>
      </w:r>
      <w:bookmarkEnd w:id="11"/>
      <w:bookmarkEnd w:id="12"/>
    </w:p>
    <w:p w14:paraId="6216A26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如投标人代表为法定代表人须提供法人身份证明书及身份证，如投标人代表不是法定代表人，须有法定代表人出具的授权委托书及身份证（格式见第六章投标文件格式）。</w:t>
      </w:r>
    </w:p>
    <w:p w14:paraId="5F60FD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13" w:name="_Toc254970531"/>
      <w:bookmarkStart w:id="14" w:name="_Toc254970672"/>
      <w:r>
        <w:rPr>
          <w:rFonts w:hint="eastAsia" w:ascii="宋体" w:hAnsi="宋体" w:eastAsia="宋体" w:cs="宋体"/>
          <w:b/>
          <w:color w:val="auto"/>
          <w:szCs w:val="21"/>
          <w:highlight w:val="none"/>
        </w:rPr>
        <w:t>（五）投标费用</w:t>
      </w:r>
      <w:bookmarkEnd w:id="13"/>
      <w:bookmarkEnd w:id="14"/>
    </w:p>
    <w:p w14:paraId="00B77E8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投标人均应自行承担所有与投标有关的全部费用（招标文件有相关的规定除外）。</w:t>
      </w:r>
    </w:p>
    <w:p w14:paraId="7C65BCE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（六）联合体投标</w:t>
      </w:r>
    </w:p>
    <w:p w14:paraId="77BFE47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本项目是否接受联合体投标，详见“投标人须知前附表”</w:t>
      </w:r>
      <w:r>
        <w:rPr>
          <w:rFonts w:hint="eastAsia" w:ascii="宋体" w:hAnsi="宋体" w:eastAsia="宋体" w:cs="宋体"/>
          <w:color w:val="auto"/>
          <w:szCs w:val="21"/>
          <w:highlight w:val="none"/>
        </w:rPr>
        <w:t>。</w:t>
      </w:r>
    </w:p>
    <w:p w14:paraId="2A96F96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5" w:name="_Toc4545"/>
      <w:r>
        <w:rPr>
          <w:rFonts w:hint="eastAsia" w:ascii="宋体" w:hAnsi="宋体" w:eastAsia="宋体" w:cs="宋体"/>
          <w:bCs/>
          <w:color w:val="auto"/>
          <w:highlight w:val="none"/>
        </w:rPr>
        <w:t>2.联合体要求（联合体投标时应满足下列要求）：</w:t>
      </w:r>
      <w:bookmarkEnd w:id="15"/>
    </w:p>
    <w:p w14:paraId="50E51C7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6" w:name="_Toc1084"/>
      <w:r>
        <w:rPr>
          <w:rFonts w:hint="eastAsia" w:ascii="宋体" w:hAnsi="宋体" w:eastAsia="宋体" w:cs="宋体"/>
          <w:bCs/>
          <w:color w:val="auto"/>
          <w:highlight w:val="none"/>
        </w:rPr>
        <w:t>（1）两个以上供应商可以组成一个投标联合体，以一个投标人的身份共同参加投标，联合体投标人的名称应统一按“XXX公司与XXX公司的联合体”的规则填写。</w:t>
      </w:r>
      <w:bookmarkEnd w:id="16"/>
    </w:p>
    <w:p w14:paraId="5F78B45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7" w:name="_Toc29316"/>
      <w:r>
        <w:rPr>
          <w:rFonts w:hint="eastAsia" w:ascii="宋体" w:hAnsi="宋体" w:eastAsia="宋体" w:cs="宋体"/>
          <w:bCs/>
          <w:color w:val="auto"/>
          <w:highlight w:val="none"/>
        </w:rPr>
        <w:t>（2）以联合体形式参加投标的，联合体各方均应当符合“具有独立承担民事责任的能力”的条件。 本项目有特殊要求规定投标人特定条件的，联合体各方中至少应当有一方符合招标文件规定的特定条件。</w:t>
      </w:r>
      <w:bookmarkEnd w:id="17"/>
    </w:p>
    <w:p w14:paraId="1E0D300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8" w:name="_Toc19959"/>
      <w:r>
        <w:rPr>
          <w:rFonts w:hint="eastAsia" w:ascii="宋体" w:hAnsi="宋体" w:eastAsia="宋体" w:cs="宋体"/>
          <w:bCs/>
          <w:color w:val="auto"/>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bookmarkEnd w:id="18"/>
    </w:p>
    <w:p w14:paraId="5015CB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9" w:name="_Toc8813"/>
      <w:r>
        <w:rPr>
          <w:rFonts w:hint="eastAsia" w:ascii="宋体" w:hAnsi="宋体" w:eastAsia="宋体" w:cs="宋体"/>
          <w:bCs/>
          <w:color w:val="auto"/>
          <w:highlight w:val="none"/>
        </w:rPr>
        <w:t>（4）以联合体形式参加政府采购活动的，联合体各方不得再单独参加或者与其他投标人另外组成联合体参加同一合同项下的政府采购活动，否则与之相关的投标文件作废。</w:t>
      </w:r>
      <w:bookmarkEnd w:id="19"/>
    </w:p>
    <w:p w14:paraId="28C2E5D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0" w:name="_Toc9098"/>
      <w:r>
        <w:rPr>
          <w:rFonts w:hint="eastAsia" w:ascii="宋体" w:hAnsi="宋体" w:eastAsia="宋体" w:cs="宋体"/>
          <w:bCs/>
          <w:color w:val="auto"/>
          <w:highlight w:val="none"/>
        </w:rPr>
        <w:t>（5）联合体中有同类资质的投标人按照联合体分工承担相同工作的，应当按照资质等级较低的投标人确定资质等级。</w:t>
      </w:r>
      <w:bookmarkEnd w:id="20"/>
    </w:p>
    <w:p w14:paraId="74937F6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1" w:name="_Toc19429"/>
      <w:r>
        <w:rPr>
          <w:rFonts w:hint="eastAsia" w:ascii="宋体" w:hAnsi="宋体" w:eastAsia="宋体" w:cs="宋体"/>
          <w:bCs/>
          <w:color w:val="auto"/>
          <w:highlight w:val="none"/>
        </w:rPr>
        <w:t>（6）联合体投标业绩、履约能力按照联合体各方其中较高的一方认定并计算（招标文件另有规定的除外）。</w:t>
      </w:r>
      <w:bookmarkEnd w:id="21"/>
    </w:p>
    <w:p w14:paraId="61EA14D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2" w:name="_Toc6707"/>
      <w:r>
        <w:rPr>
          <w:rFonts w:hint="eastAsia" w:ascii="宋体" w:hAnsi="宋体" w:eastAsia="宋体" w:cs="宋体"/>
          <w:bCs/>
          <w:color w:val="auto"/>
          <w:highlight w:val="none"/>
        </w:rPr>
        <w:t>（7）联合体各方均应按照招标文件的规定提交资格证明文件。</w:t>
      </w:r>
      <w:bookmarkEnd w:id="22"/>
    </w:p>
    <w:p w14:paraId="5EC342F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3" w:name="_Toc14809"/>
      <w:r>
        <w:rPr>
          <w:rFonts w:hint="eastAsia" w:ascii="宋体" w:hAnsi="宋体" w:eastAsia="宋体" w:cs="宋体"/>
          <w:bCs/>
          <w:color w:val="auto"/>
          <w:highlight w:val="none"/>
        </w:rPr>
        <w:t>3. 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bookmarkEnd w:id="23"/>
    </w:p>
    <w:p w14:paraId="13A108D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（七）分包与转包</w:t>
      </w:r>
      <w:r>
        <w:rPr>
          <w:rFonts w:hint="eastAsia" w:ascii="宋体" w:hAnsi="宋体" w:eastAsia="宋体" w:cs="宋体"/>
          <w:b/>
          <w:color w:val="auto"/>
          <w:kern w:val="0"/>
          <w:szCs w:val="21"/>
          <w:highlight w:val="none"/>
        </w:rPr>
        <w:t xml:space="preserve"> </w:t>
      </w:r>
    </w:p>
    <w:p w14:paraId="26C66BC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2BE74F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2D98811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3.本项目不允许转包。</w:t>
      </w:r>
    </w:p>
    <w:p w14:paraId="740CFAE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24" w:name="_Toc254970673"/>
      <w:bookmarkStart w:id="25" w:name="_Toc254970532"/>
      <w:bookmarkStart w:id="26" w:name="_Toc254970533"/>
      <w:bookmarkStart w:id="27" w:name="_Toc254970674"/>
      <w:r>
        <w:rPr>
          <w:rFonts w:hint="eastAsia" w:ascii="宋体" w:hAnsi="宋体" w:eastAsia="宋体" w:cs="宋体"/>
          <w:b/>
          <w:color w:val="auto"/>
          <w:szCs w:val="21"/>
          <w:highlight w:val="none"/>
        </w:rPr>
        <w:t>（八）特别说明：</w:t>
      </w:r>
      <w:bookmarkEnd w:id="24"/>
      <w:bookmarkEnd w:id="25"/>
    </w:p>
    <w:p w14:paraId="55FFD2F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8" w:name="_Toc22826"/>
      <w:r>
        <w:rPr>
          <w:rFonts w:hint="eastAsia" w:ascii="宋体" w:hAnsi="宋体" w:eastAsia="宋体" w:cs="宋体"/>
          <w:bCs/>
          <w:color w:val="auto"/>
          <w:highlight w:val="none"/>
        </w:rPr>
        <w:t>1.</w:t>
      </w:r>
      <w:r>
        <w:rPr>
          <w:rFonts w:hint="eastAsia" w:ascii="宋体" w:hAnsi="宋体" w:eastAsia="宋体" w:cs="宋体"/>
          <w:color w:val="auto"/>
          <w:highlight w:val="none"/>
        </w:rPr>
        <w:t xml:space="preserve"> </w:t>
      </w:r>
      <w:r>
        <w:rPr>
          <w:rFonts w:hint="eastAsia" w:ascii="宋体" w:hAnsi="宋体" w:eastAsia="宋体" w:cs="宋体"/>
          <w:bCs/>
          <w:color w:val="auto"/>
          <w:highlight w:val="none"/>
        </w:rPr>
        <w:t>出现下列情形之一的，在评审过程中，按一家投标人计算，评审后得分最高的同品牌投标人获得中标人推荐资格；评审得分相同的，以报价最低的投标人获得中标人推荐资格；评审得分及投标报价相同的，以技术得分最高的投标人获得中标人推荐资格；其他同品牌投标人不作为中标候选人：</w:t>
      </w:r>
      <w:bookmarkEnd w:id="28"/>
    </w:p>
    <w:p w14:paraId="4F1566C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outlineLvl w:val="1"/>
        <w:rPr>
          <w:rFonts w:hint="eastAsia" w:ascii="宋体" w:hAnsi="宋体" w:eastAsia="宋体" w:cs="宋体"/>
          <w:b/>
          <w:bCs w:val="0"/>
          <w:color w:val="auto"/>
          <w:highlight w:val="none"/>
        </w:rPr>
      </w:pPr>
      <w:bookmarkStart w:id="29" w:name="_Toc26268"/>
      <w:r>
        <w:rPr>
          <w:rFonts w:hint="eastAsia" w:ascii="宋体" w:hAnsi="宋体" w:eastAsia="宋体" w:cs="宋体"/>
          <w:b/>
          <w:bCs w:val="0"/>
          <w:color w:val="auto"/>
          <w:highlight w:val="none"/>
        </w:rPr>
        <w:t>（1）提供相同品牌产品且通过资格审查、符合性审查的不同投标人参加单一产品的同一合同项下的政府采购活动的。</w:t>
      </w:r>
      <w:bookmarkEnd w:id="29"/>
    </w:p>
    <w:p w14:paraId="4E6D3AC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outlineLvl w:val="1"/>
        <w:rPr>
          <w:rFonts w:hint="eastAsia" w:ascii="宋体" w:hAnsi="宋体" w:eastAsia="宋体" w:cs="宋体"/>
          <w:b/>
          <w:bCs w:val="0"/>
          <w:color w:val="auto"/>
          <w:highlight w:val="none"/>
        </w:rPr>
      </w:pPr>
      <w:bookmarkStart w:id="30" w:name="_Toc2441"/>
      <w:r>
        <w:rPr>
          <w:rFonts w:hint="eastAsia" w:ascii="宋体" w:hAnsi="宋体" w:eastAsia="宋体" w:cs="宋体"/>
          <w:b/>
          <w:bCs w:val="0"/>
          <w:color w:val="auto"/>
          <w:highlight w:val="none"/>
        </w:rPr>
        <w:t>（2）非单一产品采购项目中，多家投标人提供的核心产品品牌相同的，视为提供相同品牌产品。核心产品的名称应当在招标文件中载明。</w:t>
      </w:r>
      <w:bookmarkEnd w:id="30"/>
    </w:p>
    <w:p w14:paraId="44D8EF8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1" w:name="_Toc22187"/>
      <w:r>
        <w:rPr>
          <w:rFonts w:hint="eastAsia" w:ascii="宋体" w:hAnsi="宋体" w:eastAsia="宋体" w:cs="宋体"/>
          <w:bCs/>
          <w:color w:val="auto"/>
          <w:highlight w:val="none"/>
        </w:rPr>
        <w:t>2.投标人投标所使用的资格、信誉、荣誉、业绩与企业认证必须为本投标人所拥有。</w:t>
      </w:r>
      <w:bookmarkEnd w:id="31"/>
    </w:p>
    <w:p w14:paraId="4ABCAEC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2" w:name="_Toc18040"/>
      <w:r>
        <w:rPr>
          <w:rFonts w:hint="eastAsia" w:ascii="宋体" w:hAnsi="宋体" w:eastAsia="宋体" w:cs="宋体"/>
          <w:bCs/>
          <w:color w:val="auto"/>
          <w:highlight w:val="none"/>
        </w:rPr>
        <w:t>3.投标人应仔细阅读招标文件的所有内容，按照招标文件的要求提交投标文件，并对所提供的全部资料的真实性承担法律责任。</w:t>
      </w:r>
      <w:bookmarkEnd w:id="32"/>
    </w:p>
    <w:p w14:paraId="23E623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3" w:name="_Toc18087"/>
      <w:r>
        <w:rPr>
          <w:rFonts w:hint="eastAsia" w:ascii="宋体" w:hAnsi="宋体" w:eastAsia="宋体" w:cs="宋体"/>
          <w:bCs/>
          <w:color w:val="auto"/>
          <w:highlight w:val="none"/>
        </w:rPr>
        <w:t>4.投标人在投标活动中提供任何虚假材料</w:t>
      </w:r>
      <w:r>
        <w:rPr>
          <w:rFonts w:hint="eastAsia" w:hAnsi="宋体" w:cs="宋体"/>
          <w:bCs/>
          <w:color w:val="auto"/>
          <w:highlight w:val="none"/>
          <w:lang w:eastAsia="zh-CN"/>
        </w:rPr>
        <w:t>，</w:t>
      </w:r>
      <w:r>
        <w:rPr>
          <w:rFonts w:hint="eastAsia" w:ascii="宋体" w:hAnsi="宋体" w:eastAsia="宋体" w:cs="宋体"/>
          <w:bCs/>
          <w:color w:val="auto"/>
          <w:highlight w:val="none"/>
        </w:rPr>
        <w:t>其投标无效，并报监管部门查处；中标后发现的</w:t>
      </w:r>
      <w:r>
        <w:rPr>
          <w:rFonts w:hint="eastAsia" w:hAnsi="宋体" w:cs="宋体"/>
          <w:bCs/>
          <w:color w:val="auto"/>
          <w:highlight w:val="none"/>
          <w:lang w:eastAsia="zh-CN"/>
        </w:rPr>
        <w:t>，</w:t>
      </w:r>
      <w:r>
        <w:rPr>
          <w:rFonts w:hint="eastAsia" w:ascii="宋体" w:hAnsi="宋体" w:eastAsia="宋体" w:cs="宋体"/>
          <w:bCs/>
          <w:color w:val="auto"/>
          <w:highlight w:val="none"/>
        </w:rPr>
        <w:t>中标供应商须依照《中华人民共和国消费者权益保护法》规定赔偿采购人，且民事赔偿并不免除违法投标人的行政与刑事责任。</w:t>
      </w:r>
      <w:bookmarkEnd w:id="33"/>
    </w:p>
    <w:p w14:paraId="01338D7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4" w:name="_Toc6090"/>
      <w:r>
        <w:rPr>
          <w:rFonts w:hint="eastAsia" w:ascii="宋体" w:hAnsi="宋体" w:eastAsia="宋体" w:cs="宋体"/>
          <w:bCs/>
          <w:color w:val="auto"/>
          <w:highlight w:val="none"/>
        </w:rPr>
        <w:t>5.在政府采购活动中，采购人员及相关人员与投标人有下列利害关系之一的，应当回避：</w:t>
      </w:r>
      <w:bookmarkEnd w:id="34"/>
    </w:p>
    <w:p w14:paraId="155E41D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5" w:name="_Toc11777"/>
      <w:r>
        <w:rPr>
          <w:rFonts w:hint="eastAsia" w:ascii="宋体" w:hAnsi="宋体" w:eastAsia="宋体" w:cs="宋体"/>
          <w:bCs/>
          <w:color w:val="auto"/>
          <w:highlight w:val="none"/>
        </w:rPr>
        <w:t>（1）参加采购活动前3年内与投标人存在劳动关系；</w:t>
      </w:r>
      <w:bookmarkEnd w:id="35"/>
    </w:p>
    <w:p w14:paraId="7B8A6E8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6" w:name="_Toc4715"/>
      <w:r>
        <w:rPr>
          <w:rFonts w:hint="eastAsia" w:ascii="宋体" w:hAnsi="宋体" w:eastAsia="宋体" w:cs="宋体"/>
          <w:bCs/>
          <w:color w:val="auto"/>
          <w:highlight w:val="none"/>
        </w:rPr>
        <w:t>（2）参加采购活动前3年内担任投标人的董事、监事；</w:t>
      </w:r>
      <w:bookmarkEnd w:id="36"/>
    </w:p>
    <w:p w14:paraId="452DAA6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7" w:name="_Toc25646"/>
      <w:r>
        <w:rPr>
          <w:rFonts w:hint="eastAsia" w:ascii="宋体" w:hAnsi="宋体" w:eastAsia="宋体" w:cs="宋体"/>
          <w:bCs/>
          <w:color w:val="auto"/>
          <w:highlight w:val="none"/>
        </w:rPr>
        <w:t>（3）参加采购活动前3年内是投标人的控股股东或者实际控制人；</w:t>
      </w:r>
      <w:bookmarkEnd w:id="37"/>
    </w:p>
    <w:p w14:paraId="6893F12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8" w:name="_Toc21838"/>
      <w:r>
        <w:rPr>
          <w:rFonts w:hint="eastAsia" w:ascii="宋体" w:hAnsi="宋体" w:eastAsia="宋体" w:cs="宋体"/>
          <w:bCs/>
          <w:color w:val="auto"/>
          <w:highlight w:val="none"/>
        </w:rPr>
        <w:t>（4）与投标人的法定代表人或者负责人有夫妻、直系血亲、三代以内旁系血亲或者近姻亲关系；</w:t>
      </w:r>
      <w:bookmarkEnd w:id="38"/>
    </w:p>
    <w:p w14:paraId="3210CF6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9" w:name="_Toc25698"/>
      <w:r>
        <w:rPr>
          <w:rFonts w:hint="eastAsia" w:ascii="宋体" w:hAnsi="宋体" w:eastAsia="宋体" w:cs="宋体"/>
          <w:bCs/>
          <w:color w:val="auto"/>
          <w:highlight w:val="none"/>
        </w:rPr>
        <w:t>（5）与投标人有其他可能影响政府采购活动公平、公正进行的关系。</w:t>
      </w:r>
      <w:bookmarkEnd w:id="39"/>
    </w:p>
    <w:p w14:paraId="4210BE2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0" w:name="_Toc3773"/>
      <w:r>
        <w:rPr>
          <w:rFonts w:hint="eastAsia" w:ascii="宋体" w:hAnsi="宋体" w:eastAsia="宋体" w:cs="宋体"/>
          <w:bCs/>
          <w:color w:val="auto"/>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bookmarkEnd w:id="40"/>
    </w:p>
    <w:p w14:paraId="0F18BB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1" w:name="_Toc19479"/>
      <w:r>
        <w:rPr>
          <w:rFonts w:hint="eastAsia" w:ascii="宋体" w:hAnsi="宋体" w:eastAsia="宋体" w:cs="宋体"/>
          <w:bCs/>
          <w:color w:val="auto"/>
          <w:highlight w:val="none"/>
        </w:rPr>
        <w:t>6.有下列情形之一的视为投标人相互串通投标，其投标无效：</w:t>
      </w:r>
      <w:bookmarkEnd w:id="41"/>
    </w:p>
    <w:p w14:paraId="00577C7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2" w:name="_Toc21817"/>
      <w:r>
        <w:rPr>
          <w:rFonts w:hint="eastAsia" w:ascii="宋体" w:hAnsi="宋体" w:eastAsia="宋体" w:cs="宋体"/>
          <w:bCs/>
          <w:color w:val="auto"/>
          <w:highlight w:val="none"/>
        </w:rPr>
        <w:t>（1）不同投标人的投标文件由同一单位或者个人编制；</w:t>
      </w:r>
      <w:bookmarkEnd w:id="42"/>
      <w:r>
        <w:rPr>
          <w:rFonts w:hint="eastAsia" w:ascii="宋体" w:hAnsi="宋体" w:eastAsia="宋体" w:cs="宋体"/>
          <w:bCs/>
          <w:color w:val="auto"/>
          <w:highlight w:val="none"/>
        </w:rPr>
        <w:t xml:space="preserve"> </w:t>
      </w:r>
    </w:p>
    <w:p w14:paraId="511503C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3" w:name="_Toc21237"/>
      <w:r>
        <w:rPr>
          <w:rFonts w:hint="eastAsia" w:ascii="宋体" w:hAnsi="宋体" w:eastAsia="宋体" w:cs="宋体"/>
          <w:bCs/>
          <w:color w:val="auto"/>
          <w:highlight w:val="none"/>
        </w:rPr>
        <w:t>（2）不同投标人委托同一单位或者个人办理投标事宜；</w:t>
      </w:r>
      <w:bookmarkEnd w:id="43"/>
    </w:p>
    <w:p w14:paraId="686BDD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4" w:name="_Toc14412"/>
      <w:r>
        <w:rPr>
          <w:rFonts w:hint="eastAsia" w:ascii="宋体" w:hAnsi="宋体" w:eastAsia="宋体" w:cs="宋体"/>
          <w:bCs/>
          <w:color w:val="auto"/>
          <w:highlight w:val="none"/>
        </w:rPr>
        <w:t>（3）不同投标人的投标文件载明的项目管理成员或者联系人员为同一人；</w:t>
      </w:r>
      <w:bookmarkEnd w:id="44"/>
    </w:p>
    <w:p w14:paraId="29406DE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5" w:name="_Toc11989"/>
      <w:r>
        <w:rPr>
          <w:rFonts w:hint="eastAsia" w:ascii="宋体" w:hAnsi="宋体" w:eastAsia="宋体" w:cs="宋体"/>
          <w:bCs/>
          <w:color w:val="auto"/>
          <w:highlight w:val="none"/>
        </w:rPr>
        <w:t>（4）不同投标人的投标文件异常一致或投标报价呈规律性差异；</w:t>
      </w:r>
      <w:bookmarkEnd w:id="45"/>
    </w:p>
    <w:p w14:paraId="63CC6B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6" w:name="_Toc20733"/>
      <w:r>
        <w:rPr>
          <w:rFonts w:hint="eastAsia" w:ascii="宋体" w:hAnsi="宋体" w:eastAsia="宋体" w:cs="宋体"/>
          <w:bCs/>
          <w:color w:val="auto"/>
          <w:highlight w:val="none"/>
        </w:rPr>
        <w:t>（5）不同投标人的投标文件相互混装；</w:t>
      </w:r>
      <w:bookmarkEnd w:id="46"/>
    </w:p>
    <w:p w14:paraId="2108A54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7" w:name="_Toc11504"/>
      <w:r>
        <w:rPr>
          <w:rFonts w:hint="eastAsia" w:ascii="宋体" w:hAnsi="宋体" w:eastAsia="宋体" w:cs="宋体"/>
          <w:bCs/>
          <w:color w:val="auto"/>
          <w:highlight w:val="none"/>
        </w:rPr>
        <w:t>（6）不同投标人的投标保证金从同一单位或者个人账户转出。</w:t>
      </w:r>
      <w:bookmarkEnd w:id="47"/>
    </w:p>
    <w:p w14:paraId="215A089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8" w:name="_Toc5825"/>
      <w:r>
        <w:rPr>
          <w:rFonts w:hint="eastAsia" w:ascii="宋体" w:hAnsi="宋体" w:eastAsia="宋体" w:cs="宋体"/>
          <w:bCs/>
          <w:color w:val="auto"/>
          <w:highlight w:val="none"/>
        </w:rPr>
        <w:t>7.供应商有下列情形之一的，属于恶意串通行为：</w:t>
      </w:r>
      <w:bookmarkEnd w:id="48"/>
    </w:p>
    <w:p w14:paraId="208173B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9" w:name="_Toc20864"/>
      <w:r>
        <w:rPr>
          <w:rFonts w:hint="eastAsia" w:ascii="宋体" w:hAnsi="宋体" w:eastAsia="宋体" w:cs="宋体"/>
          <w:bCs/>
          <w:color w:val="auto"/>
          <w:highlight w:val="none"/>
        </w:rPr>
        <w:t>（1）供应商直接或者间接从采购人或者采购代理机构处获得其他供应商的相关信息并修改其投标文件或者投标文件：</w:t>
      </w:r>
      <w:bookmarkEnd w:id="49"/>
    </w:p>
    <w:p w14:paraId="155F6E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0" w:name="_Toc9504"/>
      <w:r>
        <w:rPr>
          <w:rFonts w:hint="eastAsia" w:ascii="宋体" w:hAnsi="宋体" w:eastAsia="宋体" w:cs="宋体"/>
          <w:bCs/>
          <w:color w:val="auto"/>
          <w:highlight w:val="none"/>
        </w:rPr>
        <w:t>（2）供应商按照采购人或者采购代理机构的授意撤换、修改投标文件或者投标文件；</w:t>
      </w:r>
      <w:bookmarkEnd w:id="50"/>
    </w:p>
    <w:p w14:paraId="417F8D7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1" w:name="_Toc6484"/>
      <w:r>
        <w:rPr>
          <w:rFonts w:hint="eastAsia" w:ascii="宋体" w:hAnsi="宋体" w:eastAsia="宋体" w:cs="宋体"/>
          <w:bCs/>
          <w:color w:val="auto"/>
          <w:highlight w:val="none"/>
        </w:rPr>
        <w:t>（3）供应商之间协商报价、技术方案等投标文件或者投标文件的实质性内容；</w:t>
      </w:r>
      <w:bookmarkEnd w:id="51"/>
    </w:p>
    <w:p w14:paraId="776106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2" w:name="_Toc16239"/>
      <w:r>
        <w:rPr>
          <w:rFonts w:hint="eastAsia" w:ascii="宋体" w:hAnsi="宋体" w:eastAsia="宋体" w:cs="宋体"/>
          <w:bCs/>
          <w:color w:val="auto"/>
          <w:highlight w:val="none"/>
        </w:rPr>
        <w:t>（4）属于同一集团、协会、商会等组织成员的供应商按照该组织要求协同参加政府采购活动；</w:t>
      </w:r>
      <w:bookmarkEnd w:id="52"/>
    </w:p>
    <w:p w14:paraId="3572880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3" w:name="_Toc5419"/>
      <w:r>
        <w:rPr>
          <w:rFonts w:hint="eastAsia" w:ascii="宋体" w:hAnsi="宋体" w:eastAsia="宋体" w:cs="宋体"/>
          <w:bCs/>
          <w:color w:val="auto"/>
          <w:highlight w:val="none"/>
        </w:rPr>
        <w:t>（5）供应商之间事先约定一致抬高或者压低投标报价</w:t>
      </w:r>
      <w:r>
        <w:rPr>
          <w:rFonts w:hint="eastAsia" w:hAnsi="宋体" w:cs="宋体"/>
          <w:bCs/>
          <w:color w:val="auto"/>
          <w:highlight w:val="none"/>
          <w:lang w:eastAsia="zh-CN"/>
        </w:rPr>
        <w:t>，</w:t>
      </w:r>
      <w:r>
        <w:rPr>
          <w:rFonts w:hint="eastAsia" w:ascii="宋体" w:hAnsi="宋体" w:eastAsia="宋体" w:cs="宋体"/>
          <w:bCs/>
          <w:color w:val="auto"/>
          <w:highlight w:val="none"/>
        </w:rPr>
        <w:t>或者在招标项目中事先约定轮流以高价位或者低价位中标</w:t>
      </w:r>
      <w:r>
        <w:rPr>
          <w:rFonts w:hint="eastAsia" w:hAnsi="宋体" w:cs="宋体"/>
          <w:bCs/>
          <w:color w:val="auto"/>
          <w:highlight w:val="none"/>
          <w:lang w:eastAsia="zh-CN"/>
        </w:rPr>
        <w:t>，</w:t>
      </w:r>
      <w:r>
        <w:rPr>
          <w:rFonts w:hint="eastAsia" w:ascii="宋体" w:hAnsi="宋体" w:eastAsia="宋体" w:cs="宋体"/>
          <w:bCs/>
          <w:color w:val="auto"/>
          <w:highlight w:val="none"/>
        </w:rPr>
        <w:t>或者事先约定由某一特定供应商中标</w:t>
      </w:r>
      <w:r>
        <w:rPr>
          <w:rFonts w:hint="eastAsia" w:hAnsi="宋体" w:cs="宋体"/>
          <w:bCs/>
          <w:color w:val="auto"/>
          <w:highlight w:val="none"/>
          <w:lang w:eastAsia="zh-CN"/>
        </w:rPr>
        <w:t>，</w:t>
      </w:r>
      <w:r>
        <w:rPr>
          <w:rFonts w:hint="eastAsia" w:ascii="宋体" w:hAnsi="宋体" w:eastAsia="宋体" w:cs="宋体"/>
          <w:bCs/>
          <w:color w:val="auto"/>
          <w:highlight w:val="none"/>
        </w:rPr>
        <w:t>然后再参加投标；</w:t>
      </w:r>
      <w:bookmarkEnd w:id="53"/>
    </w:p>
    <w:p w14:paraId="647F8B1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4" w:name="_Toc2880"/>
      <w:r>
        <w:rPr>
          <w:rFonts w:hint="eastAsia" w:ascii="宋体" w:hAnsi="宋体" w:eastAsia="宋体" w:cs="宋体"/>
          <w:bCs/>
          <w:color w:val="auto"/>
          <w:highlight w:val="none"/>
        </w:rPr>
        <w:t>（6）供应商之间商定部分供应商放弃参加政府采购活动或者放弃中标；</w:t>
      </w:r>
      <w:bookmarkEnd w:id="54"/>
    </w:p>
    <w:p w14:paraId="171F77B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5" w:name="_Toc5336"/>
      <w:r>
        <w:rPr>
          <w:rFonts w:hint="eastAsia" w:ascii="宋体" w:hAnsi="宋体" w:eastAsia="宋体" w:cs="宋体"/>
          <w:bCs/>
          <w:color w:val="auto"/>
          <w:highlight w:val="none"/>
        </w:rPr>
        <w:t>（7）供应商与采购人或者采购代理机构之间、供应商相互之间，为谋求特定供应商中标或者排斥其他供应商的其他串通行为。</w:t>
      </w:r>
      <w:bookmarkEnd w:id="55"/>
    </w:p>
    <w:p w14:paraId="05ED7C4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6" w:name="_Toc32638"/>
      <w:r>
        <w:rPr>
          <w:rFonts w:hint="eastAsia" w:ascii="宋体" w:hAnsi="宋体" w:eastAsia="宋体" w:cs="宋体"/>
          <w:bCs/>
          <w:color w:val="auto"/>
          <w:highlight w:val="none"/>
        </w:rPr>
        <w:t>8.关联供应商不得参加同一合同项下政府采购活动，否则投标文件将被视为无效：</w:t>
      </w:r>
      <w:bookmarkEnd w:id="56"/>
    </w:p>
    <w:p w14:paraId="1DCB3BA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7" w:name="_Toc2162"/>
      <w:r>
        <w:rPr>
          <w:rFonts w:hint="eastAsia" w:ascii="宋体" w:hAnsi="宋体" w:eastAsia="宋体" w:cs="宋体"/>
          <w:bCs/>
          <w:color w:val="auto"/>
          <w:highlight w:val="none"/>
        </w:rPr>
        <w:t>（1）单位负责人为同一人或者存在直接控股、管理关系的不同的供应商，不得参加同一合同项下的政府采购活动；</w:t>
      </w:r>
      <w:bookmarkEnd w:id="57"/>
    </w:p>
    <w:p w14:paraId="41F1C19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8" w:name="_Toc13652"/>
      <w:r>
        <w:rPr>
          <w:rFonts w:hint="eastAsia" w:ascii="宋体" w:hAnsi="宋体" w:eastAsia="宋体" w:cs="宋体"/>
          <w:bCs/>
          <w:color w:val="auto"/>
          <w:highlight w:val="none"/>
        </w:rPr>
        <w:t>（2）生产厂商授权给供应商后自己不得参加同一合同项下的政府采购活动；生产厂商对同一品牌同一型号的货物，仅能委托一个代理商参加投标。</w:t>
      </w:r>
      <w:bookmarkEnd w:id="58"/>
    </w:p>
    <w:p w14:paraId="627DC31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9" w:name="_Toc12322"/>
      <w:r>
        <w:rPr>
          <w:rFonts w:hint="eastAsia" w:ascii="宋体" w:hAnsi="宋体" w:eastAsia="宋体" w:cs="宋体"/>
          <w:bCs/>
          <w:color w:val="auto"/>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bookmarkEnd w:id="59"/>
    </w:p>
    <w:p w14:paraId="5941FA6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（九）质疑和投诉</w:t>
      </w:r>
      <w:bookmarkEnd w:id="26"/>
      <w:bookmarkEnd w:id="27"/>
    </w:p>
    <w:p w14:paraId="1E8AF25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1.投标人认为招标文件、招标过程或中标结果使自己的合法权益受到损害的，应当在知道或者应知其权益受到损害之日起七个工作日内，以书面形式向采购人、采购代理机构提出质疑。</w:t>
      </w:r>
      <w:r>
        <w:rPr>
          <w:rFonts w:hint="eastAsia" w:ascii="宋体" w:hAnsi="宋体" w:eastAsia="宋体" w:cs="宋体"/>
          <w:color w:val="auto"/>
          <w:highlight w:val="none"/>
        </w:rPr>
        <w:t>投标人对招标采购单位的质疑答复不满意或者招标采购单位未在规定时间内作出答复的，可以在答复期满后十五个工作日内向同级采购监管部门投诉。</w:t>
      </w:r>
    </w:p>
    <w:p w14:paraId="7269F68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bookmarkStart w:id="60" w:name="_Toc97370512"/>
      <w:bookmarkStart w:id="61" w:name="_Toc97353125"/>
      <w:bookmarkStart w:id="62" w:name="_Toc139774543"/>
      <w:bookmarkStart w:id="63" w:name="_Toc97376589"/>
      <w:bookmarkStart w:id="64" w:name="_Toc109205409"/>
      <w:bookmarkStart w:id="65" w:name="_Toc97352470"/>
    </w:p>
    <w:p w14:paraId="2095E8F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3.质疑和投诉书面要求</w:t>
      </w:r>
      <w:bookmarkEnd w:id="60"/>
      <w:bookmarkEnd w:id="61"/>
      <w:bookmarkEnd w:id="62"/>
      <w:bookmarkEnd w:id="63"/>
      <w:bookmarkEnd w:id="64"/>
      <w:bookmarkEnd w:id="65"/>
    </w:p>
    <w:p w14:paraId="3A003CE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质疑人或投诉人提供的书面材料（如材料中有外文资料须同时附上中文译本）至少包括以下内容：</w:t>
      </w:r>
    </w:p>
    <w:p w14:paraId="6FB90C0A">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质疑人或投诉人的姓名或者名称、地址、邮编、联系人及联系电话；</w:t>
      </w:r>
    </w:p>
    <w:p w14:paraId="7FEBE123">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质疑项目的名称、编号；</w:t>
      </w:r>
    </w:p>
    <w:p w14:paraId="3D760B41">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具体、明确的质疑事项和与质疑事项相关的请求；</w:t>
      </w:r>
    </w:p>
    <w:p w14:paraId="6097708B">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事实依据；</w:t>
      </w:r>
    </w:p>
    <w:p w14:paraId="533249A2">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必要的法律依据；</w:t>
      </w:r>
    </w:p>
    <w:p w14:paraId="1BB77676">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质疑人或投诉人的签章及质疑或投诉时间；</w:t>
      </w:r>
    </w:p>
    <w:p w14:paraId="488692A3">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质疑或投诉的书面材料须提供法定代表人签名和加盖单位公章的原件。</w:t>
      </w:r>
    </w:p>
    <w:p w14:paraId="67961226">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质疑人须一次性提出针对同一采购程序环节的质疑。</w:t>
      </w:r>
    </w:p>
    <w:p w14:paraId="1EDF6CE5">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3A88D0B">
      <w:pPr>
        <w:pStyle w:val="27"/>
        <w:keepNext w:val="0"/>
        <w:keepLines w:val="0"/>
        <w:pageBreakBefore w:val="0"/>
        <w:kinsoku/>
        <w:wordWrap/>
        <w:overflowPunct/>
        <w:topLinePunct w:val="0"/>
        <w:autoSpaceDE/>
        <w:autoSpaceDN/>
        <w:bidi w:val="0"/>
        <w:adjustRightInd/>
        <w:snapToGrid w:val="0"/>
        <w:spacing w:beforeAutospacing="0" w:afterAutospacing="0" w:line="36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未持有有效授权委托书的代理人提交的质疑函或不在法定质疑期内提交的质疑函，将不予受理。</w:t>
      </w:r>
    </w:p>
    <w:p w14:paraId="646846C8">
      <w:pPr>
        <w:pStyle w:val="27"/>
        <w:keepNext w:val="0"/>
        <w:keepLines w:val="0"/>
        <w:pageBreakBefore w:val="0"/>
        <w:widowControl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w:t>
      </w:r>
      <w:r>
        <w:rPr>
          <w:rFonts w:hint="eastAsia" w:ascii="宋体" w:hAnsi="宋体" w:eastAsia="宋体" w:cs="宋体"/>
          <w:color w:val="auto"/>
          <w:highlight w:val="none"/>
        </w:rPr>
        <w:t>接受质疑函的联系方式等详见招标公告中采购人、采购代理机构的联系方式。</w:t>
      </w:r>
    </w:p>
    <w:p w14:paraId="0788245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66" w:name="_Toc254970675"/>
      <w:bookmarkStart w:id="67" w:name="_Toc254970534"/>
      <w:r>
        <w:rPr>
          <w:rFonts w:hint="eastAsia" w:ascii="宋体" w:hAnsi="宋体" w:eastAsia="宋体" w:cs="宋体"/>
          <w:b/>
          <w:color w:val="auto"/>
          <w:sz w:val="28"/>
          <w:szCs w:val="28"/>
          <w:highlight w:val="none"/>
        </w:rPr>
        <w:t>二、招标文件</w:t>
      </w:r>
      <w:bookmarkEnd w:id="66"/>
      <w:bookmarkEnd w:id="67"/>
    </w:p>
    <w:p w14:paraId="7BF9B5C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（一）招标文件的构成。</w:t>
      </w:r>
    </w:p>
    <w:p w14:paraId="3EA8E89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招标公告；</w:t>
      </w:r>
    </w:p>
    <w:p w14:paraId="4C86E8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招标项目采购需求；</w:t>
      </w:r>
    </w:p>
    <w:p w14:paraId="3ACB4FF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投标人须知；</w:t>
      </w:r>
    </w:p>
    <w:p w14:paraId="453B01F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评标方法及评标标准；</w:t>
      </w:r>
    </w:p>
    <w:p w14:paraId="65F910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合同主要条款格式；</w:t>
      </w:r>
    </w:p>
    <w:p w14:paraId="265D3B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投标文件格式。</w:t>
      </w:r>
    </w:p>
    <w:p w14:paraId="343F056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（二）投标人的风险</w:t>
      </w:r>
    </w:p>
    <w:p w14:paraId="7AADC007">
      <w:pPr>
        <w:pStyle w:val="39"/>
        <w:keepNext w:val="0"/>
        <w:keepLines w:val="0"/>
        <w:pageBreakBefore w:val="0"/>
        <w:kinsoku/>
        <w:wordWrap/>
        <w:overflowPunct/>
        <w:topLinePunct w:val="0"/>
        <w:autoSpaceDE/>
        <w:autoSpaceDN/>
        <w:bidi w:val="0"/>
        <w:adjustRightInd/>
        <w:spacing w:beforeAutospacing="0" w:after="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投标人没有按照招标文件要求提供全部资料，或者投标人没有对招标文件在各方面作出实质性响应是投标人的风险，并可能导致其投标被拒绝。</w:t>
      </w:r>
    </w:p>
    <w:p w14:paraId="06601AC5">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（三）招标文件的澄清与修改 </w:t>
      </w:r>
    </w:p>
    <w:p w14:paraId="2B9449A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投标人应认真阅读本招标文件，发现</w:t>
      </w:r>
      <w:r>
        <w:rPr>
          <w:rFonts w:hint="eastAsia" w:ascii="宋体" w:hAnsi="宋体" w:eastAsia="宋体" w:cs="宋体"/>
          <w:color w:val="auto"/>
          <w:highlight w:val="none"/>
        </w:rPr>
        <w:t>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如澄清或者修改的内容影响投标文件编制的，应当在招标文件要求提交投标文件截止时间十五日前，并以书面形式通知所有招标文件收受人；不足15日的，采购代理机构应当顺延提交投标文件的截止时间；该澄清或者修改的内容为招标文件的组成部分。</w:t>
      </w:r>
    </w:p>
    <w:p w14:paraId="543B1A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2.采购代理机构必须以书面形式答复投标人要求澄清的问题，并将不包含问题来源的答复书面通知所有购买招标文件的投标人；除书面答复以外的其他澄清方式及澄清内容均无效。</w:t>
      </w:r>
    </w:p>
    <w:p w14:paraId="23FCB3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3.招标文件澄清、答复、修改、补充的内容为招标文件的组成部分。当招标文件与招标文件的答复、澄清、修改、补充通知就同一内容的表述不一致时，以最后发出的书面文件为准。</w:t>
      </w:r>
    </w:p>
    <w:p w14:paraId="285F9B3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4.招标文件的澄清、答复、修改或补充都应该通过本代理机构以法定形式发布，采购人非通过本机构，不得擅自澄清、答复、修改或补充招标文件。</w:t>
      </w:r>
    </w:p>
    <w:p w14:paraId="2CEC1D6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5.采购人可以视采购具体情况，延长投标截止时间和开标时间，并在财政部门指定的政府采购信息发布媒体上发布更正公告。</w:t>
      </w:r>
    </w:p>
    <w:p w14:paraId="77C019B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 采购人或者采购代理机构可以在招标文件提供期限截止后，组织已获取招标文件的潜在投标人现场考察或者召开开标前答疑会，具体详见“投标人须知前附表”。供应商考察现场或参加答疑会发生的费用自理，并自行负责在考察现场或参加答疑会中所发生的人员伤亡和财产损失。</w:t>
      </w:r>
    </w:p>
    <w:p w14:paraId="379429A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68" w:name="_Toc254970535"/>
      <w:bookmarkStart w:id="69" w:name="_Toc254970676"/>
      <w:r>
        <w:rPr>
          <w:rFonts w:hint="eastAsia" w:ascii="宋体" w:hAnsi="宋体" w:eastAsia="宋体" w:cs="宋体"/>
          <w:b/>
          <w:color w:val="auto"/>
          <w:sz w:val="28"/>
          <w:szCs w:val="28"/>
          <w:highlight w:val="none"/>
        </w:rPr>
        <w:t>三、投标文件的编制</w:t>
      </w:r>
      <w:bookmarkEnd w:id="68"/>
      <w:bookmarkEnd w:id="69"/>
    </w:p>
    <w:p w14:paraId="4B0F279C">
      <w:pPr>
        <w:keepNext w:val="0"/>
        <w:keepLines w:val="0"/>
        <w:pageBreakBefore w:val="0"/>
        <w:kinsoku/>
        <w:wordWrap/>
        <w:overflowPunct/>
        <w:topLinePunct w:val="0"/>
        <w:autoSpaceDE/>
        <w:autoSpaceDN/>
        <w:bidi w:val="0"/>
        <w:adjustRightInd/>
        <w:spacing w:beforeAutospacing="0" w:afterAutospacing="0" w:line="360" w:lineRule="exact"/>
        <w:ind w:left="0" w:leftChars="0" w:firstLine="482" w:firstLineChars="200"/>
        <w:textAlignment w:val="auto"/>
        <w:rPr>
          <w:rFonts w:hint="eastAsia" w:ascii="宋体" w:hAnsi="宋体" w:eastAsia="宋体" w:cs="宋体"/>
          <w:bCs/>
          <w:color w:val="auto"/>
          <w:szCs w:val="21"/>
          <w:highlight w:val="none"/>
        </w:rPr>
      </w:pPr>
      <w:bookmarkStart w:id="70" w:name="_Toc254970677"/>
      <w:bookmarkStart w:id="71" w:name="_Toc254970536"/>
      <w:r>
        <w:rPr>
          <w:rFonts w:hint="eastAsia" w:ascii="宋体" w:hAnsi="宋体" w:eastAsia="宋体" w:cs="宋体"/>
          <w:b/>
          <w:color w:val="auto"/>
          <w:sz w:val="24"/>
          <w:highlight w:val="none"/>
        </w:rPr>
        <w:t>（一）投标文件的组成</w:t>
      </w:r>
      <w:bookmarkEnd w:id="70"/>
      <w:bookmarkEnd w:id="71"/>
    </w:p>
    <w:p w14:paraId="20B7E7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投标文件由资格文件、</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商务技术文件组成。</w:t>
      </w:r>
      <w:r>
        <w:rPr>
          <w:rFonts w:hint="eastAsia" w:ascii="宋体" w:hAnsi="宋体" w:eastAsia="宋体" w:cs="宋体"/>
          <w:color w:val="auto"/>
          <w:szCs w:val="21"/>
          <w:highlight w:val="none"/>
          <w:lang w:val="en-US" w:eastAsia="zh-CN"/>
        </w:rPr>
        <w:t>具体要求</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w:t>
      </w:r>
    </w:p>
    <w:p w14:paraId="7B4AB79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2" w:name="_Toc254970537"/>
      <w:bookmarkStart w:id="73" w:name="_Toc254970678"/>
      <w:r>
        <w:rPr>
          <w:rFonts w:hint="eastAsia" w:ascii="宋体" w:hAnsi="宋体" w:eastAsia="宋体" w:cs="宋体"/>
          <w:b/>
          <w:color w:val="auto"/>
          <w:sz w:val="24"/>
          <w:highlight w:val="none"/>
        </w:rPr>
        <w:t>（二）投标文件的语言及计量</w:t>
      </w:r>
      <w:bookmarkEnd w:id="72"/>
      <w:bookmarkEnd w:id="73"/>
    </w:p>
    <w:p w14:paraId="53D7A53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18B858D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28745D7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4" w:name="_Toc254970538"/>
      <w:bookmarkStart w:id="75" w:name="_Toc254970679"/>
      <w:r>
        <w:rPr>
          <w:rFonts w:hint="eastAsia" w:ascii="宋体" w:hAnsi="宋体" w:eastAsia="宋体" w:cs="宋体"/>
          <w:b/>
          <w:color w:val="auto"/>
          <w:sz w:val="24"/>
          <w:highlight w:val="none"/>
        </w:rPr>
        <w:t>（三）投标报价</w:t>
      </w:r>
      <w:bookmarkEnd w:id="74"/>
      <w:bookmarkEnd w:id="75"/>
    </w:p>
    <w:p w14:paraId="0E97677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投标报价应按招标文件中相关附表格式填写</w:t>
      </w:r>
      <w:r>
        <w:rPr>
          <w:rFonts w:hint="eastAsia" w:ascii="宋体" w:hAnsi="宋体" w:eastAsia="宋体" w:cs="宋体"/>
          <w:color w:val="auto"/>
          <w:szCs w:val="21"/>
          <w:highlight w:val="none"/>
        </w:rPr>
        <w:t>。</w:t>
      </w:r>
    </w:p>
    <w:p w14:paraId="2A6FB5A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2．本项目投标应以</w:t>
      </w:r>
      <w:r>
        <w:rPr>
          <w:rFonts w:hint="eastAsia" w:ascii="宋体" w:hAnsi="宋体" w:eastAsia="宋体" w:cs="宋体"/>
          <w:color w:val="auto"/>
          <w:szCs w:val="21"/>
          <w:highlight w:val="none"/>
          <w:lang w:val="en-US" w:eastAsia="zh-CN"/>
        </w:rPr>
        <w:t>人民币</w:t>
      </w:r>
      <w:r>
        <w:rPr>
          <w:rFonts w:hint="eastAsia" w:ascii="宋体" w:hAnsi="宋体" w:eastAsia="宋体" w:cs="宋体"/>
          <w:color w:val="auto"/>
          <w:szCs w:val="21"/>
          <w:highlight w:val="none"/>
        </w:rPr>
        <w:t>报价；</w:t>
      </w:r>
    </w:p>
    <w:p w14:paraId="1CF9D55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投标报价是履行合同的最终价格，应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w:t>
      </w:r>
      <w:r>
        <w:rPr>
          <w:rFonts w:hint="eastAsia" w:ascii="宋体" w:hAnsi="宋体" w:eastAsia="宋体" w:cs="宋体"/>
          <w:color w:val="auto"/>
          <w:szCs w:val="21"/>
          <w:highlight w:val="none"/>
        </w:rPr>
        <w:t>。投标人自行考虑投标报价会出现的其他风险。</w:t>
      </w:r>
    </w:p>
    <w:p w14:paraId="623F648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3．投标文件只允许有一个报价，有选择的或有条件的报价将不予接受。</w:t>
      </w:r>
    </w:p>
    <w:p w14:paraId="6A96080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投标人可就《招标项目采购需求》中的某一个分标内容报出完整且唯一报价，也可就某几个或所有分标内容分别报出完整且唯一报价。</w:t>
      </w:r>
    </w:p>
    <w:p w14:paraId="216CA45A">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（四）投标文件的有效期</w:t>
      </w:r>
    </w:p>
    <w:p w14:paraId="2843DB33">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1.投标文件有效期：详见投标人须知前附表。有效期不足的投标文件将被拒绝。</w:t>
      </w:r>
    </w:p>
    <w:p w14:paraId="008F1755">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2.在特殊情况下，招标人可与投标人协商延长投标书的有效期，这种要求和答复均以书面形式进行。</w:t>
      </w:r>
    </w:p>
    <w:p w14:paraId="05CF91E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b/>
          <w:color w:val="auto"/>
          <w:szCs w:val="21"/>
          <w:highlight w:val="none"/>
        </w:rPr>
      </w:pPr>
      <w:bookmarkStart w:id="76" w:name="_Toc254970680"/>
      <w:bookmarkStart w:id="77" w:name="_Toc254970539"/>
      <w:r>
        <w:rPr>
          <w:rFonts w:hint="eastAsia" w:ascii="宋体" w:hAnsi="宋体" w:eastAsia="宋体" w:cs="宋体"/>
          <w:color w:val="auto"/>
          <w:szCs w:val="21"/>
          <w:highlight w:val="none"/>
        </w:rPr>
        <w:t>3.投标人可拒绝接受延期要求而不会导致投标保证金被没收。同意延长有效期的投标人需要相应延长投标保证金的有效期，但不能修改投标文件。</w:t>
      </w:r>
      <w:bookmarkEnd w:id="76"/>
      <w:bookmarkEnd w:id="77"/>
      <w:r>
        <w:rPr>
          <w:rFonts w:hint="eastAsia" w:ascii="宋体" w:hAnsi="宋体" w:eastAsia="宋体" w:cs="宋体"/>
          <w:b/>
          <w:color w:val="auto"/>
          <w:szCs w:val="21"/>
          <w:highlight w:val="none"/>
        </w:rPr>
        <w:t xml:space="preserve"> </w:t>
      </w:r>
    </w:p>
    <w:p w14:paraId="44B06FE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b/>
          <w:color w:val="auto"/>
          <w:szCs w:val="21"/>
          <w:highlight w:val="none"/>
        </w:rPr>
      </w:pPr>
      <w:bookmarkStart w:id="78" w:name="_Toc254970540"/>
      <w:bookmarkStart w:id="79" w:name="_Toc254970681"/>
      <w:r>
        <w:rPr>
          <w:rFonts w:hint="eastAsia" w:ascii="宋体" w:hAnsi="宋体" w:eastAsia="宋体" w:cs="宋体"/>
          <w:color w:val="auto"/>
          <w:szCs w:val="21"/>
          <w:highlight w:val="none"/>
        </w:rPr>
        <w:t>4.中标人的投标文件自开标之日起至合同履行完毕止均应保持有效。</w:t>
      </w:r>
      <w:bookmarkEnd w:id="78"/>
      <w:bookmarkEnd w:id="79"/>
    </w:p>
    <w:p w14:paraId="021634F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highlight w:val="none"/>
        </w:rPr>
      </w:pPr>
      <w:bookmarkStart w:id="80" w:name="_Toc254970541"/>
      <w:bookmarkStart w:id="81" w:name="_Toc254970682"/>
      <w:r>
        <w:rPr>
          <w:rFonts w:hint="eastAsia" w:ascii="宋体" w:hAnsi="宋体" w:eastAsia="宋体" w:cs="宋体"/>
          <w:b/>
          <w:color w:val="auto"/>
          <w:sz w:val="24"/>
          <w:highlight w:val="none"/>
        </w:rPr>
        <w:t>（五）投标保证金</w:t>
      </w:r>
      <w:bookmarkEnd w:id="80"/>
      <w:bookmarkEnd w:id="81"/>
    </w:p>
    <w:p w14:paraId="3AC66A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投标保证金金额：</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。投标保证金应在投标有效期内保持有效。</w:t>
      </w:r>
    </w:p>
    <w:p w14:paraId="4190633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投标人须按规定于投标截止前足额提交投标保证金，</w:t>
      </w:r>
      <w:r>
        <w:rPr>
          <w:rFonts w:hint="eastAsia" w:ascii="宋体" w:hAnsi="宋体" w:eastAsia="宋体" w:cs="宋体"/>
          <w:b/>
          <w:color w:val="auto"/>
          <w:kern w:val="0"/>
          <w:szCs w:val="21"/>
          <w:highlight w:val="none"/>
        </w:rPr>
        <w:t>否则，其投标将被拒绝。</w:t>
      </w:r>
    </w:p>
    <w:p w14:paraId="5E2F5D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投标保证金交纳形式：</w:t>
      </w:r>
      <w:r>
        <w:rPr>
          <w:rFonts w:hint="eastAsia" w:ascii="宋体" w:hAnsi="宋体" w:eastAsia="宋体" w:cs="宋体"/>
          <w:color w:val="auto"/>
          <w:highlight w:val="none"/>
        </w:rPr>
        <w:t>转账、电汇、网上银行、支票、汇票、本票或者银行、保险机构出具的保函，禁止采用现钞方式。</w:t>
      </w:r>
    </w:p>
    <w:p w14:paraId="58C55F3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采用转账、电汇、网上银行方式的，在投标截止时间前交至广西德元工程项目管理有限责任公司（收款单位名称），开户银行：柳州银行北站支行营业部，银行账号：707002011010900000108</w:t>
      </w:r>
      <w:r>
        <w:rPr>
          <w:rFonts w:hint="eastAsia" w:ascii="宋体" w:hAnsi="宋体" w:eastAsia="宋体" w:cs="宋体"/>
          <w:color w:val="auto"/>
          <w:kern w:val="0"/>
          <w:szCs w:val="21"/>
          <w:highlight w:val="none"/>
        </w:rPr>
        <w:t>。</w:t>
      </w:r>
    </w:p>
    <w:p w14:paraId="5ABB0917">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采用</w:t>
      </w:r>
      <w:r>
        <w:rPr>
          <w:rFonts w:hint="eastAsia" w:ascii="宋体" w:hAnsi="宋体" w:eastAsia="宋体" w:cs="宋体"/>
          <w:color w:val="auto"/>
          <w:highlight w:val="none"/>
        </w:rPr>
        <w:t>转账、电汇、网上银行方式的</w:t>
      </w:r>
      <w:r>
        <w:rPr>
          <w:rFonts w:hint="eastAsia" w:ascii="宋体" w:hAnsi="宋体" w:eastAsia="宋体" w:cs="宋体"/>
          <w:color w:val="auto"/>
          <w:kern w:val="0"/>
          <w:highlight w:val="none"/>
        </w:rPr>
        <w:t>，由投标人按上条中明确的全称、帐号、开户行，在保证金规定递交时间内转入（汇入）广西德元工程项目管理有限责任公司保证金专户上，</w:t>
      </w:r>
      <w:r>
        <w:rPr>
          <w:rFonts w:hint="eastAsia" w:ascii="宋体" w:hAnsi="宋体" w:eastAsia="宋体" w:cs="宋体"/>
          <w:color w:val="auto"/>
          <w:highlight w:val="none"/>
        </w:rPr>
        <w:t>并将银行转账底单的复印件作为投标保证金提交凭证，放置于投标文件中</w:t>
      </w:r>
      <w:r>
        <w:rPr>
          <w:rFonts w:hint="eastAsia" w:ascii="宋体" w:hAnsi="宋体" w:eastAsia="宋体" w:cs="宋体"/>
          <w:color w:val="auto"/>
          <w:kern w:val="0"/>
          <w:highlight w:val="none"/>
        </w:rPr>
        <w:t>，</w:t>
      </w:r>
      <w:r>
        <w:rPr>
          <w:rFonts w:hint="eastAsia" w:ascii="宋体" w:hAnsi="宋体" w:eastAsia="宋体" w:cs="宋体"/>
          <w:b/>
          <w:color w:val="auto"/>
          <w:kern w:val="0"/>
          <w:highlight w:val="none"/>
        </w:rPr>
        <w:t>否则其投标无效</w:t>
      </w:r>
      <w:r>
        <w:rPr>
          <w:rFonts w:hint="eastAsia" w:ascii="宋体" w:hAnsi="宋体" w:eastAsia="宋体" w:cs="宋体"/>
          <w:color w:val="auto"/>
          <w:kern w:val="0"/>
          <w:highlight w:val="none"/>
        </w:rPr>
        <w:t>。若广西德元工程项目管理有限责任公司保证金专户在保证金规定递交时间内没有收到投标人足额交纳的投标保证金，</w:t>
      </w:r>
      <w:r>
        <w:rPr>
          <w:rFonts w:hint="eastAsia" w:ascii="宋体" w:hAnsi="宋体" w:eastAsia="宋体" w:cs="宋体"/>
          <w:b/>
          <w:color w:val="auto"/>
          <w:kern w:val="0"/>
          <w:highlight w:val="none"/>
        </w:rPr>
        <w:t>其投标无效</w:t>
      </w:r>
      <w:r>
        <w:rPr>
          <w:rFonts w:hint="eastAsia" w:ascii="宋体" w:hAnsi="宋体" w:eastAsia="宋体" w:cs="宋体"/>
          <w:color w:val="auto"/>
          <w:kern w:val="0"/>
          <w:highlight w:val="none"/>
        </w:rPr>
        <w:t>；因此投标人在缴纳投标保证金时应充分考虑保证金到达本公司保证金专户上的时间，以免影响投标。办理投标保证金手续时，</w:t>
      </w:r>
      <w:r>
        <w:rPr>
          <w:rFonts w:hint="eastAsia" w:ascii="宋体" w:hAnsi="宋体" w:eastAsia="宋体" w:cs="宋体"/>
          <w:b/>
          <w:color w:val="auto"/>
          <w:kern w:val="0"/>
          <w:highlight w:val="none"/>
        </w:rPr>
        <w:t>请务必在银行进帐单的用途或空白栏上注明项目名称或项目编号，</w:t>
      </w:r>
      <w:r>
        <w:rPr>
          <w:rFonts w:hint="eastAsia" w:hAnsi="宋体" w:cs="宋体"/>
          <w:b/>
          <w:color w:val="auto"/>
          <w:kern w:val="0"/>
          <w:highlight w:val="none"/>
          <w:lang w:eastAsia="zh-CN"/>
        </w:rPr>
        <w:t>并注明分标号（如有分标时）</w:t>
      </w:r>
      <w:r>
        <w:rPr>
          <w:rFonts w:hint="eastAsia" w:ascii="宋体" w:hAnsi="宋体" w:eastAsia="宋体" w:cs="宋体"/>
          <w:b/>
          <w:color w:val="auto"/>
          <w:kern w:val="0"/>
          <w:highlight w:val="none"/>
        </w:rPr>
        <w:t>，如遇受字符限制的情况，项目名称可简写。</w:t>
      </w:r>
    </w:p>
    <w:p w14:paraId="1710A383">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采用支票、汇票、本票或银行、保险机构出具的保函交纳方式的，投标人应将支票、汇票、本票或银行、保险机构出具的保函的复印件作为投标保证金提交凭证，放置于投标文件中</w:t>
      </w:r>
      <w:r>
        <w:rPr>
          <w:rFonts w:hint="eastAsia" w:ascii="宋体" w:hAnsi="宋体" w:eastAsia="宋体" w:cs="宋体"/>
          <w:b/>
          <w:color w:val="auto"/>
          <w:kern w:val="0"/>
          <w:highlight w:val="none"/>
        </w:rPr>
        <w:t>，否则其投标无效</w:t>
      </w:r>
      <w:r>
        <w:rPr>
          <w:rFonts w:hint="eastAsia" w:ascii="宋体" w:hAnsi="宋体" w:eastAsia="宋体" w:cs="宋体"/>
          <w:color w:val="auto"/>
          <w:highlight w:val="none"/>
        </w:rPr>
        <w:t>。并于投标截止时间前，递交支票、汇票、本票或银行、保险机构出具的保函原件；原件递交的形式是在线下开标现场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保证金规定递交时间内没有收到上述原件的，</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；因此供应商递交上述原件时应充分考虑到达时间，以免影响</w:t>
      </w:r>
      <w:r>
        <w:rPr>
          <w:rFonts w:hint="eastAsia" w:hAnsi="宋体" w:cs="宋体"/>
          <w:color w:val="auto"/>
          <w:highlight w:val="none"/>
          <w:lang w:val="en-US" w:eastAsia="zh-CN"/>
        </w:rPr>
        <w:t>投标</w:t>
      </w:r>
      <w:r>
        <w:rPr>
          <w:rFonts w:hint="eastAsia" w:ascii="宋体" w:hAnsi="宋体" w:eastAsia="宋体" w:cs="宋体"/>
          <w:color w:val="auto"/>
          <w:highlight w:val="none"/>
        </w:rPr>
        <w:t>。</w:t>
      </w:r>
    </w:p>
    <w:p w14:paraId="594CF07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4. </w:t>
      </w:r>
      <w:r>
        <w:rPr>
          <w:rFonts w:hint="eastAsia" w:ascii="宋体" w:hAnsi="宋体" w:eastAsia="宋体" w:cs="宋体"/>
          <w:b/>
          <w:color w:val="auto"/>
          <w:spacing w:val="-2"/>
          <w:highlight w:val="none"/>
        </w:rPr>
        <w:t>投标截止时间后提交的，或未足额交纳的，或保函额度不足的，视为无效投标保证金</w:t>
      </w:r>
      <w:r>
        <w:rPr>
          <w:rFonts w:hint="eastAsia" w:ascii="宋体" w:hAnsi="宋体" w:eastAsia="宋体" w:cs="宋体"/>
          <w:b/>
          <w:color w:val="auto"/>
          <w:highlight w:val="none"/>
        </w:rPr>
        <w:t>。</w:t>
      </w:r>
    </w:p>
    <w:p w14:paraId="070A04E7">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5. </w:t>
      </w:r>
      <w:r>
        <w:rPr>
          <w:rFonts w:hint="eastAsia" w:ascii="宋体" w:hAnsi="宋体" w:eastAsia="宋体" w:cs="宋体"/>
          <w:b/>
          <w:color w:val="auto"/>
          <w:highlight w:val="none"/>
        </w:rPr>
        <w:t>投标人采用现钞方式或从个人账户（</w:t>
      </w:r>
      <w:r>
        <w:rPr>
          <w:rFonts w:hint="eastAsia" w:ascii="宋体" w:hAnsi="宋体" w:eastAsia="宋体" w:cs="宋体"/>
          <w:b/>
          <w:color w:val="auto"/>
          <w:kern w:val="0"/>
          <w:highlight w:val="none"/>
        </w:rPr>
        <w:t>个体工商户及自然人投标除外</w:t>
      </w:r>
      <w:r>
        <w:rPr>
          <w:rFonts w:hint="eastAsia" w:ascii="宋体" w:hAnsi="宋体" w:eastAsia="宋体" w:cs="宋体"/>
          <w:b/>
          <w:color w:val="auto"/>
          <w:highlight w:val="none"/>
        </w:rPr>
        <w:t>）转出的投标保证金，视为无效投标保证金。</w:t>
      </w:r>
    </w:p>
    <w:p w14:paraId="4977A5AE">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6. </w:t>
      </w:r>
      <w:r>
        <w:rPr>
          <w:rFonts w:hint="eastAsia" w:ascii="宋体" w:hAnsi="宋体" w:eastAsia="宋体" w:cs="宋体"/>
          <w:b/>
          <w:color w:val="auto"/>
          <w:highlight w:val="none"/>
        </w:rPr>
        <w:t>支票、汇票、本票出现背书情形，或者有条件支付的，或者支票、汇票、本票无效的，视为无效投标保证金。</w:t>
      </w:r>
    </w:p>
    <w:p w14:paraId="29F3847B">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7.</w:t>
      </w:r>
      <w:r>
        <w:rPr>
          <w:rFonts w:hint="eastAsia" w:ascii="宋体" w:hAnsi="宋体" w:eastAsia="宋体" w:cs="宋体"/>
          <w:b/>
          <w:color w:val="auto"/>
          <w:highlight w:val="none"/>
        </w:rPr>
        <w:t xml:space="preserve"> 保函有效期低于投标有效期的，视为无效投标保证金。</w:t>
      </w:r>
    </w:p>
    <w:p w14:paraId="213E0509">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b/>
          <w:color w:val="auto"/>
          <w:highlight w:val="none"/>
        </w:rPr>
      </w:pPr>
      <w:r>
        <w:rPr>
          <w:rFonts w:hint="eastAsia" w:ascii="宋体" w:hAnsi="宋体" w:eastAsia="宋体" w:cs="宋体"/>
          <w:color w:val="auto"/>
          <w:kern w:val="0"/>
          <w:highlight w:val="none"/>
        </w:rPr>
        <w:t>8.</w:t>
      </w:r>
      <w:r>
        <w:rPr>
          <w:rFonts w:hint="eastAsia" w:ascii="宋体" w:hAnsi="宋体" w:eastAsia="宋体" w:cs="宋体"/>
          <w:b/>
          <w:color w:val="auto"/>
          <w:highlight w:val="none"/>
        </w:rPr>
        <w:t xml:space="preserve"> 投标保证金采用金融机构、担保机构出具的保函为有条件保函的，视为无效投标保证金。</w:t>
      </w:r>
    </w:p>
    <w:p w14:paraId="4D0A4EF0">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9. 投标保</w:t>
      </w:r>
      <w:r>
        <w:rPr>
          <w:rFonts w:hint="eastAsia" w:ascii="宋体" w:hAnsi="宋体" w:eastAsia="宋体" w:cs="宋体"/>
          <w:color w:val="auto"/>
          <w:highlight w:val="none"/>
        </w:rPr>
        <w:t>证金的退还</w:t>
      </w:r>
    </w:p>
    <w:p w14:paraId="18CE9BF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（1）未中标人的投标保证金自中标通知书发出之日起4个工作日内退还，退还方式如下：</w:t>
      </w:r>
    </w:p>
    <w:p w14:paraId="08527D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①采用银行转账方式的，以转账方式退回到投标人银行账户。</w:t>
      </w:r>
    </w:p>
    <w:p w14:paraId="59A3E2E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②采用支票、汇票或本票方式的，以转账方式退回到投标人银行账户或由投标人代表持相关授权证明材料至采购人或采购代理机构办理支票、汇票或本票原件退还手续。</w:t>
      </w:r>
    </w:p>
    <w:p w14:paraId="174E74E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采用银行、保险机构出具的保函方式的，由投标人代表持相关授权证明材料在采购结果公告公布之日起四个工作日内至采购人或采购代理机构办理保函原件退还手续，投标人逾期领取所造成的后果由投标人自行承担。</w:t>
      </w:r>
    </w:p>
    <w:p w14:paraId="2CD03CC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（2）中标人应在合同签订之日起2个工作日内向采购代理机构提供</w:t>
      </w:r>
      <w:r>
        <w:rPr>
          <w:rFonts w:hint="eastAsia" w:ascii="宋体" w:hAnsi="宋体" w:eastAsia="宋体" w:cs="宋体"/>
          <w:color w:val="auto"/>
          <w:highlight w:val="none"/>
          <w:u w:val="single"/>
        </w:rPr>
        <w:t xml:space="preserve"> 壹 </w:t>
      </w:r>
      <w:r>
        <w:rPr>
          <w:rFonts w:hint="eastAsia" w:ascii="宋体" w:hAnsi="宋体" w:eastAsia="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中标人的投标保证金。对无法在上述要求期限内将合同送达采购代理机构的中标人，采购代理机构须凭中标人出具加盖公章的情况说明才能退还其投标保证金。投标保证金退还方式同未中标人的投标保证金的退还方式。</w:t>
      </w:r>
    </w:p>
    <w:p w14:paraId="06B50D9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（3）投标保证金不计息。</w:t>
      </w:r>
    </w:p>
    <w:p w14:paraId="3E0E156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 投标人有下列情形之一的，投标保证金将不予退还：</w:t>
      </w:r>
    </w:p>
    <w:p w14:paraId="1E93495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（1）投标人在投标有效期内撤回投标文件的；</w:t>
      </w:r>
    </w:p>
    <w:p w14:paraId="37C4411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（2）未按规定提交履约保证金的；</w:t>
      </w:r>
    </w:p>
    <w:p w14:paraId="6F77F88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（3）投标人在投标过程中弄虚作假，提供虚假材料的；</w:t>
      </w:r>
    </w:p>
    <w:p w14:paraId="2FE72D9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（4）中标人无正当理由不与采购人签订合同的；</w:t>
      </w:r>
    </w:p>
    <w:p w14:paraId="503D69B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（5）将中标项目转让给他人或者在投标文件中未说明且未经招标采购单位同意，将中标项目分包给他人的；</w:t>
      </w:r>
    </w:p>
    <w:p w14:paraId="1A35CA8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（6）拒绝履行合同义务的；</w:t>
      </w:r>
    </w:p>
    <w:p w14:paraId="1DA62FA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（7）其他严重扰乱招投标程序的；</w:t>
      </w:r>
    </w:p>
    <w:p w14:paraId="48A1453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82" w:name="_Toc254970683"/>
      <w:bookmarkStart w:id="83" w:name="_Toc254970542"/>
      <w:r>
        <w:rPr>
          <w:rFonts w:hint="eastAsia" w:ascii="宋体" w:hAnsi="宋体" w:eastAsia="宋体" w:cs="宋体"/>
          <w:b/>
          <w:color w:val="auto"/>
          <w:sz w:val="24"/>
          <w:highlight w:val="none"/>
        </w:rPr>
        <w:t>（六）投标文件的</w:t>
      </w:r>
      <w:bookmarkEnd w:id="82"/>
      <w:bookmarkEnd w:id="83"/>
      <w:r>
        <w:rPr>
          <w:rFonts w:hint="eastAsia" w:ascii="宋体" w:hAnsi="宋体" w:eastAsia="宋体" w:cs="宋体"/>
          <w:b/>
          <w:color w:val="auto"/>
          <w:sz w:val="24"/>
          <w:highlight w:val="none"/>
        </w:rPr>
        <w:t>编制</w:t>
      </w:r>
    </w:p>
    <w:p w14:paraId="1C713D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1.投标人应按本招标文件规定的格式和顺序编制、装订投标文件并标注页码，投标文件内容不完整、编排混乱导致投标文件被误读、漏读或者查找不到相关内容的，是投标人的责任。</w:t>
      </w:r>
    </w:p>
    <w:p w14:paraId="554FFF6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2.投标文件按照招标文件第六章格式要求在规定位置进行签署、盖章。投标人的投标文件未按照招标文件要求签署、盖章的，其投标无效。骑缝盖公章不视为在规定位置盖章。</w:t>
      </w:r>
    </w:p>
    <w:p w14:paraId="54655AE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3.为确保网上操作合法、有效和安全，投标人应当在投标截止时间前完成在广西政府采购云平台的身份认证，确保在电子投标过程中能够对相关数据电文进行加密和使用电子签名。</w:t>
      </w:r>
    </w:p>
    <w:p w14:paraId="48FC3F4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4.投标文件中标注的投标人名称应与主体资格证明（如营业执照、事业单位法人证书、执业许可证、自然人身份证等）及公章一致，</w:t>
      </w:r>
      <w:r>
        <w:rPr>
          <w:rFonts w:hint="eastAsia" w:ascii="宋体" w:hAnsi="宋体" w:eastAsia="宋体" w:cs="宋体"/>
          <w:b/>
          <w:color w:val="auto"/>
          <w:highlight w:val="none"/>
        </w:rPr>
        <w:t>否则作无效投标处理。</w:t>
      </w:r>
    </w:p>
    <w:p w14:paraId="4D28C5F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5.对招标文件的实质性要求和条件作出响应是指投标人必须对招标文件中标注为实质性要求和条件的技术服务需求、商务要求及其它内容作出满足或者优于原要求和条件的承诺。</w:t>
      </w:r>
    </w:p>
    <w:p w14:paraId="3EF5F59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6.本项目为全流程电子化项目，异常情况见“第三章 投标人须知正文”中“四、（三）开标程序。</w:t>
      </w:r>
    </w:p>
    <w:p w14:paraId="1FB58B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7.投标人参加多个分标投标的，应分别制作各分标的投标文件，并按照电子标分标格式要求提交对应分标的投标文件。本项目只接受电子版</w:t>
      </w:r>
      <w:r>
        <w:rPr>
          <w:rFonts w:hint="eastAsia" w:ascii="宋体" w:hAnsi="宋体" w:eastAsia="宋体" w:cs="宋体"/>
          <w:b/>
          <w:bCs/>
          <w:color w:val="auto"/>
          <w:highlight w:val="none"/>
          <w:lang w:eastAsia="zh-CN"/>
        </w:rPr>
        <w:t>投标文件</w:t>
      </w:r>
      <w:r>
        <w:rPr>
          <w:rFonts w:hint="eastAsia" w:ascii="宋体" w:hAnsi="宋体" w:eastAsia="宋体" w:cs="宋体"/>
          <w:b/>
          <w:bCs/>
          <w:color w:val="auto"/>
          <w:highlight w:val="none"/>
        </w:rPr>
        <w:t>。</w:t>
      </w:r>
    </w:p>
    <w:p w14:paraId="6C6F297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54" w:firstLineChars="147"/>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（七）投标文件的提交</w:t>
      </w:r>
    </w:p>
    <w:p w14:paraId="7E5EE00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w:t>
      </w:r>
    </w:p>
    <w:p w14:paraId="3062052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2.未在规定时间内提交或者未按照招标文件要求密封或者标记的电子投标文件，广西政府采购云平台将拒收。</w:t>
      </w:r>
    </w:p>
    <w:p w14:paraId="25B2F18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3.电子版投标文件提交方式见“招标公告”中“四、提交投标文件截止时间、开标时间和地点”。</w:t>
      </w:r>
    </w:p>
    <w:p w14:paraId="05CDE35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82"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（八）</w:t>
      </w:r>
      <w:r>
        <w:rPr>
          <w:rFonts w:hint="eastAsia" w:ascii="宋体" w:hAnsi="宋体" w:eastAsia="宋体" w:cs="宋体"/>
          <w:b/>
          <w:color w:val="auto"/>
          <w:kern w:val="0"/>
          <w:sz w:val="24"/>
          <w:highlight w:val="none"/>
        </w:rPr>
        <w:t>投标文件的补充、修改、撤回与退回</w:t>
      </w:r>
    </w:p>
    <w:p w14:paraId="6B674C8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AF84A4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2.广西政府采购云平台收到投标文件，将妥善保存并即时向供应商发出确认回执通知。在投标截止时间前，除供应商补充、修改或者撤回投标文件外，任何单位和个人不得解密或提取投标文件。</w:t>
      </w:r>
    </w:p>
    <w:p w14:paraId="55D3790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3.在投标截止时间止提交电子版投标文件的投标人不足3家时，电子版投标文件由代理机构在广西政府采购云平台操作退回，除此之外采购人和采购代理机构对已提交的投标文件概不退回。</w:t>
      </w:r>
    </w:p>
    <w:p w14:paraId="2F1F40E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textAlignment w:val="auto"/>
        <w:rPr>
          <w:rFonts w:hint="eastAsia" w:ascii="宋体" w:hAnsi="宋体" w:eastAsia="宋体" w:cs="宋体"/>
          <w:b/>
          <w:color w:val="auto"/>
          <w:sz w:val="24"/>
          <w:szCs w:val="20"/>
          <w:highlight w:val="none"/>
        </w:rPr>
      </w:pPr>
      <w:bookmarkStart w:id="84" w:name="_Toc254970543"/>
      <w:bookmarkStart w:id="85" w:name="_Toc254970684"/>
      <w:r>
        <w:rPr>
          <w:rFonts w:hint="eastAsia" w:ascii="宋体" w:hAnsi="宋体" w:eastAsia="宋体" w:cs="宋体"/>
          <w:b/>
          <w:color w:val="auto"/>
          <w:sz w:val="24"/>
          <w:highlight w:val="none"/>
        </w:rPr>
        <w:t>（九）投标无效的情形</w:t>
      </w:r>
      <w:bookmarkEnd w:id="84"/>
      <w:bookmarkEnd w:id="85"/>
    </w:p>
    <w:p w14:paraId="130A864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质上没有响应招标文件要求的投标将被视为无效投标。投标人不得通过修正或撤消不合要求的偏离或保留从而使其投标成为实质上响应的投标，修改或者补正投标文件必须以书面形式进行。限期内不补正或经补正后仍不符合招标文件要求的，应认定其投标无效。投标人修改、补正投标文件后，不影响评标委员会对其投标文件所作的评价和评分结果。</w:t>
      </w:r>
    </w:p>
    <w:p w14:paraId="6DB4E5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1、在资格审查时，如发现下列情形之一的，投标文件将被视为无效：</w:t>
      </w:r>
    </w:p>
    <w:p w14:paraId="4E96E5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（1）不具备招标文件中规定的资格要求的；（注：其中信用查询由采购人于资格审查时</w:t>
      </w:r>
      <w:r>
        <w:rPr>
          <w:rFonts w:hint="eastAsia" w:ascii="宋体" w:hAnsi="宋体" w:eastAsia="宋体" w:cs="宋体"/>
          <w:color w:val="auto"/>
          <w:szCs w:val="21"/>
          <w:highlight w:val="none"/>
        </w:rPr>
        <w:t>在“信用中国”网站和“中国政府采购网”</w:t>
      </w:r>
      <w:r>
        <w:rPr>
          <w:rFonts w:hint="eastAsia" w:ascii="宋体" w:hAnsi="宋体" w:eastAsia="宋体" w:cs="宋体"/>
          <w:bCs/>
          <w:color w:val="auto"/>
          <w:szCs w:val="21"/>
          <w:highlight w:val="none"/>
        </w:rPr>
        <w:t>对投标人进行信用查询，联合体成员存在不良信用记录的视同联合体存在不良信用记录。）</w:t>
      </w:r>
    </w:p>
    <w:p w14:paraId="3B867FC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（2）未提供招标文件中“（一）投标文件的组成1.资格文件”要求必须提供的资料的；</w:t>
      </w:r>
    </w:p>
    <w:p w14:paraId="0E531A2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（3）法律、法规和招标文件规定的其他无效情形。</w:t>
      </w:r>
    </w:p>
    <w:p w14:paraId="267D926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bCs/>
          <w:color w:val="auto"/>
          <w:szCs w:val="21"/>
          <w:highlight w:val="none"/>
        </w:rPr>
      </w:pPr>
      <w:bookmarkStart w:id="86" w:name="_Toc254970544"/>
      <w:bookmarkStart w:id="87" w:name="_Toc254970685"/>
      <w:r>
        <w:rPr>
          <w:rFonts w:hint="eastAsia" w:ascii="宋体" w:hAnsi="宋体" w:eastAsia="宋体" w:cs="宋体"/>
          <w:b/>
          <w:bCs/>
          <w:color w:val="auto"/>
          <w:szCs w:val="21"/>
          <w:highlight w:val="none"/>
        </w:rPr>
        <w:t>2、在符合性审查时，如发现下列情形之一的，投标文件将被视为无效：</w:t>
      </w:r>
    </w:p>
    <w:p w14:paraId="47D947FD">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（1）未按照招标文件的规定提交投标保证金的；</w:t>
      </w:r>
    </w:p>
    <w:p w14:paraId="6053ECE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（2）投标文件未按招标文件要求签署、盖章的；</w:t>
      </w:r>
    </w:p>
    <w:p w14:paraId="7470A0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rPr>
        <w:t>投标代表人未能出具身份证明或与法定代表人授权委托人身份不符的；</w:t>
      </w:r>
    </w:p>
    <w:p w14:paraId="0ABD10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（4）投标文件的实质性内容未使用中文表述、意思表述不明确、前后矛盾或者使用计量单位不符合招标文件要求的（经评标委员会认定并允许其当场更正的笔误除外）；</w:t>
      </w:r>
    </w:p>
    <w:p w14:paraId="7391F3E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75860980">
      <w:pPr>
        <w:snapToGrid w:val="0"/>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投标有效期、交货时间、质保期等商务条款不能满足招标文件要求的；</w:t>
      </w:r>
    </w:p>
    <w:p w14:paraId="12EB937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）未提供招标文件中“（一）投标文件的组成3.商务技术文件3.1商务部分”要求必须提供的资料的；</w:t>
      </w:r>
    </w:p>
    <w:p w14:paraId="19C4900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1590543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eastAsia="宋体" w:cs="宋体"/>
          <w:bCs/>
          <w:color w:val="auto"/>
          <w:szCs w:val="21"/>
          <w:highlight w:val="none"/>
        </w:rPr>
        <w:t>）未提供招标文件中“（一）投标文件的组成3.商务技术文件3.2技术部分”要求必须提供的资料的；</w:t>
      </w:r>
    </w:p>
    <w:p w14:paraId="3B80C6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0BDEB89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与招标文件中标注“▲”的技术参数及其性能（配置）发生负偏离的</w:t>
      </w:r>
      <w:r>
        <w:rPr>
          <w:rFonts w:hint="eastAsia" w:ascii="宋体" w:hAnsi="宋体" w:eastAsia="宋体" w:cs="宋体"/>
          <w:color w:val="auto"/>
          <w:highlight w:val="none"/>
        </w:rPr>
        <w:t>；</w:t>
      </w:r>
    </w:p>
    <w:p w14:paraId="630E12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）投标技术方案不明确，存在一个或一个以上备选（替代）投标方案的；</w:t>
      </w:r>
    </w:p>
    <w:p w14:paraId="13ECA71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未提供招标文件中“（一）投标文件的组成2.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4701A61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）报价超过招标文件中规定的预算金额或者最高限价的；</w:t>
      </w:r>
    </w:p>
    <w:p w14:paraId="2219A88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6D3F433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7EC26AC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w:t>
      </w:r>
      <w:r>
        <w:rPr>
          <w:rFonts w:hint="eastAsia" w:ascii="宋体" w:hAnsi="宋体" w:eastAsia="宋体" w:cs="宋体"/>
          <w:bCs/>
          <w:color w:val="auto"/>
          <w:highlight w:val="none"/>
        </w:rPr>
        <w:t>修正后的报价，投标人不确认的；</w:t>
      </w:r>
    </w:p>
    <w:p w14:paraId="47B46B7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）属于投标人须知正文（八）特别说明第6点情形的；</w:t>
      </w:r>
    </w:p>
    <w:p w14:paraId="226E4F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）法律、法规和招标文件规定的其他无效情形。</w:t>
      </w:r>
    </w:p>
    <w:p w14:paraId="43FE699D">
      <w:pPr>
        <w:pStyle w:val="22"/>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3、被拒绝的投标文件为无效；</w:t>
      </w:r>
    </w:p>
    <w:p w14:paraId="32B49E42">
      <w:pPr>
        <w:pStyle w:val="22"/>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firstLine="551" w:firstLineChars="196"/>
        <w:textAlignment w:val="auto"/>
        <w:rPr>
          <w:rFonts w:hint="eastAsia" w:ascii="宋体" w:hAnsi="宋体" w:eastAsia="宋体" w:cs="宋体"/>
          <w:b/>
          <w:snapToGrid w:val="0"/>
          <w:color w:val="auto"/>
          <w:sz w:val="28"/>
          <w:szCs w:val="28"/>
          <w:highlight w:val="none"/>
        </w:rPr>
      </w:pPr>
      <w:r>
        <w:rPr>
          <w:rFonts w:hint="eastAsia" w:ascii="宋体" w:hAnsi="宋体" w:eastAsia="宋体" w:cs="宋体"/>
          <w:b/>
          <w:color w:val="auto"/>
          <w:sz w:val="28"/>
          <w:szCs w:val="28"/>
          <w:highlight w:val="none"/>
        </w:rPr>
        <w:t>四、开标</w:t>
      </w:r>
      <w:bookmarkEnd w:id="86"/>
      <w:bookmarkEnd w:id="87"/>
    </w:p>
    <w:p w14:paraId="4F41DF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（一）开标时间和地点</w:t>
      </w:r>
    </w:p>
    <w:p w14:paraId="0A5E563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1.开标时间及地点详见“投标人须知前附表”</w:t>
      </w:r>
    </w:p>
    <w:p w14:paraId="7AA1FD1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2.如投标人成功解密投标文件，但未在“广西政府采购云平台”电子开标大厅参加开标的，视同认可开标过程和结果，由此产生的后果由投标人自行负责。投标人不足3家的，不得开标。</w:t>
      </w:r>
    </w:p>
    <w:p w14:paraId="53134B7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（二）开标准备</w:t>
      </w:r>
    </w:p>
    <w:p w14:paraId="5FFB294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530E15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 开标程序：</w:t>
      </w:r>
    </w:p>
    <w:p w14:paraId="3B36070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解密电子投标文件。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须携带加密时所用的CA锁准时登录到广西政府采购云平台电子开标大厅签到并对电子投标文件解密。开标后5分钟投标人还未进行解密的，代理机构通知投标人。通知后，投标文件仍未按时解密，或者投标人没预留联系方式或预留联系方式无效，</w:t>
      </w:r>
      <w:r>
        <w:rPr>
          <w:rFonts w:hint="eastAsia" w:ascii="宋体" w:hAnsi="宋体" w:eastAsia="宋体" w:cs="宋体"/>
          <w:color w:val="auto"/>
          <w:szCs w:val="24"/>
          <w:highlight w:val="none"/>
        </w:rPr>
        <w:t>非代理机构原因导致代理机构无法联系到供应商进行解密的</w:t>
      </w:r>
      <w:r>
        <w:rPr>
          <w:rFonts w:hint="eastAsia" w:ascii="宋体" w:hAnsi="宋体" w:eastAsia="宋体" w:cs="宋体"/>
          <w:bCs/>
          <w:color w:val="auto"/>
          <w:highlight w:val="none"/>
        </w:rPr>
        <w:t>，均视为无效投标。</w:t>
      </w:r>
    </w:p>
    <w:p w14:paraId="2341A03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（解密异常情况处理：详见本章第五点（九）电子交易活动的中止。）</w:t>
      </w:r>
    </w:p>
    <w:p w14:paraId="728AB39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（2）电子唱标。投标文件解密结束，各投标人报价均在广西政府采购云平台远程不见面开标大厅展示；</w:t>
      </w:r>
    </w:p>
    <w:p w14:paraId="33DB2B1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（3）签署电子《政府采购活动现场确认声明书》。通过邮件形式在远程不见面开标大厅发送各投标人签署电子《政府采购活动现场确认声明书》。</w:t>
      </w:r>
    </w:p>
    <w:p w14:paraId="4258C24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7DC107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146755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（6）开标结束。</w:t>
      </w:r>
    </w:p>
    <w:p w14:paraId="7E47EF4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特别说明：如遇广西政府采购云平台电子化开标或评审程序调整的，按调整后执行。</w:t>
      </w:r>
    </w:p>
    <w:p w14:paraId="713708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81" w:leftChars="0" w:hanging="281" w:hangingChars="100"/>
        <w:textAlignment w:val="auto"/>
        <w:rPr>
          <w:rFonts w:hint="eastAsia" w:ascii="宋体" w:hAnsi="宋体" w:eastAsia="宋体" w:cs="宋体"/>
          <w:b/>
          <w:color w:val="auto"/>
          <w:sz w:val="28"/>
          <w:szCs w:val="28"/>
          <w:highlight w:val="none"/>
        </w:rPr>
      </w:pPr>
      <w:bookmarkStart w:id="88" w:name="_Toc254970686"/>
      <w:bookmarkStart w:id="89" w:name="_Toc254970545"/>
      <w:r>
        <w:rPr>
          <w:rFonts w:hint="eastAsia" w:ascii="宋体" w:hAnsi="宋体" w:eastAsia="宋体" w:cs="宋体"/>
          <w:b/>
          <w:color w:val="auto"/>
          <w:sz w:val="28"/>
          <w:szCs w:val="28"/>
          <w:highlight w:val="none"/>
        </w:rPr>
        <w:t>五、评标</w:t>
      </w:r>
      <w:bookmarkEnd w:id="88"/>
      <w:bookmarkEnd w:id="89"/>
    </w:p>
    <w:p w14:paraId="4F921D4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（一）组建评标委员会</w:t>
      </w:r>
    </w:p>
    <w:p w14:paraId="410320E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本项目评标委员会由政府采购评审专家</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人和采购人代表</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人，共</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人组成。</w:t>
      </w:r>
    </w:p>
    <w:p w14:paraId="1850DFF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（二）评标的方式</w:t>
      </w:r>
    </w:p>
    <w:p w14:paraId="660658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本项目采用不公开方式评标，评标的依据为招标文件和投标文件。</w:t>
      </w:r>
    </w:p>
    <w:p w14:paraId="1A5B439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bCs/>
          <w:color w:val="auto"/>
          <w:highlight w:val="none"/>
        </w:rPr>
        <w:t>评标程序</w:t>
      </w:r>
    </w:p>
    <w:p w14:paraId="0529AE1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17" w:firstLineChars="245"/>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1.资格审查</w:t>
      </w:r>
    </w:p>
    <w:p w14:paraId="1F9B3E7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采购人依法通过电子投标文件对投标人的资格进行线上审查</w:t>
      </w:r>
      <w:r>
        <w:rPr>
          <w:rFonts w:hint="eastAsia" w:ascii="宋体" w:hAnsi="宋体" w:eastAsia="宋体" w:cs="宋体"/>
          <w:color w:val="auto"/>
          <w:szCs w:val="21"/>
          <w:highlight w:val="none"/>
        </w:rPr>
        <w:t>。合格投标人不足3家的，不得评标。</w:t>
      </w:r>
    </w:p>
    <w:p w14:paraId="7B8616F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523" w:firstLineChars="248"/>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2.实质审查与比较</w:t>
      </w:r>
    </w:p>
    <w:p w14:paraId="01D022F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（1）评标委员会审查投标文件的实质性内容是否符合招标文件的实质性要求。</w:t>
      </w:r>
    </w:p>
    <w:p w14:paraId="1E55632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（2）评标委员会将根据投标人的投标文件进行审查、核对，如有疑问，</w:t>
      </w:r>
      <w:r>
        <w:rPr>
          <w:rFonts w:hint="eastAsia" w:ascii="宋体" w:hAnsi="宋体" w:eastAsia="宋体" w:cs="宋体"/>
          <w:color w:val="auto"/>
          <w:highlight w:val="none"/>
        </w:rPr>
        <w:t>评标委员会将通过广西政府采购云平台，以询标函的方式要求投标人在线对相关问题进行澄清或者说明。</w:t>
      </w:r>
    </w:p>
    <w:p w14:paraId="4113E0E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（3）评标委员会按照招标文件中规定的评标方法和标准，对符合性审查合格的投标文件进行商务、技术和报价评估，综合比较与评价。</w:t>
      </w:r>
    </w:p>
    <w:p w14:paraId="12437A4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评标委员会独立对每个投标人的投标文件进行评价，并汇总每个投标人的得分。对畸高、畸低的重大差异评分提示评标委员会复核或书面说明理由。</w:t>
      </w:r>
    </w:p>
    <w:p w14:paraId="055E22B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（5）评标委员会按照招标文件中规定的评标方法和标准计算各投标人的报价得分。在计算过程中，不得去掉最高报价或者最低报价。</w:t>
      </w:r>
    </w:p>
    <w:p w14:paraId="27C6A6C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（6）各投标人的得分为所有评委的有效评分的算术平均数。</w:t>
      </w:r>
    </w:p>
    <w:p w14:paraId="50CAF9D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（7）评标委员会按评标原则推荐中标候选人同时起草评标报告。</w:t>
      </w:r>
    </w:p>
    <w:p w14:paraId="7010A54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3.起草并签署评标报告。</w:t>
      </w:r>
      <w:r>
        <w:rPr>
          <w:rFonts w:hint="eastAsia" w:ascii="宋体" w:hAnsi="宋体" w:eastAsia="宋体" w:cs="宋体"/>
          <w:color w:val="auto"/>
          <w:highlight w:val="none"/>
        </w:rPr>
        <w:t>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087EB4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（四）澄清问题的形式</w:t>
      </w:r>
    </w:p>
    <w:p w14:paraId="0004CD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C21A2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66CDB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（五）错误修正</w:t>
      </w:r>
    </w:p>
    <w:p w14:paraId="0922CD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0" w:leftChars="0" w:hanging="21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投标文件如果出现计算上的错误，修正错误的原则如下：</w:t>
      </w:r>
    </w:p>
    <w:p w14:paraId="0845118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1.投标文件中开标一览表内容与投标文件中相应内容不一致的，以开标一览表为准；</w:t>
      </w:r>
    </w:p>
    <w:p w14:paraId="6499A5E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9A6AB6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3.单价金额小数点或者百分比有明显错位的，以开标一览表的总价为准，并修改单价；</w:t>
      </w:r>
    </w:p>
    <w:p w14:paraId="3795CBD1">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53A9D11">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color w:val="auto"/>
          <w:highlight w:val="none"/>
        </w:rPr>
        <w:t>同时出现两种以上不一致的，按照前款规定的顺序修正。</w:t>
      </w:r>
      <w:r>
        <w:rPr>
          <w:rFonts w:hint="eastAsia" w:ascii="宋体" w:hAnsi="宋体" w:eastAsia="宋体" w:cs="宋体"/>
          <w:b/>
          <w:bCs/>
          <w:color w:val="auto"/>
          <w:highlight w:val="none"/>
        </w:rPr>
        <w:t>评标委员会通过广西政府采购云平台发起询标函，投标人在规定时间内通过广西政府采购云平台确认，投标人的确认应当加盖CA电子签章。</w:t>
      </w:r>
      <w:r>
        <w:rPr>
          <w:rFonts w:hint="eastAsia" w:ascii="宋体" w:hAnsi="宋体" w:eastAsia="宋体" w:cs="宋体"/>
          <w:b/>
          <w:color w:val="auto"/>
          <w:highlight w:val="none"/>
        </w:rPr>
        <w:t>修正后的报价经投标人确认并加盖</w:t>
      </w:r>
      <w:r>
        <w:rPr>
          <w:rFonts w:hint="eastAsia" w:ascii="宋体" w:hAnsi="宋体" w:eastAsia="宋体" w:cs="宋体"/>
          <w:b/>
          <w:bCs/>
          <w:color w:val="auto"/>
          <w:highlight w:val="none"/>
        </w:rPr>
        <w:t>CA电子签章</w:t>
      </w:r>
      <w:r>
        <w:rPr>
          <w:rFonts w:hint="eastAsia" w:ascii="宋体" w:hAnsi="宋体" w:eastAsia="宋体" w:cs="宋体"/>
          <w:b/>
          <w:color w:val="auto"/>
          <w:highlight w:val="none"/>
        </w:rPr>
        <w:t>后产生约束力，投标人不确认的，其投标无效。</w:t>
      </w:r>
    </w:p>
    <w:p w14:paraId="23948B3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（六）评委表决</w:t>
      </w:r>
    </w:p>
    <w:p w14:paraId="72FE817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0" w:leftChars="0" w:hanging="21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在评标过程中出现法律法规和招标文件均没有明确规定的情形时，由评标委员会现场协商解决，协</w:t>
      </w:r>
    </w:p>
    <w:p w14:paraId="78D901F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688" w:leftChars="0" w:hanging="688" w:hangingChars="328"/>
        <w:textAlignment w:val="auto"/>
        <w:rPr>
          <w:rFonts w:hint="eastAsia" w:ascii="宋体" w:hAnsi="宋体" w:eastAsia="宋体" w:cs="宋体"/>
          <w:color w:val="auto"/>
          <w:highlight w:val="none"/>
        </w:rPr>
      </w:pPr>
      <w:r>
        <w:rPr>
          <w:rFonts w:hint="eastAsia" w:ascii="宋体" w:hAnsi="宋体" w:eastAsia="宋体" w:cs="宋体"/>
          <w:color w:val="auto"/>
          <w:highlight w:val="none"/>
        </w:rPr>
        <w:t>商不一致的，由全体评委投票表决，以得票率二分之一以上专家的意见为准。</w:t>
      </w:r>
    </w:p>
    <w:p w14:paraId="4DE3B692">
      <w:pPr>
        <w:pStyle w:val="27"/>
        <w:keepNext w:val="0"/>
        <w:keepLines w:val="0"/>
        <w:pageBreakBefore w:val="0"/>
        <w:tabs>
          <w:tab w:val="left" w:pos="630"/>
        </w:tabs>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（七）评标原则和评标办法</w:t>
      </w:r>
    </w:p>
    <w:p w14:paraId="784C8C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r>
        <w:rPr>
          <w:rFonts w:hint="eastAsia" w:ascii="宋体" w:hAnsi="宋体" w:eastAsia="宋体" w:cs="宋体"/>
          <w:color w:val="auto"/>
          <w:kern w:val="0"/>
          <w:highlight w:val="none"/>
        </w:rPr>
        <w:t>不得收受利害关系人的财物或者其他好处</w:t>
      </w:r>
      <w:r>
        <w:rPr>
          <w:rFonts w:hint="eastAsia" w:ascii="宋体" w:hAnsi="宋体" w:eastAsia="宋体" w:cs="宋体"/>
          <w:color w:val="auto"/>
          <w:highlight w:val="none"/>
        </w:rPr>
        <w:t>。</w:t>
      </w:r>
    </w:p>
    <w:p w14:paraId="0670C0E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2.评标办法。本项目评标办法是</w:t>
      </w:r>
      <w:r>
        <w:rPr>
          <w:rFonts w:hint="eastAsia" w:ascii="宋体" w:hAnsi="宋体" w:eastAsia="宋体" w:cs="宋体"/>
          <w:b/>
          <w:bCs/>
          <w:color w:val="auto"/>
          <w:highlight w:val="none"/>
          <w:u w:val="single"/>
        </w:rPr>
        <w:t>综合评分法</w:t>
      </w:r>
      <w:r>
        <w:rPr>
          <w:rFonts w:hint="eastAsia" w:ascii="宋体" w:hAnsi="宋体" w:eastAsia="宋体" w:cs="宋体"/>
          <w:color w:val="auto"/>
          <w:highlight w:val="none"/>
        </w:rPr>
        <w:t>，具体评标内容及评分标准等详见《第四章：评标办法及评分标准》。</w:t>
      </w:r>
    </w:p>
    <w:p w14:paraId="23E876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 评标的保密。采购人、采购代理机构应当采取必要措施，保证评标在严格保密（封闭式评标）的情况下进行。除采购人代表、评标现场组织人员外，采购人的其他工作人员以及与评标工作无关的人员不</w:t>
      </w:r>
      <w:r>
        <w:rPr>
          <w:rFonts w:hint="eastAsia" w:ascii="宋体" w:hAnsi="宋体" w:eastAsia="宋体" w:cs="宋体"/>
          <w:color w:val="auto"/>
          <w:kern w:val="0"/>
          <w:highlight w:val="none"/>
        </w:rPr>
        <w:t>得进入评标现场。有关人员对评标情况以及在评标过程中获悉的国家秘密、商业秘密负有保密责任。</w:t>
      </w:r>
    </w:p>
    <w:p w14:paraId="662463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（八）评标过程的监控</w:t>
      </w:r>
    </w:p>
    <w:p w14:paraId="72CA6B8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本项目电子评标过程实行网上留痕、全程录音、录像监控，投标人在评标过程中所进行的试图影响评标结果的不公正活动，可能导致其投标按无效处理。</w:t>
      </w:r>
    </w:p>
    <w:p w14:paraId="72F4DB8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（九）电子交易活动的中止</w:t>
      </w:r>
    </w:p>
    <w:p w14:paraId="5367BD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1.采购过程中出现以下情形，导致电子交易平台无法正常运行，或者无法保证电子交易的公平、公正和安全时，采购机构可中止电子交易活动：</w:t>
      </w:r>
    </w:p>
    <w:p w14:paraId="4DEA529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617D992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08711B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30FB3C3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190BB7A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4FACF56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D99316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bookmarkStart w:id="90" w:name="_Toc254970546"/>
      <w:bookmarkStart w:id="91" w:name="_Toc254970687"/>
      <w:r>
        <w:rPr>
          <w:rFonts w:hint="eastAsia" w:ascii="宋体" w:hAnsi="宋体" w:eastAsia="宋体" w:cs="宋体"/>
          <w:b/>
          <w:color w:val="auto"/>
          <w:highlight w:val="none"/>
        </w:rPr>
        <w:t>六、</w:t>
      </w:r>
      <w:bookmarkEnd w:id="90"/>
      <w:bookmarkEnd w:id="91"/>
      <w:r>
        <w:rPr>
          <w:rFonts w:hint="eastAsia" w:ascii="宋体" w:hAnsi="宋体" w:eastAsia="宋体" w:cs="宋体"/>
          <w:b/>
          <w:color w:val="auto"/>
          <w:highlight w:val="none"/>
        </w:rPr>
        <w:t>评标结果</w:t>
      </w:r>
    </w:p>
    <w:p w14:paraId="297E7F6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（一）采购代理机构在评标结束后二个工作日内将评标报告送采购人，采购人在五个工作日内按照评标报告中推荐的中标候选供应商顺序确定中标供应商。采购人也可以事先授权评标委员会直接确定中标供应商。</w:t>
      </w:r>
    </w:p>
    <w:p w14:paraId="2F9AC5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（二）中标供应商确定后二个工作日内，采购代理机构或采购人</w:t>
      </w:r>
      <w:r>
        <w:rPr>
          <w:rFonts w:hint="eastAsia" w:ascii="宋体" w:hAnsi="宋体" w:eastAsia="宋体" w:cs="宋体"/>
          <w:color w:val="auto"/>
          <w:kern w:val="0"/>
          <w:highlight w:val="none"/>
        </w:rPr>
        <w:t>应当对中标人信用进行核实</w:t>
      </w:r>
      <w:r>
        <w:rPr>
          <w:rFonts w:hint="eastAsia" w:ascii="宋体" w:hAnsi="宋体" w:eastAsia="宋体" w:cs="宋体"/>
          <w:color w:val="auto"/>
          <w:highlight w:val="none"/>
        </w:rPr>
        <w:t>，如其未被列入失信被执行人、重大税收违法案件当事人名单、政府采购严重违法失信行为记录名单，则采购代理机构在中国政府采购网、广西政府采购网、柳州市政府采购网发布中标公告；如其被列入失信被执行人、重大税收违法案件当事人名单、政府采购严重违法失信行为记录名单，则取消其中标资格，</w:t>
      </w:r>
      <w:r>
        <w:rPr>
          <w:rFonts w:hint="eastAsia" w:ascii="宋体" w:hAnsi="宋体" w:eastAsia="宋体" w:cs="宋体"/>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ascii="宋体" w:hAnsi="宋体" w:eastAsia="宋体" w:cs="宋体"/>
          <w:color w:val="auto"/>
          <w:highlight w:val="none"/>
        </w:rPr>
        <w:t>及相关证据与采购文件一并保存。</w:t>
      </w:r>
    </w:p>
    <w:p w14:paraId="2BD63A4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（三）在发布中标公告的同时，</w:t>
      </w:r>
      <w:r>
        <w:rPr>
          <w:rFonts w:hint="eastAsia" w:ascii="宋体" w:hAnsi="宋体" w:eastAsia="宋体" w:cs="宋体"/>
          <w:color w:val="auto"/>
          <w:kern w:val="0"/>
          <w:highlight w:val="none"/>
        </w:rPr>
        <w:t>采购代理机构向中标人通过广西政府采购云平台发出电子中标通知书</w:t>
      </w:r>
      <w:r>
        <w:rPr>
          <w:rFonts w:hint="eastAsia" w:ascii="宋体" w:hAnsi="宋体" w:eastAsia="宋体" w:cs="宋体"/>
          <w:color w:val="auto"/>
          <w:highlight w:val="none"/>
        </w:rPr>
        <w:t>。</w:t>
      </w:r>
    </w:p>
    <w:p w14:paraId="058F20A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（四）对未通过资格审查的投标人，采购人或采购机构应当告知其未通过的原因；采用综合评分办法评审的，采购人或采购机构还应当告知未中标人本人的评审得分与排序。</w:t>
      </w:r>
    </w:p>
    <w:p w14:paraId="1F8A0B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（五）投标人认为招标文件、招标工程和中标结果使自己的权益受到损害的，可以在知道或者应知其权益受到损害之日起七个工作日内，以书面形式向采购代理机构提出质疑，并及时索要书面回执。</w:t>
      </w:r>
    </w:p>
    <w:p w14:paraId="42CAD6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（六）采购代理机构应当按照有关规定就采购人委托范围内的事项在收到投标人的书面质疑后七个工作日内做出答复，但答复的内容不得涉及商业秘密。</w:t>
      </w:r>
    </w:p>
    <w:p w14:paraId="32EFE95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bookmarkStart w:id="92" w:name="_Toc254970547"/>
      <w:bookmarkStart w:id="93" w:name="_Toc254970688"/>
      <w:r>
        <w:rPr>
          <w:rFonts w:hint="eastAsia" w:ascii="宋体" w:hAnsi="宋体" w:eastAsia="宋体" w:cs="宋体"/>
          <w:b/>
          <w:color w:val="auto"/>
          <w:highlight w:val="none"/>
        </w:rPr>
        <w:t>七、</w:t>
      </w:r>
      <w:bookmarkEnd w:id="92"/>
      <w:bookmarkEnd w:id="93"/>
      <w:r>
        <w:rPr>
          <w:rFonts w:hint="eastAsia" w:ascii="宋体" w:hAnsi="宋体" w:eastAsia="宋体" w:cs="宋体"/>
          <w:b/>
          <w:color w:val="auto"/>
          <w:highlight w:val="none"/>
        </w:rPr>
        <w:t>签订合同</w:t>
      </w:r>
    </w:p>
    <w:p w14:paraId="47B609A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（一）合同授予标准</w:t>
      </w:r>
    </w:p>
    <w:p w14:paraId="08AE691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合同将授予被确定实质上响应招标文件要求，具备履行合同能力，综合评分排名第一的投标人。</w:t>
      </w:r>
    </w:p>
    <w:p w14:paraId="68A244D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（二）签订合同、合同存档及合同公告</w:t>
      </w:r>
    </w:p>
    <w:p w14:paraId="0C4FAC2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（1）投标人领取电子中标通知书后，应按中标通知书规定的时间、地点与采购人签订电子采购合同。</w:t>
      </w:r>
      <w:r>
        <w:rPr>
          <w:rFonts w:hint="eastAsia" w:ascii="宋体" w:hAnsi="宋体" w:eastAsia="宋体" w:cs="宋体"/>
          <w:color w:val="auto"/>
          <w:kern w:val="0"/>
          <w:highlight w:val="none"/>
        </w:rPr>
        <w:t>电子采购合同需要供应商通过有效CA证书进行电子签名与签章。</w:t>
      </w:r>
    </w:p>
    <w:p w14:paraId="6E64BF1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（2）如中标供应商不按中标通知书的规定签订合同，则按中标供应商违约处理，采购代理机构将没收中标供应商投标的全部投标保证金并上缴同级财政国库。</w:t>
      </w:r>
    </w:p>
    <w:p w14:paraId="0C2788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（3）中标供应商因不可抗力或者自身原因不能履行采购合同的，采购人可以与中标供应商之后排名第一的中标候选供应商签订采购合同，以此类推，也可以重新组织采购。</w:t>
      </w:r>
    </w:p>
    <w:p w14:paraId="28C123D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政府采购合同公告：采购人或者受托采购代理机构应当自政府采购合同签订之日起2个工作日内，将政府采购合同在“广西政府采购网”（http://zfcg.gxzf.gov.cn）上发布公告，但政府采购合同中涉及国家秘密、商业秘密的内容除外。因此请各投标人应在投标文件中注明投标内容中涉及商业秘密的部分，未注明的视为投标文件中不涉及商业秘密。</w:t>
      </w:r>
    </w:p>
    <w:p w14:paraId="76E9CE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（三）履约保证金</w:t>
      </w:r>
    </w:p>
    <w:p w14:paraId="1249FA2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1.履约保证金金额：详见投标人须知前附</w:t>
      </w:r>
      <w:r>
        <w:rPr>
          <w:rFonts w:hint="eastAsia" w:ascii="宋体" w:hAnsi="宋体" w:eastAsia="宋体" w:cs="宋体"/>
          <w:color w:val="auto"/>
          <w:szCs w:val="21"/>
          <w:highlight w:val="none"/>
        </w:rPr>
        <w:t>表</w:t>
      </w:r>
      <w:r>
        <w:rPr>
          <w:rFonts w:hint="eastAsia" w:ascii="宋体" w:hAnsi="宋体" w:eastAsia="宋体" w:cs="宋体"/>
          <w:color w:val="auto"/>
          <w:kern w:val="0"/>
          <w:szCs w:val="21"/>
          <w:highlight w:val="none"/>
        </w:rPr>
        <w:t>。</w:t>
      </w:r>
    </w:p>
    <w:p w14:paraId="01DF4E2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2.履约保证金递交时间：详见投标人须知前附</w:t>
      </w:r>
      <w:r>
        <w:rPr>
          <w:rFonts w:hint="eastAsia" w:ascii="宋体" w:hAnsi="宋体" w:eastAsia="宋体" w:cs="宋体"/>
          <w:color w:val="auto"/>
          <w:szCs w:val="21"/>
          <w:highlight w:val="none"/>
        </w:rPr>
        <w:t>表，未在规定时间内足额缴纳履约保证金的，不予签订合同</w:t>
      </w:r>
      <w:r>
        <w:rPr>
          <w:rFonts w:hint="eastAsia" w:ascii="宋体" w:hAnsi="宋体" w:eastAsia="宋体" w:cs="宋体"/>
          <w:color w:val="auto"/>
          <w:kern w:val="0"/>
          <w:szCs w:val="21"/>
          <w:highlight w:val="none"/>
        </w:rPr>
        <w:t>。</w:t>
      </w:r>
    </w:p>
    <w:p w14:paraId="15FA127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3.在履约保证金退还日期前，若中标供应商的开户名称、开户银行、帐号有变动的，请以书面形式通知保证金收取单位，否则由此产生的后果由中标供应商自负。</w:t>
      </w:r>
    </w:p>
    <w:p w14:paraId="1F55ED7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八、验收</w:t>
      </w:r>
    </w:p>
    <w:p w14:paraId="2ACC3D4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49CB7E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2.采购人可以邀请参加本项目的其他投标人或者第三方机构参与验收。参与验收的投标人或者第三方机构的意见作为验收书的参考资料一并存档。</w:t>
      </w:r>
    </w:p>
    <w:p w14:paraId="11C7EB8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3.严格按照采购合同开展履约验收。采购人成立验收小组，按照采购合同的约定对供应商履约情况进行验收。验收时，按照采购合同的约定对每一项技术、</w:t>
      </w:r>
      <w:r>
        <w:rPr>
          <w:rFonts w:hint="eastAsia" w:ascii="宋体" w:hAnsi="宋体" w:eastAsia="宋体" w:cs="宋体"/>
          <w:color w:val="auto"/>
          <w:highlight w:val="none"/>
          <w:lang w:val="en-US" w:eastAsia="zh-CN"/>
        </w:rPr>
        <w:t>货物</w:t>
      </w:r>
      <w:r>
        <w:rPr>
          <w:rFonts w:hint="eastAsia" w:ascii="宋体" w:hAnsi="宋体" w:eastAsia="宋体" w:cs="宋体"/>
          <w:color w:val="auto"/>
          <w:highlight w:val="none"/>
        </w:rPr>
        <w:t>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C6EAD3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F7D9AB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 项目验收完毕，中标供应商将壹份《广西壮族自治区政府采购项目合同验收书》（格式详见附件）送采购代理机构存档。</w:t>
      </w:r>
    </w:p>
    <w:p w14:paraId="45B1401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九、其他事项</w:t>
      </w:r>
    </w:p>
    <w:p w14:paraId="768BC6C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（一）需要补充的其他内容</w:t>
      </w:r>
    </w:p>
    <w:p w14:paraId="5745ACA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1.本招标文件解释规则详见“投标人须知前附表”。</w:t>
      </w:r>
    </w:p>
    <w:p w14:paraId="0D8A1DF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2.其他事项详见“投标人须知前附表”。</w:t>
      </w:r>
    </w:p>
    <w:p w14:paraId="51A300C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（二）代理服务费</w:t>
      </w:r>
    </w:p>
    <w:p w14:paraId="6331E1C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1.代理服务费</w:t>
      </w:r>
      <w:r>
        <w:rPr>
          <w:rFonts w:hint="eastAsia" w:hAnsi="宋体" w:cs="宋体"/>
          <w:color w:val="auto"/>
          <w:highlight w:val="none"/>
          <w:lang w:eastAsia="zh-CN"/>
        </w:rPr>
        <w:t>以中标金额作为计费额</w:t>
      </w:r>
      <w:r>
        <w:rPr>
          <w:rFonts w:hint="eastAsia" w:ascii="宋体" w:hAnsi="宋体" w:eastAsia="宋体" w:cs="宋体"/>
          <w:color w:val="auto"/>
          <w:highlight w:val="none"/>
        </w:rPr>
        <w:t>，参照国家发展计划委员会文件计价格（2002）1980号“国家计委关于印发《招标代理服务收费管理暂行办法》的通知”规定的</w:t>
      </w:r>
      <w:r>
        <w:rPr>
          <w:rFonts w:hint="eastAsia" w:ascii="宋体" w:hAnsi="宋体" w:eastAsia="宋体" w:cs="宋体"/>
          <w:color w:val="auto"/>
          <w:highlight w:val="none"/>
          <w:lang w:val="en-US" w:eastAsia="zh-CN"/>
        </w:rPr>
        <w:t>货物类</w:t>
      </w:r>
      <w:r>
        <w:rPr>
          <w:rFonts w:hint="eastAsia" w:ascii="宋体" w:hAnsi="宋体" w:eastAsia="宋体" w:cs="宋体"/>
          <w:color w:val="auto"/>
          <w:highlight w:val="none"/>
        </w:rPr>
        <w:t>标准</w:t>
      </w:r>
      <w:r>
        <w:rPr>
          <w:rFonts w:hint="eastAsia" w:ascii="宋体" w:hAnsi="宋体" w:eastAsia="宋体" w:cs="宋体"/>
          <w:color w:val="auto"/>
          <w:highlight w:val="none"/>
          <w:lang w:val="en-US" w:eastAsia="zh-CN"/>
        </w:rPr>
        <w:t>下浮30%</w:t>
      </w:r>
      <w:r>
        <w:rPr>
          <w:rFonts w:hint="eastAsia" w:ascii="宋体" w:hAnsi="宋体" w:eastAsia="宋体" w:cs="宋体"/>
          <w:color w:val="auto"/>
          <w:highlight w:val="none"/>
        </w:rPr>
        <w:t>向中标人收取。领取中标通知书时，中标人应向采购代理机构一次付清代理服务费。</w:t>
      </w:r>
    </w:p>
    <w:p w14:paraId="5130E1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2.代理服务收费标准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715"/>
        <w:gridCol w:w="1955"/>
        <w:gridCol w:w="1910"/>
      </w:tblGrid>
      <w:tr w14:paraId="17E1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68" w:type="dxa"/>
          </w:tcPr>
          <w:p w14:paraId="5B70A41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671"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347345</wp:posOffset>
                      </wp:positionH>
                      <wp:positionV relativeFrom="paragraph">
                        <wp:posOffset>29210</wp:posOffset>
                      </wp:positionV>
                      <wp:extent cx="1595755" cy="920115"/>
                      <wp:effectExtent l="2540" t="3810" r="1905" b="9525"/>
                      <wp:wrapNone/>
                      <wp:docPr id="2" name="Line 21"/>
                      <wp:cNvGraphicFramePr/>
                      <a:graphic xmlns:a="http://schemas.openxmlformats.org/drawingml/2006/main">
                        <a:graphicData uri="http://schemas.microsoft.com/office/word/2010/wordprocessingShape">
                          <wps:wsp>
                            <wps:cNvCnPr/>
                            <wps:spPr>
                              <a:xfrm>
                                <a:off x="0" y="0"/>
                                <a:ext cx="1595755" cy="9201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27.35pt;margin-top:2.3pt;height:72.45pt;width:125.65pt;z-index:251661312;mso-width-relative:page;mso-height-relative:page;" filled="f" stroked="t" coordsize="21600,21600" o:gfxdata="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PVhd1wAAAAgBAAAPAAAAAAAAAAEAIAAA&#10;ACIAAABkcnMvZG93bnJldi54bWxQSwECFAAUAAAACACHTuJAtA97cNQBAADT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9pt;margin-top:-0.5pt;height:0pt;width:0.05pt;z-index:251660288;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5HTftUAAAAJAQAADwAAAAAAAAABACAAAAAiAAAAZHJz&#10;L2Rvd25yZXYueG1sUEsBAhQAFAAAAAgAh07iQA/3zG/OAQAAy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服</w:t>
            </w:r>
          </w:p>
          <w:p w14:paraId="31BAFED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16" w:firstLineChars="246"/>
              <w:textAlignment w:val="auto"/>
              <w:rPr>
                <w:rFonts w:hint="eastAsia" w:ascii="宋体" w:hAnsi="宋体" w:eastAsia="宋体" w:cs="宋体"/>
                <w:color w:val="auto"/>
                <w:highlight w:val="none"/>
              </w:rPr>
            </w:pPr>
            <w:r>
              <w:rPr>
                <w:rFonts w:hint="eastAsia" w:ascii="宋体" w:hAnsi="宋体" w:eastAsia="宋体" w:cs="宋体"/>
                <w:color w:val="auto"/>
                <w:highlight w:val="none"/>
              </w:rPr>
              <w:t>费　　　　　   务</w:t>
            </w:r>
          </w:p>
          <w:p w14:paraId="189232E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041" w:firstLineChars="4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1943100" cy="594360"/>
                      <wp:effectExtent l="1270" t="4445" r="17780" b="10795"/>
                      <wp:wrapNone/>
                      <wp:docPr id="3" name="Line 22"/>
                      <wp:cNvGraphicFramePr/>
                      <a:graphic xmlns:a="http://schemas.openxmlformats.org/drawingml/2006/main">
                        <a:graphicData uri="http://schemas.microsoft.com/office/word/2010/wordprocessingShape">
                          <wps:wsp>
                            <wps:cNvCnPr/>
                            <wps:spPr>
                              <a:xfrm>
                                <a:off x="0" y="0"/>
                                <a:ext cx="1943100" cy="5943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0.75pt;height:46.8pt;width:153pt;z-index:251662336;mso-width-relative:page;mso-height-relative:page;" filled="f" stroked="t" coordsize="21600,21600" o:gfxdata="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tMTndQAAAAFAQAADwAAAAAAAAABACAA&#10;AAAiAAAAZHJzL2Rvd25yZXYueG1sUEsBAhQAFAAAAAgAh07iQMA6ZdfYAQAA0wMAAA4AAAAAAAAA&#10;AQAgAAAAIw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率           类</w:t>
            </w:r>
          </w:p>
          <w:p w14:paraId="14FF13F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671"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w:t>型        型</w:t>
            </w:r>
          </w:p>
          <w:p w14:paraId="787342B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中标金额（万元）</w:t>
            </w:r>
          </w:p>
        </w:tc>
        <w:tc>
          <w:tcPr>
            <w:tcW w:w="1715" w:type="dxa"/>
            <w:vAlign w:val="center"/>
          </w:tcPr>
          <w:p w14:paraId="41B8B40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货物招标</w:t>
            </w:r>
          </w:p>
        </w:tc>
        <w:tc>
          <w:tcPr>
            <w:tcW w:w="1955" w:type="dxa"/>
            <w:vAlign w:val="center"/>
          </w:tcPr>
          <w:p w14:paraId="755FAD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服务招标</w:t>
            </w:r>
          </w:p>
        </w:tc>
        <w:tc>
          <w:tcPr>
            <w:tcW w:w="1910" w:type="dxa"/>
            <w:vAlign w:val="center"/>
          </w:tcPr>
          <w:p w14:paraId="63FC587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工程招标</w:t>
            </w:r>
          </w:p>
        </w:tc>
      </w:tr>
      <w:tr w14:paraId="69E8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4A73720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715" w:type="dxa"/>
            <w:vAlign w:val="center"/>
          </w:tcPr>
          <w:p w14:paraId="189FDE1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55" w:type="dxa"/>
            <w:vAlign w:val="center"/>
          </w:tcPr>
          <w:p w14:paraId="7A8A2D2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10" w:type="dxa"/>
            <w:vAlign w:val="center"/>
          </w:tcPr>
          <w:p w14:paraId="1A1B940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197D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641992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1715" w:type="dxa"/>
            <w:vAlign w:val="center"/>
          </w:tcPr>
          <w:p w14:paraId="16CC47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955" w:type="dxa"/>
            <w:vAlign w:val="center"/>
          </w:tcPr>
          <w:p w14:paraId="465E543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10" w:type="dxa"/>
            <w:vAlign w:val="center"/>
          </w:tcPr>
          <w:p w14:paraId="5CE9F0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62A1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8F556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1715" w:type="dxa"/>
            <w:vAlign w:val="center"/>
          </w:tcPr>
          <w:p w14:paraId="62CFDF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55" w:type="dxa"/>
            <w:vAlign w:val="center"/>
          </w:tcPr>
          <w:p w14:paraId="5BE687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1910" w:type="dxa"/>
            <w:vAlign w:val="center"/>
          </w:tcPr>
          <w:p w14:paraId="6E7EDA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0.55%</w:t>
            </w:r>
          </w:p>
        </w:tc>
      </w:tr>
      <w:tr w14:paraId="7CBB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805B7F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1715" w:type="dxa"/>
            <w:vAlign w:val="center"/>
          </w:tcPr>
          <w:p w14:paraId="5B2D944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955" w:type="dxa"/>
            <w:vAlign w:val="center"/>
          </w:tcPr>
          <w:p w14:paraId="4C5E064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10" w:type="dxa"/>
            <w:vAlign w:val="center"/>
          </w:tcPr>
          <w:p w14:paraId="72C8AF4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6EC8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EDFCDA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1715" w:type="dxa"/>
            <w:vAlign w:val="center"/>
          </w:tcPr>
          <w:p w14:paraId="79055B1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55" w:type="dxa"/>
            <w:vAlign w:val="center"/>
          </w:tcPr>
          <w:p w14:paraId="5E98E8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1910" w:type="dxa"/>
            <w:vAlign w:val="center"/>
          </w:tcPr>
          <w:p w14:paraId="3F9EA00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w:t>
            </w:r>
          </w:p>
        </w:tc>
      </w:tr>
      <w:tr w14:paraId="0EFF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6917C37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10000-100000</w:t>
            </w:r>
          </w:p>
        </w:tc>
        <w:tc>
          <w:tcPr>
            <w:tcW w:w="1715" w:type="dxa"/>
            <w:vAlign w:val="center"/>
          </w:tcPr>
          <w:p w14:paraId="3B78BB2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55" w:type="dxa"/>
            <w:vAlign w:val="center"/>
          </w:tcPr>
          <w:p w14:paraId="6F1A36B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10" w:type="dxa"/>
            <w:vAlign w:val="center"/>
          </w:tcPr>
          <w:p w14:paraId="205CD01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r>
      <w:tr w14:paraId="6469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F2A8D8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1000000以上</w:t>
            </w:r>
          </w:p>
        </w:tc>
        <w:tc>
          <w:tcPr>
            <w:tcW w:w="1715" w:type="dxa"/>
            <w:vAlign w:val="center"/>
          </w:tcPr>
          <w:p w14:paraId="60FDDFC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55" w:type="dxa"/>
            <w:vAlign w:val="center"/>
          </w:tcPr>
          <w:p w14:paraId="26DDB7C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10" w:type="dxa"/>
            <w:vAlign w:val="center"/>
          </w:tcPr>
          <w:p w14:paraId="14B2C25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C3858F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注：招标代理服务费收费按差额定率累进法计算。</w:t>
      </w:r>
    </w:p>
    <w:p w14:paraId="4335082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（三）投标人信用查询相关规定：</w:t>
      </w:r>
    </w:p>
    <w:p w14:paraId="086C57F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1.信用查询渠道：“信用中国”网站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14:paraId="5A1C17B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2.信用查询截止时点：资格审查时。</w:t>
      </w:r>
    </w:p>
    <w:p w14:paraId="044A7C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3.信用信息查询记录：“列入失信被执行人”、“ 重大税收违法案件当事人名单”、“政府采购严重违法失信行为记录名单”。</w:t>
      </w:r>
    </w:p>
    <w:p w14:paraId="2CCA638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4.信用信息的使用规则：如投标人被列入“列入失信被执行人”、“ 重大税收违法案件当事 人名单”、“政府采购严重违法失信行为记录名单”等名单内的，将按照信用信息使用规则处理。</w:t>
      </w:r>
    </w:p>
    <w:p w14:paraId="4BFB08D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5.证据留存方式：在查询网站中直接截图查询记录，截图作为在广西政府采购云平台作为附件上传保存。</w:t>
      </w:r>
    </w:p>
    <w:p w14:paraId="4893A5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（四）关于中小企业的相关规定</w:t>
      </w:r>
    </w:p>
    <w:p w14:paraId="22C87F1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636281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4CB3F1A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3.在货物采购项目中，供应商提供的货物既有中小企业制造货物，也有大型企业制造货物的，不享受中小企业扶持政策。</w:t>
      </w:r>
    </w:p>
    <w:p w14:paraId="658B0F1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4.以联合体形式参加政府采购活动，联合体各方均为中小企业的，联合体视同中小企业。其中，联合体各方均为小微企业的，联合体视同小微企业。</w:t>
      </w:r>
    </w:p>
    <w:p w14:paraId="4FFC204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3563CA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5.享受中小企业扶持政策获得政府采购合同的，小微企业不得将合同分包给大中型企业，中型企业不得将合同分包给大型企业。</w:t>
      </w:r>
    </w:p>
    <w:p w14:paraId="0B1E8F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577E67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4C9621C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p>
    <w:p w14:paraId="14C2193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6F3F7E9">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附件1：</w:t>
      </w:r>
    </w:p>
    <w:p w14:paraId="1A81DB08">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广西壮族自治区政府采购项目</w:t>
      </w:r>
      <w:r>
        <w:rPr>
          <w:rFonts w:hint="eastAsia" w:ascii="宋体" w:hAnsi="宋体" w:eastAsia="宋体" w:cs="宋体"/>
          <w:b/>
          <w:color w:val="auto"/>
          <w:kern w:val="0"/>
          <w:szCs w:val="21"/>
          <w:highlight w:val="none"/>
        </w:rPr>
        <w:t>合同验收书（格式）</w:t>
      </w:r>
    </w:p>
    <w:p w14:paraId="5E3781D5">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）提供的货物（或工程、服务）进行了验收，验收情况如下：</w:t>
      </w:r>
    </w:p>
    <w:tbl>
      <w:tblPr>
        <w:tblStyle w:val="48"/>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24F1DBCC">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4A5EA25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6F06458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604488E4">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6F69D3E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1317D7D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524E439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118AE58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17DF23F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671FFB67">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562AF1E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908B667">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3DF5B27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902981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411B8FC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71B7E0C0">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6E99DE9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22570EA">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244FC83E">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7D7857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B3B3CC2">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0E94B86">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7BA06AE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7371DA0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76D397D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2058606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5387FE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CCBEA84">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70D809BE">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59D7765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B7443C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F7D3CDC">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4CD6E78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3DE35003">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47515AB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2FE8572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63EC4D9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6"/>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7773DD7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FADBDA2">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7FBCC67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5D23D5A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7014C0D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1C21093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CFE555A">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20508C">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54B3BBF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在安装调试等方面是否违反合同约定或服务规范要求、提供的质量保证证明材料是否齐全、应有的配件及附件是否达到合同约定等。可附件)</w:t>
            </w:r>
          </w:p>
        </w:tc>
      </w:tr>
      <w:tr w14:paraId="33700EFA">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86649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61EA36C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验收结论性意见：</w:t>
            </w:r>
          </w:p>
          <w:p w14:paraId="110627C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8AD3A82">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24B45EC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57BDFF4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9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4810717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签字：</w:t>
            </w:r>
          </w:p>
        </w:tc>
      </w:tr>
      <w:tr w14:paraId="1F2D18B6">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DAA82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6FC07AF3">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45FEC6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5865EF99">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74"/>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324F8575">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01103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负责人签字或盖章：</w:t>
            </w:r>
          </w:p>
          <w:p w14:paraId="6845637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171DE62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采购人或受托机构的意见（盖章）：</w:t>
            </w:r>
          </w:p>
          <w:p w14:paraId="26FA0DA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739BD09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37919D3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655F0C71">
      <w:pPr>
        <w:widowControl/>
        <w:spacing w:line="360" w:lineRule="exact"/>
        <w:ind w:left="480"/>
        <w:jc w:val="center"/>
        <w:outlineLvl w:val="0"/>
        <w:rPr>
          <w:rFonts w:hint="eastAsia" w:ascii="宋体" w:hAnsi="宋体" w:eastAsia="宋体" w:cs="宋体"/>
          <w:b/>
          <w:color w:val="auto"/>
          <w:sz w:val="28"/>
          <w:szCs w:val="28"/>
          <w:highlight w:val="none"/>
        </w:rPr>
      </w:pPr>
    </w:p>
    <w:p w14:paraId="7E85E8C1">
      <w:pPr>
        <w:widowControl/>
        <w:spacing w:line="360" w:lineRule="exact"/>
        <w:ind w:left="480"/>
        <w:jc w:val="center"/>
        <w:outlineLvl w:val="0"/>
        <w:rPr>
          <w:rFonts w:hint="eastAsia" w:ascii="宋体" w:hAnsi="宋体" w:eastAsia="宋体" w:cs="宋体"/>
          <w:b/>
          <w:color w:val="auto"/>
          <w:sz w:val="28"/>
          <w:szCs w:val="28"/>
          <w:highlight w:val="none"/>
        </w:rPr>
      </w:pPr>
    </w:p>
    <w:p w14:paraId="322B7BA5">
      <w:pPr>
        <w:widowControl/>
        <w:spacing w:line="360" w:lineRule="exact"/>
        <w:ind w:left="480"/>
        <w:jc w:val="center"/>
        <w:outlineLvl w:val="0"/>
        <w:rPr>
          <w:rFonts w:hint="eastAsia" w:ascii="宋体" w:hAnsi="宋体" w:eastAsia="宋体" w:cs="宋体"/>
          <w:b/>
          <w:color w:val="auto"/>
          <w:sz w:val="28"/>
          <w:szCs w:val="28"/>
          <w:highlight w:val="none"/>
        </w:rPr>
      </w:pPr>
      <w:bookmarkStart w:id="94" w:name="_Toc29000"/>
      <w:r>
        <w:rPr>
          <w:rFonts w:hint="eastAsia" w:ascii="宋体" w:hAnsi="宋体" w:eastAsia="宋体" w:cs="宋体"/>
          <w:b/>
          <w:color w:val="auto"/>
          <w:sz w:val="28"/>
          <w:szCs w:val="28"/>
          <w:highlight w:val="none"/>
        </w:rPr>
        <w:t>第四章 评标办法及评分标准</w:t>
      </w:r>
      <w:bookmarkEnd w:id="94"/>
    </w:p>
    <w:p w14:paraId="09AEA38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一、评标原则</w:t>
      </w:r>
    </w:p>
    <w:p w14:paraId="6CF3E634">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(一)评委构成：评标委员会由采购人代表和评审专家组成，成员人数应当为</w:t>
      </w:r>
      <w:r>
        <w:rPr>
          <w:rFonts w:hint="eastAsia" w:hAnsi="宋体" w:cs="宋体"/>
          <w:color w:val="auto"/>
          <w:highlight w:val="none"/>
          <w:lang w:val="en-US" w:eastAsia="zh-CN"/>
        </w:rPr>
        <w:t>5</w:t>
      </w:r>
      <w:r>
        <w:rPr>
          <w:rFonts w:hint="eastAsia" w:ascii="宋体" w:hAnsi="宋体" w:eastAsia="宋体" w:cs="宋体"/>
          <w:color w:val="auto"/>
          <w:highlight w:val="none"/>
        </w:rPr>
        <w:t>人以上单数，其中评审专家不得少于成员总数的三分之二。</w:t>
      </w:r>
    </w:p>
    <w:p w14:paraId="46821548">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(二)评标依据：</w:t>
      </w:r>
    </w:p>
    <w:p w14:paraId="45C079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1、评委将以招投标文件为评标依据，对投标人的投标报价、</w:t>
      </w:r>
      <w:r>
        <w:rPr>
          <w:rFonts w:hint="eastAsia" w:ascii="宋体" w:hAnsi="宋体" w:eastAsia="宋体" w:cs="宋体"/>
          <w:color w:val="auto"/>
          <w:highlight w:val="none"/>
          <w:lang w:val="en-US" w:eastAsia="zh-CN"/>
        </w:rPr>
        <w:t>技术分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商务分、政策功能分</w:t>
      </w:r>
      <w:r>
        <w:rPr>
          <w:rFonts w:hint="eastAsia" w:ascii="宋体" w:hAnsi="宋体" w:eastAsia="宋体" w:cs="宋体"/>
          <w:color w:val="auto"/>
          <w:highlight w:val="none"/>
        </w:rPr>
        <w:t>等方面内容按百分制打分。</w:t>
      </w:r>
    </w:p>
    <w:p w14:paraId="107BC173">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w:t>2、</w:t>
      </w:r>
      <w:r>
        <w:rPr>
          <w:rFonts w:hint="eastAsia" w:ascii="宋体" w:hAnsi="宋体" w:eastAsia="宋体" w:cs="宋体"/>
          <w:color w:val="auto"/>
          <w:kern w:val="0"/>
          <w:szCs w:val="21"/>
          <w:highlight w:val="none"/>
        </w:rPr>
        <w:t>评标报价为投标人的投标报价进行政策性扣除后的价格，评标报价只是作为评标时使用。最终中标人的中标金额等于投标报价。</w:t>
      </w:r>
    </w:p>
    <w:p w14:paraId="231106EB">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按照《政府采购促进中小企业发展管理办法》（财库〔2020〕46号）的规定，投标人在其投标文件中按照格式要求提供《中小企业声明函》，且其投标产品均为小型企业</w:t>
      </w:r>
      <w:r>
        <w:rPr>
          <w:rFonts w:hint="eastAsia" w:ascii="宋体" w:hAnsi="宋体" w:eastAsia="宋体" w:cs="宋体"/>
          <w:b/>
          <w:bCs/>
          <w:color w:val="auto"/>
          <w:highlight w:val="none"/>
          <w:lang w:val="en-US" w:eastAsia="zh-CN"/>
        </w:rPr>
        <w:t>或</w:t>
      </w:r>
      <w:r>
        <w:rPr>
          <w:rFonts w:hint="eastAsia" w:ascii="宋体" w:hAnsi="宋体" w:eastAsia="宋体" w:cs="宋体"/>
          <w:b/>
          <w:bCs/>
          <w:color w:val="auto"/>
          <w:highlight w:val="none"/>
        </w:rPr>
        <w:t>微型企业制造的产品，对其最后报价给予</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0%的扣除。</w:t>
      </w:r>
    </w:p>
    <w:p w14:paraId="0BAFDA1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B1CB111">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0030EB1">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在货物采购项目中，投标人投标全部货物（除招标文件明确的配件及辅材不做为主要标的物外）由小型企业</w:t>
      </w:r>
      <w:r>
        <w:rPr>
          <w:rFonts w:hint="eastAsia" w:hAnsi="宋体" w:cs="宋体"/>
          <w:b/>
          <w:bCs/>
          <w:color w:val="auto"/>
          <w:highlight w:val="none"/>
          <w:lang w:val="en-US" w:eastAsia="zh-CN"/>
        </w:rPr>
        <w:t>或</w:t>
      </w:r>
      <w:r>
        <w:rPr>
          <w:rFonts w:hint="eastAsia" w:ascii="宋体" w:hAnsi="宋体" w:eastAsia="宋体" w:cs="宋体"/>
          <w:b/>
          <w:bCs/>
          <w:color w:val="auto"/>
          <w:highlight w:val="none"/>
        </w:rPr>
        <w:t>微型企业制造；对符合上述要求的投标人的投标报价给予</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%的扣除，扣除后的价格为评标报价，即评标报价=投标报价×（1-</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w:t>
      </w:r>
    </w:p>
    <w:p w14:paraId="4D2B6F4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%（范围为4%-6%）的扣除，用扣除后的价格参加评审，扣除后的价格为评标报价，即评标报价=投标报价×（1-</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%）。除上述情况外，评标报价=投标报价。</w:t>
      </w:r>
    </w:p>
    <w:p w14:paraId="30DAE852">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满足招标文件要求且评标报价最低的评标报价为评标基准价，其价格分为满分。</w:t>
      </w:r>
    </w:p>
    <w:p w14:paraId="59B8D4CC">
      <w:pPr>
        <w:pStyle w:val="27"/>
        <w:snapToGrid w:val="0"/>
        <w:spacing w:line="360" w:lineRule="exact"/>
        <w:ind w:firstLine="422" w:firstLineChars="200"/>
        <w:rPr>
          <w:rFonts w:hint="eastAsia" w:ascii="宋体" w:hAnsi="宋体" w:eastAsia="宋体" w:cs="宋体"/>
          <w:color w:val="auto"/>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、评标委员会认为投标人的报价明显低于其他通过符合性审查投标人的报价，有可能影响产品质量或者不能诚信履约的，可要求其在评标现场合理的时间</w:t>
      </w:r>
      <w:r>
        <w:rPr>
          <w:rFonts w:hint="eastAsia" w:ascii="宋体" w:hAnsi="宋体" w:eastAsia="宋体" w:cs="宋体"/>
          <w:b/>
          <w:bCs/>
          <w:color w:val="auto"/>
          <w:szCs w:val="21"/>
          <w:highlight w:val="none"/>
        </w:rPr>
        <w:t>（30分钟）</w:t>
      </w:r>
      <w:r>
        <w:rPr>
          <w:rFonts w:hint="eastAsia" w:ascii="宋体" w:hAnsi="宋体" w:eastAsia="宋体" w:cs="宋体"/>
          <w:b/>
          <w:color w:val="auto"/>
          <w:szCs w:val="21"/>
          <w:highlight w:val="none"/>
        </w:rPr>
        <w:t>内按以下成本构成科目以书面方式提供计算数据及计算方法作为报价合理性的证明资料：包括所需材料、管理费用、人员成本构成、税收等所有成本和利润。投标人也可直接在投标文件中提供上述资料以避免因无法及时提供说明而导致可能被评标委员会作为无效响应处理。如果投标人不能合理说明或者提供的有关证明材料不完整，不能证明其报价合理性的，评标委员会将其作为无效投标处理。投标人书面说明应当签字确认或者加盖公章，否则无效。</w:t>
      </w:r>
    </w:p>
    <w:p w14:paraId="07E3D9A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(三)评标方式：以封闭方式进行。</w:t>
      </w:r>
    </w:p>
    <w:p w14:paraId="5B86482A">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二、评定方法</w:t>
      </w:r>
    </w:p>
    <w:p w14:paraId="6BD8C5E8">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（一）资格审查</w:t>
      </w:r>
    </w:p>
    <w:p w14:paraId="338F2CA6">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开标结束后，采购人依法对投标人的资格进行审查。</w:t>
      </w:r>
    </w:p>
    <w:tbl>
      <w:tblPr>
        <w:tblStyle w:val="48"/>
        <w:tblW w:w="500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29"/>
        <w:gridCol w:w="3189"/>
        <w:gridCol w:w="5102"/>
      </w:tblGrid>
      <w:tr w14:paraId="3A05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F6D8789">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FBB57D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1CBDFED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检查内容</w:t>
            </w:r>
          </w:p>
        </w:tc>
      </w:tr>
      <w:tr w14:paraId="6268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vAlign w:val="center"/>
          </w:tcPr>
          <w:p w14:paraId="40124C0D">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（一）</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14:paraId="5CFAF877">
            <w:pPr>
              <w:pStyle w:val="27"/>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投投标人应符合的基本资格条件</w:t>
            </w:r>
          </w:p>
        </w:tc>
        <w:tc>
          <w:tcPr>
            <w:tcW w:w="3116" w:type="dxa"/>
            <w:tcBorders>
              <w:top w:val="single" w:color="auto" w:sz="4" w:space="0"/>
              <w:left w:val="single" w:color="auto" w:sz="4" w:space="0"/>
              <w:bottom w:val="single" w:color="auto" w:sz="4" w:space="0"/>
              <w:right w:val="single" w:color="auto" w:sz="4" w:space="0"/>
            </w:tcBorders>
            <w:vAlign w:val="center"/>
          </w:tcPr>
          <w:p w14:paraId="0E07D05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493C877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人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7ADB2E7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2.如为分支机构投标的，须提供其总公司“营业执照”副本复印件和总公司对投标人参与本项目投标的授权书原件。</w:t>
            </w:r>
          </w:p>
        </w:tc>
      </w:tr>
      <w:tr w14:paraId="48A1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10144A1D">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55674017">
            <w:pPr>
              <w:widowControl/>
              <w:jc w:val="left"/>
              <w:rPr>
                <w:rFonts w:hint="eastAsia" w:ascii="宋体" w:hAnsi="宋体" w:eastAsia="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5926A19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2.具有良好的商业信誉和健全的财务会计制度、有依法缴纳税收和社会保障金的良好记录、具有履行合同所必需的设备和专业技术能力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6A837E06">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提供</w:t>
            </w:r>
            <w:r>
              <w:rPr>
                <w:rFonts w:hint="eastAsia" w:ascii="宋体" w:hAnsi="宋体" w:eastAsia="宋体" w:cs="宋体"/>
                <w:bCs/>
                <w:color w:val="auto"/>
                <w:highlight w:val="none"/>
              </w:rPr>
              <w:t>政府采购供应商资格信用承诺函</w:t>
            </w:r>
            <w:r>
              <w:rPr>
                <w:rFonts w:hint="eastAsia" w:ascii="宋体" w:hAnsi="宋体" w:eastAsia="宋体" w:cs="宋体"/>
                <w:color w:val="auto"/>
                <w:highlight w:val="none"/>
              </w:rPr>
              <w:t>。</w:t>
            </w:r>
          </w:p>
        </w:tc>
      </w:tr>
      <w:tr w14:paraId="38BF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66365E96">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0997A210">
            <w:pPr>
              <w:widowControl/>
              <w:jc w:val="left"/>
              <w:rPr>
                <w:rFonts w:hint="eastAsia" w:ascii="宋体" w:hAnsi="宋体" w:eastAsia="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61BE58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6B446E35">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1.提供参加政府采购活动前三年内在经营活动中没有重大违法记录和不良信用记录的书面声明书。</w:t>
            </w:r>
          </w:p>
          <w:p w14:paraId="307378D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人在资格审查时，将通过“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0ACD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2136FA6A">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126A593E">
            <w:pPr>
              <w:widowControl/>
              <w:jc w:val="left"/>
              <w:rPr>
                <w:rFonts w:hint="eastAsia" w:ascii="宋体" w:hAnsi="宋体" w:eastAsia="宋体" w:cs="宋体"/>
                <w:color w:val="auto"/>
                <w:szCs w:val="21"/>
                <w:highlight w:val="none"/>
              </w:rPr>
            </w:pPr>
          </w:p>
        </w:tc>
        <w:tc>
          <w:tcPr>
            <w:tcW w:w="3116" w:type="dxa"/>
            <w:vMerge w:val="restart"/>
            <w:tcBorders>
              <w:top w:val="single" w:color="auto" w:sz="4" w:space="0"/>
              <w:left w:val="single" w:color="auto" w:sz="4" w:space="0"/>
              <w:bottom w:val="single" w:color="auto" w:sz="4" w:space="0"/>
              <w:right w:val="single" w:color="auto" w:sz="4" w:space="0"/>
            </w:tcBorders>
            <w:vAlign w:val="center"/>
          </w:tcPr>
          <w:p w14:paraId="6D3A73D9">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093708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1.单位负责人为同一人或者存在直接控股、管理关系的不同供应商，不得参加同一合同项下的政府采购活动。提供投标人直接控股、管理关系信息表。</w:t>
            </w:r>
          </w:p>
        </w:tc>
      </w:tr>
      <w:tr w14:paraId="3201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02BBB77">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6458A3EF">
            <w:pPr>
              <w:widowControl/>
              <w:jc w:val="left"/>
              <w:rPr>
                <w:rFonts w:hint="eastAsia" w:ascii="宋体" w:hAnsi="宋体" w:eastAsia="宋体" w:cs="宋体"/>
                <w:color w:val="auto"/>
                <w:szCs w:val="21"/>
                <w:highlight w:val="none"/>
              </w:rPr>
            </w:pPr>
          </w:p>
        </w:tc>
        <w:tc>
          <w:tcPr>
            <w:tcW w:w="3116" w:type="dxa"/>
            <w:vMerge w:val="continue"/>
            <w:tcBorders>
              <w:top w:val="single" w:color="auto" w:sz="4" w:space="0"/>
              <w:left w:val="single" w:color="auto" w:sz="4" w:space="0"/>
              <w:bottom w:val="single" w:color="auto" w:sz="4" w:space="0"/>
              <w:right w:val="single" w:color="auto" w:sz="4" w:space="0"/>
            </w:tcBorders>
            <w:vAlign w:val="center"/>
          </w:tcPr>
          <w:p w14:paraId="41552ED3">
            <w:pPr>
              <w:widowControl/>
              <w:jc w:val="left"/>
              <w:rPr>
                <w:rFonts w:hint="eastAsia" w:ascii="宋体" w:hAnsi="宋体" w:eastAsia="宋体" w:cs="宋体"/>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137070C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2.为本项目提供过整体设计、规范编制或者项目管理、监理、检测等服务的供应商，不得再参加本项目上述服务以外的其他采购活动。提供投标声明书。</w:t>
            </w:r>
          </w:p>
        </w:tc>
      </w:tr>
      <w:tr w14:paraId="0E07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2DA94C9">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49BDAE4E">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1F9DD9E3">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w:t>
            </w:r>
          </w:p>
        </w:tc>
      </w:tr>
      <w:tr w14:paraId="1C09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903F7E8">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C412B52">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5F640BF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按招标公告“二、申请人的资格要求3.本项目的特定资格要求”的要求提交（如有）。</w:t>
            </w:r>
          </w:p>
        </w:tc>
      </w:tr>
    </w:tbl>
    <w:p w14:paraId="12CD814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（二）符合性审查</w:t>
      </w:r>
    </w:p>
    <w:p w14:paraId="5CE49739">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评标委员会根据采购文件要求各投标人投标文件的有效性、完整性、响应性等进行审查，以确定是否对采购文件的实质性要求作出响应。</w:t>
      </w:r>
    </w:p>
    <w:tbl>
      <w:tblPr>
        <w:tblStyle w:val="48"/>
        <w:tblW w:w="50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356"/>
        <w:gridCol w:w="6819"/>
      </w:tblGrid>
      <w:tr w14:paraId="5819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3FE7A9D9">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2" w:type="dxa"/>
            <w:tcBorders>
              <w:top w:val="single" w:color="auto" w:sz="4" w:space="0"/>
              <w:left w:val="single" w:color="auto" w:sz="4" w:space="0"/>
              <w:bottom w:val="single" w:color="auto" w:sz="4" w:space="0"/>
              <w:right w:val="single" w:color="auto" w:sz="4" w:space="0"/>
            </w:tcBorders>
            <w:vAlign w:val="center"/>
          </w:tcPr>
          <w:p w14:paraId="49B3924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6663" w:type="dxa"/>
            <w:tcBorders>
              <w:top w:val="single" w:color="auto" w:sz="4" w:space="0"/>
              <w:left w:val="single" w:color="auto" w:sz="4" w:space="0"/>
              <w:bottom w:val="single" w:color="auto" w:sz="4" w:space="0"/>
              <w:right w:val="single" w:color="auto" w:sz="4" w:space="0"/>
            </w:tcBorders>
            <w:vAlign w:val="center"/>
          </w:tcPr>
          <w:p w14:paraId="40EF883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评审标准</w:t>
            </w:r>
          </w:p>
        </w:tc>
      </w:tr>
      <w:tr w14:paraId="61AB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5" w:type="dxa"/>
            <w:tcBorders>
              <w:top w:val="single" w:color="auto" w:sz="4" w:space="0"/>
              <w:left w:val="single" w:color="auto" w:sz="4" w:space="0"/>
              <w:bottom w:val="single" w:color="auto" w:sz="4" w:space="0"/>
              <w:right w:val="single" w:color="auto" w:sz="4" w:space="0"/>
            </w:tcBorders>
            <w:vAlign w:val="center"/>
          </w:tcPr>
          <w:p w14:paraId="218E4035">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302" w:type="dxa"/>
            <w:tcBorders>
              <w:top w:val="single" w:color="auto" w:sz="4" w:space="0"/>
              <w:left w:val="single" w:color="auto" w:sz="4" w:space="0"/>
              <w:bottom w:val="single" w:color="auto" w:sz="4" w:space="0"/>
              <w:right w:val="single" w:color="auto" w:sz="4" w:space="0"/>
            </w:tcBorders>
            <w:vAlign w:val="center"/>
          </w:tcPr>
          <w:p w14:paraId="235148FD">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商务部分审查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29EB11D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未按照招标文件的规定提交投标保证金的；</w:t>
            </w:r>
          </w:p>
          <w:p w14:paraId="74B300F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投标文件未按招标文件要求签署、盖章的；</w:t>
            </w:r>
          </w:p>
          <w:p w14:paraId="312B08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color w:val="auto"/>
                <w:szCs w:val="21"/>
                <w:highlight w:val="none"/>
              </w:rPr>
              <w:t>投标代表人未能出具身份证明或与法定代表人授权委托人身份不符的；</w:t>
            </w:r>
          </w:p>
          <w:p w14:paraId="2ACBD0C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投标文件的实质性内容未使用中文表述、意思表述不明确、前后矛盾或者使用计量单位不符合招标文件要求的（经评标委员会认定并允许其当场更正的笔误除外）；</w:t>
            </w:r>
          </w:p>
          <w:p w14:paraId="0C4B824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04503D5D">
            <w:pPr>
              <w:snapToGrid w:val="0"/>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color w:val="auto"/>
                <w:szCs w:val="21"/>
                <w:highlight w:val="none"/>
              </w:rPr>
              <w:t>投标有效期、交货时间、质保期等商务条款不能满足招标文件要求的；</w:t>
            </w:r>
          </w:p>
          <w:p w14:paraId="67846CC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未提供招标文件中“（一）投标文件的组成3.商务技术文件3.1商务部分”要求必须提供的资料的；</w:t>
            </w:r>
          </w:p>
          <w:p w14:paraId="0FF1558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4FDCE5F4">
            <w:pPr>
              <w:pStyle w:val="27"/>
              <w:spacing w:line="360" w:lineRule="exact"/>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属于投标人须知正文（八）特别说明第6点情形的；</w:t>
            </w:r>
          </w:p>
          <w:p w14:paraId="58433A45">
            <w:pPr>
              <w:pStyle w:val="27"/>
              <w:snapToGrid w:val="0"/>
              <w:spacing w:line="360" w:lineRule="exact"/>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10</w:t>
            </w:r>
            <w:r>
              <w:rPr>
                <w:rFonts w:hint="eastAsia" w:ascii="宋体" w:hAnsi="宋体" w:eastAsia="宋体" w:cs="宋体"/>
                <w:color w:val="auto"/>
                <w:highlight w:val="none"/>
              </w:rPr>
              <w:t>.法律、法规和招标文件规定的其他无效情形。</w:t>
            </w:r>
          </w:p>
        </w:tc>
      </w:tr>
      <w:tr w14:paraId="2C92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535E3BC3">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302" w:type="dxa"/>
            <w:tcBorders>
              <w:top w:val="single" w:color="auto" w:sz="4" w:space="0"/>
              <w:left w:val="single" w:color="auto" w:sz="4" w:space="0"/>
              <w:bottom w:val="single" w:color="auto" w:sz="4" w:space="0"/>
              <w:right w:val="single" w:color="auto" w:sz="4" w:space="0"/>
            </w:tcBorders>
            <w:vAlign w:val="center"/>
          </w:tcPr>
          <w:p w14:paraId="367A7B5D">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技术部分审查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08B8DD8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未提供招标文件中“（一）投标文件的组成3.商务技术文件3.2技术部分”要求必须提供的资料的；</w:t>
            </w:r>
          </w:p>
          <w:p w14:paraId="3F21734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4625F32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eastAsia="zh-CN"/>
              </w:rPr>
              <w:t>与招标文件中标注“▲”的技术参数及其性能（配置）发生负偏离的</w:t>
            </w:r>
            <w:r>
              <w:rPr>
                <w:rFonts w:hint="eastAsia" w:ascii="宋体" w:hAnsi="宋体" w:eastAsia="宋体" w:cs="宋体"/>
                <w:color w:val="auto"/>
                <w:highlight w:val="none"/>
              </w:rPr>
              <w:t>；</w:t>
            </w:r>
          </w:p>
          <w:p w14:paraId="7CC7F22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投标技术方案不明确，存在一个或一个以上备选（替代）投标方案的；</w:t>
            </w:r>
          </w:p>
        </w:tc>
      </w:tr>
      <w:tr w14:paraId="0381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61C51612">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302" w:type="dxa"/>
            <w:tcBorders>
              <w:top w:val="single" w:color="auto" w:sz="4" w:space="0"/>
              <w:left w:val="single" w:color="auto" w:sz="4" w:space="0"/>
              <w:bottom w:val="single" w:color="auto" w:sz="4" w:space="0"/>
              <w:right w:val="single" w:color="auto" w:sz="4" w:space="0"/>
            </w:tcBorders>
            <w:vAlign w:val="center"/>
          </w:tcPr>
          <w:p w14:paraId="48FB78E0">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报价文件</w:t>
            </w:r>
            <w:r>
              <w:rPr>
                <w:rFonts w:hint="eastAsia" w:ascii="宋体" w:hAnsi="宋体" w:eastAsia="宋体" w:cs="宋体"/>
                <w:color w:val="auto"/>
                <w:highlight w:val="none"/>
              </w:rPr>
              <w:t>审查</w:t>
            </w:r>
          </w:p>
        </w:tc>
        <w:tc>
          <w:tcPr>
            <w:tcW w:w="6663" w:type="dxa"/>
            <w:tcBorders>
              <w:top w:val="single" w:color="auto" w:sz="4" w:space="0"/>
              <w:left w:val="single" w:color="auto" w:sz="4" w:space="0"/>
              <w:bottom w:val="single" w:color="auto" w:sz="4" w:space="0"/>
              <w:right w:val="single" w:color="auto" w:sz="4" w:space="0"/>
            </w:tcBorders>
            <w:vAlign w:val="center"/>
          </w:tcPr>
          <w:p w14:paraId="75CAD04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bCs/>
                <w:color w:val="auto"/>
                <w:szCs w:val="21"/>
                <w:highlight w:val="none"/>
              </w:rPr>
              <w:t>未提供招标文件中“（一）投标文件的组成2.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5DDB0F4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报价超过招标文件中规定的预算金额或者最高限价的；</w:t>
            </w:r>
          </w:p>
          <w:p w14:paraId="3E1A2E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62666CD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16CF31B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bCs/>
                <w:color w:val="auto"/>
                <w:highlight w:val="none"/>
              </w:rPr>
              <w:t>修正后的报价，投标人不确认的；</w:t>
            </w:r>
          </w:p>
          <w:p w14:paraId="74A06AD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法律、法规和招标文件规定的其他无效情形。</w:t>
            </w:r>
          </w:p>
        </w:tc>
      </w:tr>
    </w:tbl>
    <w:p w14:paraId="2E1BE45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（三）详细评审</w:t>
      </w:r>
    </w:p>
    <w:p w14:paraId="62AD262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对进入详评的，采用百分制综合评分法，计分办法（按四舍五入取至百分位）：</w:t>
      </w:r>
    </w:p>
    <w:tbl>
      <w:tblPr>
        <w:tblStyle w:val="48"/>
        <w:tblW w:w="96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0"/>
        <w:gridCol w:w="1402"/>
        <w:gridCol w:w="7019"/>
      </w:tblGrid>
      <w:tr w14:paraId="5C60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57469C2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评标项目</w:t>
            </w:r>
          </w:p>
        </w:tc>
        <w:tc>
          <w:tcPr>
            <w:tcW w:w="1402" w:type="dxa"/>
            <w:tcBorders>
              <w:top w:val="single" w:color="auto" w:sz="4" w:space="0"/>
              <w:left w:val="single" w:color="auto" w:sz="4" w:space="0"/>
              <w:bottom w:val="single" w:color="auto" w:sz="4" w:space="0"/>
              <w:right w:val="single" w:color="auto" w:sz="4" w:space="0"/>
            </w:tcBorders>
            <w:vAlign w:val="center"/>
          </w:tcPr>
          <w:p w14:paraId="7EF97CD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7019" w:type="dxa"/>
            <w:tcBorders>
              <w:top w:val="single" w:color="auto" w:sz="4" w:space="0"/>
              <w:left w:val="single" w:color="auto" w:sz="4" w:space="0"/>
              <w:bottom w:val="single" w:color="auto" w:sz="4" w:space="0"/>
              <w:right w:val="single" w:color="auto" w:sz="4" w:space="0"/>
            </w:tcBorders>
            <w:vAlign w:val="center"/>
          </w:tcPr>
          <w:p w14:paraId="1FAE94F9">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评标方法描述</w:t>
            </w:r>
          </w:p>
        </w:tc>
      </w:tr>
      <w:tr w14:paraId="3F3D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tcBorders>
            <w:vAlign w:val="center"/>
          </w:tcPr>
          <w:p w14:paraId="217B34A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lang w:eastAsia="zh-CN"/>
              </w:rPr>
            </w:pPr>
            <w:r>
              <w:rPr>
                <w:rStyle w:val="209"/>
                <w:rFonts w:hint="eastAsia" w:ascii="宋体" w:hAnsi="宋体" w:eastAsia="宋体" w:cs="宋体"/>
                <w:b w:val="0"/>
                <w:bCs w:val="0"/>
                <w:color w:val="auto"/>
                <w:szCs w:val="21"/>
                <w:highlight w:val="none"/>
                <w:lang w:val="en-US" w:eastAsia="zh-CN"/>
              </w:rPr>
              <w:t>1.</w:t>
            </w:r>
            <w:r>
              <w:rPr>
                <w:rStyle w:val="209"/>
                <w:rFonts w:hint="eastAsia" w:ascii="宋体" w:hAnsi="宋体" w:eastAsia="宋体" w:cs="宋体"/>
                <w:b w:val="0"/>
                <w:bCs w:val="0"/>
                <w:color w:val="auto"/>
                <w:szCs w:val="21"/>
                <w:highlight w:val="none"/>
              </w:rPr>
              <w:t>价格分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Style w:val="209"/>
                <w:rFonts w:hint="eastAsia" w:ascii="宋体" w:hAnsi="宋体" w:eastAsia="宋体" w:cs="宋体"/>
                <w:b w:val="0"/>
                <w:bCs w:val="0"/>
                <w:color w:val="auto"/>
                <w:szCs w:val="21"/>
                <w:highlight w:val="none"/>
              </w:rPr>
              <w:t>30分</w:t>
            </w:r>
            <w:r>
              <w:rPr>
                <w:rStyle w:val="209"/>
                <w:rFonts w:hint="eastAsia" w:ascii="宋体" w:hAnsi="宋体" w:eastAsia="宋体" w:cs="宋体"/>
                <w:b w:val="0"/>
                <w:bCs w:val="0"/>
                <w:color w:val="auto"/>
                <w:szCs w:val="21"/>
                <w:highlight w:val="none"/>
                <w:lang w:eastAsia="zh-CN"/>
              </w:rPr>
              <w:t>）</w:t>
            </w:r>
          </w:p>
        </w:tc>
        <w:tc>
          <w:tcPr>
            <w:tcW w:w="1402" w:type="dxa"/>
            <w:tcBorders>
              <w:top w:val="single" w:color="auto" w:sz="4" w:space="0"/>
            </w:tcBorders>
            <w:vAlign w:val="center"/>
          </w:tcPr>
          <w:p w14:paraId="080C3BF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Style w:val="209"/>
                <w:rFonts w:hint="eastAsia" w:ascii="宋体" w:hAnsi="宋体" w:eastAsia="宋体" w:cs="宋体"/>
                <w:b w:val="0"/>
                <w:bCs w:val="0"/>
                <w:color w:val="auto"/>
                <w:szCs w:val="21"/>
                <w:highlight w:val="none"/>
                <w:lang w:eastAsia="zh-CN"/>
              </w:rPr>
              <w:t>投标报价</w:t>
            </w:r>
          </w:p>
        </w:tc>
        <w:tc>
          <w:tcPr>
            <w:tcW w:w="7019" w:type="dxa"/>
            <w:tcBorders>
              <w:top w:val="single" w:color="auto" w:sz="4" w:space="0"/>
            </w:tcBorders>
            <w:vAlign w:val="center"/>
          </w:tcPr>
          <w:p w14:paraId="2BAAE27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shd w:val="clear" w:color="auto" w:fill="FFFFFF"/>
              </w:rPr>
              <w:t>价格分采用低价优先法计算，即满足招标文件要求且报价最低的投标人的投标报价为评标基准价，其价格分为满分。</w:t>
            </w:r>
          </w:p>
          <w:p w14:paraId="741A714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（2）价格分计算公式：</w:t>
            </w:r>
            <w:r>
              <w:rPr>
                <w:rFonts w:hint="eastAsia" w:ascii="宋体" w:hAnsi="宋体" w:eastAsia="宋体" w:cs="宋体"/>
                <w:color w:val="auto"/>
                <w:szCs w:val="21"/>
                <w:highlight w:val="none"/>
              </w:rPr>
              <w:t>某投标人的价格</w:t>
            </w:r>
            <w:r>
              <w:rPr>
                <w:rFonts w:hint="eastAsia" w:ascii="宋体" w:hAnsi="宋体" w:eastAsia="宋体" w:cs="宋体"/>
                <w:color w:val="auto"/>
                <w:szCs w:val="21"/>
                <w:highlight w:val="none"/>
                <w:lang w:val="en-US" w:eastAsia="zh-CN"/>
              </w:rPr>
              <w:t>得分=</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评标基准价/某投标人的投标报价）×</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分。</w:t>
            </w:r>
          </w:p>
          <w:p w14:paraId="5813E0DB">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kern w:val="2"/>
                <w:sz w:val="21"/>
                <w:highlight w:val="none"/>
              </w:rPr>
              <w:t>按照《政府采购促进中小企业发展管理办法》（财库〔2020〕46号）的规定，供应商在其</w:t>
            </w:r>
            <w:r>
              <w:rPr>
                <w:rFonts w:hint="eastAsia" w:ascii="宋体" w:hAnsi="宋体" w:eastAsia="宋体" w:cs="宋体"/>
                <w:color w:val="auto"/>
                <w:kern w:val="2"/>
                <w:sz w:val="21"/>
                <w:highlight w:val="none"/>
                <w:lang w:eastAsia="zh-CN"/>
              </w:rPr>
              <w:t>投标文件</w:t>
            </w:r>
            <w:r>
              <w:rPr>
                <w:rFonts w:hint="eastAsia" w:ascii="宋体" w:hAnsi="宋体" w:eastAsia="宋体" w:cs="宋体"/>
                <w:color w:val="auto"/>
                <w:kern w:val="2"/>
                <w:sz w:val="21"/>
                <w:highlight w:val="none"/>
              </w:rPr>
              <w:t>中按照格式要求提供《中小企业声明函》，且其提供的全部货物（除招标文件明确的配件及辅材不做为主要标的物外）由小型企业</w:t>
            </w:r>
            <w:r>
              <w:rPr>
                <w:rFonts w:hint="eastAsia" w:hAnsi="宋体" w:cs="宋体"/>
                <w:color w:val="auto"/>
                <w:kern w:val="2"/>
                <w:sz w:val="21"/>
                <w:highlight w:val="none"/>
                <w:lang w:val="en-US" w:eastAsia="zh-CN"/>
              </w:rPr>
              <w:t>或</w:t>
            </w:r>
            <w:r>
              <w:rPr>
                <w:rFonts w:hint="eastAsia" w:ascii="宋体" w:hAnsi="宋体" w:eastAsia="宋体" w:cs="宋体"/>
                <w:color w:val="auto"/>
                <w:kern w:val="2"/>
                <w:sz w:val="21"/>
                <w:highlight w:val="none"/>
              </w:rPr>
              <w:t>微型企业制造，对其最后报价给予10%的扣除，扣除后的价格为评标报价，即评标报价=</w:t>
            </w:r>
            <w:r>
              <w:rPr>
                <w:rFonts w:hint="eastAsia" w:ascii="宋体" w:hAnsi="宋体" w:eastAsia="宋体" w:cs="宋体"/>
                <w:color w:val="auto"/>
                <w:kern w:val="2"/>
                <w:sz w:val="21"/>
                <w:highlight w:val="none"/>
                <w:lang w:val="en-US" w:eastAsia="zh-CN"/>
              </w:rPr>
              <w:t>投标</w:t>
            </w:r>
            <w:r>
              <w:rPr>
                <w:rFonts w:hint="eastAsia" w:ascii="宋体" w:hAnsi="宋体" w:eastAsia="宋体" w:cs="宋体"/>
                <w:color w:val="auto"/>
                <w:kern w:val="2"/>
                <w:sz w:val="21"/>
                <w:highlight w:val="none"/>
              </w:rPr>
              <w:t>报价×（1-10%）。</w:t>
            </w:r>
          </w:p>
        </w:tc>
      </w:tr>
      <w:tr w14:paraId="6A23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6" w:hRule="atLeast"/>
          <w:jc w:val="center"/>
        </w:trPr>
        <w:tc>
          <w:tcPr>
            <w:tcW w:w="1200" w:type="dxa"/>
            <w:vMerge w:val="restart"/>
            <w:vAlign w:val="center"/>
          </w:tcPr>
          <w:p w14:paraId="5C4A3E83">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Style w:val="209"/>
                <w:rFonts w:hint="eastAsia" w:ascii="宋体" w:hAnsi="宋体" w:eastAsia="宋体" w:cs="宋体"/>
                <w:b w:val="0"/>
                <w:bCs w:val="0"/>
                <w:color w:val="auto"/>
                <w:szCs w:val="21"/>
                <w:highlight w:val="none"/>
                <w:lang w:val="en-US" w:eastAsia="zh-CN"/>
              </w:rPr>
              <w:t>2.</w:t>
            </w:r>
            <w:r>
              <w:rPr>
                <w:rStyle w:val="209"/>
                <w:rFonts w:hint="eastAsia" w:ascii="宋体" w:hAnsi="宋体" w:eastAsia="宋体" w:cs="宋体"/>
                <w:b w:val="0"/>
                <w:bCs w:val="0"/>
                <w:color w:val="auto"/>
                <w:szCs w:val="21"/>
                <w:highlight w:val="none"/>
              </w:rPr>
              <w:t>技术分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Fonts w:hint="eastAsia" w:ascii="宋体" w:hAnsi="宋体" w:cs="宋体"/>
                <w:b w:val="0"/>
                <w:bCs w:val="0"/>
                <w:color w:val="auto"/>
                <w:szCs w:val="21"/>
                <w:highlight w:val="none"/>
                <w:u w:val="none"/>
                <w:lang w:val="en-US" w:eastAsia="zh-CN"/>
              </w:rPr>
              <w:t>40</w:t>
            </w:r>
            <w:r>
              <w:rPr>
                <w:rFonts w:hint="eastAsia" w:ascii="宋体" w:hAnsi="宋体" w:eastAsia="宋体" w:cs="宋体"/>
                <w:b w:val="0"/>
                <w:bCs w:val="0"/>
                <w:color w:val="auto"/>
                <w:szCs w:val="21"/>
                <w:highlight w:val="none"/>
              </w:rPr>
              <w:t>分</w:t>
            </w:r>
            <w:r>
              <w:rPr>
                <w:rStyle w:val="209"/>
                <w:rFonts w:hint="eastAsia" w:ascii="宋体" w:hAnsi="宋体" w:eastAsia="宋体" w:cs="宋体"/>
                <w:b w:val="0"/>
                <w:bCs w:val="0"/>
                <w:color w:val="auto"/>
                <w:szCs w:val="21"/>
                <w:highlight w:val="none"/>
                <w:lang w:eastAsia="zh-CN"/>
              </w:rPr>
              <w:t>）</w:t>
            </w:r>
          </w:p>
        </w:tc>
        <w:tc>
          <w:tcPr>
            <w:tcW w:w="1402" w:type="dxa"/>
            <w:vAlign w:val="center"/>
          </w:tcPr>
          <w:p w14:paraId="66DE79C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1</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rPr>
              <w:t>技术性能分</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val="en-US" w:eastAsia="zh-CN"/>
              </w:rPr>
              <w:t>15</w:t>
            </w:r>
            <w:r>
              <w:rPr>
                <w:rFonts w:hint="eastAsia" w:ascii="宋体" w:hAnsi="宋体" w:eastAsia="宋体" w:cs="宋体"/>
                <w:b w:val="0"/>
                <w:bCs w:val="0"/>
                <w:color w:val="auto"/>
                <w:szCs w:val="21"/>
                <w:highlight w:val="none"/>
              </w:rPr>
              <w:t>分）</w:t>
            </w:r>
          </w:p>
          <w:p w14:paraId="26475452">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p>
        </w:tc>
        <w:tc>
          <w:tcPr>
            <w:tcW w:w="7019" w:type="dxa"/>
            <w:vAlign w:val="center"/>
          </w:tcPr>
          <w:p w14:paraId="69DDA5FA">
            <w:pPr>
              <w:pStyle w:val="27"/>
              <w:snapToGrid w:val="0"/>
              <w:spacing w:line="360" w:lineRule="exact"/>
              <w:ind w:firstLine="420" w:firstLineChars="200"/>
              <w:rPr>
                <w:rFonts w:hint="eastAsia" w:hAnsi="宋体"/>
                <w:color w:val="auto"/>
                <w:highlight w:val="none"/>
              </w:rPr>
            </w:pPr>
            <w:r>
              <w:rPr>
                <w:rFonts w:hint="eastAsia" w:hAnsi="宋体"/>
                <w:color w:val="auto"/>
                <w:highlight w:val="none"/>
                <w:lang w:val="en-US" w:eastAsia="zh-CN"/>
              </w:rPr>
              <w:t>1.</w:t>
            </w:r>
            <w:r>
              <w:rPr>
                <w:rFonts w:hint="eastAsia" w:hAnsi="宋体"/>
                <w:color w:val="auto"/>
                <w:highlight w:val="none"/>
              </w:rPr>
              <w:t>未标注“</w:t>
            </w:r>
            <w:bookmarkStart w:id="95" w:name="OLE_LINK1"/>
            <w:r>
              <w:rPr>
                <w:rFonts w:hint="eastAsia" w:hAnsi="宋体"/>
                <w:color w:val="auto"/>
                <w:highlight w:val="none"/>
              </w:rPr>
              <w:t>▲</w:t>
            </w:r>
            <w:bookmarkEnd w:id="95"/>
            <w:r>
              <w:rPr>
                <w:rFonts w:hint="eastAsia" w:hAnsi="宋体"/>
                <w:color w:val="auto"/>
                <w:highlight w:val="none"/>
              </w:rPr>
              <w:t>”号</w:t>
            </w:r>
            <w:r>
              <w:rPr>
                <w:rFonts w:hint="eastAsia" w:hAnsi="宋体"/>
                <w:color w:val="auto"/>
                <w:highlight w:val="none"/>
                <w:lang w:val="en-US" w:eastAsia="zh-CN"/>
              </w:rPr>
              <w:t>的</w:t>
            </w:r>
            <w:r>
              <w:rPr>
                <w:rFonts w:hint="eastAsia" w:hAnsi="宋体"/>
                <w:color w:val="auto"/>
                <w:highlight w:val="none"/>
              </w:rPr>
              <w:t>技术参数及其性能（配置）无负偏离的，得</w:t>
            </w:r>
            <w:r>
              <w:rPr>
                <w:rFonts w:hint="eastAsia" w:hAnsi="宋体"/>
                <w:color w:val="auto"/>
                <w:highlight w:val="none"/>
                <w:lang w:val="en-US" w:eastAsia="zh-CN"/>
              </w:rPr>
              <w:t>15</w:t>
            </w:r>
            <w:r>
              <w:rPr>
                <w:rFonts w:hint="eastAsia" w:hAnsi="宋体"/>
                <w:color w:val="auto"/>
                <w:highlight w:val="none"/>
              </w:rPr>
              <w:t>分</w:t>
            </w:r>
            <w:r>
              <w:rPr>
                <w:rFonts w:hint="eastAsia" w:hAnsi="宋体"/>
                <w:color w:val="auto"/>
                <w:highlight w:val="none"/>
                <w:lang w:eastAsia="zh-CN"/>
              </w:rPr>
              <w:t>，</w:t>
            </w:r>
            <w:r>
              <w:rPr>
                <w:rFonts w:hint="eastAsia" w:hAnsi="宋体"/>
                <w:color w:val="auto"/>
                <w:highlight w:val="none"/>
                <w:lang w:val="en-US" w:eastAsia="zh-CN"/>
              </w:rPr>
              <w:t>若有任何一项负偏离的</w:t>
            </w:r>
            <w:r>
              <w:rPr>
                <w:rFonts w:hint="eastAsia" w:hAnsi="宋体"/>
                <w:color w:val="auto"/>
                <w:highlight w:val="none"/>
              </w:rPr>
              <w:t>，则</w:t>
            </w:r>
            <w:r>
              <w:rPr>
                <w:rFonts w:hint="eastAsia" w:hAnsi="宋体"/>
                <w:color w:val="auto"/>
                <w:highlight w:val="none"/>
                <w:lang w:eastAsia="zh-CN"/>
              </w:rPr>
              <w:t>“</w:t>
            </w:r>
            <w:r>
              <w:rPr>
                <w:rFonts w:hint="eastAsia" w:hAnsi="宋体"/>
                <w:color w:val="auto"/>
                <w:highlight w:val="none"/>
              </w:rPr>
              <w:t>技术性能分</w:t>
            </w:r>
            <w:r>
              <w:rPr>
                <w:rFonts w:hint="eastAsia" w:hAnsi="宋体"/>
                <w:color w:val="auto"/>
                <w:highlight w:val="none"/>
                <w:lang w:eastAsia="zh-CN"/>
              </w:rPr>
              <w:t>”</w:t>
            </w:r>
            <w:r>
              <w:rPr>
                <w:rFonts w:hint="eastAsia" w:hAnsi="宋体"/>
                <w:color w:val="auto"/>
                <w:highlight w:val="none"/>
                <w:lang w:val="en-US" w:eastAsia="zh-CN"/>
              </w:rPr>
              <w:t>得分为0分</w:t>
            </w:r>
            <w:r>
              <w:rPr>
                <w:rFonts w:hint="eastAsia" w:hAnsi="宋体"/>
                <w:color w:val="auto"/>
                <w:highlight w:val="none"/>
              </w:rPr>
              <w:t>。</w:t>
            </w:r>
          </w:p>
          <w:p w14:paraId="3B6E7147">
            <w:pPr>
              <w:pStyle w:val="27"/>
              <w:snapToGrid w:val="0"/>
              <w:spacing w:line="360" w:lineRule="exact"/>
              <w:ind w:firstLine="420" w:firstLineChars="200"/>
              <w:rPr>
                <w:rFonts w:hint="eastAsia" w:ascii="宋体" w:hAnsi="宋体" w:eastAsia="宋体"/>
                <w:color w:val="auto"/>
                <w:highlight w:val="none"/>
                <w:lang w:eastAsia="zh-CN"/>
              </w:rPr>
            </w:pPr>
            <w:r>
              <w:rPr>
                <w:rFonts w:hint="eastAsia" w:hAnsi="宋体"/>
                <w:color w:val="auto"/>
                <w:highlight w:val="none"/>
              </w:rPr>
              <w:t>注：</w:t>
            </w:r>
            <w:r>
              <w:rPr>
                <w:rFonts w:hint="eastAsia" w:hAnsi="宋体"/>
                <w:color w:val="auto"/>
                <w:highlight w:val="none"/>
                <w:lang w:val="en-US" w:eastAsia="zh-CN"/>
              </w:rPr>
              <w:t>（1）</w:t>
            </w:r>
            <w:r>
              <w:rPr>
                <w:rFonts w:hint="eastAsia" w:ascii="宋体" w:hAnsi="宋体" w:eastAsia="宋体"/>
                <w:color w:val="auto"/>
                <w:highlight w:val="none"/>
              </w:rPr>
              <w:t>对于偏离</w:t>
            </w:r>
            <w:r>
              <w:rPr>
                <w:rFonts w:hint="eastAsia" w:hAnsi="宋体"/>
                <w:color w:val="auto"/>
                <w:highlight w:val="none"/>
                <w:lang w:val="en-US" w:eastAsia="zh-CN"/>
              </w:rPr>
              <w:t>情况</w:t>
            </w:r>
            <w:r>
              <w:rPr>
                <w:rFonts w:hint="eastAsia" w:ascii="宋体" w:hAnsi="宋体" w:eastAsia="宋体"/>
                <w:color w:val="auto"/>
                <w:highlight w:val="none"/>
              </w:rPr>
              <w:t>的</w:t>
            </w:r>
            <w:r>
              <w:rPr>
                <w:rFonts w:hint="eastAsia" w:hAnsi="宋体"/>
                <w:color w:val="auto"/>
                <w:highlight w:val="none"/>
                <w:lang w:val="en-US" w:eastAsia="zh-CN"/>
              </w:rPr>
              <w:t>定义</w:t>
            </w:r>
            <w:r>
              <w:rPr>
                <w:rFonts w:hint="eastAsia" w:ascii="宋体" w:hAnsi="宋体" w:eastAsia="宋体"/>
                <w:color w:val="auto"/>
                <w:highlight w:val="none"/>
              </w:rPr>
              <w:t>，例“长度≥50cm”，若响应为50cm</w:t>
            </w:r>
            <w:r>
              <w:rPr>
                <w:rFonts w:hint="eastAsia" w:ascii="宋体" w:hAnsi="宋体" w:eastAsia="宋体"/>
                <w:color w:val="auto"/>
                <w:highlight w:val="none"/>
                <w:lang w:eastAsia="zh-CN"/>
              </w:rPr>
              <w:t>的</w:t>
            </w:r>
            <w:r>
              <w:rPr>
                <w:rFonts w:hint="eastAsia" w:ascii="宋体" w:hAnsi="宋体" w:eastAsia="宋体"/>
                <w:color w:val="auto"/>
                <w:highlight w:val="none"/>
              </w:rPr>
              <w:t>视为无偏离</w:t>
            </w:r>
            <w:r>
              <w:rPr>
                <w:rFonts w:hint="eastAsia" w:ascii="宋体" w:hAnsi="宋体" w:eastAsia="宋体"/>
                <w:color w:val="auto"/>
                <w:highlight w:val="none"/>
                <w:lang w:eastAsia="zh-CN"/>
              </w:rPr>
              <w:t>，</w:t>
            </w:r>
            <w:r>
              <w:rPr>
                <w:rFonts w:hint="eastAsia" w:ascii="宋体" w:hAnsi="宋体" w:eastAsia="宋体"/>
                <w:color w:val="auto"/>
                <w:highlight w:val="none"/>
              </w:rPr>
              <w:t>若响应为50cm</w:t>
            </w:r>
            <w:r>
              <w:rPr>
                <w:rFonts w:hint="eastAsia" w:ascii="宋体" w:hAnsi="宋体" w:eastAsia="宋体"/>
                <w:color w:val="auto"/>
                <w:highlight w:val="none"/>
                <w:lang w:val="en-US" w:eastAsia="zh-CN"/>
              </w:rPr>
              <w:t>以上</w:t>
            </w:r>
            <w:r>
              <w:rPr>
                <w:rFonts w:hint="eastAsia" w:ascii="宋体" w:hAnsi="宋体" w:eastAsia="宋体"/>
                <w:color w:val="auto"/>
                <w:highlight w:val="none"/>
              </w:rPr>
              <w:t>任意一个数值</w:t>
            </w:r>
            <w:r>
              <w:rPr>
                <w:rFonts w:hint="eastAsia" w:ascii="宋体" w:hAnsi="宋体" w:eastAsia="宋体"/>
                <w:color w:val="auto"/>
                <w:highlight w:val="none"/>
                <w:lang w:eastAsia="zh-CN"/>
              </w:rPr>
              <w:t>的</w:t>
            </w:r>
            <w:r>
              <w:rPr>
                <w:rFonts w:hint="eastAsia" w:ascii="宋体" w:hAnsi="宋体" w:eastAsia="宋体"/>
                <w:color w:val="auto"/>
                <w:highlight w:val="none"/>
              </w:rPr>
              <w:t>视为</w:t>
            </w:r>
            <w:r>
              <w:rPr>
                <w:rFonts w:hint="eastAsia" w:ascii="宋体" w:hAnsi="宋体" w:eastAsia="宋体"/>
                <w:color w:val="auto"/>
                <w:highlight w:val="none"/>
                <w:lang w:val="en-US" w:eastAsia="zh-CN"/>
              </w:rPr>
              <w:t>正</w:t>
            </w:r>
            <w:r>
              <w:rPr>
                <w:rFonts w:hint="eastAsia" w:ascii="宋体" w:hAnsi="宋体" w:eastAsia="宋体"/>
                <w:color w:val="auto"/>
                <w:highlight w:val="none"/>
              </w:rPr>
              <w:t>偏离</w:t>
            </w:r>
            <w:r>
              <w:rPr>
                <w:rFonts w:hint="eastAsia" w:hAnsi="宋体"/>
                <w:color w:val="auto"/>
                <w:highlight w:val="none"/>
                <w:lang w:eastAsia="zh-CN"/>
              </w:rPr>
              <w:t>，</w:t>
            </w:r>
            <w:r>
              <w:rPr>
                <w:rFonts w:hint="eastAsia" w:ascii="宋体" w:hAnsi="宋体" w:eastAsia="宋体"/>
                <w:color w:val="auto"/>
                <w:highlight w:val="none"/>
              </w:rPr>
              <w:t>若响应</w:t>
            </w:r>
            <w:r>
              <w:rPr>
                <w:rFonts w:hint="eastAsia" w:hAnsi="宋体"/>
                <w:color w:val="auto"/>
                <w:highlight w:val="none"/>
                <w:lang w:val="en-US" w:eastAsia="zh-CN"/>
              </w:rPr>
              <w:t>小于</w:t>
            </w:r>
            <w:r>
              <w:rPr>
                <w:rFonts w:hint="eastAsia" w:ascii="宋体" w:hAnsi="宋体" w:eastAsia="宋体"/>
                <w:color w:val="auto"/>
                <w:highlight w:val="none"/>
              </w:rPr>
              <w:t>50cm</w:t>
            </w:r>
            <w:r>
              <w:rPr>
                <w:rFonts w:hint="eastAsia" w:ascii="宋体" w:hAnsi="宋体" w:eastAsia="宋体"/>
                <w:color w:val="auto"/>
                <w:highlight w:val="none"/>
                <w:lang w:eastAsia="zh-CN"/>
              </w:rPr>
              <w:t>的</w:t>
            </w:r>
            <w:r>
              <w:rPr>
                <w:rFonts w:hint="eastAsia" w:ascii="宋体" w:hAnsi="宋体" w:eastAsia="宋体"/>
                <w:color w:val="auto"/>
                <w:highlight w:val="none"/>
              </w:rPr>
              <w:t>视为</w:t>
            </w:r>
            <w:r>
              <w:rPr>
                <w:rFonts w:hint="eastAsia" w:hAnsi="宋体"/>
                <w:color w:val="auto"/>
                <w:highlight w:val="none"/>
                <w:lang w:val="en-US" w:eastAsia="zh-CN"/>
              </w:rPr>
              <w:t>负</w:t>
            </w:r>
            <w:r>
              <w:rPr>
                <w:rFonts w:hint="eastAsia" w:ascii="宋体" w:hAnsi="宋体" w:eastAsia="宋体"/>
                <w:color w:val="auto"/>
                <w:highlight w:val="none"/>
              </w:rPr>
              <w:t>偏离</w:t>
            </w:r>
            <w:r>
              <w:rPr>
                <w:rFonts w:hint="eastAsia" w:ascii="宋体" w:hAnsi="宋体" w:eastAsia="宋体"/>
                <w:color w:val="auto"/>
                <w:highlight w:val="none"/>
                <w:lang w:eastAsia="zh-CN"/>
              </w:rPr>
              <w:t>。</w:t>
            </w:r>
          </w:p>
          <w:p w14:paraId="7CC07F66">
            <w:pPr>
              <w:pStyle w:val="27"/>
              <w:snapToGrid w:val="0"/>
              <w:spacing w:line="360" w:lineRule="exact"/>
              <w:ind w:firstLine="420" w:firstLineChars="200"/>
              <w:rPr>
                <w:rFonts w:hint="eastAsia" w:ascii="宋体" w:hAnsi="宋体" w:eastAsia="宋体"/>
                <w:color w:val="auto"/>
                <w:highlight w:val="none"/>
              </w:rPr>
            </w:pPr>
            <w:r>
              <w:rPr>
                <w:rFonts w:hint="eastAsia" w:hAnsi="宋体"/>
                <w:color w:val="auto"/>
                <w:highlight w:val="none"/>
                <w:lang w:val="en-US" w:eastAsia="zh-CN"/>
              </w:rPr>
              <w:t>（2）</w:t>
            </w:r>
            <w:r>
              <w:rPr>
                <w:rFonts w:hint="eastAsia" w:ascii="宋体" w:hAnsi="宋体" w:eastAsia="宋体"/>
                <w:color w:val="auto"/>
                <w:highlight w:val="none"/>
              </w:rPr>
              <w:t>对于固定参数，响应与采购需求中技术参数一致，视为无偏离，其他均视为负偏离。</w:t>
            </w:r>
          </w:p>
          <w:p w14:paraId="098FF0BE">
            <w:pPr>
              <w:pStyle w:val="27"/>
              <w:snapToGrid w:val="0"/>
              <w:spacing w:line="360" w:lineRule="exact"/>
              <w:ind w:firstLine="420" w:firstLineChars="200"/>
              <w:rPr>
                <w:rFonts w:hint="default" w:ascii="宋体" w:hAnsi="宋体" w:eastAsia="宋体"/>
                <w:color w:val="auto"/>
                <w:highlight w:val="none"/>
                <w:lang w:val="en-US" w:eastAsia="zh-CN"/>
              </w:rPr>
            </w:pPr>
            <w:r>
              <w:rPr>
                <w:rFonts w:hint="eastAsia" w:hAnsi="宋体"/>
                <w:color w:val="auto"/>
                <w:highlight w:val="none"/>
                <w:lang w:val="en-US" w:eastAsia="zh-CN"/>
              </w:rPr>
              <w:t>（3）</w:t>
            </w:r>
            <w:r>
              <w:rPr>
                <w:rFonts w:hint="eastAsia" w:ascii="宋体" w:hAnsi="宋体" w:eastAsia="宋体"/>
                <w:color w:val="auto"/>
                <w:highlight w:val="none"/>
                <w:lang w:val="en-US" w:eastAsia="zh-CN"/>
              </w:rPr>
              <w:t>对于区间任意值参数，例“5mm≤间距≤10mm”或“间距7.5±2.5mm”，若间距响应值为5mm-10mm中任意区间值或任意一个数值（含本数）时为无偏离，例：“6mm≤间距≤8mm”、“8±2mm”、“8mm”。超过区间范围视为负偏离，例：“3mm≤间距≤12mm”、“8±4mm”、“3-12mm”、“3mm”。</w:t>
            </w:r>
          </w:p>
        </w:tc>
      </w:tr>
      <w:tr w14:paraId="01699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460391B9">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02" w:type="dxa"/>
            <w:vAlign w:val="center"/>
          </w:tcPr>
          <w:p w14:paraId="1BA79522">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val="en-US" w:eastAsia="zh-CN"/>
              </w:rPr>
              <w:t>（2）项目</w:t>
            </w:r>
            <w:r>
              <w:rPr>
                <w:rFonts w:hint="eastAsia" w:ascii="宋体" w:hAnsi="宋体" w:eastAsia="宋体" w:cs="宋体"/>
                <w:b w:val="0"/>
                <w:bCs w:val="0"/>
                <w:color w:val="auto"/>
                <w:szCs w:val="21"/>
                <w:highlight w:val="none"/>
                <w:u w:val="none"/>
                <w:lang w:eastAsia="zh-CN"/>
              </w:rPr>
              <w:t>实施方案（满分</w:t>
            </w:r>
            <w:r>
              <w:rPr>
                <w:rFonts w:hint="eastAsia" w:ascii="宋体" w:hAnsi="宋体" w:cs="宋体"/>
                <w:b w:val="0"/>
                <w:bCs w:val="0"/>
                <w:color w:val="auto"/>
                <w:szCs w:val="21"/>
                <w:highlight w:val="none"/>
                <w:u w:val="none"/>
                <w:lang w:val="en-US" w:eastAsia="zh-CN"/>
              </w:rPr>
              <w:t>15</w:t>
            </w:r>
            <w:r>
              <w:rPr>
                <w:rFonts w:hint="eastAsia" w:ascii="宋体" w:hAnsi="宋体" w:eastAsia="宋体" w:cs="宋体"/>
                <w:b w:val="0"/>
                <w:bCs w:val="0"/>
                <w:color w:val="auto"/>
                <w:szCs w:val="21"/>
                <w:highlight w:val="none"/>
                <w:u w:val="none"/>
                <w:lang w:eastAsia="zh-CN"/>
              </w:rPr>
              <w:t>分）</w:t>
            </w:r>
          </w:p>
        </w:tc>
        <w:tc>
          <w:tcPr>
            <w:tcW w:w="7019" w:type="dxa"/>
            <w:vAlign w:val="center"/>
          </w:tcPr>
          <w:p w14:paraId="7104F24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基本分（满分3.5分）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投标人提供的针对本项目的项目实施方案进行评审，方案包括但不限于以下各项内容：①实施步骤与流程规划、②整体计划与风险应对、③组织架构与职责分工、④人员配备方案、⑤安装调试与技术服务培训方案、⑥质量保障方案、⑦交货期承诺与保障计划。投标人每提供一项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分，满分</w:t>
            </w:r>
            <w:r>
              <w:rPr>
                <w:rFonts w:hint="eastAsia"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p w14:paraId="77678F2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（2）加分项评审细则（满分11.5分）</w:t>
            </w:r>
          </w:p>
          <w:p w14:paraId="28E710F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default"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①实施步骤与流程规划</w:t>
            </w:r>
            <w:r>
              <w:rPr>
                <w:rFonts w:hint="eastAsia" w:hAnsi="宋体" w:cs="宋体"/>
                <w:b/>
                <w:bCs/>
                <w:color w:val="auto"/>
                <w:sz w:val="21"/>
                <w:szCs w:val="21"/>
                <w:highlight w:val="none"/>
                <w:lang w:val="en-US" w:eastAsia="zh-CN"/>
              </w:rPr>
              <w:t>（满分2分）</w:t>
            </w:r>
            <w:r>
              <w:rPr>
                <w:rFonts w:hint="eastAsia" w:ascii="宋体" w:hAnsi="宋体" w:eastAsia="宋体" w:cs="宋体"/>
                <w:color w:val="auto"/>
                <w:sz w:val="21"/>
                <w:szCs w:val="21"/>
                <w:highlight w:val="none"/>
                <w:lang w:val="en-US" w:eastAsia="zh-CN"/>
              </w:rPr>
              <w:t>：投标人提供的实施步骤每个环节都有时间节点和操作规范的，时间节点有5个以上且有操作规范的，得2分</w:t>
            </w:r>
            <w:r>
              <w:rPr>
                <w:rFonts w:hint="eastAsia" w:hAnsi="宋体" w:cs="宋体"/>
                <w:color w:val="auto"/>
                <w:sz w:val="21"/>
                <w:szCs w:val="21"/>
                <w:highlight w:val="none"/>
                <w:lang w:val="en-US" w:eastAsia="zh-CN"/>
              </w:rPr>
              <w:t>；时间节点有3个以上且有操作规范的，得1分；时间节点有1个以上且有操作规范的，得0.5分。</w:t>
            </w:r>
          </w:p>
          <w:p w14:paraId="36104E48">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②整体计划与风险应对（满分1分）</w:t>
            </w:r>
            <w:r>
              <w:rPr>
                <w:rFonts w:hint="eastAsia" w:ascii="宋体" w:hAnsi="宋体" w:eastAsia="宋体" w:cs="宋体"/>
                <w:color w:val="auto"/>
                <w:sz w:val="21"/>
                <w:szCs w:val="21"/>
                <w:highlight w:val="none"/>
                <w:lang w:val="en-US" w:eastAsia="zh-CN"/>
              </w:rPr>
              <w:t>：整体计划包含“启动-执行-验收-交付”全流程，识别潜在风险</w:t>
            </w:r>
            <w:r>
              <w:rPr>
                <w:rFonts w:hint="eastAsia" w:hAnsi="宋体" w:cs="宋体"/>
                <w:color w:val="auto"/>
                <w:sz w:val="21"/>
                <w:szCs w:val="21"/>
                <w:highlight w:val="none"/>
                <w:lang w:val="en-US" w:eastAsia="zh-CN"/>
              </w:rPr>
              <w:t>有5个以上且有</w:t>
            </w:r>
            <w:r>
              <w:rPr>
                <w:rFonts w:hint="eastAsia" w:ascii="宋体" w:hAnsi="宋体" w:eastAsia="宋体" w:cs="宋体"/>
                <w:color w:val="auto"/>
                <w:sz w:val="21"/>
                <w:szCs w:val="21"/>
                <w:highlight w:val="none"/>
                <w:lang w:val="en-US" w:eastAsia="zh-CN"/>
              </w:rPr>
              <w:t>应对措施的，得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p>
          <w:p w14:paraId="65CEDBE1">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③组织架构与职责分工（满分1分）</w:t>
            </w:r>
            <w:r>
              <w:rPr>
                <w:rFonts w:hint="eastAsia" w:ascii="宋体" w:hAnsi="宋体" w:eastAsia="宋体" w:cs="宋体"/>
                <w:color w:val="auto"/>
                <w:sz w:val="21"/>
                <w:szCs w:val="21"/>
                <w:highlight w:val="none"/>
                <w:lang w:val="en-US" w:eastAsia="zh-CN"/>
              </w:rPr>
              <w:t>：架构含“项目组-技术组-质控组-交付组”等核心部门，职责分工无重叠/遗漏，协作流程含各个时间节点的，得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969557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④人员配备方案（满分</w:t>
            </w: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8人以上，且有岗位设置清单、职责说明书、协作流程的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各岗位人员分工无重叠的，得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人以上，且有岗位设置清单、职责说明书、协作流程的，各岗位人员分工无重叠的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人以上，且有岗位设置清单、职责说明书、协作流程的，各岗位人员分工无重叠的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17C7EB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⑤安装调试与技术服务培训方案（满分</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：安装调试步骤≥5步，培训含“理论+ 实操”，且有培训考核标准的，得1分；</w:t>
            </w:r>
          </w:p>
          <w:p w14:paraId="5B4007D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⑥质量保障方案</w:t>
            </w:r>
            <w:r>
              <w:rPr>
                <w:rFonts w:hint="eastAsia" w:hAnsi="宋体" w:cs="宋体"/>
                <w:b/>
                <w:bCs/>
                <w:color w:val="auto"/>
                <w:sz w:val="21"/>
                <w:szCs w:val="21"/>
                <w:highlight w:val="none"/>
                <w:lang w:val="en-US" w:eastAsia="zh-CN"/>
              </w:rPr>
              <w:t>（满分2分）</w:t>
            </w:r>
            <w:r>
              <w:rPr>
                <w:rFonts w:hint="eastAsia" w:ascii="宋体" w:hAnsi="宋体" w:eastAsia="宋体" w:cs="宋体"/>
                <w:color w:val="auto"/>
                <w:sz w:val="21"/>
                <w:szCs w:val="21"/>
                <w:highlight w:val="none"/>
                <w:lang w:val="en-US" w:eastAsia="zh-CN"/>
              </w:rPr>
              <w:t>：涵盖“采购-生产-安装-验收”全周期，质量控制节点≥5个且每个节点有质量保证措施、检测标准与责任人的，得2分；</w:t>
            </w:r>
          </w:p>
          <w:p w14:paraId="0D451154">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⑦交货期承诺与保障计划</w:t>
            </w:r>
            <w:r>
              <w:rPr>
                <w:rFonts w:hint="eastAsia" w:hAnsi="宋体" w:cs="宋体"/>
                <w:b/>
                <w:bCs/>
                <w:color w:val="auto"/>
                <w:sz w:val="21"/>
                <w:szCs w:val="21"/>
                <w:highlight w:val="none"/>
                <w:lang w:val="en-US" w:eastAsia="zh-CN"/>
              </w:rPr>
              <w:t>（满分2.5分）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交货期比采购文件要求提前≥30%，保障计划含“资源调配-进度监控-应急补位”等3项及以上具体措施的，得</w:t>
            </w:r>
            <w:r>
              <w:rPr>
                <w:rFonts w:hint="eastAsia"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交货期比采购文件要求提前≥20%，保障计划含“资源调配-进度监控-应急补位”等3项及以上措施的，得2分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交货期比采购文件要求提前≥10%，保障计划含“资源调配-进度监控-应急补位”等3项及以上措施的，得1分。</w:t>
            </w:r>
          </w:p>
          <w:p w14:paraId="1FDB50B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color w:val="auto"/>
                <w:highlight w:val="none"/>
                <w:lang w:val="en-US" w:eastAsia="zh-CN"/>
              </w:rPr>
            </w:pPr>
            <w:r>
              <w:rPr>
                <w:rFonts w:hint="eastAsia"/>
                <w:b/>
                <w:bCs/>
                <w:color w:val="auto"/>
                <w:highlight w:val="none"/>
                <w:lang w:val="en-US" w:eastAsia="zh-CN"/>
              </w:rPr>
              <w:t>注：若投标人仅提供基本分对应内容，未提供加分项评审要点，或其加分项评审要点未满足以上加分评审细则规定的评审标准的，则仅得基本分。</w:t>
            </w:r>
          </w:p>
        </w:tc>
      </w:tr>
      <w:tr w14:paraId="77AA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548ED809">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02" w:type="dxa"/>
            <w:vAlign w:val="center"/>
          </w:tcPr>
          <w:p w14:paraId="7F2D706D">
            <w:pPr>
              <w:spacing w:line="360" w:lineRule="exact"/>
              <w:jc w:val="center"/>
              <w:outlineLvl w:val="0"/>
              <w:rPr>
                <w:rStyle w:val="209"/>
                <w:rFonts w:hint="eastAsia" w:ascii="宋体" w:hAnsi="宋体" w:eastAsia="宋体" w:cs="宋体"/>
                <w:b w:val="0"/>
                <w:bCs w:val="0"/>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应急方案（满分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7019" w:type="dxa"/>
            <w:vAlign w:val="center"/>
          </w:tcPr>
          <w:p w14:paraId="3072A1DE">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基本分（满分2.5分）</w:t>
            </w:r>
            <w:r>
              <w:rPr>
                <w:rFonts w:hint="eastAsia" w:hAnsi="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u w:val="none"/>
                <w:lang w:val="en-US" w:eastAsia="zh-CN"/>
              </w:rPr>
              <w:t>根据投标人提供的针对本项目的应急方案进行评审，方案包括但不限于以下各项内容：①应急响应方式及时间、②应急处理措施、③应急团队配置、</w:t>
            </w:r>
            <w:r>
              <w:rPr>
                <w:rFonts w:hint="eastAsia" w:ascii="宋体" w:hAnsi="宋体" w:eastAsia="宋体" w:cs="宋体"/>
                <w:color w:val="auto"/>
                <w:sz w:val="21"/>
                <w:szCs w:val="21"/>
                <w:highlight w:val="none"/>
                <w:lang w:val="en-US" w:eastAsia="zh-CN"/>
              </w:rPr>
              <w:t>④</w:t>
            </w:r>
            <w:r>
              <w:rPr>
                <w:rFonts w:hint="eastAsia" w:ascii="宋体" w:hAnsi="宋体" w:eastAsia="宋体" w:cs="宋体"/>
                <w:b w:val="0"/>
                <w:bCs w:val="0"/>
                <w:color w:val="auto"/>
                <w:sz w:val="21"/>
                <w:szCs w:val="21"/>
                <w:highlight w:val="none"/>
                <w:u w:val="none"/>
                <w:lang w:val="en-US" w:eastAsia="zh-CN"/>
              </w:rPr>
              <w:t>供货出现异常情况的应急预案、</w:t>
            </w:r>
            <w:r>
              <w:rPr>
                <w:rFonts w:hint="eastAsia" w:ascii="宋体" w:hAnsi="宋体" w:eastAsia="宋体" w:cs="宋体"/>
                <w:color w:val="auto"/>
                <w:sz w:val="21"/>
                <w:szCs w:val="21"/>
                <w:highlight w:val="none"/>
                <w:lang w:val="en-US" w:eastAsia="zh-CN"/>
              </w:rPr>
              <w:t>⑤</w:t>
            </w:r>
            <w:r>
              <w:rPr>
                <w:rFonts w:hint="eastAsia" w:ascii="宋体" w:hAnsi="宋体" w:eastAsia="宋体" w:cs="宋体"/>
                <w:b w:val="0"/>
                <w:bCs w:val="0"/>
                <w:color w:val="auto"/>
                <w:sz w:val="21"/>
                <w:szCs w:val="21"/>
                <w:highlight w:val="none"/>
                <w:u w:val="none"/>
                <w:lang w:val="en-US" w:eastAsia="zh-CN"/>
              </w:rPr>
              <w:t>产品出现质量问题时的应急预案。投标人每提供一项得</w:t>
            </w:r>
            <w:r>
              <w:rPr>
                <w:rFonts w:hint="eastAsia" w:ascii="宋体" w:hAnsi="宋体" w:cs="宋体"/>
                <w:b w:val="0"/>
                <w:bCs w:val="0"/>
                <w:color w:val="auto"/>
                <w:sz w:val="21"/>
                <w:szCs w:val="21"/>
                <w:highlight w:val="none"/>
                <w:u w:val="none"/>
                <w:lang w:val="en-US" w:eastAsia="zh-CN"/>
              </w:rPr>
              <w:t>0.5</w:t>
            </w:r>
            <w:r>
              <w:rPr>
                <w:rFonts w:hint="eastAsia" w:ascii="宋体" w:hAnsi="宋体" w:eastAsia="宋体" w:cs="宋体"/>
                <w:b w:val="0"/>
                <w:bCs w:val="0"/>
                <w:color w:val="auto"/>
                <w:sz w:val="21"/>
                <w:szCs w:val="21"/>
                <w:highlight w:val="none"/>
                <w:u w:val="none"/>
                <w:lang w:val="en-US" w:eastAsia="zh-CN"/>
              </w:rPr>
              <w:t>分，满分</w:t>
            </w:r>
            <w:r>
              <w:rPr>
                <w:rFonts w:hint="eastAsia" w:ascii="宋体" w:hAnsi="宋体" w:cs="宋体"/>
                <w:b w:val="0"/>
                <w:bCs w:val="0"/>
                <w:color w:val="auto"/>
                <w:sz w:val="21"/>
                <w:szCs w:val="21"/>
                <w:highlight w:val="none"/>
                <w:u w:val="none"/>
                <w:lang w:val="en-US" w:eastAsia="zh-CN"/>
              </w:rPr>
              <w:t>2.5</w:t>
            </w:r>
            <w:r>
              <w:rPr>
                <w:rFonts w:hint="eastAsia" w:ascii="宋体" w:hAnsi="宋体" w:eastAsia="宋体" w:cs="宋体"/>
                <w:b w:val="0"/>
                <w:bCs w:val="0"/>
                <w:color w:val="auto"/>
                <w:sz w:val="21"/>
                <w:szCs w:val="21"/>
                <w:highlight w:val="none"/>
                <w:u w:val="none"/>
                <w:lang w:val="en-US" w:eastAsia="zh-CN"/>
              </w:rPr>
              <w:t>分。</w:t>
            </w:r>
          </w:p>
          <w:p w14:paraId="49BF9187">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w:t>
            </w:r>
            <w:r>
              <w:rPr>
                <w:rFonts w:hint="eastAsia" w:hAnsi="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lang w:val="en-US" w:eastAsia="zh-CN"/>
              </w:rPr>
              <w:t>分）</w:t>
            </w:r>
          </w:p>
          <w:p w14:paraId="2B0E796D">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①应急响应方式及时间</w:t>
            </w:r>
            <w:r>
              <w:rPr>
                <w:rFonts w:hint="eastAsia" w:ascii="宋体" w:hAnsi="宋体" w:cs="宋体"/>
                <w:b/>
                <w:bCs/>
                <w:color w:val="auto"/>
                <w:sz w:val="21"/>
                <w:szCs w:val="21"/>
                <w:highlight w:val="none"/>
                <w:u w:val="none"/>
                <w:lang w:val="en-US" w:eastAsia="zh-CN"/>
              </w:rPr>
              <w:t>（满分1分）</w:t>
            </w: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响应渠道≥</w:t>
            </w:r>
            <w:r>
              <w:rPr>
                <w:rFonts w:hint="eastAsia" w:ascii="宋体"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种（含固定电话、24小时应急热线</w:t>
            </w:r>
            <w:r>
              <w:rPr>
                <w:rFonts w:hint="eastAsia" w:ascii="宋体" w:hAnsi="宋体" w:cs="宋体"/>
                <w:b w:val="0"/>
                <w:bCs w:val="0"/>
                <w:color w:val="auto"/>
                <w:sz w:val="21"/>
                <w:szCs w:val="21"/>
                <w:highlight w:val="none"/>
                <w:u w:val="none"/>
                <w:lang w:val="en-US" w:eastAsia="zh-CN"/>
              </w:rPr>
              <w:t>等</w:t>
            </w:r>
            <w:r>
              <w:rPr>
                <w:rFonts w:hint="eastAsia" w:ascii="宋体" w:hAnsi="宋体" w:eastAsia="宋体" w:cs="宋体"/>
                <w:b w:val="0"/>
                <w:bCs w:val="0"/>
                <w:color w:val="auto"/>
                <w:sz w:val="21"/>
                <w:szCs w:val="21"/>
                <w:highlight w:val="none"/>
                <w:u w:val="none"/>
                <w:lang w:val="en-US" w:eastAsia="zh-CN"/>
              </w:rPr>
              <w:t>）；渠道联系方式标注完整（含号码、责任人姓名）的，应急响应时间为30分钟以内的，得</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61A3DF88">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②应急处理措施（满分2分）</w:t>
            </w:r>
            <w:r>
              <w:rPr>
                <w:rFonts w:hint="eastAsia" w:ascii="宋体" w:hAnsi="宋体" w:eastAsia="宋体" w:cs="宋体"/>
                <w:b w:val="0"/>
                <w:bCs w:val="0"/>
                <w:color w:val="auto"/>
                <w:sz w:val="21"/>
                <w:szCs w:val="21"/>
                <w:highlight w:val="none"/>
                <w:u w:val="none"/>
                <w:lang w:val="en-US" w:eastAsia="zh-CN"/>
              </w:rPr>
              <w:t>：覆盖场景≥4类（含设备突发故障、供货延迟、运输受阻、现场安装异常等）</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每类场景处理步骤≥4步（如设备故障：接报→定位问题→调配备用设备→现场维修→验收）</w:t>
            </w:r>
            <w:r>
              <w:rPr>
                <w:rFonts w:hint="eastAsia" w:ascii="宋体" w:hAnsi="宋体" w:cs="宋体"/>
                <w:b w:val="0"/>
                <w:bCs w:val="0"/>
                <w:color w:val="auto"/>
                <w:sz w:val="21"/>
                <w:szCs w:val="21"/>
                <w:highlight w:val="none"/>
                <w:u w:val="none"/>
                <w:lang w:val="en-US" w:eastAsia="zh-CN"/>
              </w:rPr>
              <w:t>，故障处理时间＜12小时，且有故障处理流程，有备用设备≥2台的，得2分；故障处理时间＜24小时，且有故障处理流程，有备用设备≥1台的，得1分。</w:t>
            </w:r>
          </w:p>
          <w:p w14:paraId="2D01DEF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③应急团队配置</w:t>
            </w:r>
            <w:r>
              <w:rPr>
                <w:rFonts w:hint="eastAsia" w:ascii="宋体" w:hAnsi="宋体" w:cs="宋体"/>
                <w:b/>
                <w:bCs/>
                <w:color w:val="auto"/>
                <w:sz w:val="21"/>
                <w:szCs w:val="21"/>
                <w:highlight w:val="none"/>
                <w:u w:val="none"/>
                <w:lang w:val="en-US" w:eastAsia="zh-CN"/>
              </w:rPr>
              <w:t>（满分2分）</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附有人员姓名与联系方式的，得2分；</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附有人员姓名与联系方式的，得1分；</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附有人员姓名与联系方式的，得0.5分。</w:t>
            </w:r>
          </w:p>
          <w:p w14:paraId="4279E5C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④供货出现异常情况的应急预案（满分1分）</w:t>
            </w:r>
            <w:r>
              <w:rPr>
                <w:rFonts w:hint="eastAsia" w:ascii="宋体" w:hAnsi="宋体" w:eastAsia="宋体" w:cs="宋体"/>
                <w:b w:val="0"/>
                <w:bCs w:val="0"/>
                <w:color w:val="auto"/>
                <w:sz w:val="21"/>
                <w:szCs w:val="21"/>
                <w:highlight w:val="none"/>
                <w:u w:val="none"/>
                <w:lang w:val="en-US" w:eastAsia="zh-CN"/>
              </w:rPr>
              <w:t>：覆盖异常类型</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3种（含零部件短缺、生产延误等），每种类型对应</w:t>
            </w:r>
            <w:r>
              <w:rPr>
                <w:rFonts w:hint="eastAsia" w:ascii="宋体" w:hAnsi="宋体" w:cs="宋体"/>
                <w:b w:val="0"/>
                <w:bCs w:val="0"/>
                <w:color w:val="auto"/>
                <w:sz w:val="21"/>
                <w:szCs w:val="21"/>
                <w:highlight w:val="none"/>
                <w:u w:val="none"/>
                <w:lang w:val="en-US" w:eastAsia="zh-CN"/>
              </w:rPr>
              <w:t>大≥</w:t>
            </w:r>
            <w:r>
              <w:rPr>
                <w:rFonts w:hint="eastAsia" w:ascii="宋体" w:hAnsi="宋体" w:eastAsia="宋体" w:cs="宋体"/>
                <w:b w:val="0"/>
                <w:bCs w:val="0"/>
                <w:color w:val="auto"/>
                <w:sz w:val="21"/>
                <w:szCs w:val="21"/>
                <w:highlight w:val="none"/>
                <w:u w:val="none"/>
                <w:lang w:val="en-US" w:eastAsia="zh-CN"/>
              </w:rPr>
              <w:t>2项解决措施的，得</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19DCB51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fldChar w:fldCharType="begin"/>
            </w:r>
            <w:r>
              <w:rPr>
                <w:rFonts w:hint="eastAsia" w:ascii="宋体" w:hAnsi="宋体" w:eastAsia="宋体" w:cs="宋体"/>
                <w:b/>
                <w:bCs/>
                <w:color w:val="auto"/>
                <w:sz w:val="21"/>
                <w:szCs w:val="21"/>
                <w:highlight w:val="none"/>
                <w:u w:val="none"/>
                <w:lang w:val="en-US" w:eastAsia="zh-CN"/>
              </w:rPr>
              <w:instrText xml:space="preserve"> = 5 \* GB3 </w:instrText>
            </w:r>
            <w:r>
              <w:rPr>
                <w:rFonts w:hint="eastAsia" w:ascii="宋体" w:hAnsi="宋体" w:eastAsia="宋体" w:cs="宋体"/>
                <w:b/>
                <w:bCs/>
                <w:color w:val="auto"/>
                <w:sz w:val="21"/>
                <w:szCs w:val="21"/>
                <w:highlight w:val="none"/>
                <w:u w:val="none"/>
                <w:lang w:val="en-US" w:eastAsia="zh-CN"/>
              </w:rPr>
              <w:fldChar w:fldCharType="separate"/>
            </w:r>
            <w:r>
              <w:rPr>
                <w:rFonts w:hint="eastAsia" w:ascii="宋体" w:hAnsi="宋体" w:eastAsia="宋体" w:cs="宋体"/>
                <w:b/>
                <w:bCs/>
                <w:color w:val="auto"/>
                <w:sz w:val="21"/>
                <w:szCs w:val="21"/>
                <w:highlight w:val="none"/>
                <w:u w:val="none"/>
                <w:lang w:val="en-US" w:eastAsia="zh-CN"/>
              </w:rPr>
              <w:t>⑤</w:t>
            </w:r>
            <w:r>
              <w:rPr>
                <w:rFonts w:hint="eastAsia" w:ascii="宋体" w:hAnsi="宋体" w:eastAsia="宋体" w:cs="宋体"/>
                <w:b/>
                <w:bCs/>
                <w:color w:val="auto"/>
                <w:sz w:val="21"/>
                <w:szCs w:val="21"/>
                <w:highlight w:val="none"/>
                <w:u w:val="none"/>
                <w:lang w:val="en-US" w:eastAsia="zh-CN"/>
              </w:rPr>
              <w:fldChar w:fldCharType="end"/>
            </w:r>
            <w:r>
              <w:rPr>
                <w:rFonts w:hint="eastAsia" w:ascii="宋体" w:hAnsi="宋体" w:eastAsia="宋体" w:cs="宋体"/>
                <w:b/>
                <w:bCs/>
                <w:color w:val="auto"/>
                <w:sz w:val="21"/>
                <w:szCs w:val="21"/>
                <w:highlight w:val="none"/>
                <w:u w:val="none"/>
                <w:lang w:val="en-US" w:eastAsia="zh-CN"/>
              </w:rPr>
              <w:t>产品出现质量问题时的应急预案</w:t>
            </w:r>
            <w:r>
              <w:rPr>
                <w:rFonts w:hint="eastAsia" w:ascii="宋体" w:hAnsi="宋体" w:cs="宋体"/>
                <w:b/>
                <w:bCs/>
                <w:color w:val="auto"/>
                <w:sz w:val="21"/>
                <w:szCs w:val="21"/>
                <w:highlight w:val="none"/>
                <w:u w:val="none"/>
                <w:lang w:val="en-US" w:eastAsia="zh-CN"/>
              </w:rPr>
              <w:t>（满分</w:t>
            </w:r>
            <w:r>
              <w:rPr>
                <w:rFonts w:hint="eastAsia" w:hAnsi="宋体" w:cs="宋体"/>
                <w:b/>
                <w:bCs/>
                <w:color w:val="auto"/>
                <w:sz w:val="21"/>
                <w:szCs w:val="21"/>
                <w:highlight w:val="none"/>
                <w:u w:val="none"/>
                <w:lang w:val="en-US" w:eastAsia="zh-CN"/>
              </w:rPr>
              <w:t>1.5</w:t>
            </w:r>
            <w:r>
              <w:rPr>
                <w:rFonts w:hint="eastAsia" w:ascii="宋体" w:hAnsi="宋体" w:cs="宋体"/>
                <w:b/>
                <w:bCs/>
                <w:color w:val="auto"/>
                <w:sz w:val="21"/>
                <w:szCs w:val="21"/>
                <w:highlight w:val="none"/>
                <w:u w:val="none"/>
                <w:lang w:val="en-US" w:eastAsia="zh-CN"/>
              </w:rPr>
              <w:t>分）</w:t>
            </w:r>
            <w:r>
              <w:rPr>
                <w:rFonts w:hint="eastAsia" w:ascii="宋体" w:hAnsi="宋体" w:eastAsia="宋体" w:cs="宋体"/>
                <w:b w:val="0"/>
                <w:bCs w:val="0"/>
                <w:color w:val="auto"/>
                <w:sz w:val="21"/>
                <w:szCs w:val="21"/>
                <w:highlight w:val="none"/>
                <w:u w:val="none"/>
                <w:lang w:val="en-US" w:eastAsia="zh-CN"/>
              </w:rPr>
              <w:t>：覆盖质量问题</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3类（含性能不达标、外观损坏、配件缺失等）</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处理流程包含“免费更换/维修”承诺</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且附有售后网点地址与联系方式的，得</w:t>
            </w:r>
            <w:r>
              <w:rPr>
                <w:rFonts w:hint="eastAsia" w:hAnsi="宋体" w:cs="宋体"/>
                <w:b w:val="0"/>
                <w:bCs w:val="0"/>
                <w:color w:val="auto"/>
                <w:sz w:val="21"/>
                <w:szCs w:val="21"/>
                <w:highlight w:val="none"/>
                <w:u w:val="none"/>
                <w:lang w:val="en-US" w:eastAsia="zh-CN"/>
              </w:rPr>
              <w:t>1.5</w:t>
            </w:r>
            <w:r>
              <w:rPr>
                <w:rFonts w:hint="eastAsia" w:ascii="宋体" w:hAnsi="宋体" w:eastAsia="宋体" w:cs="宋体"/>
                <w:b w:val="0"/>
                <w:bCs w:val="0"/>
                <w:color w:val="auto"/>
                <w:sz w:val="21"/>
                <w:szCs w:val="21"/>
                <w:highlight w:val="none"/>
                <w:u w:val="none"/>
                <w:lang w:val="en-US" w:eastAsia="zh-CN"/>
              </w:rPr>
              <w:t>分；覆盖质量问题</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3类（含性能不达标、外观损坏、配件缺失等）</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处理流程包含“免费更换/维修”承诺</w:t>
            </w:r>
            <w:r>
              <w:rPr>
                <w:rFonts w:hint="eastAsia" w:hAnsi="宋体" w:cs="宋体"/>
                <w:b w:val="0"/>
                <w:bCs w:val="0"/>
                <w:color w:val="auto"/>
                <w:sz w:val="21"/>
                <w:szCs w:val="21"/>
                <w:highlight w:val="none"/>
                <w:u w:val="none"/>
                <w:lang w:val="en-US" w:eastAsia="zh-CN"/>
              </w:rPr>
              <w:t>，无</w:t>
            </w:r>
            <w:r>
              <w:rPr>
                <w:rFonts w:hint="eastAsia" w:ascii="宋体" w:hAnsi="宋体" w:eastAsia="宋体" w:cs="宋体"/>
                <w:b w:val="0"/>
                <w:bCs w:val="0"/>
                <w:color w:val="auto"/>
                <w:sz w:val="21"/>
                <w:szCs w:val="21"/>
                <w:highlight w:val="none"/>
                <w:u w:val="none"/>
                <w:lang w:val="en-US" w:eastAsia="zh-CN"/>
              </w:rPr>
              <w:t>售后网点地址与联系方式的，得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678B23F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color w:val="auto"/>
                <w:highlight w:val="none"/>
                <w:lang w:val="en-US" w:eastAsia="zh-CN"/>
              </w:rPr>
            </w:pPr>
            <w:r>
              <w:rPr>
                <w:rFonts w:hint="eastAsia"/>
                <w:b/>
                <w:bCs/>
                <w:color w:val="auto"/>
                <w:highlight w:val="none"/>
                <w:lang w:val="en-US" w:eastAsia="zh-CN"/>
              </w:rPr>
              <w:t>注：若投标人仅提供基本分对应内容，未提供加分项评审要点，或其加分项评审要点未满足以上加分评审细则规定的评审标准的，则仅得基本分。</w:t>
            </w:r>
          </w:p>
        </w:tc>
      </w:tr>
      <w:tr w14:paraId="114D5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restart"/>
            <w:vAlign w:val="center"/>
          </w:tcPr>
          <w:p w14:paraId="6A092573">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3.商务分</w:t>
            </w:r>
          </w:p>
          <w:p w14:paraId="7F12581C">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u w:val="none"/>
                <w:lang w:val="en-US" w:eastAsia="zh-CN"/>
              </w:rPr>
              <w:t>（满分</w:t>
            </w:r>
            <w:r>
              <w:rPr>
                <w:rFonts w:hint="eastAsia" w:ascii="宋体" w:hAnsi="宋体" w:cs="宋体"/>
                <w:b w:val="0"/>
                <w:bCs w:val="0"/>
                <w:color w:val="auto"/>
                <w:szCs w:val="21"/>
                <w:highlight w:val="none"/>
                <w:u w:val="none"/>
                <w:lang w:val="en-US" w:eastAsia="zh-CN"/>
              </w:rPr>
              <w:t>30</w:t>
            </w:r>
            <w:r>
              <w:rPr>
                <w:rFonts w:hint="eastAsia" w:ascii="宋体" w:hAnsi="宋体" w:eastAsia="宋体" w:cs="宋体"/>
                <w:b w:val="0"/>
                <w:bCs w:val="0"/>
                <w:color w:val="auto"/>
                <w:szCs w:val="21"/>
                <w:highlight w:val="none"/>
                <w:u w:val="none"/>
                <w:lang w:val="en-US" w:eastAsia="zh-CN"/>
              </w:rPr>
              <w:t>分）</w:t>
            </w:r>
          </w:p>
        </w:tc>
        <w:tc>
          <w:tcPr>
            <w:tcW w:w="1402" w:type="dxa"/>
            <w:vAlign w:val="center"/>
          </w:tcPr>
          <w:p w14:paraId="416D46E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（1）售后服务方案（满分1</w:t>
            </w:r>
            <w:r>
              <w:rPr>
                <w:rFonts w:hint="eastAsia" w:ascii="宋体" w:hAnsi="宋体" w:cs="宋体"/>
                <w:b w:val="0"/>
                <w:bCs w:val="0"/>
                <w:color w:val="auto"/>
                <w:szCs w:val="21"/>
                <w:highlight w:val="none"/>
                <w:u w:val="none"/>
                <w:lang w:val="en-US" w:eastAsia="zh-CN"/>
              </w:rPr>
              <w:t>7</w:t>
            </w:r>
            <w:r>
              <w:rPr>
                <w:rFonts w:hint="eastAsia" w:ascii="宋体" w:hAnsi="宋体" w:eastAsia="宋体" w:cs="宋体"/>
                <w:b w:val="0"/>
                <w:bCs w:val="0"/>
                <w:color w:val="auto"/>
                <w:szCs w:val="21"/>
                <w:highlight w:val="none"/>
                <w:u w:val="none"/>
                <w:lang w:val="en-US" w:eastAsia="zh-CN"/>
              </w:rPr>
              <w:t>分）</w:t>
            </w:r>
          </w:p>
        </w:tc>
        <w:tc>
          <w:tcPr>
            <w:tcW w:w="7019" w:type="dxa"/>
            <w:vAlign w:val="center"/>
          </w:tcPr>
          <w:p w14:paraId="55BEEDF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基本分（满分3.5分）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根据投标人提供的针对本项目的</w:t>
            </w:r>
            <w:r>
              <w:rPr>
                <w:rFonts w:hint="eastAsia" w:ascii="宋体" w:hAnsi="宋体" w:eastAsia="宋体" w:cs="宋体"/>
                <w:b w:val="0"/>
                <w:bCs w:val="0"/>
                <w:color w:val="auto"/>
                <w:sz w:val="21"/>
                <w:szCs w:val="21"/>
                <w:highlight w:val="none"/>
                <w:u w:val="none"/>
                <w:lang w:val="en-US" w:eastAsia="zh-CN"/>
              </w:rPr>
              <w:t>售后服务方案</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b w:val="0"/>
                <w:bCs w:val="0"/>
                <w:color w:val="auto"/>
                <w:sz w:val="21"/>
                <w:szCs w:val="21"/>
                <w:highlight w:val="none"/>
                <w:u w:val="none"/>
                <w:lang w:val="en-US" w:eastAsia="zh-CN"/>
              </w:rPr>
              <w:t>，方案</w:t>
            </w:r>
            <w:r>
              <w:rPr>
                <w:rFonts w:hint="eastAsia" w:ascii="宋体" w:hAnsi="宋体" w:eastAsia="宋体" w:cs="宋体"/>
                <w:color w:val="auto"/>
                <w:sz w:val="21"/>
                <w:szCs w:val="21"/>
                <w:highlight w:val="none"/>
                <w:lang w:val="en-US" w:eastAsia="zh-CN"/>
              </w:rPr>
              <w:t>包含但不限于以下各项内容：</w:t>
            </w:r>
            <w:r>
              <w:rPr>
                <w:rFonts w:hint="eastAsia" w:ascii="宋体" w:hAnsi="宋体" w:eastAsia="宋体" w:cs="宋体"/>
                <w:color w:val="auto"/>
                <w:kern w:val="0"/>
                <w:sz w:val="21"/>
                <w:szCs w:val="21"/>
                <w:highlight w:val="none"/>
                <w:lang w:val="en-US" w:eastAsia="zh-CN"/>
              </w:rPr>
              <w:t>① 售后服务承诺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② 响应时间、③ 到达故障现场时间、④ 故障出现解决方案、⑤ 定期维护承诺、⑥ 技术培训方案、⑦ 保修期内及保修期外维修方案。</w:t>
            </w:r>
            <w:r>
              <w:rPr>
                <w:rFonts w:hint="eastAsia" w:ascii="宋体" w:hAnsi="宋体" w:eastAsia="宋体" w:cs="宋体"/>
                <w:color w:val="auto"/>
                <w:sz w:val="21"/>
                <w:szCs w:val="21"/>
                <w:highlight w:val="none"/>
                <w:lang w:val="en-US" w:eastAsia="zh-CN"/>
              </w:rPr>
              <w:t>投标人每提供一项得1分，满分</w:t>
            </w:r>
            <w:r>
              <w:rPr>
                <w:rFonts w:hint="eastAsia"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p w14:paraId="0646812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（2）加分项评审细则（满分1</w:t>
            </w: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.5分）</w:t>
            </w:r>
          </w:p>
          <w:p w14:paraId="6F797FA3">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i w:val="0"/>
                <w:iCs w:val="0"/>
                <w:caps w:val="0"/>
                <w:color w:val="auto"/>
                <w:spacing w:val="0"/>
                <w:sz w:val="21"/>
                <w:szCs w:val="21"/>
                <w:highlight w:val="none"/>
                <w:shd w:val="clear" w:color="auto" w:fill="EFF0F1"/>
                <w:lang w:val="en-US" w:eastAsia="zh-CN"/>
              </w:rPr>
            </w:pPr>
            <w:r>
              <w:rPr>
                <w:rFonts w:hint="eastAsia" w:ascii="宋体" w:hAnsi="宋体" w:eastAsia="宋体" w:cs="宋体"/>
                <w:b/>
                <w:bCs/>
                <w:color w:val="auto"/>
                <w:kern w:val="0"/>
                <w:sz w:val="21"/>
                <w:szCs w:val="21"/>
                <w:highlight w:val="none"/>
                <w:lang w:val="en-US" w:eastAsia="zh-CN"/>
              </w:rPr>
              <w:t>①售后服务承诺</w:t>
            </w:r>
            <w:r>
              <w:rPr>
                <w:rFonts w:hint="eastAsia" w:hAnsi="宋体" w:cs="宋体"/>
                <w:b/>
                <w:bCs/>
                <w:color w:val="auto"/>
                <w:kern w:val="0"/>
                <w:sz w:val="21"/>
                <w:szCs w:val="21"/>
                <w:highlight w:val="none"/>
                <w:lang w:val="en-US" w:eastAsia="zh-CN"/>
              </w:rPr>
              <w:t>（满分1分）</w:t>
            </w:r>
            <w:r>
              <w:rPr>
                <w:rFonts w:hint="eastAsia" w:ascii="宋体" w:hAnsi="宋体" w:eastAsia="宋体" w:cs="宋体"/>
                <w:color w:val="auto"/>
                <w:kern w:val="0"/>
                <w:sz w:val="21"/>
                <w:szCs w:val="21"/>
                <w:highlight w:val="none"/>
                <w:lang w:val="en-US" w:eastAsia="zh-CN"/>
              </w:rPr>
              <w:t>：有“7×24小时全天候服务”、“质保期内免费维修/更换”、“质保期外只收成本费”3项及以上核心承诺的，得1分；</w:t>
            </w:r>
          </w:p>
          <w:p w14:paraId="54E423DC">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 响应时间</w:t>
            </w:r>
            <w:r>
              <w:rPr>
                <w:rFonts w:hint="eastAsia" w:hAnsi="宋体" w:cs="宋体"/>
                <w:b/>
                <w:bCs/>
                <w:color w:val="auto"/>
                <w:kern w:val="0"/>
                <w:sz w:val="21"/>
                <w:szCs w:val="21"/>
                <w:highlight w:val="none"/>
                <w:lang w:val="en-US" w:eastAsia="zh-CN"/>
              </w:rPr>
              <w:t>（满分1分）</w:t>
            </w:r>
            <w:r>
              <w:rPr>
                <w:rFonts w:hint="eastAsia" w:ascii="宋体" w:hAnsi="宋体" w:eastAsia="宋体" w:cs="宋体"/>
                <w:color w:val="auto"/>
                <w:kern w:val="0"/>
                <w:sz w:val="21"/>
                <w:szCs w:val="21"/>
                <w:highlight w:val="none"/>
                <w:lang w:val="en-US" w:eastAsia="zh-CN"/>
              </w:rPr>
              <w:t>：接到设备报修通知后30分钟内响应的，得1分；</w:t>
            </w:r>
          </w:p>
          <w:p w14:paraId="4F6CABA6">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 到达故障现场时间</w:t>
            </w:r>
            <w:r>
              <w:rPr>
                <w:rFonts w:hint="eastAsia" w:hAnsi="宋体" w:cs="宋体"/>
                <w:b/>
                <w:bCs/>
                <w:color w:val="auto"/>
                <w:kern w:val="0"/>
                <w:sz w:val="21"/>
                <w:szCs w:val="21"/>
                <w:highlight w:val="none"/>
                <w:lang w:val="en-US" w:eastAsia="zh-CN"/>
              </w:rPr>
              <w:t>（满分3分）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自接到采购人故障到场通知起，2小时内到达现场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注：投标人须随投标文件提交能够证明其可在承诺时限内到达现场的</w:t>
            </w:r>
            <w:r>
              <w:rPr>
                <w:rFonts w:hint="eastAsia" w:hAnsi="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lang w:val="en-US" w:eastAsia="zh-CN"/>
              </w:rPr>
              <w:t>证明材料（如：服务网点证明、应急交通工具安排到达服务区域的路线与时间测算说明等</w:t>
            </w:r>
            <w:r>
              <w:rPr>
                <w:rFonts w:hint="eastAsia" w:hAnsi="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lang w:val="en-US" w:eastAsia="zh-CN"/>
              </w:rPr>
              <w:t>证明材料）。</w:t>
            </w:r>
          </w:p>
          <w:p w14:paraId="251D4BD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 故障出现解决方案</w:t>
            </w:r>
            <w:r>
              <w:rPr>
                <w:rFonts w:hint="eastAsia" w:hAnsi="宋体" w:cs="宋体"/>
                <w:b/>
                <w:bCs/>
                <w:color w:val="auto"/>
                <w:kern w:val="0"/>
                <w:sz w:val="21"/>
                <w:szCs w:val="21"/>
                <w:highlight w:val="none"/>
                <w:lang w:val="en-US" w:eastAsia="zh-CN"/>
              </w:rPr>
              <w:t>（满分3分）</w:t>
            </w:r>
            <w:r>
              <w:rPr>
                <w:rFonts w:hint="eastAsia" w:ascii="宋体" w:hAnsi="宋体" w:eastAsia="宋体" w:cs="宋体"/>
                <w:color w:val="auto"/>
                <w:kern w:val="0"/>
                <w:sz w:val="21"/>
                <w:szCs w:val="21"/>
                <w:highlight w:val="none"/>
                <w:lang w:val="en-US" w:eastAsia="zh-CN"/>
              </w:rPr>
              <w:t>：储备替代品/配件≥3套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分；储备替代品/配件≥</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分；储备替代品/配件≥</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p>
          <w:p w14:paraId="521874C4">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⑤定期维护承诺</w:t>
            </w:r>
            <w:r>
              <w:rPr>
                <w:rFonts w:hint="eastAsia" w:hAnsi="宋体" w:cs="宋体"/>
                <w:b/>
                <w:bCs/>
                <w:color w:val="auto"/>
                <w:kern w:val="0"/>
                <w:sz w:val="21"/>
                <w:szCs w:val="21"/>
                <w:highlight w:val="none"/>
                <w:lang w:val="en-US" w:eastAsia="zh-CN"/>
              </w:rPr>
              <w:t>（满分2分）</w:t>
            </w:r>
            <w:r>
              <w:rPr>
                <w:rFonts w:hint="eastAsia" w:ascii="宋体" w:hAnsi="宋体" w:eastAsia="宋体" w:cs="宋体"/>
                <w:color w:val="auto"/>
                <w:kern w:val="0"/>
                <w:sz w:val="21"/>
                <w:szCs w:val="21"/>
                <w:highlight w:val="none"/>
                <w:lang w:val="en-US" w:eastAsia="zh-CN"/>
              </w:rPr>
              <w:t>：有定期维护周期（每3个月1次常规检测，每6个月1次深度保养）；每次维护包含“设备性能检测、易损件检查、清洁润滑”等3项及以上内容的，得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03856156">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⑥技术培训方案</w:t>
            </w:r>
            <w:r>
              <w:rPr>
                <w:rFonts w:hint="eastAsia" w:hAnsi="宋体" w:cs="宋体"/>
                <w:b/>
                <w:bCs/>
                <w:color w:val="auto"/>
                <w:kern w:val="0"/>
                <w:sz w:val="21"/>
                <w:szCs w:val="21"/>
                <w:highlight w:val="none"/>
                <w:lang w:val="en-US" w:eastAsia="zh-CN"/>
              </w:rPr>
              <w:t>（满分2分）</w:t>
            </w:r>
            <w:r>
              <w:rPr>
                <w:rFonts w:hint="eastAsia" w:ascii="宋体" w:hAnsi="宋体" w:eastAsia="宋体" w:cs="宋体"/>
                <w:color w:val="auto"/>
                <w:kern w:val="0"/>
                <w:sz w:val="21"/>
                <w:szCs w:val="21"/>
                <w:highlight w:val="none"/>
                <w:lang w:val="en-US" w:eastAsia="zh-CN"/>
              </w:rPr>
              <w:t>：包含培训次数≥2次（设备交付后1周内1次基础操作培训，3个月后1次故障排查培训），每次培训时长≥4小时（含2小时理论 + 2小时实操），培训后组织考核，考核通过率需达100%（未通过者免费复训）的，得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146DBE49">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⑦保修期内及保修期外维修方案（满分1.5分）</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bidi="ar-SA"/>
              </w:rPr>
              <w:t>保修期内承诺免费更换所有非人为损坏部件；在投标</w:t>
            </w:r>
            <w:r>
              <w:rPr>
                <w:rFonts w:hint="eastAsia" w:ascii="宋体" w:hAnsi="宋体" w:cs="宋体"/>
                <w:color w:val="auto"/>
                <w:kern w:val="0"/>
                <w:sz w:val="21"/>
                <w:szCs w:val="21"/>
                <w:highlight w:val="none"/>
                <w:lang w:val="en-US" w:eastAsia="zh-CN" w:bidi="ar-SA"/>
              </w:rPr>
              <w:t>文件中有提供</w:t>
            </w:r>
            <w:r>
              <w:rPr>
                <w:rFonts w:hint="eastAsia" w:ascii="宋体" w:hAnsi="宋体" w:eastAsia="宋体" w:cs="宋体"/>
                <w:color w:val="auto"/>
                <w:kern w:val="0"/>
                <w:sz w:val="21"/>
                <w:szCs w:val="21"/>
                <w:highlight w:val="none"/>
                <w:lang w:val="en-US" w:eastAsia="zh-CN" w:bidi="ar-SA"/>
              </w:rPr>
              <w:t>保修期外维修费用明细（含零部件单价、人工单价）</w:t>
            </w:r>
            <w:r>
              <w:rPr>
                <w:rFonts w:hint="eastAsia" w:ascii="宋体" w:hAnsi="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，维修部件维修后提供质保</w:t>
            </w:r>
            <w:r>
              <w:rPr>
                <w:rFonts w:hint="eastAsia" w:ascii="宋体" w:hAnsi="宋体" w:cs="宋体"/>
                <w:color w:val="auto"/>
                <w:kern w:val="0"/>
                <w:sz w:val="21"/>
                <w:szCs w:val="21"/>
                <w:highlight w:val="none"/>
                <w:lang w:val="en-US" w:eastAsia="zh-CN" w:bidi="ar-SA"/>
              </w:rPr>
              <w:t>≥3个月以上</w:t>
            </w:r>
            <w:r>
              <w:rPr>
                <w:rFonts w:hint="eastAsia" w:ascii="宋体" w:hAnsi="宋体" w:eastAsia="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rPr>
              <w:t>，得</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en-US" w:eastAsia="zh-CN"/>
              </w:rPr>
              <w:t>分；</w:t>
            </w:r>
          </w:p>
          <w:p w14:paraId="5455D90B">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color w:val="auto"/>
                <w:highlight w:val="none"/>
                <w:lang w:val="en-US" w:eastAsia="zh-CN"/>
              </w:rPr>
            </w:pPr>
            <w:r>
              <w:rPr>
                <w:rFonts w:hint="eastAsia"/>
                <w:b/>
                <w:bCs/>
                <w:color w:val="auto"/>
                <w:sz w:val="21"/>
                <w:szCs w:val="21"/>
                <w:highlight w:val="none"/>
                <w:lang w:val="en-US" w:eastAsia="zh-CN"/>
              </w:rPr>
              <w:t>注：若投标人仅提供基本分对应内容，未提供加分项评审要点，或其加分项评审要点未满足以上加分评审细则规定的评审标准的，则仅得基本分。</w:t>
            </w:r>
          </w:p>
        </w:tc>
      </w:tr>
      <w:tr w14:paraId="3DA4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jc w:val="center"/>
        </w:trPr>
        <w:tc>
          <w:tcPr>
            <w:tcW w:w="1200" w:type="dxa"/>
            <w:vMerge w:val="continue"/>
            <w:vAlign w:val="center"/>
          </w:tcPr>
          <w:p w14:paraId="011FCB4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6C3FDE7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（2）履约能力分（满分3分）</w:t>
            </w:r>
          </w:p>
        </w:tc>
        <w:tc>
          <w:tcPr>
            <w:tcW w:w="7019" w:type="dxa"/>
            <w:vAlign w:val="center"/>
          </w:tcPr>
          <w:p w14:paraId="59E7CBB5">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szCs w:val="24"/>
                <w:highlight w:val="none"/>
              </w:rPr>
              <w:t>投标人或投标产品生产厂商</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制造商</w:t>
            </w:r>
            <w:r>
              <w:rPr>
                <w:rFonts w:hint="eastAsia" w:hAnsi="宋体" w:cs="宋体"/>
                <w:color w:val="auto"/>
                <w:szCs w:val="24"/>
                <w:highlight w:val="none"/>
                <w:lang w:eastAsia="zh-CN"/>
              </w:rPr>
              <w:t>）</w:t>
            </w:r>
            <w:r>
              <w:rPr>
                <w:rFonts w:hint="eastAsia" w:ascii="宋体" w:hAnsi="宋体" w:eastAsia="宋体" w:cs="宋体"/>
                <w:color w:val="auto"/>
                <w:szCs w:val="24"/>
                <w:highlight w:val="none"/>
                <w:lang w:val="en-US" w:eastAsia="zh-CN"/>
              </w:rPr>
              <w:t>具备</w:t>
            </w:r>
            <w:r>
              <w:rPr>
                <w:rFonts w:hint="eastAsia" w:ascii="宋体" w:hAnsi="宋体" w:eastAsia="宋体" w:cs="宋体"/>
                <w:color w:val="auto"/>
                <w:szCs w:val="24"/>
                <w:highlight w:val="none"/>
              </w:rPr>
              <w:t>ISO9001质量管理体系认证</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ISO</w:t>
            </w:r>
            <w:r>
              <w:rPr>
                <w:rFonts w:hint="eastAsia" w:ascii="宋体" w:hAnsi="宋体" w:eastAsia="宋体" w:cs="宋体"/>
                <w:color w:val="auto"/>
                <w:szCs w:val="24"/>
                <w:highlight w:val="none"/>
                <w:lang w:eastAsia="zh-CN"/>
              </w:rPr>
              <w:t>14001环境管理体系认证证书、</w:t>
            </w:r>
            <w:r>
              <w:rPr>
                <w:rFonts w:hint="eastAsia" w:ascii="宋体" w:hAnsi="宋体" w:eastAsia="宋体" w:cs="宋体"/>
                <w:color w:val="auto"/>
                <w:kern w:val="2"/>
                <w:sz w:val="21"/>
                <w:szCs w:val="24"/>
                <w:highlight w:val="none"/>
                <w:lang w:eastAsia="zh-CN"/>
              </w:rPr>
              <w:t>ISO45001职业健康安全管理体系认证</w:t>
            </w:r>
            <w:r>
              <w:rPr>
                <w:rFonts w:hint="eastAsia" w:ascii="宋体" w:hAnsi="宋体" w:eastAsia="宋体" w:cs="宋体"/>
                <w:color w:val="auto"/>
                <w:szCs w:val="24"/>
                <w:highlight w:val="none"/>
                <w:lang w:val="en-US" w:eastAsia="zh-CN"/>
              </w:rPr>
              <w:t>的</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每个</w:t>
            </w:r>
            <w:r>
              <w:rPr>
                <w:rFonts w:hint="eastAsia" w:ascii="宋体" w:hAnsi="宋体" w:eastAsia="宋体" w:cs="宋体"/>
                <w:color w:val="auto"/>
                <w:szCs w:val="24"/>
                <w:highlight w:val="none"/>
              </w:rPr>
              <w:t>得</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满分3分</w:t>
            </w:r>
            <w:r>
              <w:rPr>
                <w:rFonts w:hint="eastAsia" w:ascii="宋体" w:hAnsi="宋体" w:eastAsia="宋体" w:cs="宋体"/>
                <w:color w:val="auto"/>
                <w:szCs w:val="24"/>
                <w:highlight w:val="none"/>
              </w:rPr>
              <w:t>。</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1"/>
                <w:highlight w:val="none"/>
                <w:lang w:eastAsia="zh-CN"/>
              </w:rPr>
              <w:t>需在投标文件中</w:t>
            </w:r>
            <w:r>
              <w:rPr>
                <w:rFonts w:hint="eastAsia" w:ascii="宋体" w:hAnsi="宋体" w:eastAsia="宋体" w:cs="宋体"/>
                <w:b/>
                <w:bCs/>
                <w:color w:val="auto"/>
                <w:szCs w:val="21"/>
                <w:highlight w:val="none"/>
              </w:rPr>
              <w:t>提供</w:t>
            </w:r>
            <w:r>
              <w:rPr>
                <w:rFonts w:hint="eastAsia" w:ascii="宋体" w:hAnsi="宋体" w:eastAsia="宋体" w:cs="宋体"/>
                <w:b/>
                <w:bCs/>
                <w:i w:val="0"/>
                <w:iCs w:val="0"/>
                <w:color w:val="auto"/>
                <w:szCs w:val="24"/>
                <w:highlight w:val="none"/>
              </w:rPr>
              <w:t>以上证</w:t>
            </w:r>
            <w:r>
              <w:rPr>
                <w:rFonts w:hint="eastAsia" w:ascii="宋体" w:hAnsi="宋体" w:eastAsia="宋体" w:cs="宋体"/>
                <w:b/>
                <w:bCs/>
                <w:i w:val="0"/>
                <w:iCs w:val="0"/>
                <w:color w:val="auto"/>
                <w:szCs w:val="24"/>
                <w:highlight w:val="none"/>
                <w:lang w:val="en-US" w:eastAsia="zh-CN"/>
              </w:rPr>
              <w:t>书</w:t>
            </w:r>
            <w:r>
              <w:rPr>
                <w:rFonts w:hint="eastAsia" w:ascii="宋体" w:hAnsi="宋体" w:eastAsia="宋体" w:cs="宋体"/>
                <w:b/>
                <w:bCs/>
                <w:i w:val="0"/>
                <w:iCs w:val="0"/>
                <w:color w:val="auto"/>
                <w:szCs w:val="24"/>
                <w:highlight w:val="none"/>
              </w:rPr>
              <w:t>复印件，并加盖</w:t>
            </w:r>
            <w:r>
              <w:rPr>
                <w:rFonts w:hint="eastAsia" w:ascii="宋体" w:hAnsi="宋体" w:eastAsia="宋体" w:cs="宋体"/>
                <w:b/>
                <w:bCs/>
                <w:i w:val="0"/>
                <w:iCs w:val="0"/>
                <w:color w:val="auto"/>
                <w:highlight w:val="none"/>
              </w:rPr>
              <w:t>投标人</w:t>
            </w:r>
            <w:r>
              <w:rPr>
                <w:rFonts w:hint="eastAsia" w:ascii="宋体" w:hAnsi="宋体" w:eastAsia="宋体" w:cs="宋体"/>
                <w:b/>
                <w:bCs/>
                <w:i w:val="0"/>
                <w:iCs w:val="0"/>
                <w:color w:val="auto"/>
                <w:szCs w:val="24"/>
                <w:highlight w:val="none"/>
                <w:lang w:val="en-US" w:eastAsia="zh-CN"/>
              </w:rPr>
              <w:t>公章</w:t>
            </w:r>
            <w:r>
              <w:rPr>
                <w:rFonts w:hint="eastAsia" w:ascii="宋体" w:hAnsi="宋体" w:eastAsia="宋体" w:cs="宋体"/>
                <w:b/>
                <w:bCs/>
                <w:i w:val="0"/>
                <w:iCs w:val="0"/>
                <w:color w:val="auto"/>
                <w:szCs w:val="24"/>
                <w:highlight w:val="none"/>
              </w:rPr>
              <w:t>，否则不予认可</w:t>
            </w:r>
            <w:r>
              <w:rPr>
                <w:rFonts w:hint="eastAsia" w:ascii="宋体" w:hAnsi="宋体" w:eastAsia="宋体" w:cs="宋体"/>
                <w:b/>
                <w:bCs/>
                <w:color w:val="auto"/>
                <w:szCs w:val="24"/>
                <w:highlight w:val="none"/>
                <w:lang w:eastAsia="zh-CN"/>
              </w:rPr>
              <w:t>）</w:t>
            </w:r>
          </w:p>
        </w:tc>
      </w:tr>
      <w:tr w14:paraId="37F8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4210B34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7080940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（3）业绩</w:t>
            </w:r>
            <w:r>
              <w:rPr>
                <w:rFonts w:hint="eastAsia" w:ascii="宋体" w:hAnsi="宋体" w:cs="宋体"/>
                <w:b w:val="0"/>
                <w:bCs w:val="0"/>
                <w:color w:val="auto"/>
                <w:szCs w:val="21"/>
                <w:highlight w:val="none"/>
                <w:u w:val="none"/>
                <w:lang w:val="en-US" w:eastAsia="zh-CN"/>
              </w:rPr>
              <w:t>分</w:t>
            </w:r>
            <w:r>
              <w:rPr>
                <w:rFonts w:hint="eastAsia" w:ascii="宋体" w:hAnsi="宋体" w:eastAsia="宋体" w:cs="宋体"/>
                <w:b w:val="0"/>
                <w:bCs w:val="0"/>
                <w:color w:val="auto"/>
                <w:szCs w:val="21"/>
                <w:highlight w:val="none"/>
                <w:u w:val="none"/>
                <w:lang w:val="en-US" w:eastAsia="zh-CN"/>
              </w:rPr>
              <w:t>（满分</w:t>
            </w:r>
            <w:r>
              <w:rPr>
                <w:rFonts w:hint="eastAsia" w:ascii="宋体" w:hAnsi="宋体" w:cs="宋体"/>
                <w:b w:val="0"/>
                <w:bCs w:val="0"/>
                <w:color w:val="auto"/>
                <w:szCs w:val="21"/>
                <w:highlight w:val="none"/>
                <w:u w:val="none"/>
                <w:lang w:val="en-US" w:eastAsia="zh-CN"/>
              </w:rPr>
              <w:t>5</w:t>
            </w:r>
            <w:r>
              <w:rPr>
                <w:rFonts w:hint="eastAsia" w:ascii="宋体" w:hAnsi="宋体" w:eastAsia="宋体" w:cs="宋体"/>
                <w:b w:val="0"/>
                <w:bCs w:val="0"/>
                <w:color w:val="auto"/>
                <w:szCs w:val="21"/>
                <w:highlight w:val="none"/>
                <w:u w:val="none"/>
                <w:lang w:val="en-US" w:eastAsia="zh-CN"/>
              </w:rPr>
              <w:t>分）</w:t>
            </w:r>
          </w:p>
        </w:tc>
        <w:tc>
          <w:tcPr>
            <w:tcW w:w="7019" w:type="dxa"/>
            <w:vAlign w:val="center"/>
          </w:tcPr>
          <w:p w14:paraId="192913A1">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投标人或投标产品生产厂商</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制造商</w:t>
            </w:r>
            <w:r>
              <w:rPr>
                <w:rFonts w:hint="eastAsia" w:hAnsi="宋体" w:cs="宋体"/>
                <w:color w:val="auto"/>
                <w:szCs w:val="24"/>
                <w:highlight w:val="none"/>
                <w:lang w:eastAsia="zh-CN"/>
              </w:rPr>
              <w:t>）</w:t>
            </w:r>
            <w:r>
              <w:rPr>
                <w:rFonts w:hint="eastAsia" w:ascii="宋体" w:hAnsi="宋体" w:eastAsia="宋体" w:cs="Times New Roman"/>
                <w:b w:val="0"/>
                <w:bCs w:val="0"/>
                <w:color w:val="auto"/>
                <w:highlight w:val="none"/>
                <w:lang w:val="en-US" w:eastAsia="zh-CN"/>
              </w:rPr>
              <w:t>自202</w:t>
            </w:r>
            <w:r>
              <w:rPr>
                <w:rFonts w:hint="eastAsia" w:hAnsi="宋体" w:cs="Times New Roman"/>
                <w:b w:val="0"/>
                <w:bCs w:val="0"/>
                <w:color w:val="auto"/>
                <w:highlight w:val="none"/>
                <w:lang w:val="en-US" w:eastAsia="zh-CN"/>
              </w:rPr>
              <w:t>2</w:t>
            </w:r>
            <w:r>
              <w:rPr>
                <w:rFonts w:hint="eastAsia" w:ascii="宋体" w:hAnsi="宋体" w:eastAsia="宋体" w:cs="Times New Roman"/>
                <w:b w:val="0"/>
                <w:bCs w:val="0"/>
                <w:color w:val="auto"/>
                <w:highlight w:val="none"/>
                <w:lang w:val="en-US" w:eastAsia="zh-CN"/>
              </w:rPr>
              <w:t>年1月1日</w:t>
            </w:r>
            <w:r>
              <w:rPr>
                <w:rFonts w:hint="eastAsia" w:ascii="宋体" w:hAnsi="宋体" w:eastAsia="宋体" w:cs="Times New Roman"/>
                <w:b w:val="0"/>
                <w:bCs w:val="0"/>
                <w:color w:val="auto"/>
                <w:highlight w:val="none"/>
                <w:lang w:val="zh-CN" w:eastAsia="zh-CN"/>
              </w:rPr>
              <w:t>至提交投标文件截止时间止，</w:t>
            </w:r>
            <w:r>
              <w:rPr>
                <w:rFonts w:hint="eastAsia" w:ascii="宋体" w:hAnsi="宋体" w:eastAsia="宋体" w:cs="Times New Roman"/>
                <w:b w:val="0"/>
                <w:bCs w:val="0"/>
                <w:color w:val="auto"/>
                <w:highlight w:val="none"/>
                <w:lang w:val="en-US" w:eastAsia="zh-CN"/>
              </w:rPr>
              <w:t>具有</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的（</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指：</w:t>
            </w:r>
            <w:r>
              <w:rPr>
                <w:rFonts w:hint="eastAsia" w:asciiTheme="majorEastAsia" w:hAnsiTheme="majorEastAsia" w:eastAsiaTheme="majorEastAsia" w:cstheme="majorEastAsia"/>
                <w:i w:val="0"/>
                <w:iCs w:val="0"/>
                <w:caps w:val="0"/>
                <w:color w:val="auto"/>
                <w:spacing w:val="0"/>
                <w:sz w:val="21"/>
                <w:szCs w:val="21"/>
                <w:highlight w:val="none"/>
              </w:rPr>
              <w:t>水陆两栖全地形车（管道机器人）</w:t>
            </w:r>
            <w:r>
              <w:rPr>
                <w:rFonts w:hint="eastAsia" w:asciiTheme="majorEastAsia" w:hAnsiTheme="majorEastAsia" w:eastAsiaTheme="majorEastAsia" w:cstheme="majorEastAsia"/>
                <w:i w:val="0"/>
                <w:iCs w:val="0"/>
                <w:caps w:val="0"/>
                <w:color w:val="auto"/>
                <w:spacing w:val="0"/>
                <w:sz w:val="21"/>
                <w:szCs w:val="21"/>
                <w:highlight w:val="none"/>
                <w:lang w:val="en-US" w:eastAsia="zh-CN"/>
              </w:rPr>
              <w:t>或</w:t>
            </w:r>
            <w:r>
              <w:rPr>
                <w:rFonts w:hint="eastAsia" w:asciiTheme="majorEastAsia" w:hAnsiTheme="majorEastAsia" w:eastAsiaTheme="majorEastAsia" w:cstheme="majorEastAsia"/>
                <w:i w:val="0"/>
                <w:iCs w:val="0"/>
                <w:caps w:val="0"/>
                <w:color w:val="auto"/>
                <w:spacing w:val="0"/>
                <w:sz w:val="21"/>
                <w:szCs w:val="21"/>
                <w:highlight w:val="none"/>
              </w:rPr>
              <w:t>轴流泵</w:t>
            </w:r>
            <w:r>
              <w:rPr>
                <w:rFonts w:hint="eastAsia" w:asciiTheme="majorEastAsia" w:hAnsiTheme="majorEastAsia" w:eastAsiaTheme="majorEastAsia" w:cstheme="majorEastAsia"/>
                <w:i w:val="0"/>
                <w:iCs w:val="0"/>
                <w:caps w:val="0"/>
                <w:color w:val="auto"/>
                <w:spacing w:val="0"/>
                <w:sz w:val="21"/>
                <w:szCs w:val="21"/>
                <w:highlight w:val="none"/>
                <w:lang w:val="en-US" w:eastAsia="zh-CN"/>
              </w:rPr>
              <w:t>或</w:t>
            </w:r>
            <w:r>
              <w:rPr>
                <w:rFonts w:hint="eastAsia" w:asciiTheme="majorEastAsia" w:hAnsiTheme="majorEastAsia" w:eastAsiaTheme="majorEastAsia" w:cstheme="majorEastAsia"/>
                <w:i w:val="0"/>
                <w:iCs w:val="0"/>
                <w:caps w:val="0"/>
                <w:color w:val="auto"/>
                <w:spacing w:val="0"/>
                <w:sz w:val="21"/>
                <w:szCs w:val="21"/>
                <w:highlight w:val="none"/>
              </w:rPr>
              <w:t>无人机</w:t>
            </w:r>
            <w:r>
              <w:rPr>
                <w:rFonts w:hint="eastAsia" w:asciiTheme="majorEastAsia" w:hAnsiTheme="majorEastAsia" w:eastAsiaTheme="majorEastAsia" w:cstheme="majorEastAsia"/>
                <w:i w:val="0"/>
                <w:iCs w:val="0"/>
                <w:caps w:val="0"/>
                <w:color w:val="auto"/>
                <w:spacing w:val="0"/>
                <w:sz w:val="21"/>
                <w:szCs w:val="21"/>
                <w:highlight w:val="none"/>
                <w:lang w:val="en-US" w:eastAsia="zh-CN"/>
              </w:rPr>
              <w:t>或</w:t>
            </w:r>
            <w:r>
              <w:rPr>
                <w:rFonts w:hint="eastAsia" w:asciiTheme="majorEastAsia" w:hAnsiTheme="majorEastAsia" w:eastAsiaTheme="majorEastAsia" w:cstheme="majorEastAsia"/>
                <w:i w:val="0"/>
                <w:iCs w:val="0"/>
                <w:caps w:val="0"/>
                <w:color w:val="auto"/>
                <w:spacing w:val="0"/>
                <w:sz w:val="21"/>
                <w:szCs w:val="21"/>
                <w:highlight w:val="none"/>
              </w:rPr>
              <w:t>管道潜望镜</w:t>
            </w:r>
            <w:r>
              <w:rPr>
                <w:rFonts w:hint="eastAsia" w:ascii="宋体" w:hAnsi="宋体" w:eastAsia="宋体" w:cs="Times New Roman"/>
                <w:b w:val="0"/>
                <w:bCs w:val="0"/>
                <w:color w:val="auto"/>
                <w:highlight w:val="none"/>
                <w:lang w:val="en-US" w:eastAsia="zh-CN"/>
              </w:rPr>
              <w:t>），每提供一项业绩得1分，满分</w:t>
            </w:r>
            <w:r>
              <w:rPr>
                <w:rFonts w:hint="eastAsia" w:hAnsi="宋体" w:cs="Times New Roman"/>
                <w:b w:val="0"/>
                <w:bCs w:val="0"/>
                <w:color w:val="auto"/>
                <w:highlight w:val="none"/>
                <w:lang w:val="en-US" w:eastAsia="zh-CN"/>
              </w:rPr>
              <w:t>5</w:t>
            </w:r>
            <w:r>
              <w:rPr>
                <w:rFonts w:hint="eastAsia" w:ascii="宋体" w:hAnsi="宋体" w:eastAsia="宋体" w:cs="Times New Roman"/>
                <w:b w:val="0"/>
                <w:bCs w:val="0"/>
                <w:color w:val="auto"/>
                <w:highlight w:val="none"/>
                <w:lang w:val="en-US" w:eastAsia="zh-CN"/>
              </w:rPr>
              <w:t>分。</w:t>
            </w:r>
          </w:p>
          <w:p w14:paraId="78435D3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注：</w:t>
            </w:r>
            <w:r>
              <w:rPr>
                <w:rFonts w:hint="eastAsia" w:ascii="宋体" w:hAnsi="宋体" w:eastAsia="宋体" w:cs="宋体"/>
                <w:b/>
                <w:bCs/>
                <w:color w:val="auto"/>
                <w:szCs w:val="24"/>
                <w:highlight w:val="none"/>
                <w:lang w:eastAsia="zh-CN"/>
              </w:rPr>
              <w:t>需在投标文件中</w:t>
            </w:r>
            <w:r>
              <w:rPr>
                <w:rFonts w:hint="eastAsia" w:ascii="宋体" w:hAnsi="宋体" w:eastAsia="宋体" w:cs="宋体"/>
                <w:b/>
                <w:bCs/>
                <w:color w:val="auto"/>
                <w:szCs w:val="24"/>
                <w:highlight w:val="none"/>
                <w:lang w:val="en-US" w:eastAsia="zh-CN"/>
              </w:rPr>
              <w:t>提供</w:t>
            </w:r>
            <w:r>
              <w:rPr>
                <w:rFonts w:hint="eastAsia" w:ascii="宋体" w:hAnsi="宋体" w:eastAsia="宋体" w:cs="宋体"/>
                <w:b/>
                <w:bCs/>
                <w:color w:val="auto"/>
                <w:szCs w:val="24"/>
                <w:highlight w:val="none"/>
                <w:lang w:val="zh-CN"/>
              </w:rPr>
              <w:t>同类项目</w:t>
            </w:r>
            <w:r>
              <w:rPr>
                <w:rFonts w:hint="eastAsia" w:ascii="宋体" w:hAnsi="宋体" w:eastAsia="宋体" w:cs="宋体"/>
                <w:b/>
                <w:bCs/>
                <w:color w:val="auto"/>
                <w:szCs w:val="24"/>
                <w:highlight w:val="none"/>
              </w:rPr>
              <w:t>业绩</w:t>
            </w:r>
            <w:r>
              <w:rPr>
                <w:rFonts w:hint="eastAsia" w:ascii="宋体" w:hAnsi="宋体" w:eastAsia="宋体" w:cs="宋体"/>
                <w:b/>
                <w:bCs/>
                <w:color w:val="auto"/>
                <w:szCs w:val="24"/>
                <w:highlight w:val="none"/>
                <w:lang w:eastAsia="zh-CN"/>
              </w:rPr>
              <w:t>的</w:t>
            </w:r>
            <w:r>
              <w:rPr>
                <w:rFonts w:hint="eastAsia" w:ascii="宋体" w:hAnsi="宋体" w:eastAsia="宋体" w:cs="宋体"/>
                <w:b/>
                <w:bCs/>
                <w:color w:val="auto"/>
                <w:szCs w:val="24"/>
                <w:highlight w:val="none"/>
              </w:rPr>
              <w:t>合同复印件</w:t>
            </w:r>
            <w:r>
              <w:rPr>
                <w:rFonts w:hint="eastAsia" w:ascii="宋体" w:hAnsi="宋体" w:eastAsia="宋体" w:cs="宋体"/>
                <w:b/>
                <w:bCs/>
                <w:color w:val="auto"/>
                <w:szCs w:val="24"/>
                <w:highlight w:val="none"/>
                <w:lang w:val="en-US" w:eastAsia="zh-CN"/>
              </w:rPr>
              <w:t>或中标</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成交</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通知书</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合同</w:t>
            </w:r>
            <w:r>
              <w:rPr>
                <w:rFonts w:hint="eastAsia" w:ascii="宋体" w:hAnsi="宋体" w:eastAsia="宋体" w:cs="宋体"/>
                <w:b/>
                <w:bCs/>
                <w:color w:val="auto"/>
                <w:szCs w:val="24"/>
                <w:highlight w:val="none"/>
              </w:rPr>
              <w:t>内容能清晰</w:t>
            </w:r>
            <w:r>
              <w:rPr>
                <w:rFonts w:hint="eastAsia" w:ascii="宋体" w:hAnsi="宋体" w:eastAsia="宋体" w:cs="宋体"/>
                <w:b/>
                <w:bCs/>
                <w:color w:val="auto"/>
                <w:szCs w:val="24"/>
                <w:highlight w:val="none"/>
                <w:lang w:val="en-US" w:eastAsia="zh-CN"/>
              </w:rPr>
              <w:t>地</w:t>
            </w:r>
            <w:r>
              <w:rPr>
                <w:rFonts w:hint="eastAsia" w:ascii="宋体" w:hAnsi="宋体" w:eastAsia="宋体" w:cs="宋体"/>
                <w:b/>
                <w:bCs/>
                <w:color w:val="auto"/>
                <w:szCs w:val="24"/>
                <w:highlight w:val="none"/>
              </w:rPr>
              <w:t>反映项目的名称、签订日期，</w:t>
            </w:r>
            <w:r>
              <w:rPr>
                <w:rFonts w:hint="eastAsia" w:ascii="宋体" w:hAnsi="宋体" w:eastAsia="宋体" w:cs="宋体"/>
                <w:b/>
                <w:bCs/>
                <w:color w:val="auto"/>
                <w:szCs w:val="24"/>
                <w:highlight w:val="none"/>
                <w:lang w:val="en-US" w:eastAsia="zh-CN"/>
              </w:rPr>
              <w:t>中标</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成交</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通知书能清楚地反映项目名称及落款日期，</w:t>
            </w:r>
            <w:r>
              <w:rPr>
                <w:rFonts w:hint="eastAsia" w:ascii="宋体" w:hAnsi="宋体" w:eastAsia="宋体" w:cs="宋体"/>
                <w:b/>
                <w:bCs/>
                <w:color w:val="auto"/>
                <w:szCs w:val="24"/>
                <w:highlight w:val="none"/>
              </w:rPr>
              <w:t>提供用户名单及联系方式）</w:t>
            </w:r>
            <w:r>
              <w:rPr>
                <w:rFonts w:hint="eastAsia" w:ascii="宋体" w:hAnsi="宋体" w:eastAsia="宋体" w:cs="宋体"/>
                <w:b/>
                <w:bCs/>
                <w:color w:val="auto"/>
                <w:szCs w:val="24"/>
                <w:highlight w:val="none"/>
                <w:lang w:eastAsia="zh-CN"/>
              </w:rPr>
              <w:t>并加盖投标人公章，未按要求提供的不得分。</w:t>
            </w:r>
            <w:r>
              <w:rPr>
                <w:rFonts w:hint="eastAsia" w:ascii="宋体" w:hAnsi="宋体" w:eastAsia="宋体" w:cs="宋体"/>
                <w:b/>
                <w:bCs/>
                <w:color w:val="auto"/>
                <w:szCs w:val="24"/>
                <w:highlight w:val="none"/>
              </w:rPr>
              <w:t>】</w:t>
            </w:r>
          </w:p>
        </w:tc>
      </w:tr>
      <w:tr w14:paraId="5CC5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6A33D60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4257504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（4）</w:t>
            </w:r>
            <w:bookmarkStart w:id="96" w:name="_Toc19652"/>
            <w:r>
              <w:rPr>
                <w:rFonts w:hint="eastAsia" w:eastAsia="宋体" w:cs="宋体" w:asciiTheme="minorEastAsia" w:hAnsiTheme="minorEastAsia"/>
                <w:color w:val="auto"/>
                <w:szCs w:val="21"/>
                <w:highlight w:val="none"/>
              </w:rPr>
              <w:t>质保期</w:t>
            </w:r>
            <w:r>
              <w:rPr>
                <w:rFonts w:hint="eastAsia" w:ascii="宋体" w:hAnsi="宋体" w:eastAsia="宋体" w:cs="宋体"/>
                <w:color w:val="auto"/>
                <w:szCs w:val="21"/>
                <w:highlight w:val="none"/>
              </w:rPr>
              <w:t>（满分</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bookmarkEnd w:id="96"/>
          </w:p>
        </w:tc>
        <w:tc>
          <w:tcPr>
            <w:tcW w:w="7019" w:type="dxa"/>
            <w:vAlign w:val="center"/>
          </w:tcPr>
          <w:p w14:paraId="28565A87">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szCs w:val="24"/>
                <w:highlight w:val="none"/>
              </w:rPr>
            </w:pPr>
            <w:r>
              <w:rPr>
                <w:rFonts w:hint="eastAsia" w:asciiTheme="majorEastAsia" w:hAnsiTheme="majorEastAsia" w:eastAsiaTheme="majorEastAsia" w:cstheme="majorEastAsia"/>
                <w:color w:val="auto"/>
                <w:highlight w:val="none"/>
              </w:rPr>
              <w:t>满足基本质保期的基础上，产品质保期每延长半年增加1分（以投标人或设备生产厂家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或代理商承诺为准，投标文件中提供投标人或生产厂家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w:t>
            </w:r>
            <w:r>
              <w:rPr>
                <w:rFonts w:hint="eastAsia" w:asciiTheme="majorEastAsia" w:hAnsiTheme="majorEastAsia" w:eastAsiaTheme="majorEastAsia" w:cstheme="majorEastAsia"/>
                <w:color w:val="auto"/>
                <w:highlight w:val="none"/>
                <w:lang w:eastAsia="zh-CN"/>
              </w:rPr>
              <w:t>的</w:t>
            </w:r>
            <w:r>
              <w:rPr>
                <w:rFonts w:hint="eastAsia" w:asciiTheme="majorEastAsia" w:hAnsiTheme="majorEastAsia" w:eastAsiaTheme="majorEastAsia" w:cstheme="majorEastAsia"/>
                <w:color w:val="auto"/>
                <w:highlight w:val="none"/>
              </w:rPr>
              <w:t>证明文件），满分5分。</w:t>
            </w:r>
          </w:p>
        </w:tc>
      </w:tr>
      <w:tr w14:paraId="19757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2602" w:type="dxa"/>
            <w:gridSpan w:val="2"/>
            <w:vAlign w:val="center"/>
          </w:tcPr>
          <w:p w14:paraId="65A6294E">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总得分</w:t>
            </w:r>
          </w:p>
        </w:tc>
        <w:tc>
          <w:tcPr>
            <w:tcW w:w="7019" w:type="dxa"/>
            <w:vAlign w:val="center"/>
          </w:tcPr>
          <w:p w14:paraId="0A6505E5">
            <w:pPr>
              <w:pStyle w:val="27"/>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1+2+3</w:t>
            </w:r>
          </w:p>
        </w:tc>
      </w:tr>
    </w:tbl>
    <w:p w14:paraId="5FCD2670">
      <w:pPr>
        <w:pStyle w:val="27"/>
        <w:snapToGrid w:val="0"/>
        <w:spacing w:line="360" w:lineRule="exact"/>
        <w:ind w:firstLine="422" w:firstLineChars="200"/>
        <w:rPr>
          <w:rFonts w:hint="eastAsia" w:ascii="宋体" w:hAnsi="宋体" w:eastAsia="宋体" w:cs="宋体"/>
          <w:b/>
          <w:bCs/>
          <w:color w:val="auto"/>
          <w:highlight w:val="none"/>
        </w:rPr>
      </w:pPr>
    </w:p>
    <w:p w14:paraId="454DB4FF">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三、中标候选人推荐原则</w:t>
      </w:r>
    </w:p>
    <w:p w14:paraId="73F6E952">
      <w:pPr>
        <w:pStyle w:val="27"/>
        <w:snapToGrid w:val="0"/>
        <w:spacing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评标委员会将根据得分由高到低排列次序（得分相同时，以投标报价由低到高顺序排列；得分相同且投标报价相同的，按技术分优劣顺序排列；得分、投标报价、技术分相同的，</w:t>
      </w:r>
      <w:r>
        <w:rPr>
          <w:rFonts w:hint="eastAsia" w:ascii="宋体" w:hAnsi="宋体" w:eastAsia="宋体" w:cs="宋体"/>
          <w:color w:val="auto"/>
          <w:highlight w:val="none"/>
          <w:lang w:val="en-US" w:eastAsia="zh-CN"/>
        </w:rPr>
        <w:t>按</w:t>
      </w:r>
      <w:r>
        <w:rPr>
          <w:rFonts w:hint="eastAsia" w:ascii="宋体" w:hAnsi="宋体" w:eastAsia="宋体" w:cs="宋体"/>
          <w:color w:val="auto"/>
          <w:szCs w:val="21"/>
          <w:highlight w:val="none"/>
          <w:u w:val="none"/>
          <w:lang w:val="en-US" w:eastAsia="zh-CN"/>
        </w:rPr>
        <w:t>商务分</w:t>
      </w:r>
      <w:r>
        <w:rPr>
          <w:rFonts w:hint="eastAsia" w:ascii="宋体" w:hAnsi="宋体" w:eastAsia="宋体" w:cs="宋体"/>
          <w:color w:val="auto"/>
          <w:highlight w:val="none"/>
        </w:rPr>
        <w:t>优劣顺序排列）并推荐</w:t>
      </w:r>
      <w:r>
        <w:rPr>
          <w:rFonts w:hint="eastAsia" w:ascii="宋体" w:hAnsi="宋体" w:eastAsia="宋体" w:cs="宋体"/>
          <w:color w:val="auto"/>
          <w:szCs w:val="21"/>
          <w:highlight w:val="none"/>
        </w:rPr>
        <w:t>综合得分前三名为</w:t>
      </w:r>
      <w:r>
        <w:rPr>
          <w:rFonts w:hint="eastAsia" w:ascii="宋体" w:hAnsi="宋体" w:eastAsia="宋体" w:cs="宋体"/>
          <w:color w:val="auto"/>
          <w:highlight w:val="none"/>
        </w:rPr>
        <w:t>中标候选人。招标采购单位应当确定评审委员会推荐排名第一的中标候选人为中标人。排名第一的中标候选人放弃中标、因不可抗力提出不能履行合同，招标采购单位可以确定排名第二的中标候选人为中标人。排名第二的中标候选人因前款规定的同样原因不能签订合同的，招标采购单位可以确定排名第三的中标候选人为中标人，其余以此类推，或重新组织采购。</w:t>
      </w:r>
      <w:r>
        <w:rPr>
          <w:rFonts w:hint="eastAsia" w:ascii="宋体" w:hAnsi="宋体" w:eastAsia="宋体" w:cs="宋体"/>
          <w:color w:val="auto"/>
          <w:highlight w:val="none"/>
          <w:lang w:val="en-US" w:eastAsia="zh-CN"/>
        </w:rPr>
        <w:t xml:space="preserve"> </w:t>
      </w:r>
    </w:p>
    <w:p w14:paraId="625B21DB">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A175840">
      <w:pPr>
        <w:pStyle w:val="27"/>
        <w:snapToGrid w:val="0"/>
        <w:spacing w:before="120" w:after="120" w:line="320" w:lineRule="exact"/>
        <w:outlineLvl w:val="0"/>
        <w:rPr>
          <w:rFonts w:hint="eastAsia" w:ascii="宋体" w:hAnsi="宋体" w:eastAsia="宋体" w:cs="宋体"/>
          <w:color w:val="auto"/>
          <w:sz w:val="28"/>
          <w:szCs w:val="28"/>
          <w:highlight w:val="none"/>
        </w:rPr>
      </w:pPr>
    </w:p>
    <w:p w14:paraId="65812F06">
      <w:pPr>
        <w:pStyle w:val="27"/>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bookmarkStart w:id="97" w:name="_Toc14162"/>
      <w:r>
        <w:rPr>
          <w:rFonts w:hint="eastAsia" w:ascii="宋体" w:hAnsi="宋体" w:eastAsia="宋体" w:cs="宋体"/>
          <w:color w:val="auto"/>
          <w:sz w:val="36"/>
          <w:szCs w:val="36"/>
          <w:highlight w:val="none"/>
        </w:rPr>
        <w:t>第五章 合同主要条款格式</w:t>
      </w:r>
      <w:bookmarkEnd w:id="97"/>
    </w:p>
    <w:p w14:paraId="6592531B">
      <w:pPr>
        <w:spacing w:line="360" w:lineRule="auto"/>
        <w:jc w:val="center"/>
        <w:rPr>
          <w:rFonts w:hint="eastAsia" w:ascii="宋体" w:hAnsi="宋体" w:eastAsia="宋体" w:cs="宋体"/>
          <w:color w:val="auto"/>
          <w:sz w:val="24"/>
          <w:highlight w:val="none"/>
        </w:rPr>
      </w:pPr>
    </w:p>
    <w:p w14:paraId="18B51DEF">
      <w:pPr>
        <w:pStyle w:val="210"/>
        <w:adjustRightInd w:val="0"/>
        <w:snapToGrid w:val="0"/>
        <w:spacing w:line="800" w:lineRule="exact"/>
        <w:contextualSpacing/>
        <w:jc w:val="center"/>
        <w:rPr>
          <w:rFonts w:hint="eastAsia" w:ascii="宋体" w:hAnsi="宋体" w:eastAsia="宋体" w:cs="宋体"/>
          <w:b/>
          <w:bCs/>
          <w:color w:val="auto"/>
          <w:sz w:val="84"/>
          <w:szCs w:val="84"/>
          <w:highlight w:val="none"/>
        </w:rPr>
      </w:pPr>
    </w:p>
    <w:p w14:paraId="413D66E5">
      <w:pPr>
        <w:pStyle w:val="210"/>
        <w:adjustRightInd w:val="0"/>
        <w:snapToGrid w:val="0"/>
        <w:spacing w:line="800" w:lineRule="exact"/>
        <w:contextualSpacing/>
        <w:jc w:val="center"/>
        <w:rPr>
          <w:rFonts w:hint="eastAsia" w:ascii="宋体" w:hAnsi="宋体" w:eastAsia="宋体" w:cs="宋体"/>
          <w:b/>
          <w:color w:val="auto"/>
          <w:sz w:val="72"/>
          <w:szCs w:val="72"/>
          <w:highlight w:val="none"/>
        </w:rPr>
      </w:pPr>
      <w:r>
        <w:rPr>
          <w:rFonts w:hint="eastAsia" w:ascii="宋体" w:hAnsi="宋体" w:eastAsia="宋体" w:cs="宋体"/>
          <w:b/>
          <w:bCs/>
          <w:color w:val="auto"/>
          <w:sz w:val="84"/>
          <w:szCs w:val="84"/>
          <w:highlight w:val="none"/>
        </w:rPr>
        <w:t>政府采购合同</w:t>
      </w:r>
    </w:p>
    <w:p w14:paraId="732F7215">
      <w:pPr>
        <w:pStyle w:val="210"/>
        <w:adjustRightInd w:val="0"/>
        <w:snapToGrid w:val="0"/>
        <w:spacing w:line="800" w:lineRule="exact"/>
        <w:contextualSpacing/>
        <w:rPr>
          <w:rFonts w:hint="eastAsia" w:ascii="宋体" w:hAnsi="宋体" w:eastAsia="宋体" w:cs="宋体"/>
          <w:b/>
          <w:color w:val="auto"/>
          <w:sz w:val="32"/>
          <w:szCs w:val="32"/>
          <w:highlight w:val="none"/>
        </w:rPr>
      </w:pPr>
    </w:p>
    <w:p w14:paraId="1B1B7814">
      <w:pPr>
        <w:keepNext w:val="0"/>
        <w:keepLines w:val="0"/>
        <w:pageBreakBefore w:val="0"/>
        <w:widowControl w:val="0"/>
        <w:kinsoku/>
        <w:wordWrap/>
        <w:overflowPunct/>
        <w:topLinePunct w:val="0"/>
        <w:autoSpaceDE/>
        <w:autoSpaceDN/>
        <w:bidi w:val="0"/>
        <w:adjustRightInd/>
        <w:snapToGrid/>
        <w:spacing w:line="400" w:lineRule="exact"/>
        <w:ind w:left="2202" w:leftChars="284" w:right="913" w:hanging="1606" w:hangingChars="5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eastAsia="宋体" w:cs="宋体"/>
          <w:b/>
          <w:color w:val="auto"/>
          <w:sz w:val="32"/>
          <w:szCs w:val="32"/>
          <w:highlight w:val="none"/>
          <w:lang w:val="en-US" w:eastAsia="zh-CN"/>
        </w:rPr>
        <w:t xml:space="preserve"> </w:t>
      </w:r>
    </w:p>
    <w:p w14:paraId="2ABD767B">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color w:val="auto"/>
          <w:sz w:val="32"/>
          <w:szCs w:val="32"/>
          <w:highlight w:val="none"/>
        </w:rPr>
      </w:pPr>
    </w:p>
    <w:p w14:paraId="49A392C9">
      <w:pPr>
        <w:keepNext w:val="0"/>
        <w:keepLines w:val="0"/>
        <w:pageBreakBefore w:val="0"/>
        <w:widowControl w:val="0"/>
        <w:kinsoku/>
        <w:wordWrap/>
        <w:overflowPunct/>
        <w:topLinePunct w:val="0"/>
        <w:autoSpaceDE/>
        <w:autoSpaceDN/>
        <w:bidi w:val="0"/>
        <w:adjustRightInd/>
        <w:snapToGrid/>
        <w:spacing w:line="400" w:lineRule="exact"/>
        <w:ind w:right="913" w:firstLine="643" w:firstLineChars="2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sz w:val="32"/>
          <w:szCs w:val="32"/>
          <w:highlight w:val="none"/>
          <w:lang w:val="en-US" w:eastAsia="zh-CN"/>
        </w:rPr>
        <w:t xml:space="preserve"> </w:t>
      </w:r>
    </w:p>
    <w:p w14:paraId="1F1839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32"/>
          <w:szCs w:val="32"/>
          <w:highlight w:val="none"/>
        </w:rPr>
      </w:pPr>
    </w:p>
    <w:p w14:paraId="6E7A3E0D">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合同编号： </w:t>
      </w:r>
    </w:p>
    <w:p w14:paraId="229462C0">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428B7540">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2395F65E">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1AA79578">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111B43AC">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合同甲方：</w:t>
      </w:r>
      <w:r>
        <w:rPr>
          <w:rFonts w:hint="eastAsia" w:ascii="宋体" w:hAnsi="宋体" w:eastAsia="宋体" w:cs="宋体"/>
          <w:b/>
          <w:bCs/>
          <w:color w:val="auto"/>
          <w:sz w:val="32"/>
          <w:szCs w:val="32"/>
          <w:highlight w:val="none"/>
          <w:lang w:val="en-US" w:eastAsia="zh-CN"/>
        </w:rPr>
        <w:t xml:space="preserve">  </w:t>
      </w:r>
    </w:p>
    <w:p w14:paraId="7469DF01">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65FC697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合同乙方：  </w:t>
      </w:r>
    </w:p>
    <w:p w14:paraId="36C3B4D4">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491EE63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3482DA29">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合同签订时间：</w:t>
      </w:r>
      <w:r>
        <w:rPr>
          <w:rFonts w:hint="eastAsia" w:ascii="宋体" w:hAnsi="宋体" w:cs="宋体"/>
          <w:b/>
          <w:bCs/>
          <w:color w:val="auto"/>
          <w:sz w:val="32"/>
          <w:szCs w:val="32"/>
          <w:highlight w:val="none"/>
          <w:lang w:eastAsia="zh-CN"/>
        </w:rPr>
        <w:t>2025年</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月</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日</w:t>
      </w:r>
    </w:p>
    <w:p w14:paraId="37B1B554">
      <w:pPr>
        <w:pStyle w:val="210"/>
        <w:adjustRightInd w:val="0"/>
        <w:snapToGrid w:val="0"/>
        <w:spacing w:line="800" w:lineRule="exact"/>
        <w:contextualSpacing/>
        <w:rPr>
          <w:rFonts w:hint="eastAsia" w:ascii="宋体" w:hAnsi="宋体" w:eastAsia="宋体" w:cs="宋体"/>
          <w:b/>
          <w:bCs/>
          <w:color w:val="auto"/>
          <w:sz w:val="32"/>
          <w:szCs w:val="32"/>
          <w:highlight w:val="none"/>
          <w:u w:val="single"/>
        </w:rPr>
      </w:pPr>
    </w:p>
    <w:p w14:paraId="6A850D49">
      <w:pPr>
        <w:pStyle w:val="210"/>
        <w:adjustRightInd w:val="0"/>
        <w:snapToGrid w:val="0"/>
        <w:spacing w:line="800" w:lineRule="exact"/>
        <w:contextualSpacing/>
        <w:rPr>
          <w:rFonts w:hint="eastAsia" w:ascii="宋体" w:hAnsi="宋体" w:eastAsia="宋体" w:cs="宋体"/>
          <w:b/>
          <w:bCs/>
          <w:color w:val="auto"/>
          <w:sz w:val="32"/>
          <w:szCs w:val="32"/>
          <w:highlight w:val="none"/>
          <w:u w:val="single"/>
        </w:rPr>
      </w:pPr>
    </w:p>
    <w:p w14:paraId="163CE14C">
      <w:pPr>
        <w:pStyle w:val="210"/>
        <w:adjustRightInd w:val="0"/>
        <w:snapToGrid w:val="0"/>
        <w:spacing w:line="800" w:lineRule="exact"/>
        <w:contextualSpacing/>
        <w:rPr>
          <w:rFonts w:hint="eastAsia" w:ascii="宋体" w:hAnsi="宋体" w:eastAsia="宋体" w:cs="宋体"/>
          <w:b/>
          <w:bCs/>
          <w:color w:val="auto"/>
          <w:sz w:val="28"/>
          <w:szCs w:val="28"/>
          <w:highlight w:val="none"/>
          <w:u w:val="single"/>
        </w:rPr>
      </w:pPr>
    </w:p>
    <w:p w14:paraId="54D57377">
      <w:pPr>
        <w:pStyle w:val="3"/>
        <w:spacing w:line="360" w:lineRule="exact"/>
        <w:rPr>
          <w:rFonts w:hint="eastAsia" w:ascii="宋体" w:hAnsi="宋体" w:eastAsia="宋体" w:cs="宋体"/>
          <w:color w:val="auto"/>
          <w:sz w:val="28"/>
          <w:szCs w:val="28"/>
          <w:highlight w:val="none"/>
        </w:rPr>
      </w:pPr>
    </w:p>
    <w:p w14:paraId="5FD63939">
      <w:pPr>
        <w:rPr>
          <w:rFonts w:hint="eastAsia" w:ascii="宋体" w:hAnsi="宋体" w:eastAsia="宋体" w:cs="宋体"/>
          <w:color w:val="auto"/>
          <w:sz w:val="28"/>
          <w:szCs w:val="28"/>
          <w:highlight w:val="none"/>
        </w:rPr>
      </w:pPr>
    </w:p>
    <w:p w14:paraId="47177D22">
      <w:pPr>
        <w:rPr>
          <w:rFonts w:hint="eastAsia" w:ascii="宋体" w:hAnsi="宋体" w:eastAsia="宋体" w:cs="宋体"/>
          <w:color w:val="auto"/>
          <w:sz w:val="28"/>
          <w:szCs w:val="28"/>
          <w:highlight w:val="none"/>
        </w:rPr>
      </w:pPr>
    </w:p>
    <w:p w14:paraId="3D5D04E5">
      <w:pPr>
        <w:rPr>
          <w:rFonts w:hint="eastAsia" w:ascii="宋体" w:hAnsi="宋体" w:eastAsia="宋体" w:cs="宋体"/>
          <w:color w:val="auto"/>
          <w:sz w:val="28"/>
          <w:szCs w:val="28"/>
          <w:highlight w:val="none"/>
        </w:rPr>
      </w:pPr>
    </w:p>
    <w:p w14:paraId="08A81D1A">
      <w:pPr>
        <w:pStyle w:val="3"/>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 w:val="28"/>
          <w:szCs w:val="28"/>
          <w:highlight w:val="none"/>
        </w:rPr>
      </w:pPr>
      <w:bookmarkStart w:id="98" w:name="_Toc11828"/>
      <w:bookmarkStart w:id="99" w:name="_Toc22007"/>
      <w:r>
        <w:rPr>
          <w:rFonts w:hint="eastAsia" w:ascii="宋体" w:hAnsi="宋体" w:eastAsia="宋体" w:cs="宋体"/>
          <w:color w:val="auto"/>
          <w:sz w:val="28"/>
          <w:szCs w:val="28"/>
          <w:highlight w:val="none"/>
        </w:rPr>
        <w:t>政府采购合同（基本条款）</w:t>
      </w:r>
      <w:bookmarkEnd w:id="98"/>
      <w:bookmarkEnd w:id="99"/>
    </w:p>
    <w:p w14:paraId="5AA68631">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bookmarkStart w:id="100" w:name="_Toc99768080"/>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采购计划号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A0D1385">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7689706">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签订地点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74BDF9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根据《中华人民共和国政府采购法》、《中华人民共和国民法典》等法律、法规规定，按照竞争性</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规定条款和成交供应商竞争性谈判</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及其承诺，甲乙双方签订本合同。</w:t>
      </w:r>
    </w:p>
    <w:p w14:paraId="10BA65FE">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w:t>
      </w:r>
      <w:r>
        <w:rPr>
          <w:rFonts w:hint="eastAsia" w:ascii="宋体" w:hAnsi="宋体" w:eastAsia="宋体" w:cs="宋体"/>
          <w:color w:val="auto"/>
          <w:spacing w:val="-73"/>
          <w:sz w:val="21"/>
          <w:szCs w:val="21"/>
          <w:highlight w:val="none"/>
        </w:rPr>
        <w:t xml:space="preserve"> </w:t>
      </w:r>
      <w:r>
        <w:rPr>
          <w:rFonts w:hint="eastAsia" w:ascii="宋体" w:hAnsi="宋体" w:eastAsia="宋体" w:cs="宋体"/>
          <w:b/>
          <w:bCs/>
          <w:color w:val="auto"/>
          <w:spacing w:val="14"/>
          <w:sz w:val="21"/>
          <w:szCs w:val="21"/>
          <w:highlight w:val="none"/>
        </w:rPr>
        <w:t>一</w:t>
      </w:r>
      <w:r>
        <w:rPr>
          <w:rFonts w:hint="eastAsia" w:ascii="宋体" w:hAnsi="宋体" w:eastAsia="宋体" w:cs="宋体"/>
          <w:color w:val="auto"/>
          <w:spacing w:val="-79"/>
          <w:sz w:val="21"/>
          <w:szCs w:val="21"/>
          <w:highlight w:val="none"/>
        </w:rPr>
        <w:t xml:space="preserve"> </w:t>
      </w:r>
      <w:r>
        <w:rPr>
          <w:rFonts w:hint="eastAsia" w:ascii="宋体" w:hAnsi="宋体" w:eastAsia="宋体" w:cs="宋体"/>
          <w:b/>
          <w:bCs/>
          <w:color w:val="auto"/>
          <w:spacing w:val="14"/>
          <w:sz w:val="21"/>
          <w:szCs w:val="21"/>
          <w:highlight w:val="none"/>
        </w:rPr>
        <w:t>条</w:t>
      </w:r>
      <w:r>
        <w:rPr>
          <w:rFonts w:hint="eastAsia" w:ascii="宋体" w:hAnsi="宋体" w:eastAsia="宋体" w:cs="宋体"/>
          <w:color w:val="auto"/>
          <w:spacing w:val="23"/>
          <w:sz w:val="21"/>
          <w:szCs w:val="21"/>
          <w:highlight w:val="none"/>
        </w:rPr>
        <w:t xml:space="preserve"> </w:t>
      </w:r>
      <w:r>
        <w:rPr>
          <w:rFonts w:hint="eastAsia" w:ascii="宋体" w:hAnsi="宋体" w:eastAsia="宋体" w:cs="宋体"/>
          <w:b/>
          <w:bCs/>
          <w:color w:val="auto"/>
          <w:spacing w:val="14"/>
          <w:sz w:val="21"/>
          <w:szCs w:val="21"/>
          <w:highlight w:val="none"/>
        </w:rPr>
        <w:t>合同标的</w:t>
      </w:r>
    </w:p>
    <w:p w14:paraId="6CC9473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1.供货一览表</w:t>
      </w:r>
    </w:p>
    <w:tbl>
      <w:tblPr>
        <w:tblStyle w:val="201"/>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3340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7D468545">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241" w:type="dxa"/>
            <w:vAlign w:val="center"/>
          </w:tcPr>
          <w:p w14:paraId="44DFD000">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标的名称</w:t>
            </w:r>
          </w:p>
        </w:tc>
        <w:tc>
          <w:tcPr>
            <w:tcW w:w="996" w:type="dxa"/>
            <w:vAlign w:val="center"/>
          </w:tcPr>
          <w:p w14:paraId="23CE0374">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商标品牌</w:t>
            </w:r>
          </w:p>
        </w:tc>
        <w:tc>
          <w:tcPr>
            <w:tcW w:w="989" w:type="dxa"/>
            <w:vAlign w:val="center"/>
          </w:tcPr>
          <w:p w14:paraId="0D608779">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979" w:type="dxa"/>
            <w:vAlign w:val="center"/>
          </w:tcPr>
          <w:p w14:paraId="02EA933D">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生产厂家</w:t>
            </w:r>
          </w:p>
        </w:tc>
        <w:tc>
          <w:tcPr>
            <w:tcW w:w="888" w:type="dxa"/>
            <w:vAlign w:val="center"/>
          </w:tcPr>
          <w:p w14:paraId="3543FB54">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c>
          <w:tcPr>
            <w:tcW w:w="968" w:type="dxa"/>
            <w:vAlign w:val="center"/>
          </w:tcPr>
          <w:p w14:paraId="0EE48A8D">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04" w:type="dxa"/>
            <w:vAlign w:val="center"/>
          </w:tcPr>
          <w:p w14:paraId="68EA65B8">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单价 (元)</w:t>
            </w:r>
          </w:p>
        </w:tc>
        <w:tc>
          <w:tcPr>
            <w:tcW w:w="1153" w:type="dxa"/>
            <w:vAlign w:val="center"/>
          </w:tcPr>
          <w:p w14:paraId="4868D283">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金额 (元)</w:t>
            </w:r>
          </w:p>
        </w:tc>
      </w:tr>
      <w:tr w14:paraId="4268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86" w:type="dxa"/>
            <w:vAlign w:val="center"/>
          </w:tcPr>
          <w:p w14:paraId="64127E66">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241" w:type="dxa"/>
            <w:vAlign w:val="center"/>
          </w:tcPr>
          <w:p w14:paraId="5A1E69C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1CE6B8A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11324A61">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20EA3D4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514C25C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43A4EBC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1957F6FC">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2E85677">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56B30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86" w:type="dxa"/>
            <w:vAlign w:val="center"/>
          </w:tcPr>
          <w:p w14:paraId="2D2E3DCB">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241" w:type="dxa"/>
            <w:vAlign w:val="center"/>
          </w:tcPr>
          <w:p w14:paraId="025960E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74ACCA3A">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7EB0ED6E">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356720C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71334FF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5793D730">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6FF345A5">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5A488FA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7E45D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86" w:type="dxa"/>
            <w:vAlign w:val="center"/>
          </w:tcPr>
          <w:p w14:paraId="6A503CC7">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241" w:type="dxa"/>
            <w:vAlign w:val="center"/>
          </w:tcPr>
          <w:p w14:paraId="79BA58D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464271E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389916A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7A572F8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19B2DB2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6EB0507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013074E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943B32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47A1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9104" w:type="dxa"/>
            <w:gridSpan w:val="9"/>
            <w:vAlign w:val="center"/>
          </w:tcPr>
          <w:p w14:paraId="3BB5BECE">
            <w:pPr>
              <w:pStyle w:val="21"/>
              <w:keepLines w:val="0"/>
              <w:pageBreakBefore w:val="0"/>
              <w:widowControl w:val="0"/>
              <w:kinsoku/>
              <w:wordWrap/>
              <w:overflowPunct/>
              <w:topLinePunct w:val="0"/>
              <w:bidi w:val="0"/>
              <w:spacing w:after="0" w:line="34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rPr>
              <w:t>人民币合计金额(大写)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(小写)</w:t>
            </w:r>
            <w:r>
              <w:rPr>
                <w:rFonts w:hint="eastAsia" w:ascii="宋体" w:hAnsi="宋体" w:eastAsia="宋体" w:cs="宋体"/>
                <w:color w:val="auto"/>
                <w:kern w:val="2"/>
                <w:sz w:val="21"/>
                <w:szCs w:val="21"/>
                <w:highlight w:val="none"/>
                <w:u w:val="single"/>
              </w:rPr>
              <w:t xml:space="preserve">                    </w:t>
            </w:r>
          </w:p>
        </w:tc>
      </w:tr>
    </w:tbl>
    <w:p w14:paraId="1BED4CCE">
      <w:pPr>
        <w:keepLines w:val="0"/>
        <w:pageBreakBefore w:val="0"/>
        <w:widowControl w:val="0"/>
        <w:kinsoku/>
        <w:wordWrap/>
        <w:overflowPunct/>
        <w:topLinePunct w:val="0"/>
        <w:bidi w:val="0"/>
        <w:spacing w:line="3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2.合同合计金额包括</w:t>
      </w:r>
      <w:r>
        <w:rPr>
          <w:rFonts w:hint="eastAsia" w:ascii="宋体" w:hAnsi="宋体" w:eastAsia="宋体" w:cs="宋体"/>
          <w:color w:val="auto"/>
          <w:kern w:val="0"/>
          <w:szCs w:val="21"/>
          <w:highlight w:val="none"/>
        </w:rPr>
        <w:t>货款、标准附件、备品备件、专用工具、包装、运输、装卸、保险、税金、货到就位以及安装、安装所需辅材、调试、检验、验收等所需的一切使本项目完成验收的费用及供货商对业主承诺技术培训、售前、售后质量保证等相关费用等在内的一切可能发生的费用</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对其另有规定的，从其规定。</w:t>
      </w:r>
    </w:p>
    <w:p w14:paraId="4F9A5E81">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第二条 质量保证</w:t>
      </w:r>
    </w:p>
    <w:p w14:paraId="0189E76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1.乙方所提供的货物型号、技术规格、技术参数等质量必须与</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和承诺相一致。乙方提供的节能和环保产品必须是列入政府采购清单的产品。</w:t>
      </w:r>
    </w:p>
    <w:p w14:paraId="60ED1B5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2.乙方所提供的货物必须是全新、未经使用的原装产品，且在正常安装、使用和保养条件下，其使用寿命期内各项指标均达到质量要求。</w:t>
      </w:r>
    </w:p>
    <w:p w14:paraId="1B991386">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第三条 权利保证</w:t>
      </w:r>
    </w:p>
    <w:p w14:paraId="54C41C6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1.乙方应保证所提供货物在使用时不会侵犯任何第三方的专利权、商标权、工业设计权或其他权利。</w:t>
      </w:r>
    </w:p>
    <w:p w14:paraId="4C2B7040">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规定的时间或</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承诺的时间向甲方提供使用货物的有关技术资料。</w:t>
      </w:r>
    </w:p>
    <w:p w14:paraId="0DDCA96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 保密并限于履行合同的必需范围。</w:t>
      </w:r>
    </w:p>
    <w:p w14:paraId="2574030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4.乙方保证所交付的货物的所有权完全属于乙方且无任何抵押、质押、查封等产权瑕疵。</w:t>
      </w:r>
    </w:p>
    <w:p w14:paraId="0981E991">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第四条 包装和运输</w:t>
      </w:r>
    </w:p>
    <w:p w14:paraId="1D79EAC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1.乙方提供的货物均应按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要求的包装材料、包装标准、包装方式进行包装，每一包装单元内应附详细的装箱单和质量合格证。</w:t>
      </w:r>
    </w:p>
    <w:p w14:paraId="527D3A5E">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2.货物的运输方式</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z w:val="21"/>
          <w:szCs w:val="21"/>
          <w:highlight w:val="none"/>
          <w:u w:val="single"/>
        </w:rPr>
        <w:t xml:space="preserve">不限  </w:t>
      </w:r>
      <w:r>
        <w:rPr>
          <w:rFonts w:hint="eastAsia" w:ascii="宋体" w:hAnsi="宋体" w:eastAsia="宋体" w:cs="宋体"/>
          <w:color w:val="auto"/>
          <w:spacing w:val="3"/>
          <w:sz w:val="21"/>
          <w:szCs w:val="21"/>
          <w:highlight w:val="none"/>
          <w:u w:val="single"/>
        </w:rPr>
        <w:t xml:space="preserve">     </w:t>
      </w:r>
    </w:p>
    <w:p w14:paraId="6A1B47FA">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6"/>
          <w:sz w:val="21"/>
          <w:szCs w:val="21"/>
          <w:highlight w:val="none"/>
          <w:u w:val="single"/>
        </w:rPr>
      </w:pPr>
      <w:r>
        <w:rPr>
          <w:rFonts w:hint="eastAsia" w:ascii="宋体" w:hAnsi="宋体" w:eastAsia="宋体" w:cs="宋体"/>
          <w:color w:val="auto"/>
          <w:kern w:val="2"/>
          <w:sz w:val="21"/>
          <w:szCs w:val="21"/>
          <w:highlight w:val="none"/>
        </w:rPr>
        <w:t>3.乙方负责货物运输</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3"/>
          <w:sz w:val="21"/>
          <w:szCs w:val="21"/>
          <w:highlight w:val="none"/>
        </w:rPr>
        <w:t>货</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物</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运</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输</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合</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13"/>
          <w:sz w:val="21"/>
          <w:szCs w:val="21"/>
          <w:highlight w:val="none"/>
        </w:rPr>
        <w:t>理</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损</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耗</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及</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计</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3"/>
          <w:sz w:val="21"/>
          <w:szCs w:val="21"/>
          <w:highlight w:val="none"/>
        </w:rPr>
        <w:t>算</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方</w:t>
      </w:r>
      <w:r>
        <w:rPr>
          <w:rFonts w:hint="eastAsia" w:ascii="宋体" w:hAnsi="宋体" w:eastAsia="宋体" w:cs="宋体"/>
          <w:color w:val="auto"/>
          <w:spacing w:val="-6"/>
          <w:sz w:val="21"/>
          <w:szCs w:val="21"/>
          <w:highlight w:val="none"/>
        </w:rPr>
        <w:t>法</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z w:val="21"/>
          <w:szCs w:val="21"/>
          <w:highlight w:val="none"/>
          <w:u w:val="single"/>
        </w:rPr>
        <w:t>本合同货物不接受损耗</w:t>
      </w:r>
      <w:r>
        <w:rPr>
          <w:rFonts w:hint="eastAsia" w:ascii="宋体" w:hAnsi="宋体" w:eastAsia="宋体" w:cs="宋体"/>
          <w:color w:val="auto"/>
          <w:spacing w:val="-6"/>
          <w:sz w:val="21"/>
          <w:szCs w:val="21"/>
          <w:highlight w:val="none"/>
          <w:u w:val="single"/>
        </w:rPr>
        <w:t xml:space="preserve">            </w:t>
      </w:r>
    </w:p>
    <w:p w14:paraId="3ACCD037">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第五条  交付和验收</w:t>
      </w:r>
    </w:p>
    <w:p w14:paraId="47C7058C">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交货时间</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甲方指定地点</w:t>
      </w:r>
      <w:r>
        <w:rPr>
          <w:rFonts w:hint="eastAsia" w:ascii="宋体" w:hAnsi="宋体" w:eastAsia="宋体" w:cs="宋体"/>
          <w:color w:val="auto"/>
          <w:sz w:val="21"/>
          <w:szCs w:val="21"/>
          <w:highlight w:val="none"/>
        </w:rPr>
        <w:t>。</w:t>
      </w:r>
    </w:p>
    <w:p w14:paraId="2C5411E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和本合同规定的货物，甲方有权拒绝接受。</w:t>
      </w:r>
    </w:p>
    <w:p w14:paraId="4EFC947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w:t>
      </w:r>
      <w:r>
        <w:rPr>
          <w:rFonts w:hint="eastAsia" w:ascii="宋体" w:hAnsi="宋体" w:eastAsia="宋体" w:cs="宋体"/>
          <w:color w:val="auto"/>
          <w:spacing w:val="5"/>
          <w:sz w:val="21"/>
          <w:szCs w:val="21"/>
          <w:highlight w:val="none"/>
        </w:rPr>
        <w:t>机资料、工具和备品、备件等交付给甲方，如有缺失应及时补齐，否</w:t>
      </w:r>
      <w:r>
        <w:rPr>
          <w:rFonts w:hint="eastAsia" w:ascii="宋体" w:hAnsi="宋体" w:eastAsia="宋体" w:cs="宋体"/>
          <w:color w:val="auto"/>
          <w:sz w:val="21"/>
          <w:szCs w:val="21"/>
          <w:highlight w:val="none"/>
        </w:rPr>
        <w:t>则视为逾期交货。</w:t>
      </w:r>
    </w:p>
    <w:p w14:paraId="594E238E">
      <w:pPr>
        <w:pStyle w:val="21"/>
        <w:keepLines w:val="0"/>
        <w:pageBreakBefore w:val="0"/>
        <w:widowControl w:val="0"/>
        <w:kinsoku/>
        <w:wordWrap/>
        <w:overflowPunct/>
        <w:topLinePunct w:val="0"/>
        <w:bidi w:val="0"/>
        <w:spacing w:after="0" w:line="340" w:lineRule="exact"/>
        <w:ind w:firstLine="44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4.甲方应当在到货(安装、调试完)后七个工作日内进行验收，</w:t>
      </w:r>
      <w:r>
        <w:rPr>
          <w:rFonts w:hint="eastAsia" w:ascii="宋体" w:hAnsi="宋体" w:eastAsia="宋体" w:cs="宋体"/>
          <w:color w:val="auto"/>
          <w:spacing w:val="6"/>
          <w:sz w:val="21"/>
          <w:szCs w:val="21"/>
          <w:highlight w:val="none"/>
        </w:rPr>
        <w:t>逾期不验收的，乙方可视同验收合格。验收</w:t>
      </w:r>
      <w:r>
        <w:rPr>
          <w:rFonts w:hint="eastAsia" w:ascii="宋体" w:hAnsi="宋体" w:eastAsia="宋体" w:cs="宋体"/>
          <w:color w:val="auto"/>
          <w:spacing w:val="5"/>
          <w:sz w:val="21"/>
          <w:szCs w:val="21"/>
          <w:highlight w:val="none"/>
        </w:rPr>
        <w:t>合格后由甲乙双方签署货</w:t>
      </w:r>
      <w:r>
        <w:rPr>
          <w:rFonts w:hint="eastAsia" w:ascii="宋体" w:hAnsi="宋体" w:eastAsia="宋体" w:cs="宋体"/>
          <w:color w:val="auto"/>
          <w:spacing w:val="-3"/>
          <w:sz w:val="21"/>
          <w:szCs w:val="21"/>
          <w:highlight w:val="none"/>
        </w:rPr>
        <w:t>物验收单并加盖采购人公章，甲乙双方各执一</w:t>
      </w:r>
      <w:r>
        <w:rPr>
          <w:rFonts w:hint="eastAsia" w:ascii="宋体" w:hAnsi="宋体" w:eastAsia="宋体" w:cs="宋体"/>
          <w:color w:val="auto"/>
          <w:spacing w:val="-4"/>
          <w:sz w:val="21"/>
          <w:szCs w:val="21"/>
          <w:highlight w:val="none"/>
        </w:rPr>
        <w:t>份。</w:t>
      </w:r>
    </w:p>
    <w:p w14:paraId="194DE68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044534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spacing w:val="-3"/>
          <w:sz w:val="21"/>
          <w:szCs w:val="21"/>
          <w:highlight w:val="none"/>
        </w:rPr>
        <w:t>.甲方对验收有异议的，在验收后五个工作日内以书面形式向乙方提出，乙方应自收到甲方书面异议后</w:t>
      </w:r>
      <w:r>
        <w:rPr>
          <w:rFonts w:hint="eastAsia" w:ascii="宋体" w:hAnsi="宋体" w:eastAsia="宋体" w:cs="宋体"/>
          <w:color w:val="auto"/>
          <w:spacing w:val="-3"/>
          <w:sz w:val="21"/>
          <w:szCs w:val="21"/>
          <w:highlight w:val="none"/>
          <w:u w:val="single"/>
        </w:rPr>
        <w:t>30</w:t>
      </w:r>
      <w:r>
        <w:rPr>
          <w:rFonts w:hint="eastAsia" w:ascii="宋体" w:hAnsi="宋体" w:eastAsia="宋体" w:cs="宋体"/>
          <w:color w:val="auto"/>
          <w:spacing w:val="-3"/>
          <w:sz w:val="21"/>
          <w:szCs w:val="21"/>
          <w:highlight w:val="none"/>
        </w:rPr>
        <w:t>日内及时予以解决。</w:t>
      </w:r>
    </w:p>
    <w:p w14:paraId="2CB6998F">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第六条  安装和培训</w:t>
      </w:r>
    </w:p>
    <w:p w14:paraId="7DF5EBE1">
      <w:pPr>
        <w:pStyle w:val="21"/>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1.甲方应提供必要安装条件(如场地、电源、水源等)。</w:t>
      </w:r>
    </w:p>
    <w:p w14:paraId="311C1EBB">
      <w:pPr>
        <w:pStyle w:val="21"/>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2.乙方负责甲方有关人员的培训。培训时间、地点：</w:t>
      </w:r>
      <w:r>
        <w:rPr>
          <w:rFonts w:hint="eastAsia" w:ascii="宋体" w:hAnsi="宋体" w:eastAsia="宋体" w:cs="宋体"/>
          <w:color w:val="auto"/>
          <w:spacing w:val="55"/>
          <w:sz w:val="21"/>
          <w:szCs w:val="21"/>
          <w:highlight w:val="none"/>
          <w:u w:val="single"/>
        </w:rPr>
        <w:t xml:space="preserve"> </w:t>
      </w:r>
      <w:r>
        <w:rPr>
          <w:rFonts w:hint="eastAsia" w:ascii="宋体" w:hAnsi="宋体" w:eastAsia="宋体" w:cs="宋体"/>
          <w:color w:val="auto"/>
          <w:spacing w:val="-3"/>
          <w:sz w:val="21"/>
          <w:szCs w:val="21"/>
          <w:highlight w:val="none"/>
          <w:u w:val="single"/>
        </w:rPr>
        <w:t xml:space="preserve">  由甲方依据实际情况确定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p>
    <w:p w14:paraId="2371EDAB">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4"/>
          <w:sz w:val="21"/>
          <w:szCs w:val="21"/>
          <w:highlight w:val="none"/>
        </w:rPr>
        <w:t>第七条 售后服务、保修期</w:t>
      </w:r>
    </w:p>
    <w:p w14:paraId="20908001">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1.乙方应按照国家有关法律法规和“三包”规定以及</w:t>
      </w:r>
      <w:r>
        <w:rPr>
          <w:rFonts w:hint="eastAsia" w:ascii="宋体" w:hAnsi="宋体" w:eastAsia="宋体" w:cs="宋体"/>
          <w:color w:val="auto"/>
          <w:spacing w:val="-10"/>
          <w:sz w:val="21"/>
          <w:szCs w:val="21"/>
          <w:highlight w:val="none"/>
          <w:lang w:eastAsia="zh-CN"/>
        </w:rPr>
        <w:t>招标文件</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eastAsia="zh-CN"/>
        </w:rPr>
        <w:t>投标文件</w:t>
      </w:r>
      <w:r>
        <w:rPr>
          <w:rFonts w:hint="eastAsia" w:ascii="宋体" w:hAnsi="宋体" w:eastAsia="宋体" w:cs="宋体"/>
          <w:color w:val="auto"/>
          <w:spacing w:val="7"/>
          <w:sz w:val="21"/>
          <w:szCs w:val="21"/>
          <w:highlight w:val="none"/>
        </w:rPr>
        <w:t>和本合同所附的《服务承诺》，为甲方提供售后服务。</w:t>
      </w:r>
    </w:p>
    <w:p w14:paraId="585B6446">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2.货物保修期：</w:t>
      </w:r>
      <w:r>
        <w:rPr>
          <w:rFonts w:hint="eastAsia" w:ascii="宋体" w:hAnsi="宋体" w:eastAsia="宋体" w:cs="宋体"/>
          <w:color w:val="auto"/>
          <w:sz w:val="21"/>
          <w:szCs w:val="21"/>
          <w:highlight w:val="none"/>
          <w:u w:val="single"/>
        </w:rPr>
        <w:t xml:space="preserve">                                           </w:t>
      </w:r>
    </w:p>
    <w:p w14:paraId="1F2045D2">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3.乙方提供的服务承诺和售后服务及保修期责任等其它具体约</w:t>
      </w:r>
      <w:r>
        <w:rPr>
          <w:rFonts w:hint="eastAsia" w:ascii="宋体" w:hAnsi="宋体" w:eastAsia="宋体" w:cs="宋体"/>
          <w:color w:val="auto"/>
          <w:spacing w:val="3"/>
          <w:sz w:val="21"/>
          <w:szCs w:val="21"/>
          <w:highlight w:val="none"/>
        </w:rPr>
        <w:t>定事项。(见合同附件)</w:t>
      </w:r>
    </w:p>
    <w:p w14:paraId="7E0168E4">
      <w:pPr>
        <w:pStyle w:val="21"/>
        <w:keepLines w:val="0"/>
        <w:pageBreakBefore w:val="0"/>
        <w:widowControl w:val="0"/>
        <w:kinsoku/>
        <w:wordWrap/>
        <w:overflowPunct/>
        <w:topLinePunct w:val="0"/>
        <w:bidi w:val="0"/>
        <w:spacing w:after="0" w:line="340" w:lineRule="exact"/>
        <w:ind w:firstLine="41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第八条  付款方式</w:t>
      </w:r>
    </w:p>
    <w:p w14:paraId="2288F315">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1.资金性质：</w:t>
      </w:r>
      <w:r>
        <w:rPr>
          <w:rFonts w:hint="eastAsia" w:ascii="宋体" w:hAnsi="宋体" w:eastAsia="宋体" w:cs="宋体"/>
          <w:color w:val="auto"/>
          <w:spacing w:val="-3"/>
          <w:sz w:val="21"/>
          <w:szCs w:val="21"/>
          <w:highlight w:val="none"/>
          <w:u w:val="single"/>
        </w:rPr>
        <w:t xml:space="preserve"> 财政性资金</w:t>
      </w:r>
    </w:p>
    <w:p w14:paraId="64F0BE26">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2.付款方式</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2"/>
          <w:sz w:val="21"/>
          <w:szCs w:val="21"/>
          <w:highlight w:val="none"/>
        </w:rPr>
        <w:t>合同签订后 10 个工作日内，</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向</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支付合同金额的30%；全部货物到货安装调试并验收合格后10个工作日内，</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向</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支付合同金额的70%，</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需向</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提供等额正式发票。</w:t>
      </w:r>
    </w:p>
    <w:p w14:paraId="466F9820">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第九条 履约保证金</w:t>
      </w:r>
    </w:p>
    <w:p w14:paraId="2548027A">
      <w:pPr>
        <w:spacing w:line="360" w:lineRule="exact"/>
        <w:ind w:firstLine="420" w:firstLineChars="200"/>
        <w:rPr>
          <w:rFonts w:hint="eastAsia" w:ascii="宋体" w:hAnsi="宋体" w:cs="宋体"/>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履约保证金金额：合同金额的5%，若</w:t>
      </w:r>
      <w:r>
        <w:rPr>
          <w:rFonts w:hint="eastAsia" w:ascii="宋体" w:hAnsi="宋体" w:cs="宋体"/>
          <w:color w:val="auto"/>
          <w:szCs w:val="21"/>
          <w:highlight w:val="none"/>
          <w:lang w:eastAsia="zh-CN"/>
        </w:rPr>
        <w:t>乙方</w:t>
      </w:r>
      <w:r>
        <w:rPr>
          <w:rFonts w:hint="eastAsia" w:ascii="宋体" w:hAnsi="宋体" w:eastAsia="宋体" w:cs="宋体"/>
          <w:color w:val="auto"/>
          <w:sz w:val="21"/>
          <w:szCs w:val="21"/>
          <w:highlight w:val="none"/>
        </w:rPr>
        <w:t>是中型企业的，则履约保证金按合同金额的2%收取，若</w:t>
      </w:r>
      <w:r>
        <w:rPr>
          <w:rFonts w:hint="eastAsia" w:ascii="宋体" w:hAnsi="宋体" w:cs="宋体"/>
          <w:color w:val="auto"/>
          <w:szCs w:val="21"/>
          <w:highlight w:val="none"/>
          <w:lang w:eastAsia="zh-CN"/>
        </w:rPr>
        <w:t>乙方</w:t>
      </w:r>
      <w:r>
        <w:rPr>
          <w:rFonts w:hint="eastAsia" w:ascii="宋体" w:hAnsi="宋体" w:eastAsia="宋体" w:cs="宋体"/>
          <w:color w:val="auto"/>
          <w:sz w:val="21"/>
          <w:szCs w:val="21"/>
          <w:highlight w:val="none"/>
        </w:rPr>
        <w:t>是小微企业的则免收履约保证金。</w:t>
      </w:r>
    </w:p>
    <w:p w14:paraId="5BB3609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2．履约保证金提交时间及方式：合同签订前5日内，</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必须以银行转账、支票、汇票、本票或者金融机构、担保机构出具的保险、保函（含电子保函）等非现金方式向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提交履约保证金。</w:t>
      </w:r>
    </w:p>
    <w:p w14:paraId="6061D70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收到退付履约保证金申请后15个工作日内退还(无息)。</w:t>
      </w:r>
    </w:p>
    <w:p w14:paraId="38BAE8F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负责：</w:t>
      </w:r>
    </w:p>
    <w:p w14:paraId="580AB8E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不按合同履行质量保证义务的，</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有权对采购标的进行更换、维修维保，所需费用从</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承担。同时，</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保留起诉</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的权利。</w:t>
      </w:r>
    </w:p>
    <w:p w14:paraId="108D545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变更单位名称、联系方式等不及时告知</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并提供相关变更材料，造成</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无法通知</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自动放弃领回履约保证金权利，</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有权对履约保证金进行另外处置。</w:t>
      </w:r>
    </w:p>
    <w:p w14:paraId="178AA6E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原因导致履约保证金无法按时退回的情形。</w:t>
      </w:r>
    </w:p>
    <w:p w14:paraId="3E7FD45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履约保证金账户:</w:t>
      </w:r>
    </w:p>
    <w:p w14:paraId="25D8F605">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全称:</w:t>
      </w:r>
      <w:r>
        <w:rPr>
          <w:rFonts w:hint="eastAsia" w:ascii="宋体" w:hAnsi="宋体" w:cs="宋体"/>
          <w:color w:val="auto"/>
          <w:szCs w:val="21"/>
          <w:highlight w:val="none"/>
          <w:lang w:val="en-US" w:eastAsia="zh-CN"/>
        </w:rPr>
        <w:t xml:space="preserve">  </w:t>
      </w:r>
    </w:p>
    <w:p w14:paraId="2969376F">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 xml:space="preserve">  </w:t>
      </w:r>
    </w:p>
    <w:p w14:paraId="013B409A">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开户银行:</w:t>
      </w:r>
      <w:r>
        <w:rPr>
          <w:rFonts w:hint="eastAsia" w:ascii="宋体" w:hAnsi="宋体" w:cs="宋体"/>
          <w:color w:val="auto"/>
          <w:szCs w:val="21"/>
          <w:highlight w:val="none"/>
          <w:lang w:val="en-US" w:eastAsia="zh-CN"/>
        </w:rPr>
        <w:t xml:space="preserve">   </w:t>
      </w:r>
    </w:p>
    <w:p w14:paraId="5977FAC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转帐时注明:项目名称+项目编号</w:t>
      </w:r>
    </w:p>
    <w:p w14:paraId="619F1EC5">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第十条 税费本合同执行中相关的一切税费均由乙方负担。</w:t>
      </w:r>
    </w:p>
    <w:p w14:paraId="15F768B3">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第十一条 质量保证及售后服务</w:t>
      </w:r>
    </w:p>
    <w:p w14:paraId="0B51B766">
      <w:pPr>
        <w:pStyle w:val="21"/>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乙方应按</w:t>
      </w:r>
      <w:r>
        <w:rPr>
          <w:rFonts w:hint="eastAsia" w:ascii="宋体" w:hAnsi="宋体" w:eastAsia="宋体" w:cs="宋体"/>
          <w:color w:val="auto"/>
          <w:spacing w:val="-3"/>
          <w:sz w:val="21"/>
          <w:szCs w:val="21"/>
          <w:highlight w:val="none"/>
          <w:lang w:eastAsia="zh-CN"/>
        </w:rPr>
        <w:t>招标文件</w:t>
      </w:r>
      <w:r>
        <w:rPr>
          <w:rFonts w:hint="eastAsia" w:ascii="宋体" w:hAnsi="宋体" w:eastAsia="宋体" w:cs="宋体"/>
          <w:color w:val="auto"/>
          <w:spacing w:val="-3"/>
          <w:sz w:val="21"/>
          <w:szCs w:val="21"/>
          <w:highlight w:val="none"/>
        </w:rPr>
        <w:t>规定及</w:t>
      </w:r>
      <w:r>
        <w:rPr>
          <w:rFonts w:hint="eastAsia" w:ascii="宋体" w:hAnsi="宋体" w:eastAsia="宋体" w:cs="宋体"/>
          <w:color w:val="auto"/>
          <w:spacing w:val="-3"/>
          <w:sz w:val="21"/>
          <w:szCs w:val="21"/>
          <w:highlight w:val="none"/>
          <w:lang w:eastAsia="zh-CN"/>
        </w:rPr>
        <w:t>投标文件</w:t>
      </w:r>
      <w:r>
        <w:rPr>
          <w:rFonts w:hint="eastAsia" w:ascii="宋体" w:hAnsi="宋体" w:eastAsia="宋体" w:cs="宋体"/>
          <w:color w:val="auto"/>
          <w:spacing w:val="-3"/>
          <w:sz w:val="21"/>
          <w:szCs w:val="21"/>
          <w:highlight w:val="none"/>
        </w:rPr>
        <w:t>承诺的货物性能、技术要</w:t>
      </w:r>
      <w:r>
        <w:rPr>
          <w:rFonts w:hint="eastAsia" w:ascii="宋体" w:hAnsi="宋体" w:eastAsia="宋体" w:cs="宋体"/>
          <w:color w:val="auto"/>
          <w:spacing w:val="-5"/>
          <w:sz w:val="21"/>
          <w:szCs w:val="21"/>
          <w:highlight w:val="none"/>
        </w:rPr>
        <w:t>求、质量标准向甲方提供未经使用的全新产品。乙方提供货物的质量</w:t>
      </w:r>
      <w:r>
        <w:rPr>
          <w:rFonts w:hint="eastAsia" w:ascii="宋体" w:hAnsi="宋体" w:eastAsia="宋体" w:cs="宋体"/>
          <w:color w:val="auto"/>
          <w:spacing w:val="-1"/>
          <w:sz w:val="21"/>
          <w:szCs w:val="21"/>
          <w:highlight w:val="none"/>
        </w:rPr>
        <w:t>保证期按交货验收合格之日起计(期限见《采购需求》中各分标的要</w:t>
      </w:r>
      <w:r>
        <w:rPr>
          <w:rFonts w:hint="eastAsia" w:ascii="宋体" w:hAnsi="宋体" w:eastAsia="宋体" w:cs="宋体"/>
          <w:color w:val="auto"/>
          <w:sz w:val="21"/>
          <w:szCs w:val="21"/>
          <w:highlight w:val="none"/>
        </w:rPr>
        <w:t>求)。在保证期内因货物本身的质量问题发生故障，乙方应负责免费</w:t>
      </w:r>
      <w:r>
        <w:rPr>
          <w:rFonts w:hint="eastAsia" w:ascii="宋体" w:hAnsi="宋体" w:eastAsia="宋体" w:cs="宋体"/>
          <w:color w:val="auto"/>
          <w:spacing w:val="-5"/>
          <w:sz w:val="21"/>
          <w:szCs w:val="21"/>
          <w:highlight w:val="none"/>
        </w:rPr>
        <w:t>修理和更换零部件。对达不到技术要求者，根据实际情况，经双方协</w:t>
      </w:r>
      <w:r>
        <w:rPr>
          <w:rFonts w:hint="eastAsia" w:ascii="宋体" w:hAnsi="宋体" w:eastAsia="宋体" w:cs="宋体"/>
          <w:color w:val="auto"/>
          <w:spacing w:val="-11"/>
          <w:sz w:val="21"/>
          <w:szCs w:val="21"/>
          <w:highlight w:val="none"/>
        </w:rPr>
        <w:t>商，可按以下办法处理：</w:t>
      </w:r>
    </w:p>
    <w:p w14:paraId="032B644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(1)更换：由乙方承担所发生的全部费用。</w:t>
      </w:r>
    </w:p>
    <w:p w14:paraId="7548B4B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(2)贬值处理：由甲乙双方合议定价。</w:t>
      </w:r>
    </w:p>
    <w:p w14:paraId="6399ADE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(3)退货处理：乙方应退还甲方支付的合同款，同时应承担该货物的直接费用(运输、保险、检验、货款利息及银行手续费等)。</w:t>
      </w:r>
    </w:p>
    <w:p w14:paraId="050EB7B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spacing w:val="-3"/>
          <w:sz w:val="21"/>
          <w:szCs w:val="21"/>
          <w:highlight w:val="none"/>
        </w:rPr>
        <w:t>.如在</w:t>
      </w:r>
      <w:r>
        <w:rPr>
          <w:rFonts w:hint="eastAsia" w:ascii="宋体" w:hAnsi="宋体" w:eastAsia="宋体" w:cs="宋体"/>
          <w:color w:val="auto"/>
          <w:spacing w:val="13"/>
          <w:sz w:val="21"/>
          <w:szCs w:val="21"/>
          <w:highlight w:val="none"/>
        </w:rPr>
        <w:t>使用过程中发生质量问题，乙方在接到甲方通知</w:t>
      </w:r>
      <w:r>
        <w:rPr>
          <w:rFonts w:hint="eastAsia" w:ascii="宋体" w:hAnsi="宋体" w:eastAsia="宋体" w:cs="宋体"/>
          <w:color w:val="auto"/>
          <w:spacing w:val="12"/>
          <w:sz w:val="21"/>
          <w:szCs w:val="21"/>
          <w:highlight w:val="none"/>
        </w:rPr>
        <w:t>后在</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rPr>
        <w:t>小时内到达甲方现场。</w:t>
      </w:r>
      <w:r>
        <w:rPr>
          <w:rFonts w:hint="eastAsia" w:ascii="宋体" w:hAnsi="宋体" w:eastAsia="宋体" w:cs="宋体"/>
          <w:color w:val="auto"/>
          <w:sz w:val="21"/>
          <w:szCs w:val="21"/>
          <w:highlight w:val="none"/>
        </w:rPr>
        <w:t>一般故障处理时限不超过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小时修复，重大故障处理时限不超过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小时修复。如在规定时间内不能完成维修，应提供性能相同或升级型替代设备，以保证用户正常使用。</w:t>
      </w:r>
    </w:p>
    <w:p w14:paraId="6A58ED30">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3.在质保期内，乙方应对货物出现的质量及安全问题负责处理解决并承担一切费用。</w:t>
      </w:r>
    </w:p>
    <w:p w14:paraId="2C120D3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4.上述的货物免费保修期为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年，因人为因素出现的故障不在免费保修范围内。超过保修期的机器设备，终生维修，维修时只收部件成本费。</w:t>
      </w:r>
      <w:r>
        <w:rPr>
          <w:rFonts w:hint="eastAsia" w:ascii="宋体" w:hAnsi="宋体" w:eastAsia="宋体" w:cs="宋体"/>
          <w:color w:val="auto"/>
          <w:sz w:val="21"/>
          <w:szCs w:val="21"/>
          <w:highlight w:val="none"/>
        </w:rPr>
        <w:t>保修期自双方代表在产品验收单上签字之日起计算。保修期内保修费用计入本合同总价。</w:t>
      </w:r>
    </w:p>
    <w:p w14:paraId="4041D047">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保修期内，成交供应商负责对其提供的产品整机进行维修，并且保证每年上门检修一次，不再向采购人收取费用。</w:t>
      </w:r>
    </w:p>
    <w:p w14:paraId="52C27CA8">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提供7×24小时热线电话和远程技术支持服务，对于远程无法解决的问题，需安排资深技术人员到现场解决。提供专业维保人员不少于1人。</w:t>
      </w:r>
    </w:p>
    <w:p w14:paraId="5F69F0FF">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第十二条</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调试和验收</w:t>
      </w:r>
    </w:p>
    <w:p w14:paraId="57813B7A">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负责全部成套设备、配套部件及材料的现场安装、调试直至验收合格投入正常运转。</w:t>
      </w:r>
    </w:p>
    <w:p w14:paraId="21897E24">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2、如设备安装有特殊要求，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应在合同签订后，设备安装之前</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工作日内以书面形式向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提出安装场地环境要求，并对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安装场地环境提供咨询技术支持。</w:t>
      </w:r>
    </w:p>
    <w:p w14:paraId="47F6364E">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3、产品的到货验收包括：数量、外观质量、随机备件备品、装箱单、随机资料(中文)及产品包装完整无破损。产品验收通过前，外包装数量、质量及外包装内产品数量、质量，均由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p>
    <w:p w14:paraId="47A9671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4、产品验收通过前外包装数量、质量及外包装内产品数量、质量出现问题，</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应负责三包(包修、包换、包退)</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费用均由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r>
        <w:rPr>
          <w:rFonts w:hint="eastAsia" w:ascii="宋体" w:hAnsi="宋体" w:eastAsia="宋体" w:cs="宋体"/>
          <w:color w:val="auto"/>
          <w:kern w:val="2"/>
          <w:sz w:val="21"/>
          <w:szCs w:val="21"/>
          <w:highlight w:val="none"/>
          <w:lang w:eastAsia="zh-CN"/>
        </w:rPr>
        <w:t>。</w:t>
      </w:r>
    </w:p>
    <w:p w14:paraId="73FFABC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、设备到达</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所在地后，在接到</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通知后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个工作日内进行安装调试，按供货方合格证书和技术资料中的精度、质量要求和双方签订的合同技术附件所规定的条款进行验收。验收时，由</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及</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邀请的行业专家（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如有需要邀请的）共同进行验收，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有权委托有资质的质检部门对货物进行抽检，检验的费用由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承担；对不符合要求的产品，</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有权拒绝验收，由此产生的一切后果，均由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承担。由此造成的不能按时、按质、按量完成项目要求的，将按照政府采购相关法规、</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规定及</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承诺的事项进行处罚。</w:t>
      </w:r>
    </w:p>
    <w:p w14:paraId="5E8BA102">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、在安装、调试过程中，</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技术人员所提出的技术问题给予满意的答复，并向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提供安装调试过程中的各种文档资料，以便</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今后能掌握操作方法和维护方法。</w:t>
      </w:r>
    </w:p>
    <w:p w14:paraId="63E197DF">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在完成本合同各阶段交付内容签收后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提交验收申请，</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在收到验收申请后在</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个工作日内组织有关人员进行验收，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根据测试结果提交验收报告，并在验收报告上签字确认。</w:t>
      </w:r>
    </w:p>
    <w:p w14:paraId="34C3DD7C">
      <w:pPr>
        <w:pStyle w:val="21"/>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第十三条</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货物包装、发运及运输</w:t>
      </w:r>
    </w:p>
    <w:p w14:paraId="65EF7C9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乙方应在货物发运前对其进行满足运输距离、防潮、防震、防 锈和防破损装卸等要求包装，以保证货物安全运达甲方指定地点。</w:t>
      </w:r>
      <w:r>
        <w:rPr>
          <w:rFonts w:hint="eastAsia" w:ascii="宋体" w:hAnsi="宋体" w:eastAsia="宋体" w:cs="宋体"/>
          <w:color w:val="auto"/>
          <w:kern w:val="0"/>
          <w:sz w:val="21"/>
          <w:szCs w:val="21"/>
          <w:highlight w:val="none"/>
        </w:rPr>
        <w:t>若产品在运输过程中损坏须无偿调换同样产品。</w:t>
      </w:r>
    </w:p>
    <w:p w14:paraId="2A4E8D5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使用说明书、质量检验证明书、随配附件和工具以及清单一并附于货物内。</w:t>
      </w:r>
    </w:p>
    <w:p w14:paraId="0973D9A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乙方在货物发运手续办理完毕后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小时内或货到甲方</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小时前通知甲方，以准备接货。</w:t>
      </w:r>
    </w:p>
    <w:p w14:paraId="29DB193C">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货物在交付甲方前发生的风险均由乙方负责。</w:t>
      </w:r>
    </w:p>
    <w:p w14:paraId="4F23DDF3">
      <w:pPr>
        <w:pStyle w:val="21"/>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3"/>
          <w:sz w:val="21"/>
          <w:szCs w:val="21"/>
          <w:highlight w:val="none"/>
        </w:rPr>
        <w:t>货物在规定的交付期限内由乙方送达甲方指定的地点视为交</w:t>
      </w:r>
      <w:r>
        <w:rPr>
          <w:rFonts w:hint="eastAsia" w:ascii="宋体" w:hAnsi="宋体" w:eastAsia="宋体" w:cs="宋体"/>
          <w:color w:val="auto"/>
          <w:spacing w:val="-3"/>
          <w:sz w:val="21"/>
          <w:szCs w:val="21"/>
          <w:highlight w:val="none"/>
        </w:rPr>
        <w:t>付，乙方同时需通知甲方货物已送达。</w:t>
      </w:r>
    </w:p>
    <w:p w14:paraId="6A5C5C9A">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第十四条 违约责任</w:t>
      </w:r>
    </w:p>
    <w:p w14:paraId="532FD39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071C702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2.乙方提供的货物如侵犯了第三方合法权益而引发的任何纠纷 或诉讼，均由乙方负责交涉并承担全部责任。</w:t>
      </w:r>
    </w:p>
    <w:p w14:paraId="65E7782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因包装、运输引起的货物损坏，按质量不合格处罚。</w:t>
      </w:r>
    </w:p>
    <w:p w14:paraId="37794FC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4.甲方无故延期接收货物、乙方逾期交货的，每天向对方偿付违约货款额</w:t>
      </w:r>
      <w:r>
        <w:rPr>
          <w:rFonts w:hint="eastAsia" w:ascii="宋体" w:hAnsi="宋体" w:eastAsia="宋体" w:cs="宋体"/>
          <w:color w:val="auto"/>
          <w:kern w:val="2"/>
          <w:sz w:val="21"/>
          <w:szCs w:val="21"/>
          <w:highlight w:val="none"/>
          <w:u w:val="single"/>
        </w:rPr>
        <w:t>3‰</w:t>
      </w:r>
      <w:r>
        <w:rPr>
          <w:rFonts w:hint="eastAsia" w:ascii="宋体" w:hAnsi="宋体" w:eastAsia="宋体" w:cs="宋体"/>
          <w:color w:val="auto"/>
          <w:kern w:val="2"/>
          <w:sz w:val="21"/>
          <w:szCs w:val="21"/>
          <w:highlight w:val="none"/>
        </w:rPr>
        <w:t>违约金，但违约金累计不</w:t>
      </w:r>
      <w:r>
        <w:rPr>
          <w:rFonts w:hint="eastAsia" w:ascii="宋体" w:hAnsi="宋体" w:eastAsia="宋体" w:cs="宋体"/>
          <w:color w:val="auto"/>
          <w:spacing w:val="19"/>
          <w:sz w:val="21"/>
          <w:szCs w:val="21"/>
          <w:highlight w:val="none"/>
        </w:rPr>
        <w:t>得超过</w:t>
      </w:r>
      <w:r>
        <w:rPr>
          <w:rFonts w:hint="eastAsia" w:ascii="宋体" w:hAnsi="宋体" w:eastAsia="宋体" w:cs="宋体"/>
          <w:color w:val="auto"/>
          <w:spacing w:val="18"/>
          <w:sz w:val="21"/>
          <w:szCs w:val="21"/>
          <w:highlight w:val="none"/>
        </w:rPr>
        <w:t>违约货款额</w:t>
      </w:r>
      <w:r>
        <w:rPr>
          <w:rFonts w:hint="eastAsia" w:ascii="宋体" w:hAnsi="宋体" w:eastAsia="宋体" w:cs="宋体"/>
          <w:color w:val="auto"/>
          <w:spacing w:val="18"/>
          <w:sz w:val="21"/>
          <w:szCs w:val="21"/>
          <w:highlight w:val="none"/>
          <w:u w:val="single"/>
        </w:rPr>
        <w:t>5%</w:t>
      </w:r>
      <w:r>
        <w:rPr>
          <w:rFonts w:hint="eastAsia" w:ascii="宋体" w:hAnsi="宋体" w:eastAsia="宋体" w:cs="宋体"/>
          <w:color w:val="auto"/>
          <w:spacing w:val="18"/>
          <w:sz w:val="21"/>
          <w:szCs w:val="21"/>
          <w:highlight w:val="none"/>
        </w:rPr>
        <w:t>，超</w:t>
      </w:r>
      <w:r>
        <w:rPr>
          <w:rFonts w:hint="eastAsia" w:ascii="宋体" w:hAnsi="宋体" w:eastAsia="宋体" w:cs="宋体"/>
          <w:color w:val="auto"/>
          <w:spacing w:val="2"/>
          <w:sz w:val="21"/>
          <w:szCs w:val="21"/>
          <w:highlight w:val="none"/>
        </w:rPr>
        <w:t>过</w:t>
      </w:r>
      <w:r>
        <w:rPr>
          <w:rFonts w:hint="eastAsia" w:ascii="宋体" w:hAnsi="宋体" w:eastAsia="宋体" w:cs="宋体"/>
          <w:color w:val="auto"/>
          <w:spacing w:val="2"/>
          <w:sz w:val="21"/>
          <w:szCs w:val="21"/>
          <w:highlight w:val="none"/>
          <w:u w:val="single"/>
        </w:rPr>
        <w:t>120</w:t>
      </w:r>
      <w:r>
        <w:rPr>
          <w:rFonts w:hint="eastAsia" w:ascii="宋体" w:hAnsi="宋体" w:eastAsia="宋体" w:cs="宋体"/>
          <w:color w:val="auto"/>
          <w:spacing w:val="2"/>
          <w:sz w:val="21"/>
          <w:szCs w:val="21"/>
          <w:highlight w:val="none"/>
        </w:rPr>
        <w:t>天对方有权解除合同，违约方承担因此给对方造成经济损失</w:t>
      </w:r>
      <w:r>
        <w:rPr>
          <w:rFonts w:hint="eastAsia" w:ascii="宋体" w:hAnsi="宋体" w:eastAsia="宋体" w:cs="宋体"/>
          <w:color w:val="auto"/>
          <w:spacing w:val="-9"/>
          <w:sz w:val="21"/>
          <w:szCs w:val="21"/>
          <w:highlight w:val="none"/>
        </w:rPr>
        <w:t>甲方延期付货款的，每天</w:t>
      </w:r>
      <w:r>
        <w:rPr>
          <w:rFonts w:hint="eastAsia" w:ascii="宋体" w:hAnsi="宋体" w:eastAsia="宋体" w:cs="宋体"/>
          <w:color w:val="auto"/>
          <w:kern w:val="2"/>
          <w:sz w:val="21"/>
          <w:szCs w:val="21"/>
          <w:highlight w:val="none"/>
        </w:rPr>
        <w:t>向乙方偿付延期货款额</w:t>
      </w:r>
      <w:r>
        <w:rPr>
          <w:rFonts w:hint="eastAsia" w:ascii="宋体" w:hAnsi="宋体" w:eastAsia="宋体" w:cs="宋体"/>
          <w:color w:val="auto"/>
          <w:kern w:val="2"/>
          <w:sz w:val="21"/>
          <w:szCs w:val="21"/>
          <w:highlight w:val="none"/>
          <w:u w:val="single"/>
          <w:lang w:val="en-US" w:eastAsia="zh-CN"/>
        </w:rPr>
        <w:t>3‰</w:t>
      </w:r>
      <w:r>
        <w:rPr>
          <w:rFonts w:hint="eastAsia" w:ascii="宋体" w:hAnsi="宋体" w:eastAsia="宋体" w:cs="宋体"/>
          <w:color w:val="auto"/>
          <w:kern w:val="2"/>
          <w:sz w:val="21"/>
          <w:szCs w:val="21"/>
          <w:highlight w:val="none"/>
          <w:lang w:val="en-US" w:eastAsia="zh-CN"/>
        </w:rPr>
        <w:t>滞纳金，</w:t>
      </w:r>
      <w:r>
        <w:rPr>
          <w:rFonts w:hint="eastAsia" w:ascii="宋体" w:hAnsi="宋体" w:eastAsia="宋体" w:cs="宋体"/>
          <w:color w:val="auto"/>
          <w:kern w:val="2"/>
          <w:sz w:val="21"/>
          <w:szCs w:val="21"/>
          <w:highlight w:val="none"/>
        </w:rPr>
        <w:t>但滞纳金累计不得超过延期</w:t>
      </w:r>
      <w:r>
        <w:rPr>
          <w:rFonts w:hint="eastAsia" w:ascii="宋体" w:hAnsi="宋体" w:eastAsia="宋体" w:cs="宋体"/>
          <w:color w:val="auto"/>
          <w:spacing w:val="-4"/>
          <w:sz w:val="21"/>
          <w:szCs w:val="21"/>
          <w:highlight w:val="none"/>
        </w:rPr>
        <w:t>货款额</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124"/>
          <w:sz w:val="21"/>
          <w:szCs w:val="21"/>
          <w:highlight w:val="none"/>
          <w:u w:val="single"/>
        </w:rPr>
        <w:t xml:space="preserve"> </w:t>
      </w:r>
      <w:r>
        <w:rPr>
          <w:rFonts w:hint="eastAsia" w:ascii="宋体" w:hAnsi="宋体" w:eastAsia="宋体" w:cs="宋体"/>
          <w:color w:val="auto"/>
          <w:spacing w:val="-4"/>
          <w:sz w:val="21"/>
          <w:szCs w:val="21"/>
          <w:highlight w:val="none"/>
          <w:u w:val="single"/>
        </w:rPr>
        <w:t>5%</w:t>
      </w:r>
      <w:r>
        <w:rPr>
          <w:rFonts w:hint="eastAsia" w:ascii="宋体" w:hAnsi="宋体" w:eastAsia="宋体" w:cs="宋体"/>
          <w:color w:val="auto"/>
          <w:spacing w:val="-4"/>
          <w:sz w:val="21"/>
          <w:szCs w:val="21"/>
          <w:highlight w:val="none"/>
        </w:rPr>
        <w:t>。</w:t>
      </w:r>
    </w:p>
    <w:p w14:paraId="0E01496F">
      <w:pPr>
        <w:pStyle w:val="21"/>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5.乙方未按本合同和</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中规定的服务承诺提供售后服务</w:t>
      </w:r>
      <w:r>
        <w:rPr>
          <w:rFonts w:hint="eastAsia" w:ascii="宋体" w:hAnsi="宋体" w:eastAsia="宋体" w:cs="宋体"/>
          <w:color w:val="auto"/>
          <w:spacing w:val="6"/>
          <w:sz w:val="21"/>
          <w:szCs w:val="21"/>
          <w:highlight w:val="none"/>
        </w:rPr>
        <w:t>的，乙方应按本合同合计金额5%向甲方支付违约金。</w:t>
      </w:r>
    </w:p>
    <w:p w14:paraId="4C1A18A7">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6.乙方提供的货物在质量保证期内，因设</w:t>
      </w:r>
      <w:r>
        <w:rPr>
          <w:rFonts w:hint="eastAsia" w:ascii="宋体" w:hAnsi="宋体" w:eastAsia="宋体" w:cs="宋体"/>
          <w:color w:val="auto"/>
          <w:sz w:val="21"/>
          <w:szCs w:val="21"/>
          <w:highlight w:val="none"/>
        </w:rPr>
        <w:t xml:space="preserve">计、工艺或材料的缺 </w:t>
      </w:r>
      <w:r>
        <w:rPr>
          <w:rFonts w:hint="eastAsia" w:ascii="宋体" w:hAnsi="宋体" w:eastAsia="宋体" w:cs="宋体"/>
          <w:color w:val="auto"/>
          <w:spacing w:val="-4"/>
          <w:sz w:val="21"/>
          <w:szCs w:val="21"/>
          <w:highlight w:val="none"/>
        </w:rPr>
        <w:t>陷和其它质量原因造成的问题，由乙方负责，费用</w:t>
      </w:r>
      <w:r>
        <w:rPr>
          <w:rFonts w:hint="eastAsia" w:ascii="宋体" w:hAnsi="宋体" w:eastAsia="宋体" w:cs="宋体"/>
          <w:color w:val="auto"/>
          <w:spacing w:val="-5"/>
          <w:sz w:val="21"/>
          <w:szCs w:val="21"/>
          <w:highlight w:val="none"/>
        </w:rPr>
        <w:t>从履约保证金中扣</w:t>
      </w:r>
      <w:r>
        <w:rPr>
          <w:rFonts w:hint="eastAsia" w:ascii="宋体" w:hAnsi="宋体" w:eastAsia="宋体" w:cs="宋体"/>
          <w:color w:val="auto"/>
          <w:spacing w:val="-9"/>
          <w:sz w:val="21"/>
          <w:szCs w:val="21"/>
          <w:highlight w:val="none"/>
        </w:rPr>
        <w:t>除，不足另补。</w:t>
      </w:r>
    </w:p>
    <w:p w14:paraId="0437338C">
      <w:pPr>
        <w:pStyle w:val="21"/>
        <w:keepLines w:val="0"/>
        <w:pageBreakBefore w:val="0"/>
        <w:widowControl w:val="0"/>
        <w:kinsoku/>
        <w:wordWrap/>
        <w:overflowPunct/>
        <w:topLinePunct w:val="0"/>
        <w:bidi w:val="0"/>
        <w:spacing w:after="0" w:line="340" w:lineRule="exact"/>
        <w:ind w:firstLine="436" w:firstLineChars="200"/>
        <w:jc w:val="both"/>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4"/>
          <w:sz w:val="21"/>
          <w:szCs w:val="21"/>
          <w:highlight w:val="none"/>
        </w:rPr>
        <w:t>7.其它违约行为按违约货款额5%收取违约金并赔偿经济损失。</w:t>
      </w:r>
      <w:r>
        <w:rPr>
          <w:rFonts w:hint="eastAsia" w:ascii="宋体" w:hAnsi="宋体" w:eastAsia="宋体" w:cs="宋体"/>
          <w:color w:val="auto"/>
          <w:spacing w:val="9"/>
          <w:sz w:val="21"/>
          <w:szCs w:val="21"/>
          <w:highlight w:val="none"/>
        </w:rPr>
        <w:t xml:space="preserve"> </w:t>
      </w:r>
    </w:p>
    <w:p w14:paraId="57FDB3A8">
      <w:pPr>
        <w:pStyle w:val="21"/>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3"/>
          <w:sz w:val="21"/>
          <w:szCs w:val="21"/>
          <w:highlight w:val="none"/>
        </w:rPr>
        <w:t>甲乙双方最高罚款总额应不超过货款总额5%。</w:t>
      </w:r>
    </w:p>
    <w:p w14:paraId="6A55684F">
      <w:pPr>
        <w:pStyle w:val="21"/>
        <w:keepLines w:val="0"/>
        <w:pageBreakBefore w:val="0"/>
        <w:widowControl w:val="0"/>
        <w:kinsoku/>
        <w:wordWrap/>
        <w:overflowPunct/>
        <w:topLinePunct w:val="0"/>
        <w:bidi w:val="0"/>
        <w:spacing w:after="0" w:line="340" w:lineRule="exact"/>
        <w:ind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第十五条  不可抗力事件处理</w:t>
      </w:r>
    </w:p>
    <w:p w14:paraId="0832E2C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1.在合同有效期内，任何一方因不可抗力事件导致不能履行合同，则合同履行期可延长，其延长期与不可抗力影响期相同。</w:t>
      </w:r>
    </w:p>
    <w:p w14:paraId="56581CF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2.不可抗力事件发生后，应立即通知对方，并寄送有关权威机构出具的证明。</w:t>
      </w:r>
    </w:p>
    <w:p w14:paraId="3739731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spacing w:val="-7"/>
          <w:sz w:val="21"/>
          <w:szCs w:val="21"/>
          <w:highlight w:val="none"/>
        </w:rPr>
        <w:t>不可抗力事件延续一百二十天以上，双方应通过友好协商，确</w:t>
      </w:r>
      <w:r>
        <w:rPr>
          <w:rFonts w:hint="eastAsia" w:ascii="宋体" w:hAnsi="宋体" w:eastAsia="宋体" w:cs="宋体"/>
          <w:color w:val="auto"/>
          <w:spacing w:val="-6"/>
          <w:sz w:val="21"/>
          <w:szCs w:val="21"/>
          <w:highlight w:val="none"/>
        </w:rPr>
        <w:t>定是否继续履行合同。</w:t>
      </w:r>
    </w:p>
    <w:p w14:paraId="2C730F68">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第十六条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合同争议解决</w:t>
      </w:r>
    </w:p>
    <w:p w14:paraId="3A4CAE02">
      <w:pPr>
        <w:pStyle w:val="21"/>
        <w:keepLines w:val="0"/>
        <w:pageBreakBefore w:val="0"/>
        <w:widowControl w:val="0"/>
        <w:kinsoku/>
        <w:wordWrap/>
        <w:overflowPunct/>
        <w:topLinePunct w:val="0"/>
        <w:bidi w:val="0"/>
        <w:spacing w:after="0" w:line="340" w:lineRule="exact"/>
        <w:ind w:firstLine="39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1.因货物质量问题发生争议的，应邀请国家认可的质量检测机构</w:t>
      </w:r>
      <w:r>
        <w:rPr>
          <w:rFonts w:hint="eastAsia" w:ascii="宋体" w:hAnsi="宋体" w:eastAsia="宋体" w:cs="宋体"/>
          <w:color w:val="auto"/>
          <w:spacing w:val="-5"/>
          <w:sz w:val="21"/>
          <w:szCs w:val="21"/>
          <w:highlight w:val="none"/>
        </w:rPr>
        <w:t>对货物质量进行鉴定。货物符合标准的，鉴定费由甲方承担；货物不</w:t>
      </w:r>
      <w:r>
        <w:rPr>
          <w:rFonts w:hint="eastAsia" w:ascii="宋体" w:hAnsi="宋体" w:eastAsia="宋体" w:cs="宋体"/>
          <w:color w:val="auto"/>
          <w:spacing w:val="-4"/>
          <w:sz w:val="21"/>
          <w:szCs w:val="21"/>
          <w:highlight w:val="none"/>
        </w:rPr>
        <w:t>符合标准的，鉴定费由乙方承担。</w:t>
      </w:r>
    </w:p>
    <w:p w14:paraId="00FA2DAA">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2.因履行本合同引起的或与本合同有关的争议，甲乙双方应首先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通过友好协商解决，如果协商不能解决，可向</w:t>
      </w:r>
      <w:r>
        <w:rPr>
          <w:rFonts w:hint="eastAsia" w:ascii="宋体" w:hAnsi="宋体" w:eastAsia="宋体" w:cs="宋体"/>
          <w:color w:val="auto"/>
          <w:spacing w:val="-5"/>
          <w:sz w:val="21"/>
          <w:szCs w:val="21"/>
          <w:highlight w:val="none"/>
          <w:lang w:eastAsia="zh-CN"/>
        </w:rPr>
        <w:t>甲方所在地</w:t>
      </w:r>
      <w:r>
        <w:rPr>
          <w:rFonts w:hint="eastAsia" w:ascii="宋体" w:hAnsi="宋体" w:eastAsia="宋体" w:cs="宋体"/>
          <w:color w:val="auto"/>
          <w:spacing w:val="-8"/>
          <w:sz w:val="21"/>
          <w:szCs w:val="21"/>
          <w:highlight w:val="none"/>
        </w:rPr>
        <w:t>人民法院提起诉讼。</w:t>
      </w:r>
    </w:p>
    <w:p w14:paraId="312805F7">
      <w:pPr>
        <w:pStyle w:val="21"/>
        <w:keepLines w:val="0"/>
        <w:pageBreakBefore w:val="0"/>
        <w:widowControl w:val="0"/>
        <w:kinsoku/>
        <w:wordWrap/>
        <w:overflowPunct/>
        <w:topLinePunct w:val="0"/>
        <w:bidi w:val="0"/>
        <w:spacing w:after="0" w:line="340" w:lineRule="exact"/>
        <w:ind w:firstLine="38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3.诉讼期间，本合同继续履行。</w:t>
      </w:r>
    </w:p>
    <w:p w14:paraId="242B1696">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第十七条 合同生效及其它</w:t>
      </w:r>
    </w:p>
    <w:p w14:paraId="7A9A08D5">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1.合同经双方法定代表人(负责人)或授权代表(委托代理人)签字并加盖单位公章后生效。</w:t>
      </w:r>
    </w:p>
    <w:p w14:paraId="16BAC135">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合同执行中涉及采购资金和采购内容修改或补充的，须经</w:t>
      </w:r>
      <w:r>
        <w:rPr>
          <w:rFonts w:hint="eastAsia" w:ascii="宋体" w:hAnsi="宋体" w:eastAsia="宋体" w:cs="宋体"/>
          <w:color w:val="auto"/>
          <w:highlight w:val="none"/>
        </w:rPr>
        <w:t>财政部门</w:t>
      </w:r>
      <w:r>
        <w:rPr>
          <w:rFonts w:hint="eastAsia" w:ascii="宋体" w:hAnsi="宋体" w:eastAsia="宋体" w:cs="宋体"/>
          <w:color w:val="auto"/>
          <w:spacing w:val="1"/>
          <w:sz w:val="21"/>
          <w:szCs w:val="21"/>
          <w:highlight w:val="none"/>
        </w:rPr>
        <w:t>审批，并签书面补充协议报</w:t>
      </w:r>
      <w:r>
        <w:rPr>
          <w:rFonts w:hint="eastAsia" w:ascii="宋体" w:hAnsi="宋体" w:eastAsia="宋体" w:cs="宋体"/>
          <w:color w:val="auto"/>
          <w:highlight w:val="none"/>
        </w:rPr>
        <w:t>财政部门</w:t>
      </w:r>
      <w:r>
        <w:rPr>
          <w:rFonts w:hint="eastAsia" w:ascii="宋体" w:hAnsi="宋体" w:eastAsia="宋体" w:cs="宋体"/>
          <w:color w:val="auto"/>
          <w:spacing w:val="1"/>
          <w:sz w:val="21"/>
          <w:szCs w:val="21"/>
          <w:highlight w:val="none"/>
        </w:rPr>
        <w:t>备案，方可作为主合同不可分割的一部分。</w:t>
      </w:r>
    </w:p>
    <w:p w14:paraId="326486E0">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6"/>
          <w:sz w:val="21"/>
          <w:szCs w:val="21"/>
          <w:highlight w:val="none"/>
        </w:rPr>
        <w:t>. 本合同未尽事宜，遵照《中华人民共和国民法典》有关条文执行。</w:t>
      </w:r>
    </w:p>
    <w:p w14:paraId="50536875">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第十八条 合同的变更、终止与转让</w:t>
      </w:r>
    </w:p>
    <w:p w14:paraId="1591712E">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 除《中华人民共和国政府采购法》第五十条规定的情形外，本合同一经签订，甲乙双方不得擅自变更、中止或终止。</w:t>
      </w:r>
    </w:p>
    <w:p w14:paraId="38C7C297">
      <w:pPr>
        <w:pStyle w:val="21"/>
        <w:keepLines w:val="0"/>
        <w:pageBreakBefore w:val="0"/>
        <w:widowControl w:val="0"/>
        <w:kinsoku/>
        <w:wordWrap/>
        <w:overflowPunct/>
        <w:topLinePunct w:val="0"/>
        <w:bidi w:val="0"/>
        <w:spacing w:after="0" w:line="340" w:lineRule="exact"/>
        <w:ind w:firstLine="42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2.乙方不得擅自转让(无进口资格的供应商委</w:t>
      </w:r>
      <w:r>
        <w:rPr>
          <w:rFonts w:hint="eastAsia" w:ascii="宋体" w:hAnsi="宋体" w:eastAsia="宋体" w:cs="宋体"/>
          <w:color w:val="auto"/>
          <w:spacing w:val="1"/>
          <w:sz w:val="21"/>
          <w:szCs w:val="21"/>
          <w:highlight w:val="none"/>
        </w:rPr>
        <w:t>托进口货物除外)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其应履行的合同义务。</w:t>
      </w:r>
    </w:p>
    <w:p w14:paraId="4C86AABE">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第十九条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签订本合同依据</w:t>
      </w:r>
    </w:p>
    <w:p w14:paraId="3B8B9086">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1. </w:t>
      </w:r>
      <w:r>
        <w:rPr>
          <w:rFonts w:hint="eastAsia" w:ascii="宋体" w:hAnsi="宋体" w:eastAsia="宋体" w:cs="宋体"/>
          <w:color w:val="auto"/>
          <w:spacing w:val="1"/>
          <w:sz w:val="21"/>
          <w:szCs w:val="21"/>
          <w:highlight w:val="none"/>
          <w:lang w:eastAsia="zh-CN"/>
        </w:rPr>
        <w:t>招标文件</w:t>
      </w:r>
      <w:r>
        <w:rPr>
          <w:rFonts w:hint="eastAsia" w:ascii="宋体" w:hAnsi="宋体" w:eastAsia="宋体" w:cs="宋体"/>
          <w:color w:val="auto"/>
          <w:spacing w:val="1"/>
          <w:sz w:val="21"/>
          <w:szCs w:val="21"/>
          <w:highlight w:val="none"/>
        </w:rPr>
        <w:t>；</w:t>
      </w:r>
    </w:p>
    <w:p w14:paraId="4C7F54AE">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乙方提供的</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w:t>
      </w:r>
    </w:p>
    <w:p w14:paraId="134BCB07">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3. </w:t>
      </w:r>
      <w:r>
        <w:rPr>
          <w:rFonts w:hint="eastAsia" w:ascii="宋体" w:hAnsi="宋体" w:eastAsia="宋体" w:cs="宋体"/>
          <w:color w:val="auto"/>
          <w:szCs w:val="21"/>
          <w:highlight w:val="none"/>
        </w:rPr>
        <w:t>投标承诺书</w:t>
      </w:r>
      <w:r>
        <w:rPr>
          <w:rFonts w:hint="eastAsia" w:ascii="宋体" w:hAnsi="宋体" w:eastAsia="宋体" w:cs="宋体"/>
          <w:color w:val="auto"/>
          <w:spacing w:val="1"/>
          <w:sz w:val="21"/>
          <w:szCs w:val="21"/>
          <w:highlight w:val="none"/>
        </w:rPr>
        <w:t>；</w:t>
      </w:r>
    </w:p>
    <w:p w14:paraId="18034955">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4. </w:t>
      </w:r>
      <w:r>
        <w:rPr>
          <w:rFonts w:hint="eastAsia" w:ascii="宋体" w:hAnsi="宋体" w:eastAsia="宋体" w:cs="宋体"/>
          <w:color w:val="auto"/>
          <w:spacing w:val="-4"/>
          <w:sz w:val="21"/>
          <w:szCs w:val="21"/>
          <w:highlight w:val="none"/>
          <w:lang w:val="en-US" w:eastAsia="zh-CN"/>
        </w:rPr>
        <w:t>中标</w:t>
      </w:r>
      <w:r>
        <w:rPr>
          <w:rFonts w:hint="eastAsia" w:ascii="宋体" w:hAnsi="宋体" w:eastAsia="宋体" w:cs="宋体"/>
          <w:color w:val="auto"/>
          <w:spacing w:val="-4"/>
          <w:sz w:val="21"/>
          <w:szCs w:val="21"/>
          <w:highlight w:val="none"/>
        </w:rPr>
        <w:t>通知书。</w:t>
      </w:r>
    </w:p>
    <w:p w14:paraId="221F7234">
      <w:pPr>
        <w:pStyle w:val="21"/>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第二</w:t>
      </w:r>
      <w:r>
        <w:rPr>
          <w:rFonts w:hint="eastAsia" w:ascii="宋体" w:hAnsi="宋体" w:eastAsia="宋体" w:cs="宋体"/>
          <w:b/>
          <w:bCs/>
          <w:color w:val="auto"/>
          <w:sz w:val="21"/>
          <w:szCs w:val="21"/>
          <w:highlight w:val="none"/>
        </w:rPr>
        <w:t>十条</w:t>
      </w:r>
      <w:r>
        <w:rPr>
          <w:rFonts w:hint="eastAsia" w:ascii="宋体" w:hAnsi="宋体" w:eastAsia="宋体" w:cs="宋体"/>
          <w:b/>
          <w:color w:val="auto"/>
          <w:sz w:val="21"/>
          <w:szCs w:val="21"/>
          <w:highlight w:val="none"/>
        </w:rPr>
        <w:t>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陆   </w:t>
      </w:r>
      <w:r>
        <w:rPr>
          <w:rFonts w:hint="eastAsia" w:ascii="宋体" w:hAnsi="宋体" w:eastAsia="宋体" w:cs="宋体"/>
          <w:color w:val="auto"/>
          <w:sz w:val="21"/>
          <w:szCs w:val="21"/>
          <w:highlight w:val="none"/>
        </w:rPr>
        <w:t>份，具有同等法律效力，采购代理单位、政府采购监管部门各一份，甲乙双方各</w:t>
      </w:r>
      <w:r>
        <w:rPr>
          <w:rFonts w:hint="eastAsia" w:ascii="宋体" w:hAnsi="宋体" w:eastAsia="宋体" w:cs="宋体"/>
          <w:color w:val="auto"/>
          <w:sz w:val="21"/>
          <w:szCs w:val="21"/>
          <w:highlight w:val="none"/>
          <w:u w:val="single"/>
        </w:rPr>
        <w:t xml:space="preserve"> 贰  </w:t>
      </w:r>
      <w:r>
        <w:rPr>
          <w:rFonts w:hint="eastAsia" w:ascii="宋体" w:hAnsi="宋体" w:eastAsia="宋体" w:cs="宋体"/>
          <w:color w:val="auto"/>
          <w:sz w:val="21"/>
          <w:szCs w:val="21"/>
          <w:highlight w:val="none"/>
        </w:rPr>
        <w:t>份。</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AA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C1CBB4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3C1CAA61">
            <w:pPr>
              <w:keepLines w:val="0"/>
              <w:pageBreakBefore w:val="0"/>
              <w:widowControl w:val="0"/>
              <w:kinsoku/>
              <w:wordWrap/>
              <w:overflowPunct/>
              <w:topLinePunct w:val="0"/>
              <w:bidi w:val="0"/>
              <w:snapToGrid w:val="0"/>
              <w:spacing w:line="340" w:lineRule="exact"/>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6064BDAC">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B95EFB8">
            <w:pPr>
              <w:keepLines w:val="0"/>
              <w:pageBreakBefore w:val="0"/>
              <w:widowControl w:val="0"/>
              <w:kinsoku/>
              <w:wordWrap/>
              <w:overflowPunct/>
              <w:topLinePunct w:val="0"/>
              <w:bidi w:val="0"/>
              <w:snapToGrid w:val="0"/>
              <w:spacing w:line="34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428A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F62CB30">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31291B3B">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5BFC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F5B4B1">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6A1B7EA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5546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225D4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7E6D736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0482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D4C65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11EFC23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A27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79E734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0BF96148">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1AAE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C2151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649AE0FA">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3007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139BF0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0C47B93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35A5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4B0BEF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15359E8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2C48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12AAD98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                                                            年    月    日</w:t>
            </w:r>
          </w:p>
        </w:tc>
      </w:tr>
      <w:bookmarkEnd w:id="100"/>
    </w:tbl>
    <w:p w14:paraId="54DEEE4A">
      <w:pPr>
        <w:snapToGrid w:val="0"/>
        <w:jc w:val="center"/>
        <w:rPr>
          <w:rFonts w:hint="eastAsia" w:ascii="宋体" w:hAnsi="宋体" w:eastAsia="宋体" w:cs="宋体"/>
          <w:color w:val="auto"/>
          <w:sz w:val="30"/>
          <w:szCs w:val="30"/>
          <w:highlight w:val="none"/>
        </w:rPr>
      </w:pPr>
    </w:p>
    <w:p w14:paraId="25B84A5C">
      <w:pPr>
        <w:snapToGrid w:val="0"/>
        <w:jc w:val="center"/>
        <w:rPr>
          <w:rFonts w:hint="eastAsia" w:ascii="宋体" w:hAnsi="宋体" w:eastAsia="宋体" w:cs="宋体"/>
          <w:color w:val="auto"/>
          <w:sz w:val="30"/>
          <w:szCs w:val="30"/>
          <w:highlight w:val="none"/>
        </w:rPr>
      </w:pPr>
    </w:p>
    <w:p w14:paraId="62803B99">
      <w:pPr>
        <w:snapToGrid w:val="0"/>
        <w:jc w:val="center"/>
        <w:rPr>
          <w:rFonts w:hint="eastAsia" w:ascii="宋体" w:hAnsi="宋体" w:eastAsia="宋体" w:cs="宋体"/>
          <w:color w:val="auto"/>
          <w:sz w:val="30"/>
          <w:szCs w:val="30"/>
          <w:highlight w:val="none"/>
        </w:rPr>
      </w:pPr>
    </w:p>
    <w:p w14:paraId="59A4CAEB">
      <w:pPr>
        <w:snapToGrid w:val="0"/>
        <w:jc w:val="center"/>
        <w:rPr>
          <w:rFonts w:hint="eastAsia" w:ascii="宋体" w:hAnsi="宋体" w:eastAsia="宋体" w:cs="宋体"/>
          <w:color w:val="auto"/>
          <w:sz w:val="30"/>
          <w:szCs w:val="30"/>
          <w:highlight w:val="none"/>
        </w:rPr>
      </w:pPr>
    </w:p>
    <w:p w14:paraId="362E49F0">
      <w:pPr>
        <w:snapToGrid w:val="0"/>
        <w:jc w:val="center"/>
        <w:rPr>
          <w:rFonts w:hint="eastAsia" w:ascii="宋体" w:hAnsi="宋体" w:eastAsia="宋体" w:cs="宋体"/>
          <w:color w:val="auto"/>
          <w:sz w:val="30"/>
          <w:szCs w:val="30"/>
          <w:highlight w:val="none"/>
        </w:rPr>
      </w:pPr>
    </w:p>
    <w:p w14:paraId="2822676E">
      <w:pPr>
        <w:snapToGrid w:val="0"/>
        <w:jc w:val="center"/>
        <w:rPr>
          <w:rFonts w:hint="eastAsia" w:ascii="宋体" w:hAnsi="宋体" w:eastAsia="宋体" w:cs="宋体"/>
          <w:color w:val="auto"/>
          <w:sz w:val="30"/>
          <w:szCs w:val="30"/>
          <w:highlight w:val="none"/>
        </w:rPr>
      </w:pPr>
    </w:p>
    <w:p w14:paraId="22D5198E">
      <w:pPr>
        <w:snapToGrid w:val="0"/>
        <w:jc w:val="center"/>
        <w:rPr>
          <w:rFonts w:hint="eastAsia" w:ascii="宋体" w:hAnsi="宋体" w:eastAsia="宋体" w:cs="宋体"/>
          <w:color w:val="auto"/>
          <w:sz w:val="30"/>
          <w:szCs w:val="30"/>
          <w:highlight w:val="none"/>
        </w:rPr>
      </w:pPr>
    </w:p>
    <w:p w14:paraId="53CF9EDD">
      <w:pPr>
        <w:snapToGrid w:val="0"/>
        <w:jc w:val="center"/>
        <w:rPr>
          <w:rFonts w:hint="eastAsia" w:ascii="宋体" w:hAnsi="宋体" w:eastAsia="宋体" w:cs="宋体"/>
          <w:color w:val="auto"/>
          <w:sz w:val="30"/>
          <w:szCs w:val="30"/>
          <w:highlight w:val="none"/>
        </w:rPr>
      </w:pPr>
    </w:p>
    <w:p w14:paraId="6638C0AF">
      <w:pPr>
        <w:snapToGrid w:val="0"/>
        <w:jc w:val="center"/>
        <w:rPr>
          <w:rFonts w:hint="eastAsia" w:ascii="宋体" w:hAnsi="宋体" w:eastAsia="宋体" w:cs="宋体"/>
          <w:color w:val="auto"/>
          <w:sz w:val="30"/>
          <w:szCs w:val="30"/>
          <w:highlight w:val="none"/>
        </w:rPr>
      </w:pPr>
    </w:p>
    <w:p w14:paraId="165FD616">
      <w:pPr>
        <w:snapToGrid w:val="0"/>
        <w:jc w:val="center"/>
        <w:rPr>
          <w:rFonts w:hint="eastAsia" w:ascii="宋体" w:hAnsi="宋体" w:eastAsia="宋体" w:cs="宋体"/>
          <w:color w:val="auto"/>
          <w:sz w:val="30"/>
          <w:szCs w:val="30"/>
          <w:highlight w:val="none"/>
        </w:rPr>
      </w:pPr>
    </w:p>
    <w:p w14:paraId="6B919CEE">
      <w:pPr>
        <w:snapToGrid w:val="0"/>
        <w:jc w:val="center"/>
        <w:rPr>
          <w:rFonts w:hint="eastAsia" w:ascii="宋体" w:hAnsi="宋体" w:eastAsia="宋体" w:cs="宋体"/>
          <w:color w:val="auto"/>
          <w:sz w:val="30"/>
          <w:szCs w:val="30"/>
          <w:highlight w:val="none"/>
        </w:rPr>
      </w:pPr>
    </w:p>
    <w:p w14:paraId="21EA93D1">
      <w:pPr>
        <w:snapToGrid w:val="0"/>
        <w:jc w:val="center"/>
        <w:rPr>
          <w:rFonts w:hint="eastAsia" w:ascii="宋体" w:hAnsi="宋体" w:eastAsia="宋体" w:cs="宋体"/>
          <w:color w:val="auto"/>
          <w:sz w:val="30"/>
          <w:szCs w:val="30"/>
          <w:highlight w:val="none"/>
        </w:rPr>
      </w:pPr>
    </w:p>
    <w:p w14:paraId="3C6210C0">
      <w:pPr>
        <w:snapToGrid w:val="0"/>
        <w:jc w:val="center"/>
        <w:rPr>
          <w:rFonts w:hint="eastAsia" w:ascii="宋体" w:hAnsi="宋体" w:eastAsia="宋体" w:cs="宋体"/>
          <w:color w:val="auto"/>
          <w:sz w:val="30"/>
          <w:szCs w:val="30"/>
          <w:highlight w:val="none"/>
        </w:rPr>
      </w:pPr>
    </w:p>
    <w:p w14:paraId="3E5A467B">
      <w:pPr>
        <w:snapToGrid w:val="0"/>
        <w:jc w:val="center"/>
        <w:rPr>
          <w:rFonts w:hint="eastAsia" w:ascii="宋体" w:hAnsi="宋体" w:eastAsia="宋体" w:cs="宋体"/>
          <w:color w:val="auto"/>
          <w:sz w:val="30"/>
          <w:szCs w:val="30"/>
          <w:highlight w:val="none"/>
        </w:rPr>
      </w:pPr>
    </w:p>
    <w:p w14:paraId="756B3F31">
      <w:pPr>
        <w:snapToGrid w:val="0"/>
        <w:jc w:val="center"/>
        <w:rPr>
          <w:rFonts w:hint="eastAsia" w:ascii="宋体" w:hAnsi="宋体" w:eastAsia="宋体" w:cs="宋体"/>
          <w:color w:val="auto"/>
          <w:sz w:val="30"/>
          <w:szCs w:val="30"/>
          <w:highlight w:val="none"/>
        </w:rPr>
      </w:pPr>
    </w:p>
    <w:p w14:paraId="591FF014">
      <w:pPr>
        <w:snapToGrid w:val="0"/>
        <w:jc w:val="center"/>
        <w:rPr>
          <w:rFonts w:hint="eastAsia" w:ascii="宋体" w:hAnsi="宋体" w:eastAsia="宋体" w:cs="宋体"/>
          <w:color w:val="auto"/>
          <w:sz w:val="30"/>
          <w:szCs w:val="30"/>
          <w:highlight w:val="none"/>
        </w:rPr>
      </w:pPr>
    </w:p>
    <w:p w14:paraId="22012E0C">
      <w:pPr>
        <w:snapToGrid w:val="0"/>
        <w:jc w:val="center"/>
        <w:rPr>
          <w:rFonts w:hint="eastAsia" w:ascii="宋体" w:hAnsi="宋体" w:eastAsia="宋体" w:cs="宋体"/>
          <w:color w:val="auto"/>
          <w:sz w:val="30"/>
          <w:szCs w:val="30"/>
          <w:highlight w:val="none"/>
        </w:rPr>
      </w:pPr>
    </w:p>
    <w:p w14:paraId="50648484">
      <w:pPr>
        <w:snapToGrid w:val="0"/>
        <w:jc w:val="center"/>
        <w:rPr>
          <w:rFonts w:hint="eastAsia" w:ascii="宋体" w:hAnsi="宋体" w:eastAsia="宋体" w:cs="宋体"/>
          <w:color w:val="auto"/>
          <w:sz w:val="30"/>
          <w:szCs w:val="30"/>
          <w:highlight w:val="none"/>
        </w:rPr>
      </w:pPr>
    </w:p>
    <w:p w14:paraId="0B188F3E">
      <w:pPr>
        <w:snapToGrid w:val="0"/>
        <w:jc w:val="center"/>
        <w:rPr>
          <w:rFonts w:hint="eastAsia" w:ascii="宋体" w:hAnsi="宋体" w:eastAsia="宋体" w:cs="宋体"/>
          <w:color w:val="auto"/>
          <w:sz w:val="30"/>
          <w:szCs w:val="30"/>
          <w:highlight w:val="none"/>
        </w:rPr>
      </w:pPr>
    </w:p>
    <w:p w14:paraId="34167288">
      <w:pPr>
        <w:snapToGrid w:val="0"/>
        <w:jc w:val="center"/>
        <w:rPr>
          <w:rFonts w:hint="eastAsia" w:ascii="宋体" w:hAnsi="宋体" w:eastAsia="宋体" w:cs="宋体"/>
          <w:color w:val="auto"/>
          <w:sz w:val="30"/>
          <w:szCs w:val="30"/>
          <w:highlight w:val="none"/>
        </w:rPr>
      </w:pPr>
    </w:p>
    <w:p w14:paraId="1903991E">
      <w:pPr>
        <w:snapToGrid w:val="0"/>
        <w:jc w:val="center"/>
        <w:rPr>
          <w:rFonts w:hint="eastAsia" w:ascii="宋体" w:hAnsi="宋体" w:eastAsia="宋体" w:cs="宋体"/>
          <w:color w:val="auto"/>
          <w:sz w:val="30"/>
          <w:szCs w:val="30"/>
          <w:highlight w:val="none"/>
        </w:rPr>
      </w:pPr>
    </w:p>
    <w:p w14:paraId="17B423CD">
      <w:pPr>
        <w:snapToGrid w:val="0"/>
        <w:jc w:val="center"/>
        <w:rPr>
          <w:rFonts w:hint="eastAsia" w:ascii="宋体" w:hAnsi="宋体" w:eastAsia="宋体" w:cs="宋体"/>
          <w:color w:val="auto"/>
          <w:sz w:val="30"/>
          <w:szCs w:val="30"/>
          <w:highlight w:val="none"/>
        </w:rPr>
      </w:pPr>
    </w:p>
    <w:p w14:paraId="349937DD">
      <w:pPr>
        <w:snapToGrid w:val="0"/>
        <w:rPr>
          <w:rFonts w:hint="eastAsia" w:ascii="宋体" w:hAnsi="宋体" w:eastAsia="宋体" w:cs="宋体"/>
          <w:color w:val="auto"/>
          <w:sz w:val="30"/>
          <w:szCs w:val="30"/>
          <w:highlight w:val="none"/>
        </w:rPr>
      </w:pPr>
    </w:p>
    <w:p w14:paraId="2F77EC18">
      <w:pPr>
        <w:pStyle w:val="27"/>
        <w:snapToGrid w:val="0"/>
        <w:spacing w:before="120" w:after="120" w:line="320" w:lineRule="exact"/>
        <w:jc w:val="center"/>
        <w:outlineLvl w:val="0"/>
        <w:rPr>
          <w:rFonts w:hint="eastAsia" w:ascii="宋体" w:hAnsi="宋体" w:eastAsia="宋体" w:cs="宋体"/>
          <w:b/>
          <w:color w:val="auto"/>
          <w:sz w:val="30"/>
          <w:szCs w:val="30"/>
          <w:highlight w:val="none"/>
        </w:rPr>
      </w:pPr>
      <w:bookmarkStart w:id="101" w:name="_Toc32317"/>
      <w:r>
        <w:rPr>
          <w:rFonts w:hint="eastAsia" w:ascii="宋体" w:hAnsi="宋体" w:eastAsia="宋体" w:cs="宋体"/>
          <w:b/>
          <w:color w:val="auto"/>
          <w:sz w:val="28"/>
          <w:szCs w:val="28"/>
          <w:highlight w:val="none"/>
        </w:rPr>
        <w:t>第六章 投标文件格式</w:t>
      </w:r>
      <w:bookmarkEnd w:id="101"/>
    </w:p>
    <w:p w14:paraId="24DD15D0">
      <w:pPr>
        <w:snapToGrid w:val="0"/>
        <w:jc w:val="center"/>
        <w:rPr>
          <w:rFonts w:hint="eastAsia" w:ascii="宋体" w:hAnsi="宋体" w:eastAsia="宋体" w:cs="宋体"/>
          <w:color w:val="auto"/>
          <w:sz w:val="30"/>
          <w:szCs w:val="30"/>
          <w:highlight w:val="none"/>
        </w:rPr>
      </w:pPr>
    </w:p>
    <w:p w14:paraId="3B4DD7C0">
      <w:pPr>
        <w:snapToGrid w:val="0"/>
        <w:jc w:val="center"/>
        <w:rPr>
          <w:rFonts w:hint="eastAsia" w:ascii="宋体" w:hAnsi="宋体" w:eastAsia="宋体" w:cs="宋体"/>
          <w:color w:val="auto"/>
          <w:sz w:val="30"/>
          <w:szCs w:val="30"/>
          <w:highlight w:val="none"/>
        </w:rPr>
      </w:pPr>
    </w:p>
    <w:p w14:paraId="18BC919A">
      <w:pPr>
        <w:snapToGrid w:val="0"/>
        <w:jc w:val="center"/>
        <w:rPr>
          <w:rFonts w:hint="eastAsia" w:ascii="宋体" w:hAnsi="宋体" w:eastAsia="宋体" w:cs="宋体"/>
          <w:color w:val="auto"/>
          <w:sz w:val="30"/>
          <w:szCs w:val="30"/>
          <w:highlight w:val="none"/>
        </w:rPr>
      </w:pPr>
    </w:p>
    <w:p w14:paraId="7DBCE6F6">
      <w:pPr>
        <w:snapToGrid w:val="0"/>
        <w:jc w:val="center"/>
        <w:rPr>
          <w:rFonts w:hint="eastAsia" w:ascii="宋体" w:hAnsi="宋体" w:eastAsia="宋体" w:cs="宋体"/>
          <w:color w:val="auto"/>
          <w:sz w:val="30"/>
          <w:szCs w:val="30"/>
          <w:highlight w:val="none"/>
        </w:rPr>
      </w:pPr>
    </w:p>
    <w:p w14:paraId="2A7E369D">
      <w:pPr>
        <w:snapToGrid w:val="0"/>
        <w:jc w:val="left"/>
        <w:rPr>
          <w:rFonts w:hint="eastAsia" w:ascii="宋体" w:hAnsi="宋体" w:eastAsia="宋体" w:cs="宋体"/>
          <w:color w:val="auto"/>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highlight w:val="none"/>
        </w:rPr>
        <w:t xml:space="preserve"> </w:t>
      </w:r>
    </w:p>
    <w:p w14:paraId="4AD8DAFF">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1.资格证明文件格式： </w:t>
      </w:r>
    </w:p>
    <w:p w14:paraId="2D7BD9CD">
      <w:pPr>
        <w:snapToGrid w:val="0"/>
        <w:spacing w:before="50" w:after="50" w:line="400" w:lineRule="exact"/>
        <w:rPr>
          <w:rFonts w:hint="eastAsia" w:ascii="宋体" w:hAnsi="宋体" w:eastAsia="宋体" w:cs="宋体"/>
          <w:b/>
          <w:color w:val="auto"/>
          <w:sz w:val="32"/>
          <w:szCs w:val="32"/>
          <w:highlight w:val="none"/>
        </w:rPr>
      </w:pPr>
    </w:p>
    <w:p w14:paraId="3F9E0C32">
      <w:pPr>
        <w:snapToGrid w:val="0"/>
        <w:spacing w:before="50" w:after="50" w:line="400" w:lineRule="exact"/>
        <w:rPr>
          <w:rFonts w:hint="eastAsia" w:ascii="宋体" w:hAnsi="宋体" w:eastAsia="宋体" w:cs="宋体"/>
          <w:b/>
          <w:color w:val="auto"/>
          <w:sz w:val="32"/>
          <w:szCs w:val="32"/>
          <w:highlight w:val="none"/>
        </w:rPr>
      </w:pPr>
    </w:p>
    <w:p w14:paraId="62E047CC">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08305FDB">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5DE41DF7">
      <w:pPr>
        <w:snapToGrid w:val="0"/>
        <w:spacing w:before="120" w:beforeLines="50" w:after="50" w:line="400" w:lineRule="exact"/>
        <w:rPr>
          <w:rFonts w:hint="eastAsia" w:ascii="宋体" w:hAnsi="宋体" w:eastAsia="宋体" w:cs="宋体"/>
          <w:color w:val="auto"/>
          <w:sz w:val="32"/>
          <w:szCs w:val="32"/>
          <w:highlight w:val="none"/>
        </w:rPr>
      </w:pPr>
    </w:p>
    <w:p w14:paraId="78A9669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（资格文件）</w:t>
      </w:r>
    </w:p>
    <w:p w14:paraId="22BA9EA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11D9FD20">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32520E70">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403AEB63">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3F7318BC">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3837028">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07640322">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3CE08F1">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25D50C55">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1CE52B0E">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7C5A0AEE">
      <w:pPr>
        <w:snapToGrid w:val="0"/>
        <w:spacing w:before="120" w:beforeLines="50" w:after="50" w:line="400" w:lineRule="exact"/>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2EDFDA25">
      <w:pPr>
        <w:snapToGrid w:val="0"/>
        <w:spacing w:before="120" w:beforeLines="50" w:after="50" w:line="360" w:lineRule="exact"/>
        <w:rPr>
          <w:rFonts w:hint="eastAsia" w:ascii="宋体" w:hAnsi="宋体" w:eastAsia="宋体" w:cs="宋体"/>
          <w:b/>
          <w:bCs/>
          <w:color w:val="auto"/>
          <w:sz w:val="36"/>
          <w:szCs w:val="36"/>
          <w:highlight w:val="none"/>
        </w:rPr>
      </w:pPr>
    </w:p>
    <w:p w14:paraId="5388881C">
      <w:pPr>
        <w:snapToGrid w:val="0"/>
        <w:spacing w:before="120" w:beforeLines="50" w:after="50" w:line="360" w:lineRule="exact"/>
        <w:rPr>
          <w:rFonts w:hint="eastAsia" w:ascii="宋体" w:hAnsi="宋体" w:eastAsia="宋体" w:cs="宋体"/>
          <w:b/>
          <w:bCs/>
          <w:color w:val="auto"/>
          <w:sz w:val="36"/>
          <w:szCs w:val="36"/>
          <w:highlight w:val="none"/>
        </w:rPr>
      </w:pPr>
    </w:p>
    <w:p w14:paraId="2925A888">
      <w:pPr>
        <w:snapToGrid w:val="0"/>
        <w:spacing w:before="120" w:beforeLines="50" w:after="50" w:line="360" w:lineRule="exact"/>
        <w:rPr>
          <w:rFonts w:hint="eastAsia" w:ascii="宋体" w:hAnsi="宋体" w:eastAsia="宋体" w:cs="宋体"/>
          <w:b/>
          <w:bCs/>
          <w:color w:val="auto"/>
          <w:sz w:val="36"/>
          <w:szCs w:val="36"/>
          <w:highlight w:val="none"/>
        </w:rPr>
      </w:pPr>
    </w:p>
    <w:p w14:paraId="71C513F1">
      <w:pPr>
        <w:snapToGrid w:val="0"/>
        <w:spacing w:before="120" w:beforeLines="50" w:after="50" w:line="360" w:lineRule="exact"/>
        <w:rPr>
          <w:rFonts w:hint="eastAsia" w:ascii="宋体" w:hAnsi="宋体" w:eastAsia="宋体" w:cs="宋体"/>
          <w:b/>
          <w:bCs/>
          <w:color w:val="auto"/>
          <w:sz w:val="36"/>
          <w:szCs w:val="36"/>
          <w:highlight w:val="none"/>
        </w:rPr>
      </w:pPr>
    </w:p>
    <w:p w14:paraId="579B0A6D">
      <w:pPr>
        <w:snapToGrid w:val="0"/>
        <w:spacing w:before="120" w:beforeLines="50" w:after="50" w:line="360" w:lineRule="exact"/>
        <w:rPr>
          <w:rFonts w:hint="eastAsia" w:ascii="宋体" w:hAnsi="宋体" w:eastAsia="宋体" w:cs="宋体"/>
          <w:b/>
          <w:bCs/>
          <w:color w:val="auto"/>
          <w:sz w:val="36"/>
          <w:szCs w:val="36"/>
          <w:highlight w:val="none"/>
        </w:rPr>
      </w:pPr>
    </w:p>
    <w:p w14:paraId="257C2656">
      <w:pPr>
        <w:snapToGrid w:val="0"/>
        <w:spacing w:before="120" w:beforeLines="50" w:after="50" w:line="360" w:lineRule="exact"/>
        <w:rPr>
          <w:rFonts w:hint="eastAsia" w:ascii="宋体" w:hAnsi="宋体" w:eastAsia="宋体" w:cs="宋体"/>
          <w:b/>
          <w:bCs/>
          <w:color w:val="auto"/>
          <w:sz w:val="36"/>
          <w:szCs w:val="36"/>
          <w:highlight w:val="none"/>
        </w:rPr>
      </w:pPr>
    </w:p>
    <w:p w14:paraId="4BEE0691">
      <w:pPr>
        <w:snapToGrid w:val="0"/>
        <w:spacing w:before="120" w:beforeLines="50" w:after="50" w:line="360" w:lineRule="exact"/>
        <w:rPr>
          <w:rFonts w:hint="eastAsia" w:ascii="宋体" w:hAnsi="宋体" w:eastAsia="宋体" w:cs="宋体"/>
          <w:b/>
          <w:bCs/>
          <w:color w:val="auto"/>
          <w:sz w:val="36"/>
          <w:szCs w:val="36"/>
          <w:highlight w:val="none"/>
        </w:rPr>
      </w:pPr>
    </w:p>
    <w:p w14:paraId="20C46BC4">
      <w:pPr>
        <w:snapToGrid w:val="0"/>
        <w:spacing w:before="120" w:beforeLines="50" w:after="50" w:line="360" w:lineRule="exact"/>
        <w:rPr>
          <w:rFonts w:hint="eastAsia" w:ascii="宋体" w:hAnsi="宋体" w:eastAsia="宋体" w:cs="宋体"/>
          <w:b/>
          <w:bCs/>
          <w:color w:val="auto"/>
          <w:sz w:val="36"/>
          <w:szCs w:val="36"/>
          <w:highlight w:val="none"/>
        </w:rPr>
      </w:pPr>
    </w:p>
    <w:p w14:paraId="688F9C34">
      <w:pPr>
        <w:snapToGrid w:val="0"/>
        <w:spacing w:before="120" w:beforeLines="50" w:after="50" w:line="360" w:lineRule="exact"/>
        <w:rPr>
          <w:rFonts w:hint="eastAsia" w:ascii="宋体" w:hAnsi="宋体" w:eastAsia="宋体" w:cs="宋体"/>
          <w:b/>
          <w:bCs/>
          <w:color w:val="auto"/>
          <w:sz w:val="36"/>
          <w:szCs w:val="36"/>
          <w:highlight w:val="none"/>
        </w:rPr>
      </w:pPr>
    </w:p>
    <w:p w14:paraId="1F158CBF">
      <w:pPr>
        <w:widowControl/>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3512216">
      <w:pPr>
        <w:tabs>
          <w:tab w:val="left" w:pos="1418"/>
        </w:tabs>
        <w:snapToGrid w:val="0"/>
        <w:spacing w:before="50" w:after="50"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CA039D6">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5814ADA8">
      <w:pPr>
        <w:widowControl/>
        <w:spacing w:line="360" w:lineRule="exact"/>
        <w:rPr>
          <w:rFonts w:hint="eastAsia" w:ascii="宋体" w:hAnsi="宋体" w:eastAsia="宋体" w:cs="宋体"/>
          <w:b/>
          <w:bCs/>
          <w:color w:val="auto"/>
          <w:sz w:val="24"/>
          <w:highlight w:val="none"/>
        </w:rPr>
      </w:pPr>
    </w:p>
    <w:p w14:paraId="56BB7764">
      <w:pPr>
        <w:widowControl/>
        <w:spacing w:line="360" w:lineRule="exact"/>
        <w:rPr>
          <w:rFonts w:hint="eastAsia" w:ascii="宋体" w:hAnsi="宋体" w:eastAsia="宋体" w:cs="宋体"/>
          <w:color w:val="auto"/>
          <w:szCs w:val="21"/>
          <w:highlight w:val="none"/>
        </w:rPr>
      </w:pPr>
    </w:p>
    <w:p w14:paraId="21227B1C">
      <w:pPr>
        <w:widowControl/>
        <w:spacing w:line="360" w:lineRule="exact"/>
        <w:rPr>
          <w:rFonts w:hint="eastAsia" w:ascii="宋体" w:hAnsi="宋体" w:eastAsia="宋体" w:cs="宋体"/>
          <w:color w:val="auto"/>
          <w:szCs w:val="21"/>
          <w:highlight w:val="none"/>
        </w:rPr>
      </w:pPr>
    </w:p>
    <w:p w14:paraId="5AC9C5A4">
      <w:pPr>
        <w:widowControl/>
        <w:spacing w:line="360" w:lineRule="exact"/>
        <w:rPr>
          <w:rFonts w:hint="eastAsia" w:ascii="宋体" w:hAnsi="宋体" w:eastAsia="宋体" w:cs="宋体"/>
          <w:color w:val="auto"/>
          <w:szCs w:val="21"/>
          <w:highlight w:val="none"/>
        </w:rPr>
      </w:pPr>
    </w:p>
    <w:p w14:paraId="1B7CE96C">
      <w:pPr>
        <w:widowControl/>
        <w:spacing w:line="360" w:lineRule="exact"/>
        <w:rPr>
          <w:rFonts w:hint="eastAsia" w:ascii="宋体" w:hAnsi="宋体" w:eastAsia="宋体" w:cs="宋体"/>
          <w:color w:val="auto"/>
          <w:szCs w:val="21"/>
          <w:highlight w:val="none"/>
        </w:rPr>
      </w:pPr>
    </w:p>
    <w:p w14:paraId="37F16929">
      <w:pPr>
        <w:widowControl/>
        <w:spacing w:line="360" w:lineRule="exact"/>
        <w:rPr>
          <w:rFonts w:hint="eastAsia" w:ascii="宋体" w:hAnsi="宋体" w:eastAsia="宋体" w:cs="宋体"/>
          <w:color w:val="auto"/>
          <w:szCs w:val="21"/>
          <w:highlight w:val="none"/>
        </w:rPr>
      </w:pPr>
    </w:p>
    <w:p w14:paraId="2A6F198F">
      <w:pPr>
        <w:widowControl/>
        <w:spacing w:line="360" w:lineRule="exact"/>
        <w:rPr>
          <w:rFonts w:hint="eastAsia" w:ascii="宋体" w:hAnsi="宋体" w:eastAsia="宋体" w:cs="宋体"/>
          <w:color w:val="auto"/>
          <w:szCs w:val="21"/>
          <w:highlight w:val="none"/>
        </w:rPr>
      </w:pPr>
    </w:p>
    <w:p w14:paraId="689745BD">
      <w:pPr>
        <w:widowControl/>
        <w:spacing w:line="360" w:lineRule="exact"/>
        <w:rPr>
          <w:rFonts w:hint="eastAsia" w:ascii="宋体" w:hAnsi="宋体" w:eastAsia="宋体" w:cs="宋体"/>
          <w:color w:val="auto"/>
          <w:szCs w:val="21"/>
          <w:highlight w:val="none"/>
        </w:rPr>
      </w:pPr>
    </w:p>
    <w:p w14:paraId="2F602412">
      <w:pPr>
        <w:widowControl/>
        <w:spacing w:line="360" w:lineRule="exact"/>
        <w:rPr>
          <w:rFonts w:hint="eastAsia" w:ascii="宋体" w:hAnsi="宋体" w:eastAsia="宋体" w:cs="宋体"/>
          <w:color w:val="auto"/>
          <w:szCs w:val="21"/>
          <w:highlight w:val="none"/>
        </w:rPr>
      </w:pPr>
    </w:p>
    <w:p w14:paraId="7DD8E51D">
      <w:pPr>
        <w:widowControl/>
        <w:spacing w:line="360" w:lineRule="exact"/>
        <w:rPr>
          <w:rFonts w:hint="eastAsia" w:ascii="宋体" w:hAnsi="宋体" w:eastAsia="宋体" w:cs="宋体"/>
          <w:color w:val="auto"/>
          <w:szCs w:val="21"/>
          <w:highlight w:val="none"/>
        </w:rPr>
      </w:pPr>
    </w:p>
    <w:p w14:paraId="572B86BC">
      <w:pPr>
        <w:widowControl/>
        <w:spacing w:line="360" w:lineRule="exact"/>
        <w:rPr>
          <w:rFonts w:hint="eastAsia" w:ascii="宋体" w:hAnsi="宋体" w:eastAsia="宋体" w:cs="宋体"/>
          <w:color w:val="auto"/>
          <w:szCs w:val="21"/>
          <w:highlight w:val="none"/>
        </w:rPr>
      </w:pPr>
    </w:p>
    <w:p w14:paraId="38417085">
      <w:pPr>
        <w:widowControl/>
        <w:spacing w:line="360" w:lineRule="exact"/>
        <w:rPr>
          <w:rFonts w:hint="eastAsia" w:ascii="宋体" w:hAnsi="宋体" w:eastAsia="宋体" w:cs="宋体"/>
          <w:color w:val="auto"/>
          <w:szCs w:val="21"/>
          <w:highlight w:val="none"/>
        </w:rPr>
      </w:pPr>
    </w:p>
    <w:p w14:paraId="53FFA0BD">
      <w:pPr>
        <w:widowControl/>
        <w:spacing w:line="360" w:lineRule="exact"/>
        <w:rPr>
          <w:rFonts w:hint="eastAsia" w:ascii="宋体" w:hAnsi="宋体" w:eastAsia="宋体" w:cs="宋体"/>
          <w:b/>
          <w:bCs/>
          <w:color w:val="auto"/>
          <w:sz w:val="24"/>
          <w:highlight w:val="none"/>
        </w:rPr>
      </w:pPr>
    </w:p>
    <w:p w14:paraId="59DF5DDA">
      <w:pPr>
        <w:widowControl/>
        <w:spacing w:line="360" w:lineRule="exact"/>
        <w:rPr>
          <w:rFonts w:hint="eastAsia" w:ascii="宋体" w:hAnsi="宋体" w:eastAsia="宋体" w:cs="宋体"/>
          <w:b/>
          <w:bCs/>
          <w:color w:val="auto"/>
          <w:sz w:val="24"/>
          <w:highlight w:val="none"/>
        </w:rPr>
      </w:pPr>
    </w:p>
    <w:p w14:paraId="493FAA5A">
      <w:pPr>
        <w:widowControl/>
        <w:spacing w:line="360" w:lineRule="exact"/>
        <w:rPr>
          <w:rFonts w:hint="eastAsia" w:ascii="宋体" w:hAnsi="宋体" w:eastAsia="宋体" w:cs="宋体"/>
          <w:b/>
          <w:bCs/>
          <w:color w:val="auto"/>
          <w:sz w:val="24"/>
          <w:highlight w:val="none"/>
        </w:rPr>
      </w:pPr>
    </w:p>
    <w:p w14:paraId="4206DA84">
      <w:pPr>
        <w:widowControl/>
        <w:spacing w:line="360" w:lineRule="exact"/>
        <w:rPr>
          <w:rFonts w:hint="eastAsia" w:ascii="宋体" w:hAnsi="宋体" w:eastAsia="宋体" w:cs="宋体"/>
          <w:b/>
          <w:bCs/>
          <w:color w:val="auto"/>
          <w:sz w:val="24"/>
          <w:highlight w:val="none"/>
        </w:rPr>
      </w:pPr>
    </w:p>
    <w:p w14:paraId="605039F5">
      <w:pPr>
        <w:widowControl/>
        <w:spacing w:line="360" w:lineRule="exact"/>
        <w:rPr>
          <w:rFonts w:hint="eastAsia" w:ascii="宋体" w:hAnsi="宋体" w:eastAsia="宋体" w:cs="宋体"/>
          <w:b/>
          <w:bCs/>
          <w:color w:val="auto"/>
          <w:sz w:val="24"/>
          <w:highlight w:val="none"/>
        </w:rPr>
      </w:pPr>
    </w:p>
    <w:p w14:paraId="43FEFF5F">
      <w:pPr>
        <w:widowControl/>
        <w:spacing w:line="360" w:lineRule="exact"/>
        <w:rPr>
          <w:rFonts w:hint="eastAsia" w:ascii="宋体" w:hAnsi="宋体" w:eastAsia="宋体" w:cs="宋体"/>
          <w:b/>
          <w:bCs/>
          <w:color w:val="auto"/>
          <w:sz w:val="24"/>
          <w:highlight w:val="none"/>
        </w:rPr>
      </w:pPr>
    </w:p>
    <w:p w14:paraId="1B765D67">
      <w:pPr>
        <w:widowControl/>
        <w:spacing w:line="360" w:lineRule="exact"/>
        <w:rPr>
          <w:rFonts w:hint="eastAsia" w:ascii="宋体" w:hAnsi="宋体" w:eastAsia="宋体" w:cs="宋体"/>
          <w:b/>
          <w:bCs/>
          <w:color w:val="auto"/>
          <w:sz w:val="24"/>
          <w:highlight w:val="none"/>
        </w:rPr>
      </w:pPr>
    </w:p>
    <w:p w14:paraId="43B02110">
      <w:pPr>
        <w:widowControl/>
        <w:spacing w:line="360" w:lineRule="exact"/>
        <w:rPr>
          <w:rFonts w:hint="eastAsia" w:ascii="宋体" w:hAnsi="宋体" w:eastAsia="宋体" w:cs="宋体"/>
          <w:b/>
          <w:bCs/>
          <w:color w:val="auto"/>
          <w:sz w:val="24"/>
          <w:highlight w:val="none"/>
        </w:rPr>
      </w:pPr>
    </w:p>
    <w:p w14:paraId="4EAED224">
      <w:pPr>
        <w:widowControl/>
        <w:spacing w:line="360" w:lineRule="exact"/>
        <w:rPr>
          <w:rFonts w:hint="eastAsia" w:ascii="宋体" w:hAnsi="宋体" w:eastAsia="宋体" w:cs="宋体"/>
          <w:b/>
          <w:bCs/>
          <w:color w:val="auto"/>
          <w:sz w:val="24"/>
          <w:highlight w:val="none"/>
        </w:rPr>
      </w:pPr>
    </w:p>
    <w:p w14:paraId="288B9EC1">
      <w:pPr>
        <w:widowControl/>
        <w:spacing w:line="360" w:lineRule="exact"/>
        <w:rPr>
          <w:rFonts w:hint="eastAsia" w:ascii="宋体" w:hAnsi="宋体" w:eastAsia="宋体" w:cs="宋体"/>
          <w:b/>
          <w:bCs/>
          <w:color w:val="auto"/>
          <w:sz w:val="24"/>
          <w:highlight w:val="none"/>
        </w:rPr>
      </w:pPr>
    </w:p>
    <w:p w14:paraId="6560C9FA">
      <w:pPr>
        <w:widowControl/>
        <w:spacing w:line="360" w:lineRule="exact"/>
        <w:rPr>
          <w:rFonts w:hint="eastAsia" w:ascii="宋体" w:hAnsi="宋体" w:eastAsia="宋体" w:cs="宋体"/>
          <w:b/>
          <w:bCs/>
          <w:color w:val="auto"/>
          <w:sz w:val="24"/>
          <w:highlight w:val="none"/>
        </w:rPr>
      </w:pPr>
    </w:p>
    <w:p w14:paraId="1390AC4B">
      <w:pPr>
        <w:widowControl/>
        <w:spacing w:line="360" w:lineRule="exact"/>
        <w:rPr>
          <w:rFonts w:hint="eastAsia" w:ascii="宋体" w:hAnsi="宋体" w:eastAsia="宋体" w:cs="宋体"/>
          <w:b/>
          <w:bCs/>
          <w:color w:val="auto"/>
          <w:sz w:val="24"/>
          <w:highlight w:val="none"/>
        </w:rPr>
      </w:pPr>
    </w:p>
    <w:p w14:paraId="51161F77">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1687C87">
      <w:pPr>
        <w:snapToGrid w:val="0"/>
        <w:spacing w:before="120" w:beforeLines="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1.投标声明书格式：</w:t>
      </w:r>
    </w:p>
    <w:p w14:paraId="621692FE">
      <w:pPr>
        <w:snapToGrid w:val="0"/>
        <w:spacing w:before="120" w:beforeLines="50" w:after="50" w:line="360" w:lineRule="exact"/>
        <w:jc w:val="center"/>
        <w:rPr>
          <w:rFonts w:hint="eastAsia" w:ascii="宋体" w:hAnsi="宋体" w:eastAsia="宋体" w:cs="宋体"/>
          <w:color w:val="auto"/>
          <w:sz w:val="24"/>
          <w:szCs w:val="20"/>
          <w:highlight w:val="none"/>
        </w:rPr>
      </w:pPr>
      <w:r>
        <w:rPr>
          <w:rFonts w:hint="eastAsia" w:ascii="宋体" w:hAnsi="宋体" w:eastAsia="宋体" w:cs="宋体"/>
          <w:color w:val="auto"/>
          <w:sz w:val="30"/>
          <w:highlight w:val="none"/>
        </w:rPr>
        <w:t>投 标 声 明 书</w:t>
      </w:r>
    </w:p>
    <w:p w14:paraId="1BAB07E6">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15632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）的投标，为便于贵方公正、择优地确定中标供应商及其投标产品和服务，我方就本次投标有关事项郑重声明如下：</w:t>
      </w:r>
    </w:p>
    <w:p w14:paraId="31800EB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1.我方向贵方提交的所有投标文件、资料都是准确的和真实的。</w:t>
      </w:r>
    </w:p>
    <w:p w14:paraId="7FA454C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BBA73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68361CA6">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（1）将按招标文件的约定履行合同责任和义务；</w:t>
      </w:r>
    </w:p>
    <w:p w14:paraId="6F64A521">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（2）已详细审查全部招标文件，包括澄清或者更正公告（如有）；</w:t>
      </w:r>
    </w:p>
    <w:p w14:paraId="702B6F6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（3）同意提供按照贵方可能要求的与投标有关的一切数据或者资料；</w:t>
      </w:r>
    </w:p>
    <w:p w14:paraId="6663A8A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（4）招标文件规定的投标文件有效期。</w:t>
      </w:r>
    </w:p>
    <w:p w14:paraId="539F5E2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5482211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54E24C1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3CA4E17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3461FC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422BC312">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605C03B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6573E1C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4CB250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投标文件进行注明如下：（两项内容中必须选择一项）</w:t>
      </w:r>
    </w:p>
    <w:p w14:paraId="2A5FAC3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□我方本次投标文件内容中未涉及商业秘密；</w:t>
      </w:r>
    </w:p>
    <w:p w14:paraId="41DFAD9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□我方本次投标文件涉及商业秘密的内容有： </w:t>
      </w:r>
    </w:p>
    <w:p w14:paraId="2BF3024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7.以上事项如有虚假或者隐瞒，我方愿意承担一切后果，并不再寻求任何旨在减轻或者免除法律责任的辩解。</w:t>
      </w:r>
    </w:p>
    <w:p w14:paraId="5290EC1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7FAABC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BEA183">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2A4AB762">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1.投标人可以自行通过 “信用中国”（www.creditchina.gov.cn）和“中国政府采购网”网站（www.ccgp.gov.cn）查询投标人相关主体的信用记录。在资格审查阶段经采购人或采购代理机构查询，对列入失信被执行人、重大税收违法案件当事人名单、政府采购严重违法失信行为记录名单的投标人，将被拒绝参与本项目政府采购活动。</w:t>
      </w:r>
    </w:p>
    <w:p w14:paraId="3AFEA08B">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BA8C8D">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3.如为联合体投标，盖章处须加盖联合体各方公章，否则投标无效。</w:t>
      </w:r>
    </w:p>
    <w:p w14:paraId="059B93B0">
      <w:pPr>
        <w:spacing w:line="360" w:lineRule="auto"/>
        <w:ind w:firstLine="363" w:firstLineChars="202"/>
        <w:rPr>
          <w:rFonts w:hint="eastAsia" w:ascii="宋体" w:hAnsi="宋体" w:eastAsia="宋体" w:cs="宋体"/>
          <w:color w:val="auto"/>
          <w:sz w:val="18"/>
          <w:szCs w:val="18"/>
          <w:highlight w:val="none"/>
        </w:rPr>
      </w:pPr>
    </w:p>
    <w:p w14:paraId="0584C6FB">
      <w:pPr>
        <w:spacing w:line="360" w:lineRule="auto"/>
        <w:ind w:firstLine="363" w:firstLineChars="202"/>
        <w:rPr>
          <w:rFonts w:hint="eastAsia" w:ascii="宋体" w:hAnsi="宋体" w:eastAsia="宋体" w:cs="宋体"/>
          <w:color w:val="auto"/>
          <w:sz w:val="18"/>
          <w:szCs w:val="18"/>
          <w:highlight w:val="none"/>
        </w:rPr>
      </w:pPr>
    </w:p>
    <w:p w14:paraId="7231362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投标人合法的主体资格证明（如营业执照、事业单位法人证书、执业许可证、个体工商户营业执照、自然人身份证等）复印件</w:t>
      </w:r>
    </w:p>
    <w:p w14:paraId="3A902653">
      <w:pPr>
        <w:spacing w:line="360" w:lineRule="auto"/>
        <w:rPr>
          <w:rFonts w:hint="eastAsia" w:ascii="宋体" w:hAnsi="宋体" w:eastAsia="宋体" w:cs="宋体"/>
          <w:b/>
          <w:bCs/>
          <w:color w:val="auto"/>
          <w:sz w:val="24"/>
          <w:highlight w:val="none"/>
        </w:rPr>
      </w:pPr>
    </w:p>
    <w:p w14:paraId="28C338C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.政府采购供应商资格信用承诺函格式</w:t>
      </w:r>
    </w:p>
    <w:p w14:paraId="7369121C">
      <w:pPr>
        <w:autoSpaceDE w:val="0"/>
        <w:autoSpaceDN w:val="0"/>
        <w:adjustRightInd w:val="0"/>
        <w:spacing w:line="400" w:lineRule="exact"/>
        <w:jc w:val="left"/>
        <w:rPr>
          <w:rFonts w:hint="eastAsia" w:ascii="宋体" w:hAnsi="宋体" w:eastAsia="宋体" w:cs="宋体"/>
          <w:b/>
          <w:bCs/>
          <w:color w:val="auto"/>
          <w:szCs w:val="21"/>
          <w:highlight w:val="none"/>
        </w:rPr>
      </w:pPr>
    </w:p>
    <w:p w14:paraId="3352713B">
      <w:pPr>
        <w:autoSpaceDE w:val="0"/>
        <w:autoSpaceDN w:val="0"/>
        <w:adjustRightIn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政府采购供应商资格信用承诺函</w:t>
      </w:r>
    </w:p>
    <w:p w14:paraId="0C746F55">
      <w:pPr>
        <w:pStyle w:val="39"/>
        <w:rPr>
          <w:rFonts w:hint="eastAsia" w:ascii="宋体" w:hAnsi="宋体" w:eastAsia="宋体" w:cs="宋体"/>
          <w:color w:val="auto"/>
          <w:sz w:val="21"/>
          <w:szCs w:val="21"/>
          <w:highlight w:val="none"/>
        </w:rPr>
      </w:pPr>
    </w:p>
    <w:p w14:paraId="66EC391A">
      <w:pPr>
        <w:autoSpaceDE w:val="0"/>
        <w:autoSpaceDN w:val="0"/>
        <w:adjustRightInd w:val="0"/>
        <w:spacing w:line="40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致：</w:t>
      </w:r>
      <w:r>
        <w:rPr>
          <w:rFonts w:hint="eastAsia" w:ascii="宋体" w:hAnsi="宋体" w:eastAsia="宋体" w:cs="宋体"/>
          <w:color w:val="auto"/>
          <w:spacing w:val="6"/>
          <w:szCs w:val="21"/>
          <w:highlight w:val="none"/>
          <w:u w:val="single"/>
        </w:rPr>
        <w:t>（采购人名称）、（代理机构名称）</w:t>
      </w:r>
      <w:r>
        <w:rPr>
          <w:rFonts w:hint="eastAsia" w:ascii="宋体" w:hAnsi="宋体" w:eastAsia="宋体" w:cs="宋体"/>
          <w:color w:val="auto"/>
          <w:spacing w:val="6"/>
          <w:szCs w:val="21"/>
          <w:highlight w:val="none"/>
        </w:rPr>
        <w:t>：</w:t>
      </w:r>
    </w:p>
    <w:p w14:paraId="37BBE5B8">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我方自愿参加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项目（项目编号：</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标项</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）的政府采购活动，并郑重承诺我方符合《中华人民共和国政府采购法》第二十二条规定的条件： </w:t>
      </w:r>
    </w:p>
    <w:p w14:paraId="431FCDE6">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（一）具有独立承担民事责任的能力； </w:t>
      </w:r>
    </w:p>
    <w:p w14:paraId="6D0F6113">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（二）具有良好的商业信誉和健全的财务会计制度； </w:t>
      </w:r>
    </w:p>
    <w:p w14:paraId="5233F99F">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（三）具有履行合同所必需的设备和专业技术能力； </w:t>
      </w:r>
    </w:p>
    <w:p w14:paraId="09626BC1">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（四）有依法缴纳税收和社会保障资金的良好记录； </w:t>
      </w:r>
    </w:p>
    <w:p w14:paraId="0727143B">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（五）参加政府采购活动前三年内，在经营活动中没有重大违法记录； </w:t>
      </w:r>
    </w:p>
    <w:p w14:paraId="16509555">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（六）法律、行政法规规定的其他条件。 </w:t>
      </w:r>
    </w:p>
    <w:p w14:paraId="4AFDE55E">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3CA63B0D">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b/>
          <w:bCs/>
          <w:color w:val="auto"/>
          <w:spacing w:val="6"/>
          <w:szCs w:val="21"/>
          <w:highlight w:val="none"/>
        </w:rPr>
        <w:t>特此声明！</w:t>
      </w:r>
      <w:r>
        <w:rPr>
          <w:rFonts w:hint="eastAsia" w:ascii="宋体" w:hAnsi="宋体" w:eastAsia="宋体" w:cs="宋体"/>
          <w:color w:val="auto"/>
          <w:spacing w:val="6"/>
          <w:szCs w:val="21"/>
          <w:highlight w:val="none"/>
        </w:rPr>
        <w:t xml:space="preserve"> </w:t>
      </w:r>
    </w:p>
    <w:p w14:paraId="66874974">
      <w:pPr>
        <w:pStyle w:val="47"/>
        <w:spacing w:line="400" w:lineRule="exact"/>
        <w:ind w:firstLine="444"/>
        <w:rPr>
          <w:rFonts w:hint="eastAsia" w:ascii="宋体" w:hAnsi="宋体" w:eastAsia="宋体" w:cs="宋体"/>
          <w:color w:val="auto"/>
          <w:spacing w:val="6"/>
          <w:szCs w:val="21"/>
          <w:highlight w:val="none"/>
        </w:rPr>
      </w:pPr>
    </w:p>
    <w:p w14:paraId="00DD2791">
      <w:pPr>
        <w:spacing w:line="400" w:lineRule="exact"/>
        <w:rPr>
          <w:rFonts w:hint="eastAsia" w:ascii="宋体" w:hAnsi="宋体" w:eastAsia="宋体" w:cs="宋体"/>
          <w:color w:val="auto"/>
          <w:szCs w:val="21"/>
          <w:highlight w:val="none"/>
        </w:rPr>
      </w:pPr>
    </w:p>
    <w:p w14:paraId="00E1C688">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法定代表人或委托代理人</w:t>
      </w:r>
      <w:r>
        <w:rPr>
          <w:rFonts w:hint="eastAsia" w:ascii="宋体" w:hAnsi="宋体" w:eastAsia="宋体" w:cs="宋体"/>
          <w:b/>
          <w:bCs/>
          <w:color w:val="auto"/>
          <w:szCs w:val="21"/>
          <w:highlight w:val="none"/>
        </w:rPr>
        <w:t>（签字）：</w:t>
      </w:r>
      <w:r>
        <w:rPr>
          <w:rFonts w:hint="eastAsia" w:ascii="宋体" w:hAnsi="宋体" w:eastAsia="宋体" w:cs="宋体"/>
          <w:color w:val="auto"/>
          <w:szCs w:val="21"/>
          <w:highlight w:val="none"/>
          <w:u w:val="single"/>
        </w:rPr>
        <w:t xml:space="preserve">                  </w:t>
      </w:r>
    </w:p>
    <w:p w14:paraId="656D8062">
      <w:pPr>
        <w:spacing w:line="400" w:lineRule="exact"/>
        <w:jc w:val="center"/>
        <w:rPr>
          <w:rFonts w:hint="eastAsia" w:ascii="宋体" w:hAnsi="宋体" w:eastAsia="宋体" w:cs="宋体"/>
          <w:color w:val="auto"/>
          <w:szCs w:val="21"/>
          <w:highlight w:val="none"/>
          <w:u w:val="single"/>
        </w:rPr>
      </w:pPr>
    </w:p>
    <w:p w14:paraId="3A9506AB">
      <w:pPr>
        <w:pStyle w:val="27"/>
        <w:spacing w:line="400" w:lineRule="exact"/>
        <w:ind w:firstLine="3570" w:firstLineChars="1700"/>
        <w:rPr>
          <w:rFonts w:hint="eastAsia" w:ascii="宋体" w:hAnsi="宋体" w:eastAsia="宋体" w:cs="宋体"/>
          <w:color w:val="auto"/>
          <w:highlight w:val="none"/>
        </w:rPr>
      </w:pPr>
      <w:r>
        <w:rPr>
          <w:rFonts w:hint="eastAsia" w:ascii="宋体" w:hAnsi="宋体" w:eastAsia="宋体" w:cs="宋体"/>
          <w:color w:val="auto"/>
          <w:highlight w:val="none"/>
        </w:rPr>
        <w:t>政府采购供应商</w:t>
      </w:r>
      <w:r>
        <w:rPr>
          <w:rFonts w:hint="eastAsia" w:ascii="宋体" w:hAnsi="宋体" w:eastAsia="宋体" w:cs="宋体"/>
          <w:b/>
          <w:bCs/>
          <w:color w:val="auto"/>
          <w:highlight w:val="none"/>
        </w:rPr>
        <w:t>（CA电子签章）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727EAAFA">
      <w:pPr>
        <w:pStyle w:val="27"/>
        <w:spacing w:line="400" w:lineRule="exact"/>
        <w:rPr>
          <w:rFonts w:hint="eastAsia" w:ascii="宋体" w:hAnsi="宋体" w:eastAsia="宋体" w:cs="宋体"/>
          <w:color w:val="auto"/>
          <w:highlight w:val="none"/>
        </w:rPr>
      </w:pPr>
    </w:p>
    <w:p w14:paraId="632B797C">
      <w:pPr>
        <w:pStyle w:val="27"/>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38CA25AA">
      <w:pPr>
        <w:pStyle w:val="27"/>
        <w:spacing w:line="400" w:lineRule="exact"/>
        <w:rPr>
          <w:rFonts w:hint="eastAsia" w:ascii="宋体" w:hAnsi="宋体" w:eastAsia="宋体" w:cs="宋体"/>
          <w:b/>
          <w:color w:val="auto"/>
          <w:highlight w:val="none"/>
        </w:rPr>
      </w:pPr>
    </w:p>
    <w:p w14:paraId="56F40D1F">
      <w:pPr>
        <w:spacing w:line="360" w:lineRule="auto"/>
        <w:ind w:firstLine="363" w:firstLineChars="202"/>
        <w:rPr>
          <w:rFonts w:hint="eastAsia" w:ascii="宋体" w:hAnsi="宋体" w:eastAsia="宋体" w:cs="宋体"/>
          <w:color w:val="auto"/>
          <w:sz w:val="18"/>
          <w:szCs w:val="18"/>
          <w:highlight w:val="none"/>
        </w:rPr>
      </w:pPr>
    </w:p>
    <w:p w14:paraId="78775782">
      <w:pPr>
        <w:spacing w:line="360" w:lineRule="auto"/>
        <w:ind w:firstLine="363" w:firstLineChars="202"/>
        <w:rPr>
          <w:rFonts w:hint="eastAsia" w:ascii="宋体" w:hAnsi="宋体" w:eastAsia="宋体" w:cs="宋体"/>
          <w:color w:val="auto"/>
          <w:sz w:val="18"/>
          <w:szCs w:val="18"/>
          <w:highlight w:val="none"/>
        </w:rPr>
      </w:pPr>
    </w:p>
    <w:p w14:paraId="18C63F72">
      <w:pPr>
        <w:spacing w:line="360" w:lineRule="auto"/>
        <w:ind w:firstLine="363" w:firstLineChars="202"/>
        <w:rPr>
          <w:rFonts w:hint="eastAsia" w:ascii="宋体" w:hAnsi="宋体" w:eastAsia="宋体" w:cs="宋体"/>
          <w:color w:val="auto"/>
          <w:sz w:val="18"/>
          <w:szCs w:val="18"/>
          <w:highlight w:val="none"/>
        </w:rPr>
      </w:pPr>
    </w:p>
    <w:p w14:paraId="03273535">
      <w:pPr>
        <w:spacing w:line="360" w:lineRule="auto"/>
        <w:ind w:firstLine="363" w:firstLineChars="202"/>
        <w:rPr>
          <w:rFonts w:hint="eastAsia" w:ascii="宋体" w:hAnsi="宋体" w:eastAsia="宋体" w:cs="宋体"/>
          <w:color w:val="auto"/>
          <w:sz w:val="18"/>
          <w:szCs w:val="18"/>
          <w:highlight w:val="none"/>
        </w:rPr>
      </w:pPr>
    </w:p>
    <w:p w14:paraId="1F7D9898">
      <w:pPr>
        <w:spacing w:line="360" w:lineRule="auto"/>
        <w:ind w:firstLine="363" w:firstLineChars="202"/>
        <w:rPr>
          <w:rFonts w:hint="eastAsia" w:ascii="宋体" w:hAnsi="宋体" w:eastAsia="宋体" w:cs="宋体"/>
          <w:color w:val="auto"/>
          <w:sz w:val="18"/>
          <w:szCs w:val="18"/>
          <w:highlight w:val="none"/>
        </w:rPr>
      </w:pPr>
    </w:p>
    <w:p w14:paraId="58D884B6">
      <w:pPr>
        <w:spacing w:line="360" w:lineRule="auto"/>
        <w:ind w:firstLine="363" w:firstLineChars="202"/>
        <w:rPr>
          <w:rFonts w:hint="eastAsia" w:ascii="宋体" w:hAnsi="宋体" w:eastAsia="宋体" w:cs="宋体"/>
          <w:color w:val="auto"/>
          <w:sz w:val="18"/>
          <w:szCs w:val="18"/>
          <w:highlight w:val="none"/>
        </w:rPr>
      </w:pPr>
    </w:p>
    <w:p w14:paraId="72306D45">
      <w:pPr>
        <w:spacing w:line="360" w:lineRule="auto"/>
        <w:ind w:firstLine="363" w:firstLineChars="202"/>
        <w:rPr>
          <w:rFonts w:hint="eastAsia" w:ascii="宋体" w:hAnsi="宋体" w:eastAsia="宋体" w:cs="宋体"/>
          <w:color w:val="auto"/>
          <w:sz w:val="18"/>
          <w:szCs w:val="18"/>
          <w:highlight w:val="none"/>
        </w:rPr>
      </w:pPr>
    </w:p>
    <w:p w14:paraId="524384BF">
      <w:pPr>
        <w:spacing w:line="360" w:lineRule="auto"/>
        <w:ind w:firstLine="363" w:firstLineChars="202"/>
        <w:rPr>
          <w:rFonts w:hint="eastAsia" w:ascii="宋体" w:hAnsi="宋体" w:eastAsia="宋体" w:cs="宋体"/>
          <w:color w:val="auto"/>
          <w:sz w:val="18"/>
          <w:szCs w:val="18"/>
          <w:highlight w:val="none"/>
        </w:rPr>
      </w:pPr>
    </w:p>
    <w:p w14:paraId="33CBB8BD">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参加政府采购活动前三年内在经营活动中没有重大违法记录和不良信用记录的书面声明书（格式自拟）</w:t>
      </w:r>
    </w:p>
    <w:p w14:paraId="662C7BBC">
      <w:pPr>
        <w:widowControl/>
        <w:spacing w:line="360" w:lineRule="exact"/>
        <w:rPr>
          <w:rFonts w:hint="eastAsia" w:ascii="宋体" w:hAnsi="宋体" w:eastAsia="宋体" w:cs="宋体"/>
          <w:b/>
          <w:bCs/>
          <w:color w:val="auto"/>
          <w:sz w:val="24"/>
          <w:highlight w:val="none"/>
          <w:lang w:val="en-US" w:eastAsia="zh-CN"/>
        </w:rPr>
      </w:pPr>
    </w:p>
    <w:p w14:paraId="79BF642D">
      <w:pPr>
        <w:widowControl/>
        <w:spacing w:line="3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5.投标人如为分支机构投标的，须提供其总公司“营业执照”副本复印件和总公司对投标人参与本项目投标的授权书原件</w:t>
      </w:r>
    </w:p>
    <w:p w14:paraId="3B1FE13B">
      <w:pPr>
        <w:spacing w:line="360" w:lineRule="auto"/>
        <w:ind w:firstLine="363" w:firstLineChars="202"/>
        <w:rPr>
          <w:rFonts w:hint="eastAsia" w:ascii="宋体" w:hAnsi="宋体" w:eastAsia="宋体" w:cs="宋体"/>
          <w:color w:val="auto"/>
          <w:sz w:val="18"/>
          <w:szCs w:val="18"/>
          <w:highlight w:val="none"/>
        </w:rPr>
      </w:pPr>
    </w:p>
    <w:p w14:paraId="68BD6532">
      <w:pPr>
        <w:widowControl/>
        <w:spacing w:line="360" w:lineRule="exact"/>
        <w:rPr>
          <w:rFonts w:hint="eastAsia" w:ascii="宋体" w:hAnsi="宋体" w:eastAsia="宋体" w:cs="宋体"/>
          <w:color w:val="auto"/>
          <w:sz w:val="18"/>
          <w:szCs w:val="18"/>
          <w:highlight w:val="none"/>
        </w:rPr>
      </w:pPr>
    </w:p>
    <w:p w14:paraId="0B802033">
      <w:pPr>
        <w:widowControl/>
        <w:spacing w:line="360" w:lineRule="exact"/>
        <w:rPr>
          <w:rFonts w:hint="eastAsia" w:ascii="宋体" w:hAnsi="宋体" w:eastAsia="宋体" w:cs="宋体"/>
          <w:b/>
          <w:bCs/>
          <w:color w:val="auto"/>
          <w:sz w:val="24"/>
          <w:highlight w:val="none"/>
          <w:lang w:val="en-US" w:eastAsia="zh-CN"/>
        </w:rPr>
      </w:pPr>
    </w:p>
    <w:p w14:paraId="62796575">
      <w:pPr>
        <w:widowControl/>
        <w:spacing w:line="360" w:lineRule="exact"/>
        <w:rPr>
          <w:rFonts w:hint="eastAsia" w:ascii="宋体" w:hAnsi="宋体" w:eastAsia="宋体" w:cs="宋体"/>
          <w:b/>
          <w:bCs/>
          <w:color w:val="auto"/>
          <w:sz w:val="24"/>
          <w:highlight w:val="none"/>
          <w:lang w:val="en-US" w:eastAsia="zh-CN"/>
        </w:rPr>
      </w:pPr>
    </w:p>
    <w:p w14:paraId="1FD2F9A7">
      <w:pPr>
        <w:widowControl/>
        <w:spacing w:line="360" w:lineRule="exact"/>
        <w:rPr>
          <w:rFonts w:hint="eastAsia" w:ascii="宋体" w:hAnsi="宋体" w:eastAsia="宋体" w:cs="宋体"/>
          <w:b/>
          <w:bCs/>
          <w:color w:val="auto"/>
          <w:sz w:val="24"/>
          <w:highlight w:val="none"/>
          <w:lang w:val="en-US" w:eastAsia="zh-CN"/>
        </w:rPr>
      </w:pPr>
    </w:p>
    <w:p w14:paraId="09C1BE84">
      <w:pPr>
        <w:widowControl/>
        <w:spacing w:line="360" w:lineRule="exact"/>
        <w:rPr>
          <w:rFonts w:hint="eastAsia" w:ascii="宋体" w:hAnsi="宋体" w:eastAsia="宋体" w:cs="宋体"/>
          <w:b/>
          <w:bCs/>
          <w:color w:val="auto"/>
          <w:sz w:val="24"/>
          <w:highlight w:val="none"/>
          <w:lang w:val="en-US" w:eastAsia="zh-CN"/>
        </w:rPr>
      </w:pPr>
    </w:p>
    <w:p w14:paraId="7441DB96">
      <w:pPr>
        <w:widowControl/>
        <w:spacing w:line="360" w:lineRule="exact"/>
        <w:rPr>
          <w:rFonts w:hint="eastAsia" w:ascii="宋体" w:hAnsi="宋体" w:eastAsia="宋体" w:cs="宋体"/>
          <w:b/>
          <w:bCs/>
          <w:color w:val="auto"/>
          <w:sz w:val="24"/>
          <w:highlight w:val="none"/>
          <w:lang w:val="en-US" w:eastAsia="zh-CN"/>
        </w:rPr>
      </w:pPr>
    </w:p>
    <w:p w14:paraId="01C4770C">
      <w:pPr>
        <w:widowControl/>
        <w:spacing w:line="360" w:lineRule="exact"/>
        <w:rPr>
          <w:rFonts w:hint="eastAsia" w:ascii="宋体" w:hAnsi="宋体" w:eastAsia="宋体" w:cs="宋体"/>
          <w:b/>
          <w:bCs/>
          <w:color w:val="auto"/>
          <w:sz w:val="24"/>
          <w:highlight w:val="none"/>
          <w:lang w:val="en-US" w:eastAsia="zh-CN"/>
        </w:rPr>
      </w:pPr>
    </w:p>
    <w:p w14:paraId="77E8B8E7">
      <w:pPr>
        <w:widowControl/>
        <w:spacing w:line="360" w:lineRule="exact"/>
        <w:rPr>
          <w:rFonts w:hint="eastAsia" w:ascii="宋体" w:hAnsi="宋体" w:eastAsia="宋体" w:cs="宋体"/>
          <w:b/>
          <w:bCs/>
          <w:color w:val="auto"/>
          <w:sz w:val="24"/>
          <w:highlight w:val="none"/>
          <w:lang w:val="en-US" w:eastAsia="zh-CN"/>
        </w:rPr>
      </w:pPr>
    </w:p>
    <w:p w14:paraId="29BC70C1">
      <w:pPr>
        <w:widowControl/>
        <w:spacing w:line="360" w:lineRule="exact"/>
        <w:rPr>
          <w:rFonts w:hint="eastAsia" w:ascii="宋体" w:hAnsi="宋体" w:eastAsia="宋体" w:cs="宋体"/>
          <w:b/>
          <w:bCs/>
          <w:color w:val="auto"/>
          <w:sz w:val="24"/>
          <w:highlight w:val="none"/>
          <w:lang w:val="en-US" w:eastAsia="zh-CN"/>
        </w:rPr>
      </w:pPr>
    </w:p>
    <w:p w14:paraId="6B36A608">
      <w:pPr>
        <w:widowControl/>
        <w:spacing w:line="360" w:lineRule="exact"/>
        <w:rPr>
          <w:rFonts w:hint="eastAsia" w:ascii="宋体" w:hAnsi="宋体" w:eastAsia="宋体" w:cs="宋体"/>
          <w:b/>
          <w:bCs/>
          <w:color w:val="auto"/>
          <w:sz w:val="24"/>
          <w:highlight w:val="none"/>
          <w:lang w:val="en-US" w:eastAsia="zh-CN"/>
        </w:rPr>
      </w:pPr>
    </w:p>
    <w:p w14:paraId="40929D55">
      <w:pPr>
        <w:widowControl/>
        <w:spacing w:line="360" w:lineRule="exact"/>
        <w:rPr>
          <w:rFonts w:hint="eastAsia" w:ascii="宋体" w:hAnsi="宋体" w:eastAsia="宋体" w:cs="宋体"/>
          <w:b/>
          <w:bCs/>
          <w:color w:val="auto"/>
          <w:sz w:val="24"/>
          <w:highlight w:val="none"/>
          <w:lang w:val="en-US" w:eastAsia="zh-CN"/>
        </w:rPr>
      </w:pPr>
    </w:p>
    <w:p w14:paraId="27075F9F">
      <w:pPr>
        <w:widowControl/>
        <w:spacing w:line="360" w:lineRule="exact"/>
        <w:rPr>
          <w:rFonts w:hint="eastAsia" w:ascii="宋体" w:hAnsi="宋体" w:eastAsia="宋体" w:cs="宋体"/>
          <w:b/>
          <w:bCs/>
          <w:color w:val="auto"/>
          <w:sz w:val="24"/>
          <w:highlight w:val="none"/>
          <w:lang w:val="en-US" w:eastAsia="zh-CN"/>
        </w:rPr>
      </w:pPr>
    </w:p>
    <w:p w14:paraId="5D6CF4CD">
      <w:pPr>
        <w:widowControl/>
        <w:spacing w:line="360" w:lineRule="exact"/>
        <w:rPr>
          <w:rFonts w:hint="eastAsia" w:ascii="宋体" w:hAnsi="宋体" w:eastAsia="宋体" w:cs="宋体"/>
          <w:b/>
          <w:bCs/>
          <w:color w:val="auto"/>
          <w:sz w:val="24"/>
          <w:highlight w:val="none"/>
          <w:lang w:val="en-US" w:eastAsia="zh-CN"/>
        </w:rPr>
      </w:pPr>
    </w:p>
    <w:p w14:paraId="782288F2">
      <w:pPr>
        <w:widowControl/>
        <w:spacing w:line="360" w:lineRule="exact"/>
        <w:rPr>
          <w:rFonts w:hint="eastAsia" w:ascii="宋体" w:hAnsi="宋体" w:eastAsia="宋体" w:cs="宋体"/>
          <w:b/>
          <w:bCs/>
          <w:color w:val="auto"/>
          <w:sz w:val="24"/>
          <w:highlight w:val="none"/>
          <w:lang w:val="en-US" w:eastAsia="zh-CN"/>
        </w:rPr>
      </w:pPr>
    </w:p>
    <w:p w14:paraId="4F060F63">
      <w:pPr>
        <w:widowControl/>
        <w:spacing w:line="360" w:lineRule="exact"/>
        <w:rPr>
          <w:rFonts w:hint="eastAsia" w:ascii="宋体" w:hAnsi="宋体" w:eastAsia="宋体" w:cs="宋体"/>
          <w:b/>
          <w:bCs/>
          <w:color w:val="auto"/>
          <w:sz w:val="24"/>
          <w:highlight w:val="none"/>
          <w:lang w:val="en-US" w:eastAsia="zh-CN"/>
        </w:rPr>
      </w:pPr>
    </w:p>
    <w:p w14:paraId="4CC3FCB4">
      <w:pPr>
        <w:widowControl/>
        <w:spacing w:line="360" w:lineRule="exact"/>
        <w:rPr>
          <w:rFonts w:hint="eastAsia" w:ascii="宋体" w:hAnsi="宋体" w:eastAsia="宋体" w:cs="宋体"/>
          <w:b/>
          <w:bCs/>
          <w:color w:val="auto"/>
          <w:sz w:val="24"/>
          <w:highlight w:val="none"/>
          <w:lang w:val="en-US" w:eastAsia="zh-CN"/>
        </w:rPr>
      </w:pPr>
    </w:p>
    <w:p w14:paraId="4CA259EB">
      <w:pPr>
        <w:widowControl/>
        <w:spacing w:line="360" w:lineRule="exact"/>
        <w:rPr>
          <w:rFonts w:hint="eastAsia" w:ascii="宋体" w:hAnsi="宋体" w:eastAsia="宋体" w:cs="宋体"/>
          <w:b/>
          <w:bCs/>
          <w:color w:val="auto"/>
          <w:sz w:val="24"/>
          <w:highlight w:val="none"/>
          <w:lang w:val="en-US" w:eastAsia="zh-CN"/>
        </w:rPr>
      </w:pPr>
    </w:p>
    <w:p w14:paraId="1BB19B23">
      <w:pPr>
        <w:widowControl/>
        <w:spacing w:line="360" w:lineRule="exact"/>
        <w:rPr>
          <w:rFonts w:hint="eastAsia" w:ascii="宋体" w:hAnsi="宋体" w:eastAsia="宋体" w:cs="宋体"/>
          <w:b/>
          <w:bCs/>
          <w:color w:val="auto"/>
          <w:sz w:val="24"/>
          <w:highlight w:val="none"/>
          <w:lang w:val="en-US" w:eastAsia="zh-CN"/>
        </w:rPr>
      </w:pPr>
    </w:p>
    <w:p w14:paraId="4F28782B">
      <w:pPr>
        <w:widowControl/>
        <w:spacing w:line="360" w:lineRule="exact"/>
        <w:rPr>
          <w:rFonts w:hint="eastAsia" w:ascii="宋体" w:hAnsi="宋体" w:eastAsia="宋体" w:cs="宋体"/>
          <w:b/>
          <w:bCs/>
          <w:color w:val="auto"/>
          <w:sz w:val="24"/>
          <w:highlight w:val="none"/>
          <w:lang w:val="en-US" w:eastAsia="zh-CN"/>
        </w:rPr>
      </w:pPr>
    </w:p>
    <w:p w14:paraId="7398B3C8">
      <w:pPr>
        <w:widowControl/>
        <w:spacing w:line="360" w:lineRule="exact"/>
        <w:rPr>
          <w:rFonts w:hint="eastAsia" w:ascii="宋体" w:hAnsi="宋体" w:eastAsia="宋体" w:cs="宋体"/>
          <w:b/>
          <w:bCs/>
          <w:color w:val="auto"/>
          <w:sz w:val="24"/>
          <w:highlight w:val="none"/>
          <w:lang w:val="en-US" w:eastAsia="zh-CN"/>
        </w:rPr>
      </w:pPr>
    </w:p>
    <w:p w14:paraId="753C11CA">
      <w:pPr>
        <w:widowControl/>
        <w:spacing w:line="360" w:lineRule="exact"/>
        <w:rPr>
          <w:rFonts w:hint="eastAsia" w:ascii="宋体" w:hAnsi="宋体" w:eastAsia="宋体" w:cs="宋体"/>
          <w:b/>
          <w:bCs/>
          <w:color w:val="auto"/>
          <w:sz w:val="24"/>
          <w:highlight w:val="none"/>
          <w:lang w:val="en-US" w:eastAsia="zh-CN"/>
        </w:rPr>
      </w:pPr>
    </w:p>
    <w:p w14:paraId="5AE9A53D">
      <w:pPr>
        <w:widowControl/>
        <w:spacing w:line="360" w:lineRule="exact"/>
        <w:rPr>
          <w:rFonts w:hint="eastAsia" w:ascii="宋体" w:hAnsi="宋体" w:eastAsia="宋体" w:cs="宋体"/>
          <w:b/>
          <w:bCs/>
          <w:color w:val="auto"/>
          <w:sz w:val="24"/>
          <w:highlight w:val="none"/>
          <w:lang w:val="en-US" w:eastAsia="zh-CN"/>
        </w:rPr>
      </w:pPr>
    </w:p>
    <w:p w14:paraId="18AEE033">
      <w:pPr>
        <w:widowControl/>
        <w:spacing w:line="360" w:lineRule="exact"/>
        <w:rPr>
          <w:rFonts w:hint="eastAsia" w:ascii="宋体" w:hAnsi="宋体" w:eastAsia="宋体" w:cs="宋体"/>
          <w:b/>
          <w:bCs/>
          <w:color w:val="auto"/>
          <w:sz w:val="24"/>
          <w:highlight w:val="none"/>
          <w:lang w:val="en-US" w:eastAsia="zh-CN"/>
        </w:rPr>
      </w:pPr>
    </w:p>
    <w:p w14:paraId="74B59704">
      <w:pPr>
        <w:widowControl/>
        <w:spacing w:line="360" w:lineRule="exact"/>
        <w:rPr>
          <w:rFonts w:hint="eastAsia" w:ascii="宋体" w:hAnsi="宋体" w:eastAsia="宋体" w:cs="宋体"/>
          <w:b/>
          <w:bCs/>
          <w:color w:val="auto"/>
          <w:sz w:val="24"/>
          <w:highlight w:val="none"/>
          <w:lang w:val="en-US" w:eastAsia="zh-CN"/>
        </w:rPr>
      </w:pPr>
    </w:p>
    <w:p w14:paraId="53FA4B92">
      <w:pPr>
        <w:widowControl/>
        <w:spacing w:line="360" w:lineRule="exact"/>
        <w:rPr>
          <w:rFonts w:hint="eastAsia" w:ascii="宋体" w:hAnsi="宋体" w:eastAsia="宋体" w:cs="宋体"/>
          <w:b/>
          <w:bCs/>
          <w:color w:val="auto"/>
          <w:sz w:val="24"/>
          <w:highlight w:val="none"/>
          <w:lang w:val="en-US" w:eastAsia="zh-CN"/>
        </w:rPr>
      </w:pPr>
    </w:p>
    <w:p w14:paraId="5AECFFE8">
      <w:pPr>
        <w:widowControl/>
        <w:spacing w:line="360" w:lineRule="exact"/>
        <w:rPr>
          <w:rFonts w:hint="eastAsia" w:ascii="宋体" w:hAnsi="宋体" w:eastAsia="宋体" w:cs="宋体"/>
          <w:b/>
          <w:bCs/>
          <w:color w:val="auto"/>
          <w:sz w:val="24"/>
          <w:highlight w:val="none"/>
          <w:lang w:val="en-US" w:eastAsia="zh-CN"/>
        </w:rPr>
      </w:pPr>
    </w:p>
    <w:p w14:paraId="0180ABA7">
      <w:pPr>
        <w:widowControl/>
        <w:spacing w:line="360" w:lineRule="exact"/>
        <w:rPr>
          <w:rFonts w:hint="eastAsia" w:ascii="宋体" w:hAnsi="宋体" w:eastAsia="宋体" w:cs="宋体"/>
          <w:b/>
          <w:bCs/>
          <w:color w:val="auto"/>
          <w:sz w:val="24"/>
          <w:highlight w:val="none"/>
          <w:lang w:val="en-US" w:eastAsia="zh-CN"/>
        </w:rPr>
      </w:pPr>
    </w:p>
    <w:p w14:paraId="7455251C">
      <w:pPr>
        <w:widowControl/>
        <w:spacing w:line="360" w:lineRule="exact"/>
        <w:rPr>
          <w:rFonts w:hint="eastAsia" w:ascii="宋体" w:hAnsi="宋体" w:eastAsia="宋体" w:cs="宋体"/>
          <w:b/>
          <w:bCs/>
          <w:color w:val="auto"/>
          <w:sz w:val="24"/>
          <w:highlight w:val="none"/>
          <w:lang w:val="en-US" w:eastAsia="zh-CN"/>
        </w:rPr>
      </w:pPr>
    </w:p>
    <w:p w14:paraId="5F0C8815">
      <w:pPr>
        <w:widowControl/>
        <w:spacing w:line="360" w:lineRule="exact"/>
        <w:rPr>
          <w:rFonts w:hint="eastAsia" w:ascii="宋体" w:hAnsi="宋体" w:eastAsia="宋体" w:cs="宋体"/>
          <w:b/>
          <w:bCs/>
          <w:color w:val="auto"/>
          <w:sz w:val="24"/>
          <w:highlight w:val="none"/>
          <w:lang w:val="en-US" w:eastAsia="zh-CN"/>
        </w:rPr>
      </w:pPr>
    </w:p>
    <w:p w14:paraId="5A1DA402">
      <w:pPr>
        <w:widowControl/>
        <w:spacing w:line="360" w:lineRule="exact"/>
        <w:rPr>
          <w:rFonts w:hint="eastAsia" w:ascii="宋体" w:hAnsi="宋体" w:eastAsia="宋体" w:cs="宋体"/>
          <w:b/>
          <w:bCs/>
          <w:color w:val="auto"/>
          <w:sz w:val="24"/>
          <w:highlight w:val="none"/>
          <w:lang w:val="en-US" w:eastAsia="zh-CN"/>
        </w:rPr>
      </w:pPr>
    </w:p>
    <w:p w14:paraId="43ED5FBD">
      <w:pPr>
        <w:widowControl/>
        <w:spacing w:line="360" w:lineRule="exact"/>
        <w:rPr>
          <w:rFonts w:hint="eastAsia" w:ascii="宋体" w:hAnsi="宋体" w:eastAsia="宋体" w:cs="宋体"/>
          <w:b/>
          <w:bCs/>
          <w:color w:val="auto"/>
          <w:sz w:val="24"/>
          <w:highlight w:val="none"/>
          <w:lang w:val="en-US" w:eastAsia="zh-CN"/>
        </w:rPr>
      </w:pPr>
    </w:p>
    <w:p w14:paraId="2C838840">
      <w:pPr>
        <w:widowControl/>
        <w:spacing w:line="360" w:lineRule="exact"/>
        <w:rPr>
          <w:rFonts w:hint="eastAsia" w:ascii="宋体" w:hAnsi="宋体" w:eastAsia="宋体" w:cs="宋体"/>
          <w:b/>
          <w:bCs/>
          <w:color w:val="auto"/>
          <w:sz w:val="24"/>
          <w:highlight w:val="none"/>
          <w:lang w:val="en-US" w:eastAsia="zh-CN"/>
        </w:rPr>
      </w:pPr>
    </w:p>
    <w:p w14:paraId="6BFD0568">
      <w:pPr>
        <w:widowControl/>
        <w:spacing w:line="360" w:lineRule="exact"/>
        <w:rPr>
          <w:rFonts w:hint="eastAsia" w:ascii="宋体" w:hAnsi="宋体" w:eastAsia="宋体" w:cs="宋体"/>
          <w:b/>
          <w:bCs/>
          <w:color w:val="auto"/>
          <w:sz w:val="24"/>
          <w:highlight w:val="none"/>
          <w:lang w:val="en-US" w:eastAsia="zh-CN"/>
        </w:rPr>
      </w:pPr>
    </w:p>
    <w:p w14:paraId="03250961">
      <w:pPr>
        <w:widowControl/>
        <w:spacing w:line="360" w:lineRule="exact"/>
        <w:rPr>
          <w:rFonts w:hint="eastAsia" w:ascii="宋体" w:hAnsi="宋体" w:eastAsia="宋体" w:cs="宋体"/>
          <w:b/>
          <w:bCs/>
          <w:color w:val="auto"/>
          <w:sz w:val="24"/>
          <w:highlight w:val="none"/>
          <w:lang w:val="en-US" w:eastAsia="zh-CN"/>
        </w:rPr>
      </w:pPr>
    </w:p>
    <w:p w14:paraId="183C9C06">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 投标人直接控股、管理关系信息表格式：</w:t>
      </w:r>
    </w:p>
    <w:p w14:paraId="5FB3174D">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投标人直接控股股东信息表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6C50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03CC099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69" w:type="dxa"/>
            <w:tcMar>
              <w:top w:w="120" w:type="dxa"/>
              <w:left w:w="120" w:type="dxa"/>
              <w:bottom w:w="120" w:type="dxa"/>
              <w:right w:w="120" w:type="dxa"/>
            </w:tcMar>
            <w:vAlign w:val="center"/>
          </w:tcPr>
          <w:p w14:paraId="16670DB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直接控股股东名称</w:t>
            </w:r>
          </w:p>
        </w:tc>
        <w:tc>
          <w:tcPr>
            <w:tcW w:w="1239" w:type="dxa"/>
            <w:tcMar>
              <w:top w:w="120" w:type="dxa"/>
              <w:left w:w="120" w:type="dxa"/>
              <w:bottom w:w="120" w:type="dxa"/>
              <w:right w:w="120" w:type="dxa"/>
            </w:tcMar>
            <w:vAlign w:val="center"/>
          </w:tcPr>
          <w:p w14:paraId="10CE96AA">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3722" w:type="dxa"/>
            <w:tcMar>
              <w:top w:w="120" w:type="dxa"/>
              <w:left w:w="120" w:type="dxa"/>
              <w:bottom w:w="120" w:type="dxa"/>
              <w:right w:w="120" w:type="dxa"/>
            </w:tcMar>
            <w:vAlign w:val="center"/>
          </w:tcPr>
          <w:p w14:paraId="6FE32A4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01EB204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E79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ACC7D79">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69" w:type="dxa"/>
            <w:tcMar>
              <w:top w:w="120" w:type="dxa"/>
              <w:left w:w="120" w:type="dxa"/>
              <w:bottom w:w="120" w:type="dxa"/>
              <w:right w:w="120" w:type="dxa"/>
            </w:tcMar>
            <w:vAlign w:val="center"/>
          </w:tcPr>
          <w:p w14:paraId="115082BD">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445FD0E1">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71B5FAEF">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9F59E17">
            <w:pPr>
              <w:widowControl/>
              <w:wordWrap w:val="0"/>
              <w:spacing w:line="360" w:lineRule="auto"/>
              <w:jc w:val="center"/>
              <w:rPr>
                <w:rFonts w:hint="eastAsia" w:ascii="宋体" w:hAnsi="宋体" w:eastAsia="宋体" w:cs="宋体"/>
                <w:color w:val="auto"/>
                <w:szCs w:val="21"/>
                <w:highlight w:val="none"/>
              </w:rPr>
            </w:pPr>
          </w:p>
        </w:tc>
      </w:tr>
      <w:tr w14:paraId="6DFF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0DE2D9A5">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69" w:type="dxa"/>
            <w:tcMar>
              <w:top w:w="120" w:type="dxa"/>
              <w:left w:w="120" w:type="dxa"/>
              <w:bottom w:w="120" w:type="dxa"/>
              <w:right w:w="120" w:type="dxa"/>
            </w:tcMar>
            <w:vAlign w:val="center"/>
          </w:tcPr>
          <w:p w14:paraId="65B25E26">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E19C04">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3DBF3072">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2FA9B404">
            <w:pPr>
              <w:widowControl/>
              <w:wordWrap w:val="0"/>
              <w:spacing w:line="360" w:lineRule="auto"/>
              <w:jc w:val="center"/>
              <w:rPr>
                <w:rFonts w:hint="eastAsia" w:ascii="宋体" w:hAnsi="宋体" w:eastAsia="宋体" w:cs="宋体"/>
                <w:color w:val="auto"/>
                <w:szCs w:val="21"/>
                <w:highlight w:val="none"/>
              </w:rPr>
            </w:pPr>
          </w:p>
        </w:tc>
      </w:tr>
      <w:tr w14:paraId="6CDF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19FA3FD8">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69" w:type="dxa"/>
            <w:tcMar>
              <w:top w:w="120" w:type="dxa"/>
              <w:left w:w="120" w:type="dxa"/>
              <w:bottom w:w="120" w:type="dxa"/>
              <w:right w:w="120" w:type="dxa"/>
            </w:tcMar>
            <w:vAlign w:val="center"/>
          </w:tcPr>
          <w:p w14:paraId="4A4E365F">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C240F9">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691E24AC">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3FDA204">
            <w:pPr>
              <w:widowControl/>
              <w:wordWrap w:val="0"/>
              <w:spacing w:line="360" w:lineRule="auto"/>
              <w:jc w:val="center"/>
              <w:rPr>
                <w:rFonts w:hint="eastAsia" w:ascii="宋体" w:hAnsi="宋体" w:eastAsia="宋体" w:cs="宋体"/>
                <w:color w:val="auto"/>
                <w:szCs w:val="21"/>
                <w:highlight w:val="none"/>
              </w:rPr>
            </w:pPr>
          </w:p>
        </w:tc>
      </w:tr>
    </w:tbl>
    <w:p w14:paraId="7B5A4FD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FE8DA1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5A222D">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766BC1D1">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3.不存在直接控股股东的，则填“无”。</w:t>
      </w:r>
    </w:p>
    <w:p w14:paraId="570FF771">
      <w:pPr>
        <w:snapToGrid w:val="0"/>
        <w:spacing w:before="50" w:after="120" w:afterLines="50"/>
        <w:jc w:val="center"/>
        <w:rPr>
          <w:rFonts w:hint="eastAsia" w:ascii="宋体" w:hAnsi="宋体" w:eastAsia="宋体" w:cs="宋体"/>
          <w:color w:val="auto"/>
          <w:szCs w:val="21"/>
          <w:highlight w:val="none"/>
        </w:rPr>
      </w:pPr>
    </w:p>
    <w:p w14:paraId="24C69E3B">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投标人直接管理关系信息表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47D1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5FF63F6E">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59" w:type="dxa"/>
            <w:tcMar>
              <w:top w:w="120" w:type="dxa"/>
              <w:left w:w="120" w:type="dxa"/>
              <w:bottom w:w="120" w:type="dxa"/>
              <w:right w:w="120" w:type="dxa"/>
            </w:tcMar>
            <w:vAlign w:val="center"/>
          </w:tcPr>
          <w:p w14:paraId="0001A6B6">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直接管理关系单位名称</w:t>
            </w:r>
          </w:p>
        </w:tc>
        <w:tc>
          <w:tcPr>
            <w:tcW w:w="3924" w:type="dxa"/>
            <w:tcMar>
              <w:top w:w="120" w:type="dxa"/>
              <w:left w:w="120" w:type="dxa"/>
              <w:bottom w:w="120" w:type="dxa"/>
              <w:right w:w="120" w:type="dxa"/>
            </w:tcMar>
            <w:vAlign w:val="center"/>
          </w:tcPr>
          <w:p w14:paraId="0A343D84">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064" w:type="dxa"/>
            <w:tcMar>
              <w:top w:w="120" w:type="dxa"/>
              <w:left w:w="120" w:type="dxa"/>
              <w:bottom w:w="120" w:type="dxa"/>
              <w:right w:w="120" w:type="dxa"/>
            </w:tcMar>
            <w:vAlign w:val="center"/>
          </w:tcPr>
          <w:p w14:paraId="4491E7CD">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FB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6C04222B">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59" w:type="dxa"/>
            <w:tcMar>
              <w:top w:w="120" w:type="dxa"/>
              <w:left w:w="120" w:type="dxa"/>
              <w:bottom w:w="120" w:type="dxa"/>
              <w:right w:w="120" w:type="dxa"/>
            </w:tcMar>
            <w:vAlign w:val="center"/>
          </w:tcPr>
          <w:p w14:paraId="2C9989FF">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76C89FE4">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0099141A">
            <w:pPr>
              <w:widowControl/>
              <w:spacing w:line="360" w:lineRule="auto"/>
              <w:jc w:val="center"/>
              <w:rPr>
                <w:rFonts w:hint="eastAsia" w:ascii="宋体" w:hAnsi="宋体" w:eastAsia="宋体" w:cs="宋体"/>
                <w:color w:val="auto"/>
                <w:szCs w:val="21"/>
                <w:highlight w:val="none"/>
              </w:rPr>
            </w:pPr>
          </w:p>
        </w:tc>
      </w:tr>
      <w:tr w14:paraId="5A2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4ADF2AE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59" w:type="dxa"/>
            <w:tcMar>
              <w:top w:w="120" w:type="dxa"/>
              <w:left w:w="120" w:type="dxa"/>
              <w:bottom w:w="120" w:type="dxa"/>
              <w:right w:w="120" w:type="dxa"/>
            </w:tcMar>
            <w:vAlign w:val="center"/>
          </w:tcPr>
          <w:p w14:paraId="6205ACDB">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682C56F6">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61782F26">
            <w:pPr>
              <w:widowControl/>
              <w:spacing w:line="360" w:lineRule="auto"/>
              <w:jc w:val="center"/>
              <w:rPr>
                <w:rFonts w:hint="eastAsia" w:ascii="宋体" w:hAnsi="宋体" w:eastAsia="宋体" w:cs="宋体"/>
                <w:color w:val="auto"/>
                <w:szCs w:val="21"/>
                <w:highlight w:val="none"/>
              </w:rPr>
            </w:pPr>
          </w:p>
        </w:tc>
      </w:tr>
      <w:tr w14:paraId="6FA0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10909AC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59" w:type="dxa"/>
            <w:tcMar>
              <w:top w:w="120" w:type="dxa"/>
              <w:left w:w="120" w:type="dxa"/>
              <w:bottom w:w="120" w:type="dxa"/>
              <w:right w:w="120" w:type="dxa"/>
            </w:tcMar>
            <w:vAlign w:val="center"/>
          </w:tcPr>
          <w:p w14:paraId="1D95DF15">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1E1243EA">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54953260">
            <w:pPr>
              <w:widowControl/>
              <w:spacing w:line="360" w:lineRule="auto"/>
              <w:jc w:val="center"/>
              <w:rPr>
                <w:rFonts w:hint="eastAsia" w:ascii="宋体" w:hAnsi="宋体" w:eastAsia="宋体" w:cs="宋体"/>
                <w:color w:val="auto"/>
                <w:szCs w:val="21"/>
                <w:highlight w:val="none"/>
              </w:rPr>
            </w:pPr>
          </w:p>
        </w:tc>
      </w:tr>
    </w:tbl>
    <w:p w14:paraId="788E077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4C50500">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5ABB9938">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2.本表所指的管理关系仅限于直接管理关系，不包括间接的管理关系。</w:t>
      </w:r>
    </w:p>
    <w:p w14:paraId="299F154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3.不存在直接管理关系的，则填“无”。</w:t>
      </w:r>
    </w:p>
    <w:p w14:paraId="52EC7A18">
      <w:pPr>
        <w:pStyle w:val="27"/>
        <w:tabs>
          <w:tab w:val="left" w:pos="5529"/>
        </w:tabs>
        <w:wordWrap w:val="0"/>
        <w:ind w:firstLine="3402" w:firstLineChars="1620"/>
        <w:rPr>
          <w:rFonts w:hint="eastAsia" w:ascii="宋体" w:hAnsi="宋体" w:eastAsia="宋体" w:cs="宋体"/>
          <w:color w:val="auto"/>
          <w:highlight w:val="none"/>
        </w:rPr>
      </w:pPr>
    </w:p>
    <w:p w14:paraId="3BDB267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B338F91">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9515839">
      <w:pPr>
        <w:widowControl/>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p>
    <w:p w14:paraId="335B7EEF">
      <w:pPr>
        <w:snapToGrid w:val="0"/>
        <w:spacing w:line="360" w:lineRule="exact"/>
        <w:rPr>
          <w:rFonts w:hint="eastAsia" w:ascii="宋体" w:hAnsi="宋体" w:eastAsia="宋体" w:cs="宋体"/>
          <w:color w:val="auto"/>
          <w:sz w:val="30"/>
          <w:szCs w:val="30"/>
          <w:highlight w:val="none"/>
        </w:rPr>
      </w:pPr>
    </w:p>
    <w:p w14:paraId="304D1107">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hint="eastAsia" w:ascii="宋体" w:hAnsi="宋体" w:eastAsia="宋体" w:cs="宋体"/>
          <w:b/>
          <w:color w:val="auto"/>
          <w:sz w:val="32"/>
          <w:szCs w:val="32"/>
          <w:highlight w:val="none"/>
          <w:lang w:eastAsia="zh-CN"/>
        </w:rPr>
        <w:t>报价文件</w:t>
      </w:r>
      <w:r>
        <w:rPr>
          <w:rFonts w:hint="eastAsia" w:ascii="宋体" w:hAnsi="宋体" w:eastAsia="宋体" w:cs="宋体"/>
          <w:b/>
          <w:color w:val="auto"/>
          <w:sz w:val="32"/>
          <w:szCs w:val="32"/>
          <w:highlight w:val="none"/>
        </w:rPr>
        <w:t>格式：</w:t>
      </w:r>
    </w:p>
    <w:p w14:paraId="37072F0F">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3260B1F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074FBB4C">
      <w:pPr>
        <w:snapToGrid w:val="0"/>
        <w:spacing w:before="120" w:beforeLines="50" w:after="50" w:line="400" w:lineRule="exact"/>
        <w:rPr>
          <w:rFonts w:hint="eastAsia" w:ascii="宋体" w:hAnsi="宋体" w:eastAsia="宋体" w:cs="宋体"/>
          <w:color w:val="auto"/>
          <w:sz w:val="32"/>
          <w:szCs w:val="32"/>
          <w:highlight w:val="none"/>
        </w:rPr>
      </w:pPr>
    </w:p>
    <w:p w14:paraId="6F91F3C5">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w:t>
      </w:r>
      <w:r>
        <w:rPr>
          <w:rFonts w:hint="eastAsia" w:ascii="宋体" w:hAnsi="宋体" w:eastAsia="宋体" w:cs="宋体"/>
          <w:bCs/>
          <w:color w:val="auto"/>
          <w:sz w:val="32"/>
          <w:szCs w:val="32"/>
          <w:highlight w:val="none"/>
          <w:lang w:eastAsia="zh-CN"/>
        </w:rPr>
        <w:t>报价文件</w:t>
      </w:r>
      <w:r>
        <w:rPr>
          <w:rFonts w:hint="eastAsia" w:ascii="宋体" w:hAnsi="宋体" w:eastAsia="宋体" w:cs="宋体"/>
          <w:bCs/>
          <w:color w:val="auto"/>
          <w:sz w:val="32"/>
          <w:szCs w:val="32"/>
          <w:highlight w:val="none"/>
        </w:rPr>
        <w:t>）</w:t>
      </w:r>
    </w:p>
    <w:p w14:paraId="34B86C7C">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6789A7B7">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7FE7A40E">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3858CAD1">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2697B725">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75D2E4E5">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44F770D2">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5CCA2B79">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168B2460">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5CE0AB8B">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6DFAECD0">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60E9FC3">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5EDC33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4D5C4C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C8CBF3B">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8DDDC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D84C7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6B07B70">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1584A5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20293A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8337D4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97FBB5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E429731">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7407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AA899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3DD3EA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A9EEB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312AD2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259266C">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4D0B2C83">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05214E77">
      <w:pPr>
        <w:widowControl/>
        <w:spacing w:line="320" w:lineRule="exact"/>
        <w:rPr>
          <w:rFonts w:hint="eastAsia" w:ascii="宋体" w:hAnsi="宋体" w:eastAsia="宋体" w:cs="宋体"/>
          <w:bCs/>
          <w:color w:val="auto"/>
          <w:szCs w:val="21"/>
          <w:highlight w:val="none"/>
        </w:rPr>
      </w:pPr>
    </w:p>
    <w:p w14:paraId="2F56FAA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15A9CD0">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096F84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4E95DE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94E03C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EB66C55">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D76DB3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F3C0F6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4B50ED2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EBC98E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2EAEE34">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EEA7BB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5939F7E">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5F4D0D3">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7AE934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4D512A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3E244C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92FBE7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0A1906">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D686F1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E83E28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64572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045039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192E06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B832A7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4ECC082">
      <w:pPr>
        <w:snapToGrid w:val="0"/>
        <w:spacing w:before="50" w:after="50" w:line="360" w:lineRule="exact"/>
        <w:ind w:left="-3" w:leftChars="-15" w:right="-817" w:rightChars="-389" w:hanging="28" w:hangingChars="12"/>
        <w:rPr>
          <w:rFonts w:hint="eastAsia" w:ascii="宋体" w:hAnsi="宋体" w:eastAsia="宋体" w:cs="宋体"/>
          <w:bCs/>
          <w:color w:val="auto"/>
          <w:sz w:val="24"/>
          <w:highlight w:val="none"/>
        </w:rPr>
      </w:pPr>
    </w:p>
    <w:p w14:paraId="14F1EA6C">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25EE5F4">
      <w:pPr>
        <w:snapToGrid w:val="0"/>
        <w:spacing w:before="120" w:beforeLines="50" w:after="50" w:line="36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1、投 标 函(格式)</w:t>
      </w:r>
    </w:p>
    <w:p w14:paraId="5AF4BADE">
      <w:pPr>
        <w:snapToGrid w:val="0"/>
        <w:spacing w:before="120" w:beforeLines="50" w:after="50"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 标 函</w:t>
      </w:r>
    </w:p>
    <w:p w14:paraId="1FFDA392">
      <w:pPr>
        <w:snapToGrid w:val="0"/>
        <w:spacing w:before="120" w:beforeLines="50" w:after="50" w:line="360" w:lineRule="exact"/>
        <w:jc w:val="center"/>
        <w:rPr>
          <w:rFonts w:hint="eastAsia" w:ascii="宋体" w:hAnsi="宋体" w:eastAsia="宋体" w:cs="宋体"/>
          <w:b/>
          <w:color w:val="auto"/>
          <w:sz w:val="24"/>
          <w:szCs w:val="20"/>
          <w:highlight w:val="none"/>
        </w:rPr>
      </w:pPr>
    </w:p>
    <w:p w14:paraId="0E064C8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7E17146">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（分标</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（全名）</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 xml:space="preserve">                    （投标人名称）</w:t>
      </w:r>
      <w:r>
        <w:rPr>
          <w:rFonts w:hint="eastAsia" w:ascii="宋体" w:hAnsi="宋体" w:eastAsia="宋体" w:cs="宋体"/>
          <w:color w:val="auto"/>
          <w:szCs w:val="21"/>
          <w:highlight w:val="none"/>
        </w:rPr>
        <w:t>现正式递交下述文件参加贵方组织的本次政府采购活动：</w:t>
      </w:r>
    </w:p>
    <w:p w14:paraId="6CAC7BC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一、资格文件电子版一份；</w:t>
      </w:r>
    </w:p>
    <w:p w14:paraId="70298FC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电子版一份；</w:t>
      </w:r>
    </w:p>
    <w:p w14:paraId="0AA6539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三、商务技术文件电子版一份；</w:t>
      </w:r>
    </w:p>
    <w:p w14:paraId="2E6BD47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5E06668E">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1C99B8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2.我方在投标之前已经与贵方进行了充分的沟通，完全理解并接受招标文件的各项规定和要求，对招标文件的合理性、合法性不再有异议。</w:t>
      </w:r>
    </w:p>
    <w:p w14:paraId="3807218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3.本投标有效期为投标截止日期后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p w14:paraId="2FFBCDE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6B3A2FF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1EB61C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58741C3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5303A67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3B54D5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投标人名称(公章):</w:t>
      </w:r>
      <w:r>
        <w:rPr>
          <w:rFonts w:hint="eastAsia" w:ascii="宋体" w:hAnsi="宋体" w:eastAsia="宋体" w:cs="宋体"/>
          <w:color w:val="auto"/>
          <w:szCs w:val="21"/>
          <w:highlight w:val="none"/>
          <w:u w:val="single"/>
        </w:rPr>
        <w:t xml:space="preserve">                    </w:t>
      </w:r>
    </w:p>
    <w:p w14:paraId="16AE018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银行帐号：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DFCDF16">
      <w:pPr>
        <w:snapToGrid w:val="0"/>
        <w:spacing w:line="360" w:lineRule="exact"/>
        <w:rPr>
          <w:rFonts w:hint="eastAsia" w:ascii="宋体" w:hAnsi="宋体" w:eastAsia="宋体" w:cs="宋体"/>
          <w:color w:val="auto"/>
          <w:szCs w:val="21"/>
          <w:highlight w:val="none"/>
        </w:rPr>
      </w:pPr>
    </w:p>
    <w:p w14:paraId="2E68A1E3">
      <w:pPr>
        <w:snapToGrid w:val="0"/>
        <w:spacing w:line="360" w:lineRule="exact"/>
        <w:rPr>
          <w:rFonts w:hint="eastAsia" w:ascii="宋体" w:hAnsi="宋体" w:eastAsia="宋体" w:cs="宋体"/>
          <w:color w:val="auto"/>
          <w:szCs w:val="21"/>
          <w:highlight w:val="none"/>
        </w:rPr>
      </w:pPr>
    </w:p>
    <w:p w14:paraId="1378E42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648F823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6E99149">
      <w:pPr>
        <w:pStyle w:val="27"/>
        <w:spacing w:line="360" w:lineRule="exact"/>
        <w:rPr>
          <w:rFonts w:hint="eastAsia" w:ascii="宋体" w:hAnsi="宋体" w:eastAsia="宋体" w:cs="宋体"/>
          <w:color w:val="auto"/>
          <w:sz w:val="44"/>
          <w:highlight w:val="none"/>
        </w:rPr>
      </w:pPr>
    </w:p>
    <w:p w14:paraId="76EF4F86">
      <w:pPr>
        <w:pStyle w:val="27"/>
        <w:spacing w:line="360" w:lineRule="exact"/>
        <w:rPr>
          <w:rFonts w:hint="eastAsia" w:ascii="宋体" w:hAnsi="宋体" w:eastAsia="宋体" w:cs="宋体"/>
          <w:color w:val="auto"/>
          <w:sz w:val="44"/>
          <w:highlight w:val="none"/>
        </w:rPr>
      </w:pPr>
    </w:p>
    <w:p w14:paraId="1DB057D3">
      <w:pPr>
        <w:pStyle w:val="27"/>
        <w:spacing w:line="360" w:lineRule="exact"/>
        <w:rPr>
          <w:rFonts w:hint="eastAsia" w:ascii="宋体" w:hAnsi="宋体" w:eastAsia="宋体" w:cs="宋体"/>
          <w:color w:val="auto"/>
          <w:sz w:val="44"/>
          <w:highlight w:val="none"/>
        </w:rPr>
      </w:pPr>
    </w:p>
    <w:p w14:paraId="1418586E">
      <w:pPr>
        <w:pStyle w:val="27"/>
        <w:spacing w:line="360" w:lineRule="exact"/>
        <w:rPr>
          <w:rFonts w:hint="eastAsia" w:ascii="宋体" w:hAnsi="宋体" w:eastAsia="宋体" w:cs="宋体"/>
          <w:color w:val="auto"/>
          <w:sz w:val="44"/>
          <w:highlight w:val="none"/>
        </w:rPr>
      </w:pPr>
    </w:p>
    <w:p w14:paraId="086F4F2B">
      <w:pPr>
        <w:pStyle w:val="27"/>
        <w:spacing w:line="360" w:lineRule="exact"/>
        <w:rPr>
          <w:rFonts w:hint="eastAsia" w:ascii="宋体" w:hAnsi="宋体" w:eastAsia="宋体" w:cs="宋体"/>
          <w:color w:val="auto"/>
          <w:sz w:val="44"/>
          <w:highlight w:val="none"/>
        </w:rPr>
      </w:pPr>
    </w:p>
    <w:p w14:paraId="2FA1F7DB">
      <w:pPr>
        <w:pStyle w:val="27"/>
        <w:spacing w:line="360" w:lineRule="exact"/>
        <w:rPr>
          <w:rFonts w:hint="eastAsia" w:ascii="宋体" w:hAnsi="宋体" w:eastAsia="宋体" w:cs="宋体"/>
          <w:color w:val="auto"/>
          <w:sz w:val="44"/>
          <w:highlight w:val="none"/>
        </w:rPr>
      </w:pPr>
    </w:p>
    <w:p w14:paraId="15CCC85B">
      <w:pPr>
        <w:snapToGrid w:val="0"/>
        <w:spacing w:before="120" w:beforeLines="50" w:after="50" w:line="360" w:lineRule="exact"/>
        <w:rPr>
          <w:rFonts w:hint="eastAsia" w:ascii="宋体" w:hAnsi="宋体" w:eastAsia="宋体" w:cs="宋体"/>
          <w:b/>
          <w:bCs/>
          <w:color w:val="auto"/>
          <w:szCs w:val="21"/>
          <w:highlight w:val="none"/>
        </w:rPr>
      </w:pPr>
    </w:p>
    <w:p w14:paraId="36DAC051">
      <w:pPr>
        <w:snapToGrid w:val="0"/>
        <w:spacing w:before="120" w:beforeLines="50" w:after="50" w:line="360" w:lineRule="exact"/>
        <w:rPr>
          <w:rFonts w:hint="eastAsia" w:ascii="宋体" w:hAnsi="宋体" w:eastAsia="宋体" w:cs="宋体"/>
          <w:b/>
          <w:bCs/>
          <w:color w:val="auto"/>
          <w:szCs w:val="21"/>
          <w:highlight w:val="none"/>
        </w:rPr>
      </w:pPr>
    </w:p>
    <w:p w14:paraId="5A6EEE27">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A647E8D">
      <w:pPr>
        <w:snapToGrid w:val="0"/>
        <w:spacing w:before="50" w:after="50" w:line="360" w:lineRule="exact"/>
        <w:rPr>
          <w:rFonts w:hint="eastAsia" w:ascii="宋体" w:hAnsi="宋体" w:eastAsia="宋体" w:cs="宋体"/>
          <w:b/>
          <w:color w:val="auto"/>
          <w:sz w:val="30"/>
          <w:highlight w:val="none"/>
        </w:rPr>
      </w:pPr>
      <w:r>
        <w:rPr>
          <w:rFonts w:hint="eastAsia" w:ascii="宋体" w:hAnsi="宋体" w:eastAsia="宋体" w:cs="宋体"/>
          <w:b/>
          <w:bCs/>
          <w:color w:val="auto"/>
          <w:sz w:val="28"/>
          <w:szCs w:val="28"/>
          <w:highlight w:val="none"/>
        </w:rPr>
        <w:t>2、</w:t>
      </w:r>
      <w:r>
        <w:rPr>
          <w:rFonts w:hint="eastAsia" w:ascii="宋体" w:hAnsi="宋体" w:eastAsia="宋体" w:cs="宋体"/>
          <w:b/>
          <w:color w:val="auto"/>
          <w:sz w:val="30"/>
          <w:highlight w:val="none"/>
        </w:rPr>
        <w:t>开标一览表格式</w:t>
      </w:r>
    </w:p>
    <w:p w14:paraId="5CFA7C70">
      <w:pPr>
        <w:snapToGrid w:val="0"/>
        <w:spacing w:before="50" w:after="50"/>
        <w:rPr>
          <w:rFonts w:hint="eastAsia" w:ascii="宋体" w:hAnsi="宋体" w:eastAsia="宋体" w:cs="宋体"/>
          <w:b/>
          <w:color w:val="auto"/>
          <w:szCs w:val="21"/>
          <w:highlight w:val="none"/>
        </w:rPr>
      </w:pPr>
    </w:p>
    <w:p w14:paraId="650C5C6A">
      <w:pPr>
        <w:snapToGrid w:val="0"/>
        <w:spacing w:before="50" w:after="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tbl>
      <w:tblPr>
        <w:tblStyle w:val="48"/>
        <w:tblW w:w="9782"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12277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912" w:type="dxa"/>
            <w:vAlign w:val="center"/>
          </w:tcPr>
          <w:p w14:paraId="17940FA7">
            <w:pPr>
              <w:keepNext w:val="0"/>
              <w:keepLines w:val="0"/>
              <w:widowControl/>
              <w:suppressLineNumbers w:val="0"/>
              <w:jc w:val="center"/>
              <w:textAlignment w:val="center"/>
              <w:rPr>
                <w:rFonts w:hint="eastAsia" w:ascii="宋体" w:hAnsi="宋体" w:eastAsia="宋体" w:cs="宋体"/>
                <w:b/>
                <w:color w:val="auto"/>
                <w:sz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03" w:type="dxa"/>
            <w:vAlign w:val="center"/>
          </w:tcPr>
          <w:p w14:paraId="202332AA">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1639" w:type="dxa"/>
            <w:vAlign w:val="center"/>
          </w:tcPr>
          <w:p w14:paraId="74E38C81">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厂家、品牌 规格型号</w:t>
            </w:r>
          </w:p>
        </w:tc>
        <w:tc>
          <w:tcPr>
            <w:tcW w:w="1229" w:type="dxa"/>
            <w:vAlign w:val="center"/>
          </w:tcPr>
          <w:p w14:paraId="1C04F379">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产地</w:t>
            </w:r>
          </w:p>
        </w:tc>
        <w:tc>
          <w:tcPr>
            <w:tcW w:w="1051" w:type="dxa"/>
            <w:vAlign w:val="center"/>
          </w:tcPr>
          <w:p w14:paraId="75E2863A">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数量①</w:t>
            </w:r>
          </w:p>
        </w:tc>
        <w:tc>
          <w:tcPr>
            <w:tcW w:w="878" w:type="dxa"/>
            <w:vAlign w:val="center"/>
          </w:tcPr>
          <w:p w14:paraId="26ABF889">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066" w:type="dxa"/>
            <w:vAlign w:val="center"/>
          </w:tcPr>
          <w:p w14:paraId="08945305">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单价②</w:t>
            </w:r>
          </w:p>
        </w:tc>
        <w:tc>
          <w:tcPr>
            <w:tcW w:w="1404" w:type="dxa"/>
            <w:vAlign w:val="center"/>
          </w:tcPr>
          <w:p w14:paraId="4D0B3706">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投标报价③=①×②</w:t>
            </w:r>
          </w:p>
        </w:tc>
      </w:tr>
      <w:tr w14:paraId="0CE9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trPr>
        <w:tc>
          <w:tcPr>
            <w:tcW w:w="912" w:type="dxa"/>
            <w:vAlign w:val="center"/>
          </w:tcPr>
          <w:p w14:paraId="1F0D876F">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603" w:type="dxa"/>
            <w:vAlign w:val="center"/>
          </w:tcPr>
          <w:p w14:paraId="0985B8F8">
            <w:pPr>
              <w:jc w:val="center"/>
              <w:rPr>
                <w:rFonts w:hint="eastAsia" w:ascii="宋体" w:hAnsi="宋体" w:eastAsia="宋体" w:cs="宋体"/>
                <w:color w:val="auto"/>
                <w:highlight w:val="none"/>
              </w:rPr>
            </w:pPr>
          </w:p>
        </w:tc>
        <w:tc>
          <w:tcPr>
            <w:tcW w:w="1639" w:type="dxa"/>
            <w:vAlign w:val="center"/>
          </w:tcPr>
          <w:p w14:paraId="2D3D0406">
            <w:pPr>
              <w:jc w:val="center"/>
              <w:rPr>
                <w:rFonts w:hint="eastAsia" w:ascii="宋体" w:hAnsi="宋体" w:eastAsia="宋体" w:cs="宋体"/>
                <w:color w:val="auto"/>
                <w:highlight w:val="none"/>
              </w:rPr>
            </w:pPr>
          </w:p>
        </w:tc>
        <w:tc>
          <w:tcPr>
            <w:tcW w:w="1229" w:type="dxa"/>
            <w:vAlign w:val="center"/>
          </w:tcPr>
          <w:p w14:paraId="2EE83900">
            <w:pPr>
              <w:jc w:val="center"/>
              <w:rPr>
                <w:rFonts w:hint="eastAsia" w:ascii="宋体" w:hAnsi="宋体" w:eastAsia="宋体" w:cs="宋体"/>
                <w:color w:val="auto"/>
                <w:highlight w:val="none"/>
              </w:rPr>
            </w:pPr>
          </w:p>
        </w:tc>
        <w:tc>
          <w:tcPr>
            <w:tcW w:w="1051" w:type="dxa"/>
            <w:vAlign w:val="center"/>
          </w:tcPr>
          <w:p w14:paraId="3FD73094">
            <w:pPr>
              <w:jc w:val="center"/>
              <w:rPr>
                <w:rFonts w:hint="eastAsia" w:ascii="宋体" w:hAnsi="宋体" w:eastAsia="宋体" w:cs="宋体"/>
                <w:color w:val="auto"/>
                <w:highlight w:val="none"/>
              </w:rPr>
            </w:pPr>
          </w:p>
        </w:tc>
        <w:tc>
          <w:tcPr>
            <w:tcW w:w="878" w:type="dxa"/>
            <w:vAlign w:val="center"/>
          </w:tcPr>
          <w:p w14:paraId="03BD007C">
            <w:pPr>
              <w:jc w:val="center"/>
              <w:rPr>
                <w:rFonts w:hint="eastAsia" w:ascii="宋体" w:hAnsi="宋体" w:eastAsia="宋体" w:cs="宋体"/>
                <w:color w:val="auto"/>
                <w:highlight w:val="none"/>
              </w:rPr>
            </w:pPr>
          </w:p>
        </w:tc>
        <w:tc>
          <w:tcPr>
            <w:tcW w:w="1066" w:type="dxa"/>
            <w:vAlign w:val="center"/>
          </w:tcPr>
          <w:p w14:paraId="09B101BE">
            <w:pPr>
              <w:jc w:val="center"/>
              <w:rPr>
                <w:rFonts w:hint="eastAsia" w:ascii="宋体" w:hAnsi="宋体" w:eastAsia="宋体" w:cs="宋体"/>
                <w:color w:val="auto"/>
                <w:highlight w:val="none"/>
              </w:rPr>
            </w:pPr>
          </w:p>
        </w:tc>
        <w:tc>
          <w:tcPr>
            <w:tcW w:w="1404" w:type="dxa"/>
            <w:vAlign w:val="center"/>
          </w:tcPr>
          <w:p w14:paraId="4AAD2D4D">
            <w:pPr>
              <w:jc w:val="center"/>
              <w:rPr>
                <w:rFonts w:hint="eastAsia" w:ascii="宋体" w:hAnsi="宋体" w:eastAsia="宋体" w:cs="宋体"/>
                <w:color w:val="auto"/>
                <w:highlight w:val="none"/>
              </w:rPr>
            </w:pPr>
          </w:p>
        </w:tc>
      </w:tr>
      <w:tr w14:paraId="590B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29BF1C38">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1603" w:type="dxa"/>
            <w:vAlign w:val="center"/>
          </w:tcPr>
          <w:p w14:paraId="28A83831">
            <w:pPr>
              <w:jc w:val="center"/>
              <w:rPr>
                <w:rFonts w:hint="eastAsia" w:ascii="宋体" w:hAnsi="宋体" w:eastAsia="宋体" w:cs="宋体"/>
                <w:color w:val="auto"/>
                <w:highlight w:val="none"/>
              </w:rPr>
            </w:pPr>
          </w:p>
        </w:tc>
        <w:tc>
          <w:tcPr>
            <w:tcW w:w="1639" w:type="dxa"/>
            <w:vAlign w:val="center"/>
          </w:tcPr>
          <w:p w14:paraId="37161736">
            <w:pPr>
              <w:jc w:val="center"/>
              <w:rPr>
                <w:rFonts w:hint="eastAsia" w:ascii="宋体" w:hAnsi="宋体" w:eastAsia="宋体" w:cs="宋体"/>
                <w:color w:val="auto"/>
                <w:highlight w:val="none"/>
              </w:rPr>
            </w:pPr>
          </w:p>
        </w:tc>
        <w:tc>
          <w:tcPr>
            <w:tcW w:w="1229" w:type="dxa"/>
            <w:vAlign w:val="center"/>
          </w:tcPr>
          <w:p w14:paraId="710263DB">
            <w:pPr>
              <w:jc w:val="center"/>
              <w:rPr>
                <w:rFonts w:hint="eastAsia" w:ascii="宋体" w:hAnsi="宋体" w:eastAsia="宋体" w:cs="宋体"/>
                <w:color w:val="auto"/>
                <w:highlight w:val="none"/>
              </w:rPr>
            </w:pPr>
          </w:p>
        </w:tc>
        <w:tc>
          <w:tcPr>
            <w:tcW w:w="1051" w:type="dxa"/>
            <w:vAlign w:val="center"/>
          </w:tcPr>
          <w:p w14:paraId="2B5CECCD">
            <w:pPr>
              <w:jc w:val="center"/>
              <w:rPr>
                <w:rFonts w:hint="eastAsia" w:ascii="宋体" w:hAnsi="宋体" w:eastAsia="宋体" w:cs="宋体"/>
                <w:color w:val="auto"/>
                <w:highlight w:val="none"/>
              </w:rPr>
            </w:pPr>
          </w:p>
        </w:tc>
        <w:tc>
          <w:tcPr>
            <w:tcW w:w="878" w:type="dxa"/>
            <w:vAlign w:val="center"/>
          </w:tcPr>
          <w:p w14:paraId="6BAD9DF8">
            <w:pPr>
              <w:jc w:val="center"/>
              <w:rPr>
                <w:rFonts w:hint="eastAsia" w:ascii="宋体" w:hAnsi="宋体" w:eastAsia="宋体" w:cs="宋体"/>
                <w:color w:val="auto"/>
                <w:highlight w:val="none"/>
              </w:rPr>
            </w:pPr>
          </w:p>
        </w:tc>
        <w:tc>
          <w:tcPr>
            <w:tcW w:w="1066" w:type="dxa"/>
            <w:vAlign w:val="center"/>
          </w:tcPr>
          <w:p w14:paraId="27F8B457">
            <w:pPr>
              <w:jc w:val="center"/>
              <w:rPr>
                <w:rFonts w:hint="eastAsia" w:ascii="宋体" w:hAnsi="宋体" w:eastAsia="宋体" w:cs="宋体"/>
                <w:color w:val="auto"/>
                <w:highlight w:val="none"/>
              </w:rPr>
            </w:pPr>
          </w:p>
        </w:tc>
        <w:tc>
          <w:tcPr>
            <w:tcW w:w="1404" w:type="dxa"/>
            <w:vAlign w:val="center"/>
          </w:tcPr>
          <w:p w14:paraId="0062A1D0">
            <w:pPr>
              <w:jc w:val="center"/>
              <w:rPr>
                <w:rFonts w:hint="eastAsia" w:ascii="宋体" w:hAnsi="宋体" w:eastAsia="宋体" w:cs="宋体"/>
                <w:color w:val="auto"/>
                <w:highlight w:val="none"/>
              </w:rPr>
            </w:pPr>
          </w:p>
        </w:tc>
      </w:tr>
      <w:tr w14:paraId="64A74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707C1E16">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tc>
        <w:tc>
          <w:tcPr>
            <w:tcW w:w="1603" w:type="dxa"/>
            <w:vAlign w:val="center"/>
          </w:tcPr>
          <w:p w14:paraId="0CAB6585">
            <w:pPr>
              <w:jc w:val="center"/>
              <w:rPr>
                <w:rFonts w:hint="eastAsia" w:ascii="宋体" w:hAnsi="宋体" w:eastAsia="宋体" w:cs="宋体"/>
                <w:color w:val="auto"/>
                <w:highlight w:val="none"/>
              </w:rPr>
            </w:pPr>
          </w:p>
        </w:tc>
        <w:tc>
          <w:tcPr>
            <w:tcW w:w="1639" w:type="dxa"/>
            <w:vAlign w:val="center"/>
          </w:tcPr>
          <w:p w14:paraId="432A8154">
            <w:pPr>
              <w:jc w:val="center"/>
              <w:rPr>
                <w:rFonts w:hint="eastAsia" w:ascii="宋体" w:hAnsi="宋体" w:eastAsia="宋体" w:cs="宋体"/>
                <w:color w:val="auto"/>
                <w:highlight w:val="none"/>
              </w:rPr>
            </w:pPr>
          </w:p>
        </w:tc>
        <w:tc>
          <w:tcPr>
            <w:tcW w:w="1229" w:type="dxa"/>
            <w:vAlign w:val="center"/>
          </w:tcPr>
          <w:p w14:paraId="60EDFFF4">
            <w:pPr>
              <w:jc w:val="center"/>
              <w:rPr>
                <w:rFonts w:hint="eastAsia" w:ascii="宋体" w:hAnsi="宋体" w:eastAsia="宋体" w:cs="宋体"/>
                <w:color w:val="auto"/>
                <w:highlight w:val="none"/>
              </w:rPr>
            </w:pPr>
          </w:p>
        </w:tc>
        <w:tc>
          <w:tcPr>
            <w:tcW w:w="1051" w:type="dxa"/>
            <w:vAlign w:val="center"/>
          </w:tcPr>
          <w:p w14:paraId="4F57C8E3">
            <w:pPr>
              <w:jc w:val="center"/>
              <w:rPr>
                <w:rFonts w:hint="eastAsia" w:ascii="宋体" w:hAnsi="宋体" w:eastAsia="宋体" w:cs="宋体"/>
                <w:color w:val="auto"/>
                <w:highlight w:val="none"/>
              </w:rPr>
            </w:pPr>
          </w:p>
        </w:tc>
        <w:tc>
          <w:tcPr>
            <w:tcW w:w="878" w:type="dxa"/>
            <w:vAlign w:val="center"/>
          </w:tcPr>
          <w:p w14:paraId="047AF878">
            <w:pPr>
              <w:jc w:val="center"/>
              <w:rPr>
                <w:rFonts w:hint="eastAsia" w:ascii="宋体" w:hAnsi="宋体" w:eastAsia="宋体" w:cs="宋体"/>
                <w:color w:val="auto"/>
                <w:highlight w:val="none"/>
              </w:rPr>
            </w:pPr>
          </w:p>
        </w:tc>
        <w:tc>
          <w:tcPr>
            <w:tcW w:w="1066" w:type="dxa"/>
            <w:vAlign w:val="center"/>
          </w:tcPr>
          <w:p w14:paraId="4B86C0AC">
            <w:pPr>
              <w:jc w:val="center"/>
              <w:rPr>
                <w:rFonts w:hint="eastAsia" w:ascii="宋体" w:hAnsi="宋体" w:eastAsia="宋体" w:cs="宋体"/>
                <w:color w:val="auto"/>
                <w:highlight w:val="none"/>
              </w:rPr>
            </w:pPr>
          </w:p>
        </w:tc>
        <w:tc>
          <w:tcPr>
            <w:tcW w:w="1404" w:type="dxa"/>
            <w:vAlign w:val="center"/>
          </w:tcPr>
          <w:p w14:paraId="2C16B6F0">
            <w:pPr>
              <w:jc w:val="center"/>
              <w:rPr>
                <w:rFonts w:hint="eastAsia" w:ascii="宋体" w:hAnsi="宋体" w:eastAsia="宋体" w:cs="宋体"/>
                <w:color w:val="auto"/>
                <w:highlight w:val="none"/>
              </w:rPr>
            </w:pPr>
          </w:p>
        </w:tc>
      </w:tr>
      <w:tr w14:paraId="454B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242B2681">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N</w:t>
            </w:r>
          </w:p>
        </w:tc>
        <w:tc>
          <w:tcPr>
            <w:tcW w:w="1603" w:type="dxa"/>
            <w:vAlign w:val="center"/>
          </w:tcPr>
          <w:p w14:paraId="7A2E3386">
            <w:pPr>
              <w:jc w:val="center"/>
              <w:rPr>
                <w:rFonts w:hint="eastAsia" w:ascii="宋体" w:hAnsi="宋体" w:eastAsia="宋体" w:cs="宋体"/>
                <w:color w:val="auto"/>
                <w:highlight w:val="none"/>
              </w:rPr>
            </w:pPr>
          </w:p>
        </w:tc>
        <w:tc>
          <w:tcPr>
            <w:tcW w:w="1639" w:type="dxa"/>
            <w:vAlign w:val="center"/>
          </w:tcPr>
          <w:p w14:paraId="5BB99D99">
            <w:pPr>
              <w:jc w:val="center"/>
              <w:rPr>
                <w:rFonts w:hint="eastAsia" w:ascii="宋体" w:hAnsi="宋体" w:eastAsia="宋体" w:cs="宋体"/>
                <w:color w:val="auto"/>
                <w:highlight w:val="none"/>
              </w:rPr>
            </w:pPr>
          </w:p>
        </w:tc>
        <w:tc>
          <w:tcPr>
            <w:tcW w:w="1229" w:type="dxa"/>
            <w:vAlign w:val="center"/>
          </w:tcPr>
          <w:p w14:paraId="575D2120">
            <w:pPr>
              <w:jc w:val="center"/>
              <w:rPr>
                <w:rFonts w:hint="eastAsia" w:ascii="宋体" w:hAnsi="宋体" w:eastAsia="宋体" w:cs="宋体"/>
                <w:color w:val="auto"/>
                <w:highlight w:val="none"/>
              </w:rPr>
            </w:pPr>
          </w:p>
        </w:tc>
        <w:tc>
          <w:tcPr>
            <w:tcW w:w="1051" w:type="dxa"/>
            <w:vAlign w:val="center"/>
          </w:tcPr>
          <w:p w14:paraId="175181D7">
            <w:pPr>
              <w:jc w:val="center"/>
              <w:rPr>
                <w:rFonts w:hint="eastAsia" w:ascii="宋体" w:hAnsi="宋体" w:eastAsia="宋体" w:cs="宋体"/>
                <w:color w:val="auto"/>
                <w:highlight w:val="none"/>
              </w:rPr>
            </w:pPr>
          </w:p>
        </w:tc>
        <w:tc>
          <w:tcPr>
            <w:tcW w:w="878" w:type="dxa"/>
            <w:vAlign w:val="center"/>
          </w:tcPr>
          <w:p w14:paraId="14CCAD5E">
            <w:pPr>
              <w:jc w:val="center"/>
              <w:rPr>
                <w:rFonts w:hint="eastAsia" w:ascii="宋体" w:hAnsi="宋体" w:eastAsia="宋体" w:cs="宋体"/>
                <w:color w:val="auto"/>
                <w:highlight w:val="none"/>
              </w:rPr>
            </w:pPr>
          </w:p>
        </w:tc>
        <w:tc>
          <w:tcPr>
            <w:tcW w:w="1066" w:type="dxa"/>
            <w:vAlign w:val="center"/>
          </w:tcPr>
          <w:p w14:paraId="4483B97A">
            <w:pPr>
              <w:jc w:val="center"/>
              <w:rPr>
                <w:rFonts w:hint="eastAsia" w:ascii="宋体" w:hAnsi="宋体" w:eastAsia="宋体" w:cs="宋体"/>
                <w:color w:val="auto"/>
                <w:highlight w:val="none"/>
              </w:rPr>
            </w:pPr>
          </w:p>
        </w:tc>
        <w:tc>
          <w:tcPr>
            <w:tcW w:w="1404" w:type="dxa"/>
            <w:vAlign w:val="center"/>
          </w:tcPr>
          <w:p w14:paraId="7FF471EF">
            <w:pPr>
              <w:jc w:val="center"/>
              <w:rPr>
                <w:rFonts w:hint="eastAsia" w:ascii="宋体" w:hAnsi="宋体" w:eastAsia="宋体" w:cs="宋体"/>
                <w:color w:val="auto"/>
                <w:highlight w:val="none"/>
              </w:rPr>
            </w:pPr>
          </w:p>
        </w:tc>
      </w:tr>
      <w:tr w14:paraId="72C40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trPr>
        <w:tc>
          <w:tcPr>
            <w:tcW w:w="9782" w:type="dxa"/>
            <w:gridSpan w:val="8"/>
            <w:vAlign w:val="center"/>
          </w:tcPr>
          <w:p w14:paraId="081E4738">
            <w:pPr>
              <w:pStyle w:val="199"/>
              <w:tabs>
                <w:tab w:val="left" w:pos="2931"/>
                <w:tab w:val="left" w:pos="4727"/>
                <w:tab w:val="left" w:pos="6699"/>
                <w:tab w:val="left" w:pos="8010"/>
                <w:tab w:val="left" w:pos="8140"/>
              </w:tabs>
              <w:spacing w:before="14" w:line="295" w:lineRule="auto"/>
              <w:ind w:left="105" w:right="14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投标报价（合计金额）大写：</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pacing w:val="-72"/>
                <w:sz w:val="21"/>
                <w:szCs w:val="21"/>
                <w:highlight w:val="none"/>
                <w:lang w:eastAsia="zh-CN"/>
              </w:rPr>
              <w:t xml:space="preserve"> </w:t>
            </w:r>
            <w:r>
              <w:rPr>
                <w:rFonts w:hint="eastAsia" w:ascii="宋体" w:hAnsi="宋体" w:eastAsia="宋体" w:cs="宋体"/>
                <w:color w:val="auto"/>
                <w:sz w:val="21"/>
                <w:szCs w:val="21"/>
                <w:highlight w:val="none"/>
                <w:lang w:eastAsia="zh-CN"/>
              </w:rPr>
              <w:t>民</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币</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 。</w:t>
            </w:r>
          </w:p>
          <w:p w14:paraId="480D640C">
            <w:pPr>
              <w:pStyle w:val="199"/>
              <w:tabs>
                <w:tab w:val="left" w:pos="2931"/>
                <w:tab w:val="left" w:pos="4727"/>
                <w:tab w:val="left" w:pos="6699"/>
                <w:tab w:val="left" w:pos="8010"/>
                <w:tab w:val="left" w:pos="8140"/>
              </w:tabs>
              <w:spacing w:before="14" w:line="295" w:lineRule="auto"/>
              <w:ind w:left="105" w:right="142"/>
              <w:jc w:val="both"/>
              <w:rPr>
                <w:rFonts w:hint="eastAsia" w:ascii="宋体" w:hAnsi="宋体" w:eastAsia="宋体" w:cs="宋体"/>
                <w:color w:val="auto"/>
                <w:sz w:val="24"/>
                <w:highlight w:val="none"/>
                <w:lang w:eastAsia="zh-CN"/>
              </w:rPr>
            </w:pPr>
            <w:r>
              <w:rPr>
                <w:rFonts w:hint="eastAsia" w:ascii="宋体" w:hAnsi="宋体" w:eastAsia="宋体" w:cs="宋体"/>
                <w:color w:val="auto"/>
                <w:sz w:val="21"/>
                <w:szCs w:val="21"/>
                <w:highlight w:val="none"/>
                <w:lang w:eastAsia="zh-CN"/>
              </w:rPr>
              <w:t>属于优先采购环境标志产品总值为￥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（具体明细详见附表）， 占本投标报价的比例为</w:t>
            </w:r>
            <w:r>
              <w:rPr>
                <w:rFonts w:hint="eastAsia" w:ascii="宋体" w:hAnsi="宋体" w:eastAsia="宋体" w:cs="宋体"/>
                <w:color w:val="auto"/>
                <w:sz w:val="21"/>
                <w:szCs w:val="21"/>
                <w:highlight w:val="none"/>
                <w:u w:val="single"/>
                <w:lang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4"/>
                <w:highlight w:val="none"/>
                <w:lang w:eastAsia="zh-CN"/>
              </w:rPr>
              <w:t xml:space="preserve"> </w:t>
            </w:r>
          </w:p>
        </w:tc>
      </w:tr>
      <w:tr w14:paraId="563F6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9782" w:type="dxa"/>
            <w:gridSpan w:val="8"/>
            <w:vAlign w:val="center"/>
          </w:tcPr>
          <w:p w14:paraId="3E9AA98D">
            <w:pPr>
              <w:pStyle w:val="199"/>
              <w:tabs>
                <w:tab w:val="left" w:pos="3355"/>
                <w:tab w:val="left" w:pos="4727"/>
                <w:tab w:val="left" w:pos="7454"/>
                <w:tab w:val="left" w:pos="7905"/>
                <w:tab w:val="left" w:pos="8140"/>
              </w:tabs>
              <w:spacing w:before="14" w:line="295" w:lineRule="auto"/>
              <w:ind w:left="105" w:right="-20"/>
              <w:rPr>
                <w:rFonts w:hint="eastAsia" w:ascii="宋体" w:hAnsi="宋体" w:eastAsia="宋体" w:cs="宋体"/>
                <w:color w:val="auto"/>
                <w:sz w:val="21"/>
                <w:szCs w:val="21"/>
                <w:highlight w:val="none"/>
                <w:lang w:eastAsia="zh-CN"/>
              </w:rPr>
            </w:pPr>
            <w:r>
              <w:rPr>
                <w:rFonts w:hint="eastAsia" w:asciiTheme="majorEastAsia" w:hAnsiTheme="majorEastAsia" w:eastAsiaTheme="majorEastAsia" w:cstheme="majorEastAsia"/>
                <w:b/>
                <w:bCs/>
                <w:color w:val="auto"/>
                <w:sz w:val="21"/>
                <w:szCs w:val="21"/>
                <w:highlight w:val="none"/>
                <w:lang w:val="en-US" w:eastAsia="zh-CN"/>
              </w:rPr>
              <w:t>交货时间</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lang w:eastAsia="zh-CN"/>
              </w:rPr>
              <w:t>自合同签订之日起</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天内全部货物安装调试完毕并交付使用。</w:t>
            </w:r>
          </w:p>
        </w:tc>
      </w:tr>
    </w:tbl>
    <w:p w14:paraId="04E863F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 1．开标一览表必须加盖投标人公章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否则其投标作无效标处理。</w:t>
      </w:r>
    </w:p>
    <w:p w14:paraId="07E7466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2.投标人必须就“招标项目采购需求”中所投分标的所有内容作完整唯一报价，根据 “招标项目采购需求”中的“货物名称”逐项对应填报“开标一览表”，漏项报价的或有选择的或有条件的报价，其投标将被拒绝；投标文件只允许有一个报价。</w:t>
      </w:r>
    </w:p>
    <w:p w14:paraId="14E6BF2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3．报价一经涂改，应在涂改处加盖投标人公章，否则其投标作无效标处理。</w:t>
      </w:r>
    </w:p>
    <w:p w14:paraId="4CA9764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lang w:val="en-US" w:eastAsia="zh-CN"/>
        </w:rPr>
        <w:t>投标产品如包括必备的易损易耗备品备件和专用工具，投标人应在交货时提供其清单。</w:t>
      </w:r>
    </w:p>
    <w:p w14:paraId="08C7B13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费用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w:t>
      </w:r>
    </w:p>
    <w:p w14:paraId="364A8C2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本开标一览表投标产品中如有财政部现行《</w:t>
      </w:r>
      <w:r>
        <w:rPr>
          <w:rFonts w:hint="eastAsia" w:ascii="宋体" w:hAnsi="宋体" w:eastAsia="宋体" w:cs="宋体"/>
          <w:bCs/>
          <w:color w:val="auto"/>
          <w:sz w:val="21"/>
          <w:szCs w:val="21"/>
          <w:highlight w:val="none"/>
        </w:rPr>
        <w:t>环境标志产品政府采购品目清单</w:t>
      </w:r>
      <w:r>
        <w:rPr>
          <w:rFonts w:hint="eastAsia" w:ascii="宋体" w:hAnsi="宋体" w:eastAsia="宋体" w:cs="宋体"/>
          <w:color w:val="auto"/>
          <w:sz w:val="21"/>
          <w:szCs w:val="21"/>
          <w:highlight w:val="none"/>
        </w:rPr>
        <w:t>》目录内优先采购的产品，请在本表后按类别分别附上此类产品明细表，明细表中列明：</w:t>
      </w:r>
      <w:r>
        <w:rPr>
          <w:rFonts w:hint="eastAsia" w:ascii="宋体" w:hAnsi="宋体" w:eastAsia="宋体" w:cs="宋体"/>
          <w:color w:val="auto"/>
          <w:sz w:val="21"/>
          <w:szCs w:val="21"/>
          <w:highlight w:val="none"/>
          <w:lang w:val="en-US" w:eastAsia="zh-CN"/>
        </w:rPr>
        <w:t>序号</w:t>
      </w:r>
      <w:r>
        <w:rPr>
          <w:rFonts w:hint="eastAsia" w:ascii="宋体" w:hAnsi="宋体" w:eastAsia="宋体" w:cs="宋体"/>
          <w:color w:val="auto"/>
          <w:sz w:val="21"/>
          <w:szCs w:val="21"/>
          <w:highlight w:val="none"/>
        </w:rPr>
        <w:t>、货物名称、 数量、单价、投标报价、累计金额并附相关证明材料。如因投标人未提供明细表或证明材料而导致评标委员会无法评判或无法计分而给投标人造成的损失由投标人自行负责，如因投标人提供虚假材料以谋取中标的责任亦由投标人自行负责。</w:t>
      </w:r>
    </w:p>
    <w:p w14:paraId="2C70753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A7D528">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492B07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8355CE6">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80DC23">
      <w:pPr>
        <w:spacing w:line="360" w:lineRule="exact"/>
        <w:rPr>
          <w:rFonts w:hint="eastAsia" w:ascii="宋体" w:hAnsi="宋体" w:eastAsia="宋体" w:cs="宋体"/>
          <w:b/>
          <w:color w:val="auto"/>
          <w:sz w:val="24"/>
          <w:szCs w:val="20"/>
          <w:highlight w:val="none"/>
        </w:rPr>
      </w:pPr>
    </w:p>
    <w:p w14:paraId="2CAF7709">
      <w:pPr>
        <w:spacing w:line="360" w:lineRule="exact"/>
        <w:rPr>
          <w:rFonts w:hint="eastAsia" w:ascii="宋体" w:hAnsi="宋体" w:eastAsia="宋体" w:cs="宋体"/>
          <w:b/>
          <w:color w:val="auto"/>
          <w:sz w:val="24"/>
          <w:szCs w:val="20"/>
          <w:highlight w:val="none"/>
        </w:rPr>
      </w:pPr>
    </w:p>
    <w:p w14:paraId="27F15C26">
      <w:pPr>
        <w:spacing w:line="360" w:lineRule="exact"/>
        <w:rPr>
          <w:rFonts w:hint="eastAsia" w:ascii="宋体" w:hAnsi="宋体" w:eastAsia="宋体" w:cs="宋体"/>
          <w:b/>
          <w:color w:val="auto"/>
          <w:sz w:val="24"/>
          <w:szCs w:val="20"/>
          <w:highlight w:val="none"/>
        </w:rPr>
      </w:pPr>
    </w:p>
    <w:p w14:paraId="33B4D9E1">
      <w:pPr>
        <w:spacing w:line="360" w:lineRule="exact"/>
        <w:rPr>
          <w:rFonts w:hint="eastAsia" w:ascii="宋体" w:hAnsi="宋体" w:eastAsia="宋体" w:cs="宋体"/>
          <w:b/>
          <w:color w:val="auto"/>
          <w:sz w:val="24"/>
          <w:szCs w:val="20"/>
          <w:highlight w:val="none"/>
        </w:rPr>
      </w:pPr>
    </w:p>
    <w:p w14:paraId="2258628E">
      <w:pPr>
        <w:spacing w:line="360" w:lineRule="exact"/>
        <w:rPr>
          <w:rFonts w:hint="eastAsia" w:ascii="宋体" w:hAnsi="宋体" w:eastAsia="宋体" w:cs="宋体"/>
          <w:b/>
          <w:color w:val="auto"/>
          <w:sz w:val="24"/>
          <w:szCs w:val="20"/>
          <w:highlight w:val="none"/>
        </w:rPr>
      </w:pPr>
    </w:p>
    <w:p w14:paraId="1CDF855D">
      <w:pPr>
        <w:spacing w:line="360" w:lineRule="exact"/>
        <w:rPr>
          <w:rFonts w:hint="eastAsia" w:ascii="宋体" w:hAnsi="宋体" w:eastAsia="宋体" w:cs="宋体"/>
          <w:b/>
          <w:color w:val="auto"/>
          <w:sz w:val="24"/>
          <w:szCs w:val="20"/>
          <w:highlight w:val="none"/>
        </w:rPr>
      </w:pPr>
    </w:p>
    <w:p w14:paraId="65D58024">
      <w:pPr>
        <w:spacing w:line="360" w:lineRule="exact"/>
        <w:rPr>
          <w:rFonts w:hint="eastAsia" w:ascii="宋体" w:hAnsi="宋体" w:eastAsia="宋体" w:cs="宋体"/>
          <w:b/>
          <w:color w:val="auto"/>
          <w:sz w:val="24"/>
          <w:szCs w:val="20"/>
          <w:highlight w:val="none"/>
        </w:rPr>
      </w:pPr>
    </w:p>
    <w:p w14:paraId="42F3A493">
      <w:pPr>
        <w:spacing w:line="360" w:lineRule="exact"/>
        <w:rPr>
          <w:rFonts w:hint="eastAsia" w:ascii="宋体" w:hAnsi="宋体" w:eastAsia="宋体" w:cs="宋体"/>
          <w:b/>
          <w:color w:val="auto"/>
          <w:sz w:val="24"/>
          <w:szCs w:val="20"/>
          <w:highlight w:val="none"/>
        </w:rPr>
      </w:pPr>
    </w:p>
    <w:p w14:paraId="6A26C42B">
      <w:pPr>
        <w:spacing w:line="360" w:lineRule="exac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3.中小企业声明函格式</w:t>
      </w:r>
    </w:p>
    <w:p w14:paraId="37D43DBF">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w:t>
      </w:r>
    </w:p>
    <w:p w14:paraId="296FBD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p>
    <w:p w14:paraId="579061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51DA5E5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1、本声明函主要供参加政府采购活动的中小企业填写，非中小企业无需填写。</w:t>
      </w:r>
    </w:p>
    <w:p w14:paraId="6DF7853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2、小型、微型企业提供中型企业提供的货物的，视同为中型企业。</w:t>
      </w:r>
    </w:p>
    <w:p w14:paraId="282DA175">
      <w:pPr>
        <w:spacing w:line="360" w:lineRule="exact"/>
        <w:ind w:firstLine="420" w:firstLineChars="200"/>
        <w:rPr>
          <w:rFonts w:hint="eastAsia" w:ascii="宋体" w:hAnsi="宋体" w:eastAsia="宋体" w:cs="宋体"/>
          <w:color w:val="auto"/>
          <w:szCs w:val="21"/>
          <w:highlight w:val="none"/>
        </w:rPr>
      </w:pPr>
    </w:p>
    <w:p w14:paraId="285D961A">
      <w:pPr>
        <w:spacing w:line="360" w:lineRule="exact"/>
        <w:ind w:firstLine="420" w:firstLineChars="200"/>
        <w:rPr>
          <w:rFonts w:hint="eastAsia" w:ascii="宋体" w:hAnsi="宋体" w:eastAsia="宋体" w:cs="宋体"/>
          <w:color w:val="auto"/>
          <w:szCs w:val="21"/>
          <w:highlight w:val="none"/>
        </w:rPr>
      </w:pPr>
    </w:p>
    <w:p w14:paraId="6738EE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 xml:space="preserve">    （单位名称）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采购活动，提供的货物全部由符合政策要求的中小企业制造。相关企业（含联合体中的中小企业、签订分包意向协议的中小企业）的具体情况如下：</w:t>
      </w:r>
    </w:p>
    <w:p w14:paraId="32434DB9">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6A44CCE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7B8608F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F516E5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14772B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0832AED4">
      <w:pPr>
        <w:spacing w:line="360" w:lineRule="exact"/>
        <w:ind w:firstLine="3150" w:firstLineChars="1500"/>
        <w:rPr>
          <w:rFonts w:hint="eastAsia" w:ascii="宋体" w:hAnsi="宋体" w:eastAsia="宋体" w:cs="宋体"/>
          <w:color w:val="auto"/>
          <w:szCs w:val="21"/>
          <w:highlight w:val="none"/>
        </w:rPr>
      </w:pPr>
    </w:p>
    <w:p w14:paraId="5ACE131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4814C8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F10AD25">
      <w:pPr>
        <w:spacing w:line="360" w:lineRule="exact"/>
        <w:ind w:firstLine="420" w:firstLineChars="200"/>
        <w:rPr>
          <w:rFonts w:hint="eastAsia" w:ascii="宋体" w:hAnsi="宋体" w:eastAsia="宋体" w:cs="宋体"/>
          <w:color w:val="auto"/>
          <w:szCs w:val="21"/>
          <w:highlight w:val="none"/>
        </w:rPr>
      </w:pPr>
    </w:p>
    <w:p w14:paraId="2AE51A57">
      <w:pPr>
        <w:spacing w:line="360" w:lineRule="exact"/>
        <w:ind w:firstLine="420" w:firstLineChars="200"/>
        <w:rPr>
          <w:rFonts w:hint="eastAsia" w:ascii="宋体" w:hAnsi="宋体" w:eastAsia="宋体" w:cs="宋体"/>
          <w:color w:val="auto"/>
          <w:szCs w:val="21"/>
          <w:highlight w:val="none"/>
        </w:rPr>
      </w:pPr>
    </w:p>
    <w:p w14:paraId="4652D1DB">
      <w:pPr>
        <w:spacing w:line="360" w:lineRule="exact"/>
        <w:ind w:firstLine="420" w:firstLineChars="200"/>
        <w:rPr>
          <w:rFonts w:hint="eastAsia" w:ascii="宋体" w:hAnsi="宋体" w:eastAsia="宋体" w:cs="宋体"/>
          <w:color w:val="auto"/>
          <w:szCs w:val="21"/>
          <w:highlight w:val="none"/>
        </w:rPr>
      </w:pPr>
    </w:p>
    <w:p w14:paraId="2B63B05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209B2FF">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1、从业人员、营业收入、资产总额填报上一年度数据，无上一年度数据的新成立企业可不填报。</w:t>
      </w:r>
    </w:p>
    <w:p w14:paraId="2461ADE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68E2E36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26F72A51">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0E35B0">
      <w:pPr>
        <w:snapToGrid w:val="0"/>
        <w:spacing w:before="50" w:after="50" w:line="240" w:lineRule="exact"/>
        <w:jc w:val="left"/>
        <w:rPr>
          <w:rFonts w:hint="eastAsia" w:ascii="宋体" w:hAnsi="宋体" w:eastAsia="宋体" w:cs="宋体"/>
          <w:color w:val="auto"/>
          <w:sz w:val="18"/>
          <w:szCs w:val="18"/>
          <w:highlight w:val="none"/>
        </w:rPr>
      </w:pPr>
    </w:p>
    <w:p w14:paraId="42EACA55">
      <w:pPr>
        <w:snapToGrid w:val="0"/>
        <w:spacing w:before="50" w:after="50" w:line="240" w:lineRule="exact"/>
        <w:jc w:val="left"/>
        <w:rPr>
          <w:rFonts w:hint="eastAsia" w:ascii="宋体" w:hAnsi="宋体" w:eastAsia="宋体" w:cs="宋体"/>
          <w:color w:val="auto"/>
          <w:sz w:val="18"/>
          <w:szCs w:val="18"/>
          <w:highlight w:val="none"/>
        </w:rPr>
      </w:pPr>
    </w:p>
    <w:p w14:paraId="367E4221">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C9B242C">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A78A640">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4B2E2F73">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7C98611E">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321FD017">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25D6194E">
      <w:pPr>
        <w:spacing w:line="588" w:lineRule="exact"/>
        <w:jc w:val="left"/>
        <w:rPr>
          <w:rFonts w:hint="eastAsia" w:ascii="宋体" w:hAnsi="宋体" w:eastAsia="宋体" w:cs="宋体"/>
          <w:b/>
          <w:color w:val="auto"/>
          <w:sz w:val="24"/>
          <w:szCs w:val="20"/>
          <w:highlight w:val="none"/>
        </w:rPr>
      </w:pPr>
      <w:bookmarkStart w:id="102" w:name="OLE_LINK13"/>
      <w:bookmarkStart w:id="103" w:name="OLE_LINK14"/>
      <w:r>
        <w:rPr>
          <w:rFonts w:hint="eastAsia" w:ascii="宋体" w:hAnsi="宋体" w:eastAsia="宋体" w:cs="宋体"/>
          <w:b/>
          <w:color w:val="auto"/>
          <w:sz w:val="24"/>
          <w:szCs w:val="20"/>
          <w:highlight w:val="none"/>
          <w:lang w:val="en-US" w:eastAsia="zh-CN"/>
        </w:rPr>
        <w:t>4.</w:t>
      </w:r>
      <w:r>
        <w:rPr>
          <w:rFonts w:hint="eastAsia" w:ascii="宋体" w:hAnsi="宋体" w:eastAsia="宋体" w:cs="宋体"/>
          <w:b/>
          <w:color w:val="auto"/>
          <w:sz w:val="24"/>
          <w:szCs w:val="20"/>
          <w:highlight w:val="none"/>
        </w:rPr>
        <w:t>监狱企业由省级以上监狱管理局、戒毒管理局（含新疆生产建设兵团）出具的属于监狱企业的证明文件</w:t>
      </w:r>
    </w:p>
    <w:p w14:paraId="7B3B277C">
      <w:pPr>
        <w:spacing w:line="588" w:lineRule="exact"/>
        <w:jc w:val="left"/>
        <w:rPr>
          <w:rFonts w:hint="eastAsia" w:ascii="宋体" w:hAnsi="宋体" w:eastAsia="宋体" w:cs="宋体"/>
          <w:b/>
          <w:color w:val="auto"/>
          <w:sz w:val="24"/>
          <w:szCs w:val="20"/>
          <w:highlight w:val="none"/>
        </w:rPr>
      </w:pPr>
    </w:p>
    <w:p w14:paraId="744B95C3">
      <w:pPr>
        <w:spacing w:line="588" w:lineRule="exact"/>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z w:val="24"/>
          <w:szCs w:val="20"/>
          <w:highlight w:val="none"/>
          <w:lang w:val="en-US" w:eastAsia="zh-CN"/>
        </w:rPr>
        <w:t>5</w:t>
      </w:r>
      <w:r>
        <w:rPr>
          <w:rFonts w:hint="eastAsia" w:ascii="宋体" w:hAnsi="宋体" w:eastAsia="宋体" w:cs="宋体"/>
          <w:b/>
          <w:color w:val="auto"/>
          <w:sz w:val="24"/>
          <w:szCs w:val="20"/>
          <w:highlight w:val="none"/>
        </w:rPr>
        <w:t>.残疾人福利性单位声明函格式</w:t>
      </w:r>
    </w:p>
    <w:p w14:paraId="36FB9EBC">
      <w:pPr>
        <w:spacing w:line="588"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残疾人福利性单位声明函</w:t>
      </w:r>
    </w:p>
    <w:bookmarkEnd w:id="102"/>
    <w:bookmarkEnd w:id="103"/>
    <w:p w14:paraId="4C36B60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采购活动提供本单位制造的货物（由本单位承担工程/提供服务），或者提供其他残疾人福利性单位制造的货物（不包括使用非残疾人福利性单位注册商标的货物）。</w:t>
      </w:r>
    </w:p>
    <w:p w14:paraId="67B3C6D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1E27AE16">
      <w:pPr>
        <w:spacing w:line="360" w:lineRule="exact"/>
        <w:ind w:firstLine="420" w:firstLineChars="200"/>
        <w:rPr>
          <w:rFonts w:hint="eastAsia" w:ascii="宋体" w:hAnsi="宋体" w:eastAsia="宋体" w:cs="宋体"/>
          <w:color w:val="auto"/>
          <w:szCs w:val="21"/>
          <w:highlight w:val="none"/>
        </w:rPr>
      </w:pPr>
    </w:p>
    <w:p w14:paraId="4C882F2C">
      <w:pPr>
        <w:spacing w:line="360" w:lineRule="exact"/>
        <w:ind w:firstLine="420" w:firstLineChars="200"/>
        <w:rPr>
          <w:rFonts w:hint="eastAsia" w:ascii="宋体" w:hAnsi="宋体" w:eastAsia="宋体" w:cs="宋体"/>
          <w:color w:val="auto"/>
          <w:szCs w:val="21"/>
          <w:highlight w:val="none"/>
        </w:rPr>
      </w:pPr>
    </w:p>
    <w:p w14:paraId="1C6469C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C4F421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4298FCD">
      <w:pPr>
        <w:spacing w:line="360" w:lineRule="exact"/>
        <w:ind w:firstLine="420" w:firstLineChars="200"/>
        <w:rPr>
          <w:rFonts w:hint="eastAsia" w:ascii="宋体" w:hAnsi="宋体" w:eastAsia="宋体" w:cs="宋体"/>
          <w:color w:val="auto"/>
          <w:szCs w:val="21"/>
          <w:highlight w:val="none"/>
        </w:rPr>
      </w:pPr>
    </w:p>
    <w:p w14:paraId="558E6A08">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47987BCA">
      <w:pPr>
        <w:spacing w:line="360" w:lineRule="exact"/>
        <w:rPr>
          <w:rFonts w:hint="eastAsia" w:ascii="宋体" w:hAnsi="宋体" w:eastAsia="宋体" w:cs="宋体"/>
          <w:b/>
          <w:color w:val="auto"/>
          <w:sz w:val="24"/>
          <w:szCs w:val="20"/>
          <w:highlight w:val="none"/>
        </w:rPr>
      </w:pPr>
    </w:p>
    <w:p w14:paraId="339E6CBF">
      <w:pPr>
        <w:spacing w:line="360" w:lineRule="exact"/>
        <w:rPr>
          <w:rFonts w:hint="eastAsia" w:ascii="宋体" w:hAnsi="宋体" w:eastAsia="宋体" w:cs="宋体"/>
          <w:b/>
          <w:color w:val="auto"/>
          <w:sz w:val="24"/>
          <w:szCs w:val="20"/>
          <w:highlight w:val="none"/>
        </w:rPr>
      </w:pPr>
    </w:p>
    <w:p w14:paraId="7A615218">
      <w:pPr>
        <w:spacing w:line="360" w:lineRule="exact"/>
        <w:rPr>
          <w:rFonts w:hint="eastAsia" w:ascii="宋体" w:hAnsi="宋体" w:eastAsia="宋体" w:cs="宋体"/>
          <w:b/>
          <w:color w:val="auto"/>
          <w:sz w:val="24"/>
          <w:szCs w:val="20"/>
          <w:highlight w:val="none"/>
        </w:rPr>
      </w:pPr>
    </w:p>
    <w:p w14:paraId="016BC6D7">
      <w:pPr>
        <w:spacing w:line="360" w:lineRule="exact"/>
        <w:rPr>
          <w:rFonts w:hint="eastAsia" w:ascii="宋体" w:hAnsi="宋体" w:eastAsia="宋体" w:cs="宋体"/>
          <w:b/>
          <w:color w:val="auto"/>
          <w:sz w:val="24"/>
          <w:szCs w:val="20"/>
          <w:highlight w:val="none"/>
        </w:rPr>
      </w:pPr>
    </w:p>
    <w:p w14:paraId="44F823A0">
      <w:pPr>
        <w:spacing w:line="360" w:lineRule="exact"/>
        <w:rPr>
          <w:rFonts w:hint="eastAsia" w:ascii="宋体" w:hAnsi="宋体" w:eastAsia="宋体" w:cs="宋体"/>
          <w:b/>
          <w:color w:val="auto"/>
          <w:sz w:val="24"/>
          <w:szCs w:val="20"/>
          <w:highlight w:val="none"/>
        </w:rPr>
      </w:pPr>
    </w:p>
    <w:p w14:paraId="2319CEB1">
      <w:pPr>
        <w:spacing w:line="360" w:lineRule="exact"/>
        <w:rPr>
          <w:rFonts w:hint="eastAsia" w:ascii="宋体" w:hAnsi="宋体" w:eastAsia="宋体" w:cs="宋体"/>
          <w:b/>
          <w:color w:val="auto"/>
          <w:sz w:val="24"/>
          <w:szCs w:val="20"/>
          <w:highlight w:val="none"/>
        </w:rPr>
      </w:pPr>
    </w:p>
    <w:p w14:paraId="1CD5E9B0">
      <w:pPr>
        <w:spacing w:line="588"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24"/>
          <w:szCs w:val="20"/>
          <w:highlight w:val="none"/>
          <w:lang w:val="en-US" w:eastAsia="zh-CN"/>
        </w:rPr>
        <w:t>6.</w:t>
      </w:r>
      <w:r>
        <w:rPr>
          <w:rFonts w:hint="eastAsia" w:ascii="宋体" w:hAnsi="宋体" w:eastAsia="宋体" w:cs="宋体"/>
          <w:b/>
          <w:color w:val="auto"/>
          <w:sz w:val="24"/>
          <w:szCs w:val="20"/>
          <w:highlight w:val="none"/>
        </w:rPr>
        <w:t>投标人针对报价需要说明的其他文件和说明</w:t>
      </w:r>
      <w:r>
        <w:rPr>
          <w:rFonts w:hint="eastAsia" w:ascii="宋体" w:hAnsi="宋体" w:cs="宋体"/>
          <w:b/>
          <w:color w:val="auto"/>
          <w:sz w:val="24"/>
          <w:szCs w:val="20"/>
          <w:highlight w:val="none"/>
          <w:lang w:eastAsia="zh-CN"/>
        </w:rPr>
        <w:t>。</w:t>
      </w:r>
      <w:r>
        <w:rPr>
          <w:rFonts w:hint="eastAsia" w:ascii="宋体" w:hAnsi="宋体" w:eastAsia="宋体" w:cs="宋体"/>
          <w:b/>
          <w:color w:val="auto"/>
          <w:sz w:val="32"/>
          <w:szCs w:val="32"/>
          <w:highlight w:val="none"/>
        </w:rPr>
        <w:br w:type="page"/>
      </w:r>
    </w:p>
    <w:p w14:paraId="1A36E316">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3.商务技术文件格式：</w:t>
      </w:r>
    </w:p>
    <w:p w14:paraId="701E8FEB">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59FB8CAC">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391875AC">
      <w:pPr>
        <w:snapToGrid w:val="0"/>
        <w:spacing w:before="120" w:beforeLines="50" w:after="50" w:line="400" w:lineRule="exact"/>
        <w:rPr>
          <w:rFonts w:hint="eastAsia" w:ascii="宋体" w:hAnsi="宋体" w:eastAsia="宋体" w:cs="宋体"/>
          <w:color w:val="auto"/>
          <w:sz w:val="32"/>
          <w:szCs w:val="32"/>
          <w:highlight w:val="none"/>
        </w:rPr>
      </w:pPr>
    </w:p>
    <w:p w14:paraId="0F295B23">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（商务技术文件）</w:t>
      </w:r>
    </w:p>
    <w:p w14:paraId="511A120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2957379A">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6555A027">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22693A3A">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72B740AE">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C764F86">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5FC2F917">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09200CA">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36685679">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399B5EB6">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06B232B5">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4B7015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0A7080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925243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B09B3E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FEBCC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A0DE81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8A4EC9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FDBD57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2B1CB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B64B8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754E72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84000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24455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5C5EEE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C1F590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650C33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2E267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EA81596">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705B03C4">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3B977DB4">
      <w:pPr>
        <w:tabs>
          <w:tab w:val="left" w:pos="1418"/>
        </w:tabs>
        <w:snapToGrid w:val="0"/>
        <w:spacing w:before="50" w:after="50" w:line="360" w:lineRule="exact"/>
        <w:rPr>
          <w:rFonts w:hint="eastAsia" w:ascii="宋体" w:hAnsi="宋体" w:eastAsia="宋体" w:cs="宋体"/>
          <w:b/>
          <w:color w:val="auto"/>
          <w:sz w:val="24"/>
          <w:highlight w:val="none"/>
        </w:rPr>
      </w:pPr>
    </w:p>
    <w:p w14:paraId="693FFB2A">
      <w:pPr>
        <w:tabs>
          <w:tab w:val="left" w:pos="1418"/>
        </w:tabs>
        <w:snapToGrid w:val="0"/>
        <w:spacing w:before="50" w:after="50" w:line="360" w:lineRule="exact"/>
        <w:rPr>
          <w:rFonts w:hint="eastAsia" w:ascii="宋体" w:hAnsi="宋体" w:eastAsia="宋体" w:cs="宋体"/>
          <w:b/>
          <w:color w:val="auto"/>
          <w:sz w:val="24"/>
          <w:highlight w:val="none"/>
        </w:rPr>
      </w:pPr>
    </w:p>
    <w:p w14:paraId="00931F91">
      <w:pPr>
        <w:tabs>
          <w:tab w:val="left" w:pos="1418"/>
        </w:tabs>
        <w:snapToGrid w:val="0"/>
        <w:spacing w:before="50" w:after="50" w:line="360" w:lineRule="exact"/>
        <w:rPr>
          <w:rFonts w:hint="eastAsia" w:ascii="宋体" w:hAnsi="宋体" w:eastAsia="宋体" w:cs="宋体"/>
          <w:b/>
          <w:color w:val="auto"/>
          <w:sz w:val="24"/>
          <w:highlight w:val="none"/>
        </w:rPr>
      </w:pPr>
    </w:p>
    <w:p w14:paraId="6A7977D4">
      <w:pPr>
        <w:tabs>
          <w:tab w:val="left" w:pos="1418"/>
        </w:tabs>
        <w:snapToGrid w:val="0"/>
        <w:spacing w:before="50" w:after="50" w:line="360" w:lineRule="exact"/>
        <w:rPr>
          <w:rFonts w:hint="eastAsia" w:ascii="宋体" w:hAnsi="宋体" w:eastAsia="宋体" w:cs="宋体"/>
          <w:b/>
          <w:color w:val="auto"/>
          <w:sz w:val="24"/>
          <w:highlight w:val="none"/>
        </w:rPr>
      </w:pPr>
    </w:p>
    <w:p w14:paraId="4047D748">
      <w:pPr>
        <w:tabs>
          <w:tab w:val="left" w:pos="1418"/>
        </w:tabs>
        <w:snapToGrid w:val="0"/>
        <w:spacing w:before="50" w:after="50" w:line="360" w:lineRule="exact"/>
        <w:rPr>
          <w:rFonts w:hint="eastAsia" w:ascii="宋体" w:hAnsi="宋体" w:eastAsia="宋体" w:cs="宋体"/>
          <w:b/>
          <w:color w:val="auto"/>
          <w:sz w:val="24"/>
          <w:highlight w:val="none"/>
        </w:rPr>
      </w:pPr>
    </w:p>
    <w:p w14:paraId="572FB288">
      <w:pPr>
        <w:tabs>
          <w:tab w:val="left" w:pos="1418"/>
        </w:tabs>
        <w:snapToGrid w:val="0"/>
        <w:spacing w:before="50" w:after="50" w:line="360" w:lineRule="exact"/>
        <w:rPr>
          <w:rFonts w:hint="eastAsia" w:ascii="宋体" w:hAnsi="宋体" w:eastAsia="宋体" w:cs="宋体"/>
          <w:b/>
          <w:color w:val="auto"/>
          <w:sz w:val="24"/>
          <w:highlight w:val="none"/>
        </w:rPr>
      </w:pPr>
    </w:p>
    <w:p w14:paraId="7F451603">
      <w:pPr>
        <w:tabs>
          <w:tab w:val="left" w:pos="1418"/>
        </w:tabs>
        <w:snapToGrid w:val="0"/>
        <w:spacing w:before="50" w:after="50" w:line="360" w:lineRule="exact"/>
        <w:rPr>
          <w:rFonts w:hint="eastAsia" w:ascii="宋体" w:hAnsi="宋体" w:eastAsia="宋体" w:cs="宋体"/>
          <w:b/>
          <w:color w:val="auto"/>
          <w:sz w:val="24"/>
          <w:highlight w:val="none"/>
        </w:rPr>
      </w:pPr>
    </w:p>
    <w:p w14:paraId="2ADFB154">
      <w:pPr>
        <w:tabs>
          <w:tab w:val="left" w:pos="1418"/>
        </w:tabs>
        <w:snapToGrid w:val="0"/>
        <w:spacing w:before="50" w:after="50" w:line="360" w:lineRule="exact"/>
        <w:rPr>
          <w:rFonts w:hint="eastAsia" w:ascii="宋体" w:hAnsi="宋体" w:eastAsia="宋体" w:cs="宋体"/>
          <w:b/>
          <w:color w:val="auto"/>
          <w:sz w:val="24"/>
          <w:highlight w:val="none"/>
        </w:rPr>
      </w:pPr>
    </w:p>
    <w:p w14:paraId="7A1D531F">
      <w:pPr>
        <w:tabs>
          <w:tab w:val="left" w:pos="1418"/>
        </w:tabs>
        <w:snapToGrid w:val="0"/>
        <w:spacing w:before="50" w:after="50" w:line="360" w:lineRule="exact"/>
        <w:rPr>
          <w:rFonts w:hint="eastAsia" w:ascii="宋体" w:hAnsi="宋体" w:eastAsia="宋体" w:cs="宋体"/>
          <w:b/>
          <w:color w:val="auto"/>
          <w:sz w:val="24"/>
          <w:highlight w:val="none"/>
        </w:rPr>
      </w:pPr>
    </w:p>
    <w:p w14:paraId="3C3621C6">
      <w:pPr>
        <w:tabs>
          <w:tab w:val="left" w:pos="1418"/>
        </w:tabs>
        <w:snapToGrid w:val="0"/>
        <w:spacing w:before="50" w:after="50" w:line="360" w:lineRule="exact"/>
        <w:rPr>
          <w:rFonts w:hint="eastAsia" w:ascii="宋体" w:hAnsi="宋体" w:eastAsia="宋体" w:cs="宋体"/>
          <w:b/>
          <w:color w:val="auto"/>
          <w:sz w:val="24"/>
          <w:highlight w:val="none"/>
        </w:rPr>
      </w:pPr>
    </w:p>
    <w:p w14:paraId="0432CB48">
      <w:pPr>
        <w:tabs>
          <w:tab w:val="left" w:pos="1418"/>
        </w:tabs>
        <w:snapToGrid w:val="0"/>
        <w:spacing w:before="50" w:after="50" w:line="360" w:lineRule="exact"/>
        <w:rPr>
          <w:rFonts w:hint="eastAsia" w:ascii="宋体" w:hAnsi="宋体" w:eastAsia="宋体" w:cs="宋体"/>
          <w:b/>
          <w:color w:val="auto"/>
          <w:sz w:val="24"/>
          <w:highlight w:val="none"/>
        </w:rPr>
      </w:pPr>
    </w:p>
    <w:p w14:paraId="1C37792A">
      <w:pPr>
        <w:tabs>
          <w:tab w:val="left" w:pos="1418"/>
        </w:tabs>
        <w:snapToGrid w:val="0"/>
        <w:spacing w:before="50" w:after="50" w:line="360" w:lineRule="exact"/>
        <w:rPr>
          <w:rFonts w:hint="eastAsia" w:ascii="宋体" w:hAnsi="宋体" w:eastAsia="宋体" w:cs="宋体"/>
          <w:b/>
          <w:color w:val="auto"/>
          <w:sz w:val="24"/>
          <w:highlight w:val="none"/>
        </w:rPr>
      </w:pPr>
    </w:p>
    <w:p w14:paraId="5D8DD361">
      <w:pPr>
        <w:tabs>
          <w:tab w:val="left" w:pos="1418"/>
        </w:tabs>
        <w:snapToGrid w:val="0"/>
        <w:spacing w:before="50" w:after="50" w:line="360" w:lineRule="exact"/>
        <w:rPr>
          <w:rFonts w:hint="eastAsia" w:ascii="宋体" w:hAnsi="宋体" w:eastAsia="宋体" w:cs="宋体"/>
          <w:b/>
          <w:color w:val="auto"/>
          <w:sz w:val="24"/>
          <w:highlight w:val="none"/>
        </w:rPr>
      </w:pPr>
    </w:p>
    <w:p w14:paraId="08C45FB6">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429C1C4C">
      <w:pPr>
        <w:tabs>
          <w:tab w:val="left" w:pos="1418"/>
        </w:tabs>
        <w:snapToGrid w:val="0"/>
        <w:spacing w:before="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商务部分</w:t>
      </w:r>
    </w:p>
    <w:p w14:paraId="28D98149">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1.法定代表人身份证明格式：</w:t>
      </w:r>
    </w:p>
    <w:p w14:paraId="4AD8D48A">
      <w:pPr>
        <w:widowControl/>
        <w:spacing w:line="360" w:lineRule="exact"/>
        <w:jc w:val="center"/>
        <w:rPr>
          <w:rFonts w:hint="eastAsia" w:ascii="宋体" w:hAnsi="宋体" w:eastAsia="宋体" w:cs="宋体"/>
          <w:bCs/>
          <w:color w:val="auto"/>
          <w:sz w:val="30"/>
          <w:szCs w:val="30"/>
          <w:highlight w:val="none"/>
        </w:rPr>
      </w:pPr>
    </w:p>
    <w:p w14:paraId="7FEE1439">
      <w:pPr>
        <w:widowControl/>
        <w:spacing w:line="360" w:lineRule="exact"/>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法定代表人身份证明书</w:t>
      </w:r>
    </w:p>
    <w:p w14:paraId="627375F9">
      <w:pPr>
        <w:widowControl/>
        <w:spacing w:line="360" w:lineRule="exact"/>
        <w:rPr>
          <w:rFonts w:hint="eastAsia" w:ascii="宋体" w:hAnsi="宋体" w:eastAsia="宋体" w:cs="宋体"/>
          <w:bCs/>
          <w:color w:val="auto"/>
          <w:szCs w:val="21"/>
          <w:highlight w:val="none"/>
        </w:rPr>
      </w:pPr>
    </w:p>
    <w:p w14:paraId="68AC5299">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单位名称：</w:t>
      </w:r>
      <w:r>
        <w:rPr>
          <w:rFonts w:hint="eastAsia" w:ascii="宋体" w:hAnsi="宋体" w:eastAsia="宋体" w:cs="宋体"/>
          <w:bCs/>
          <w:color w:val="auto"/>
          <w:szCs w:val="21"/>
          <w:highlight w:val="none"/>
          <w:u w:val="single"/>
        </w:rPr>
        <w:t xml:space="preserve">                      </w:t>
      </w:r>
    </w:p>
    <w:p w14:paraId="6D61C922">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单位性质：</w:t>
      </w:r>
      <w:r>
        <w:rPr>
          <w:rFonts w:hint="eastAsia" w:ascii="宋体" w:hAnsi="宋体" w:eastAsia="宋体" w:cs="宋体"/>
          <w:bCs/>
          <w:color w:val="auto"/>
          <w:szCs w:val="21"/>
          <w:highlight w:val="none"/>
          <w:u w:val="single"/>
        </w:rPr>
        <w:t xml:space="preserve">                      </w:t>
      </w:r>
    </w:p>
    <w:p w14:paraId="4A198414">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    址：</w:t>
      </w:r>
      <w:r>
        <w:rPr>
          <w:rFonts w:hint="eastAsia" w:ascii="宋体" w:hAnsi="宋体" w:eastAsia="宋体" w:cs="宋体"/>
          <w:bCs/>
          <w:color w:val="auto"/>
          <w:szCs w:val="21"/>
          <w:highlight w:val="none"/>
          <w:u w:val="single"/>
        </w:rPr>
        <w:t xml:space="preserve">                      </w:t>
      </w:r>
    </w:p>
    <w:p w14:paraId="26E815E9">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成立时间：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27CC444A">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经营期限：</w:t>
      </w:r>
      <w:r>
        <w:rPr>
          <w:rFonts w:hint="eastAsia" w:ascii="宋体" w:hAnsi="宋体" w:eastAsia="宋体" w:cs="宋体"/>
          <w:bCs/>
          <w:color w:val="auto"/>
          <w:szCs w:val="21"/>
          <w:highlight w:val="none"/>
          <w:u w:val="single"/>
        </w:rPr>
        <w:t xml:space="preserve">                      </w:t>
      </w:r>
    </w:p>
    <w:p w14:paraId="2845CB30">
      <w:pPr>
        <w:widowControl/>
        <w:spacing w:line="360" w:lineRule="exac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姓名：</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性别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职务：</w:t>
      </w:r>
      <w:r>
        <w:rPr>
          <w:rFonts w:hint="eastAsia" w:ascii="宋体" w:hAnsi="宋体" w:eastAsia="宋体" w:cs="宋体"/>
          <w:bCs/>
          <w:color w:val="auto"/>
          <w:szCs w:val="21"/>
          <w:highlight w:val="none"/>
          <w:u w:val="single"/>
        </w:rPr>
        <w:t xml:space="preserve">            </w:t>
      </w:r>
    </w:p>
    <w:p w14:paraId="66F80617">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w:t>
      </w:r>
      <w:r>
        <w:rPr>
          <w:rFonts w:hint="eastAsia" w:ascii="宋体" w:hAnsi="宋体" w:eastAsia="宋体" w:cs="宋体"/>
          <w:bCs/>
          <w:color w:val="auto"/>
          <w:szCs w:val="21"/>
          <w:highlight w:val="none"/>
          <w:u w:val="single"/>
        </w:rPr>
        <w:t xml:space="preserve">          （投标人单位名称）   </w:t>
      </w:r>
      <w:r>
        <w:rPr>
          <w:rFonts w:hint="eastAsia" w:ascii="宋体" w:hAnsi="宋体" w:eastAsia="宋体" w:cs="宋体"/>
          <w:bCs/>
          <w:color w:val="auto"/>
          <w:szCs w:val="21"/>
          <w:highlight w:val="none"/>
        </w:rPr>
        <w:t>的法定代表人。</w:t>
      </w:r>
    </w:p>
    <w:p w14:paraId="57FDC487">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特此证明。</w:t>
      </w:r>
    </w:p>
    <w:p w14:paraId="2CEB6709">
      <w:pPr>
        <w:widowControl/>
        <w:spacing w:line="360" w:lineRule="exact"/>
        <w:rPr>
          <w:rFonts w:hint="eastAsia" w:ascii="宋体" w:hAnsi="宋体" w:eastAsia="宋体" w:cs="宋体"/>
          <w:bCs/>
          <w:color w:val="auto"/>
          <w:szCs w:val="21"/>
          <w:highlight w:val="none"/>
        </w:rPr>
      </w:pPr>
    </w:p>
    <w:p w14:paraId="485ACA65">
      <w:pPr>
        <w:widowControl/>
        <w:spacing w:line="360" w:lineRule="exact"/>
        <w:rPr>
          <w:rFonts w:hint="eastAsia" w:ascii="宋体" w:hAnsi="宋体" w:eastAsia="宋体" w:cs="宋体"/>
          <w:bCs/>
          <w:color w:val="auto"/>
          <w:szCs w:val="21"/>
          <w:highlight w:val="none"/>
        </w:rPr>
      </w:pPr>
    </w:p>
    <w:p w14:paraId="58C55E7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投标人名称(电子签章)：</w:t>
      </w:r>
    </w:p>
    <w:p w14:paraId="6B0805E2">
      <w:pPr>
        <w:widowControl/>
        <w:pBdr>
          <w:bottom w:val="single" w:color="auto" w:sz="12" w:space="1"/>
        </w:pBdr>
        <w:spacing w:line="36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时间：年  月  日</w:t>
      </w:r>
    </w:p>
    <w:p w14:paraId="4A4D7952">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5507D620">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76200</wp:posOffset>
                </wp:positionV>
                <wp:extent cx="2743200" cy="1866265"/>
                <wp:effectExtent l="4445" t="4445" r="14605" b="15240"/>
                <wp:wrapNone/>
                <wp:docPr id="5" name="Text Box 27"/>
                <wp:cNvGraphicFramePr/>
                <a:graphic xmlns:a="http://schemas.openxmlformats.org/drawingml/2006/main">
                  <a:graphicData uri="http://schemas.microsoft.com/office/word/2010/wordprocessingShape">
                    <wps:wsp>
                      <wps:cNvSpPr txBox="1"/>
                      <wps:spPr>
                        <a:xfrm>
                          <a:off x="0" y="0"/>
                          <a:ext cx="2743200"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C99B6C">
                            <w:pPr>
                              <w:jc w:val="center"/>
                            </w:pPr>
                          </w:p>
                          <w:p w14:paraId="67BAC418"/>
                          <w:p w14:paraId="2D542A89">
                            <w:pPr>
                              <w:jc w:val="center"/>
                            </w:pPr>
                          </w:p>
                          <w:p w14:paraId="4A10B31C">
                            <w:pPr>
                              <w:jc w:val="center"/>
                            </w:pPr>
                          </w:p>
                          <w:p w14:paraId="29F6A5AF">
                            <w:pPr>
                              <w:jc w:val="center"/>
                            </w:pPr>
                            <w:r>
                              <w:rPr>
                                <w:rFonts w:hint="eastAsia"/>
                              </w:rPr>
                              <w:t>法定代表人第二代居民身份证复印件</w:t>
                            </w:r>
                          </w:p>
                          <w:p w14:paraId="7296CA30">
                            <w:pPr>
                              <w:jc w:val="center"/>
                            </w:pPr>
                            <w:r>
                              <w:rPr>
                                <w:rFonts w:hint="eastAsia"/>
                              </w:rPr>
                              <w:t>（正面）</w:t>
                            </w:r>
                          </w:p>
                        </w:txbxContent>
                      </wps:txbx>
                      <wps:bodyPr upright="1"/>
                    </wps:wsp>
                  </a:graphicData>
                </a:graphic>
              </wp:anchor>
            </w:drawing>
          </mc:Choice>
          <mc:Fallback>
            <w:pict>
              <v:shape id="Text Box 27" o:spid="_x0000_s1026" o:spt="202" type="#_x0000_t202" style="position:absolute;left:0pt;margin-left:-27pt;margin-top:6pt;height:146.95pt;width:216pt;z-index:251663360;mso-width-relative:page;mso-height-relative:page;" fillcolor="#FFFFFF" filled="t" stroked="t" coordsize="21600,21600" o:gfxdata="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sNULtYAAAAKAQAADwAAAAAAAAABACAAAAAiAAAAZHJzL2Rvd25yZXYu&#10;eG1sUEsBAhQAFAAAAAgAh07iQKfW2jX9AQAANwQAAA4AAAAAAAAAAQAgAAAAJQEAAGRycy9lMm9E&#10;b2MueG1sUEsFBgAAAAAGAAYAWQEAAJQFAAAAAA==&#10;">
                <v:fill on="t" focussize="0,0"/>
                <v:stroke color="#000000" joinstyle="miter"/>
                <v:imagedata o:title=""/>
                <o:lock v:ext="edit" aspectratio="f"/>
                <v:textbox>
                  <w:txbxContent>
                    <w:p w14:paraId="36C99B6C">
                      <w:pPr>
                        <w:jc w:val="center"/>
                      </w:pPr>
                    </w:p>
                    <w:p w14:paraId="67BAC418"/>
                    <w:p w14:paraId="2D542A89">
                      <w:pPr>
                        <w:jc w:val="center"/>
                      </w:pPr>
                    </w:p>
                    <w:p w14:paraId="4A10B31C">
                      <w:pPr>
                        <w:jc w:val="center"/>
                      </w:pPr>
                    </w:p>
                    <w:p w14:paraId="29F6A5AF">
                      <w:pPr>
                        <w:jc w:val="center"/>
                      </w:pPr>
                      <w:r>
                        <w:rPr>
                          <w:rFonts w:hint="eastAsia"/>
                        </w:rPr>
                        <w:t>法定代表人第二代居民身份证复印件</w:t>
                      </w:r>
                    </w:p>
                    <w:p w14:paraId="7296CA30">
                      <w:pPr>
                        <w:jc w:val="center"/>
                      </w:pPr>
                      <w:r>
                        <w:rPr>
                          <w:rFonts w:hint="eastAsia"/>
                        </w:rPr>
                        <w:t>（正面）</w:t>
                      </w:r>
                    </w:p>
                  </w:txbxContent>
                </v:textbox>
              </v:shape>
            </w:pict>
          </mc:Fallback>
        </mc:AlternateContent>
      </w:r>
    </w:p>
    <w:p w14:paraId="3564026E">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0DC3065">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53F0A280">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143809F8">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3D927EC">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7A39EF5B">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0060142E">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7A03F69E">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g">
            <w:drawing>
              <wp:inline distT="0" distB="0" distL="114300" distR="114300">
                <wp:extent cx="3216275" cy="2132330"/>
                <wp:effectExtent l="0" t="0" r="3175" b="0"/>
                <wp:docPr id="8" name="Group 28"/>
                <wp:cNvGraphicFramePr/>
                <a:graphic xmlns:a="http://schemas.openxmlformats.org/drawingml/2006/main">
                  <a:graphicData uri="http://schemas.microsoft.com/office/word/2010/wordprocessingGroup">
                    <wpg:wgp>
                      <wpg:cNvGrpSpPr/>
                      <wpg:grpSpPr>
                        <a:xfrm>
                          <a:off x="0" y="0"/>
                          <a:ext cx="3216275" cy="2132330"/>
                          <a:chOff x="0" y="0"/>
                          <a:chExt cx="4431" cy="3009"/>
                        </a:xfrm>
                      </wpg:grpSpPr>
                      <wps:wsp>
                        <wps:cNvPr id="6" name="Picture 29"/>
                        <wps:cNvSpPr>
                          <a:spLocks noChangeAspect="1" noTextEdit="1"/>
                        </wps:cNvSpPr>
                        <wps:spPr>
                          <a:xfrm>
                            <a:off x="0" y="0"/>
                            <a:ext cx="4431" cy="3009"/>
                          </a:xfrm>
                          <a:prstGeom prst="rect">
                            <a:avLst/>
                          </a:prstGeom>
                          <a:noFill/>
                          <a:ln>
                            <a:noFill/>
                          </a:ln>
                        </wps:spPr>
                        <wps:bodyPr upright="1"/>
                      </wps:wsp>
                      <wps:wsp>
                        <wps:cNvPr id="7" name="Text Box 30"/>
                        <wps:cNvSpPr txBox="1"/>
                        <wps:spPr>
                          <a:xfrm>
                            <a:off x="69" y="250"/>
                            <a:ext cx="4293" cy="2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9C9660">
                              <w:pPr>
                                <w:jc w:val="center"/>
                              </w:pPr>
                            </w:p>
                            <w:p w14:paraId="31E266C8">
                              <w:pPr>
                                <w:jc w:val="center"/>
                              </w:pPr>
                            </w:p>
                            <w:p w14:paraId="616B6211"/>
                            <w:p w14:paraId="7F635691">
                              <w:pPr>
                                <w:jc w:val="center"/>
                              </w:pPr>
                            </w:p>
                            <w:p w14:paraId="5127B41B">
                              <w:pPr>
                                <w:jc w:val="center"/>
                              </w:pPr>
                            </w:p>
                            <w:p w14:paraId="6DAC493B">
                              <w:pPr>
                                <w:jc w:val="center"/>
                              </w:pPr>
                              <w:r>
                                <w:rPr>
                                  <w:rFonts w:hint="eastAsia"/>
                                </w:rPr>
                                <w:t>法定代表人第二代居民身份证复印件</w:t>
                              </w:r>
                            </w:p>
                            <w:p w14:paraId="232B484D">
                              <w:pPr>
                                <w:jc w:val="center"/>
                              </w:pPr>
                              <w:r>
                                <w:rPr>
                                  <w:rFonts w:hint="eastAsia"/>
                                </w:rPr>
                                <w:t>（背面）</w:t>
                              </w:r>
                            </w:p>
                          </w:txbxContent>
                        </wps:txbx>
                        <wps:bodyPr upright="1"/>
                      </wps:wsp>
                    </wpg:wgp>
                  </a:graphicData>
                </a:graphic>
              </wp:inline>
            </w:drawing>
          </mc:Choice>
          <mc:Fallback>
            <w:pict>
              <v:group id="Group 28" o:spid="_x0000_s1026" o:spt="203" style="height:167.9pt;width:253.25pt;" coordsize="4431,3009" o:gfxdata="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WsaSh1gAAAAUBAAAPAAAAAAAAAAEAIAAAACIAAABkcnMv&#10;ZG93bnJldi54bWxQSwECFAAUAAAACACHTuJA29OvjLACAADvBgAADgAAAAAAAAABACAAAAAlAQAA&#10;ZHJzL2Uyb0RvYy54bWxQSwUGAAAAAAYABgBZAQAARwYAAAAA&#10;">
                <o:lock v:ext="edit" aspectratio="f"/>
                <v:rect id="Picture 29" o:spid="_x0000_s1026" o:spt="1" style="position:absolute;left:0;top:0;height:3009;width:4431;"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shape id="Text Box 30" o:spid="_x0000_s1026" o:spt="202" type="#_x0000_t202" style="position:absolute;left:69;top:250;height:2508;width:4293;"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99C9660">
                        <w:pPr>
                          <w:jc w:val="center"/>
                        </w:pPr>
                      </w:p>
                      <w:p w14:paraId="31E266C8">
                        <w:pPr>
                          <w:jc w:val="center"/>
                        </w:pPr>
                      </w:p>
                      <w:p w14:paraId="616B6211"/>
                      <w:p w14:paraId="7F635691">
                        <w:pPr>
                          <w:jc w:val="center"/>
                        </w:pPr>
                      </w:p>
                      <w:p w14:paraId="5127B41B">
                        <w:pPr>
                          <w:jc w:val="center"/>
                        </w:pPr>
                      </w:p>
                      <w:p w14:paraId="6DAC493B">
                        <w:pPr>
                          <w:jc w:val="center"/>
                        </w:pPr>
                        <w:r>
                          <w:rPr>
                            <w:rFonts w:hint="eastAsia"/>
                          </w:rPr>
                          <w:t>法定代表人第二代居民身份证复印件</w:t>
                        </w:r>
                      </w:p>
                      <w:p w14:paraId="232B484D">
                        <w:pPr>
                          <w:jc w:val="center"/>
                        </w:pPr>
                        <w:r>
                          <w:rPr>
                            <w:rFonts w:hint="eastAsia"/>
                          </w:rPr>
                          <w:t>（背面）</w:t>
                        </w:r>
                      </w:p>
                    </w:txbxContent>
                  </v:textbox>
                </v:shape>
                <w10:wrap type="none"/>
                <w10:anchorlock/>
              </v:group>
            </w:pict>
          </mc:Fallback>
        </mc:AlternateContent>
      </w:r>
    </w:p>
    <w:p w14:paraId="22D1809A">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2E6D1639">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1487D86">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01BDAE27">
      <w:pPr>
        <w:tabs>
          <w:tab w:val="left" w:pos="1418"/>
        </w:tabs>
        <w:snapToGrid w:val="0"/>
        <w:spacing w:before="50" w:after="50" w:line="360" w:lineRule="exact"/>
        <w:rPr>
          <w:rFonts w:hint="eastAsia" w:ascii="宋体" w:hAnsi="宋体" w:eastAsia="宋体" w:cs="宋体"/>
          <w:bCs/>
          <w:color w:val="auto"/>
          <w:szCs w:val="21"/>
          <w:highlight w:val="none"/>
        </w:rPr>
      </w:pPr>
    </w:p>
    <w:p w14:paraId="1A17FFB1">
      <w:pPr>
        <w:tabs>
          <w:tab w:val="left" w:pos="1418"/>
        </w:tabs>
        <w:snapToGrid w:val="0"/>
        <w:spacing w:before="50" w:after="50" w:line="360" w:lineRule="exact"/>
        <w:ind w:firstLine="5880" w:firstLineChars="28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法定代表人签名</w:t>
      </w: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u w:val="single"/>
        </w:rPr>
        <w:t xml:space="preserve">            </w:t>
      </w:r>
    </w:p>
    <w:p w14:paraId="57CEC5B0">
      <w:pPr>
        <w:snapToGrid w:val="0"/>
        <w:spacing w:before="120" w:beforeLines="50" w:after="50" w:line="360" w:lineRule="exact"/>
        <w:ind w:right="315" w:firstLine="210" w:firstLineChars="1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highlight w:val="none"/>
        </w:rPr>
        <w:t>2.法定代表人授权委托书格式：</w:t>
      </w:r>
    </w:p>
    <w:p w14:paraId="77BD61DA">
      <w:pPr>
        <w:snapToGrid w:val="0"/>
        <w:spacing w:before="120" w:beforeLines="50" w:after="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法定代表人授权委托书</w:t>
      </w:r>
    </w:p>
    <w:p w14:paraId="03B27C4E">
      <w:pPr>
        <w:snapToGrid w:val="0"/>
        <w:spacing w:before="120" w:beforeLines="50" w:after="50" w:line="360" w:lineRule="exac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w:t>
      </w:r>
    </w:p>
    <w:p w14:paraId="108745C6">
      <w:pPr>
        <w:snapToGrid w:val="0"/>
        <w:spacing w:before="120" w:beforeLines="50" w:after="50" w:line="36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3F790678">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02BEA087">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6CC4404D">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A083499">
      <w:pPr>
        <w:snapToGrid w:val="0"/>
        <w:spacing w:before="120" w:beforeLines="50" w:after="50"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1DBD63E3">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1EF8C815">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3A5AD13">
      <w:pPr>
        <w:spacing w:line="360" w:lineRule="exact"/>
        <w:ind w:left="6300" w:leftChars="290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p>
    <w:p w14:paraId="0117595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196D912">
      <w:pPr>
        <w:snapToGrid w:val="0"/>
        <w:spacing w:before="120" w:beforeLines="50" w:after="50" w:line="360" w:lineRule="exact"/>
        <w:jc w:val="center"/>
        <w:rPr>
          <w:rFonts w:hint="eastAsia" w:ascii="宋体" w:hAnsi="宋体" w:eastAsia="宋体" w:cs="宋体"/>
          <w:b/>
          <w:bCs/>
          <w:color w:val="auto"/>
          <w:sz w:val="36"/>
          <w:szCs w:val="36"/>
          <w:highlight w:val="none"/>
        </w:rPr>
      </w:pPr>
    </w:p>
    <w:p w14:paraId="60DA5AA1">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5408" behindDoc="0" locked="0" layoutInCell="1" allowOverlap="1">
                <wp:simplePos x="0" y="0"/>
                <wp:positionH relativeFrom="column">
                  <wp:posOffset>2908300</wp:posOffset>
                </wp:positionH>
                <wp:positionV relativeFrom="paragraph">
                  <wp:posOffset>128270</wp:posOffset>
                </wp:positionV>
                <wp:extent cx="2971800" cy="1611630"/>
                <wp:effectExtent l="4445" t="4445" r="14605" b="22225"/>
                <wp:wrapNone/>
                <wp:docPr id="10" name="文本框 151"/>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wps:txbx>
                      <wps:bodyPr upright="1"/>
                    </wps:wsp>
                  </a:graphicData>
                </a:graphic>
              </wp:anchor>
            </w:drawing>
          </mc:Choice>
          <mc:Fallback>
            <w:pict>
              <v:shape id="文本框 151" o:spid="_x0000_s1026" o:spt="202" type="#_x0000_t202" style="position:absolute;left:0pt;margin-left:229pt;margin-top:10.1pt;height:126.9pt;width:234pt;z-index:251665408;mso-width-relative:page;mso-height-relative:page;" fillcolor="#FFFFFF" filled="t" stroked="t" coordsize="21600,21600" o:gfxdata="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VYxsNkAAAAKAQAADwAAAAAAAAAB&#10;ACAAAAAiAAAAZHJzL2Rvd25yZXYueG1sUEsBAhQAFAAAAAgAh07iQJFgXVAPAgAAOgQAAA4AAAAA&#10;AAAAAQAgAAAAKAEAAGRycy9lMm9Eb2MueG1sUEsFBgAAAAAGAAYAWQEAAKkFAAAAAA==&#10;">
                <v:fill on="t" focussize="0,0"/>
                <v:stroke color="#000000" joinstyle="miter"/>
                <v:imagedata o:title=""/>
                <o:lock v:ext="edit" aspectratio="f"/>
                <v:textbo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v:textbox>
              </v:shape>
            </w:pict>
          </mc:Fallback>
        </mc:AlternateContent>
      </w:r>
    </w:p>
    <w:p w14:paraId="504E87DB">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-132080</wp:posOffset>
                </wp:positionV>
                <wp:extent cx="2971800" cy="1611630"/>
                <wp:effectExtent l="4445" t="4445" r="14605" b="22225"/>
                <wp:wrapNone/>
                <wp:docPr id="9" name="Text Box 36"/>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wps:txbx>
                      <wps:bodyPr upright="1"/>
                    </wps:wsp>
                  </a:graphicData>
                </a:graphic>
              </wp:anchor>
            </w:drawing>
          </mc:Choice>
          <mc:Fallback>
            <w:pict>
              <v:shape id="Text Box 36" o:spid="_x0000_s1026" o:spt="202" type="#_x0000_t202" style="position:absolute;left:0pt;margin-left:-27pt;margin-top:-10.4pt;height:126.9pt;width:234pt;z-index:251664384;mso-width-relative:page;mso-height-relative:page;" fillcolor="#FFFFFF" filled="t" stroked="t" coordsize="21600,21600" o:gfxdata="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6ZI2gAAAAsBAAAPAAAAAAAAAAEAIAAAACIAAABkcnMvZG93&#10;bnJldi54bWxQSwECFAAUAAAACACHTuJAQqszLv4BAAA3BAAADgAAAAAAAAABACAAAAApAQAAZHJz&#10;L2Uyb0RvYy54bWxQSwUGAAAAAAYABgBZAQAAmQUAAAAA&#10;">
                <v:fill on="t" focussize="0,0"/>
                <v:stroke color="#000000" joinstyle="miter"/>
                <v:imagedata o:title=""/>
                <o:lock v:ext="edit" aspectratio="f"/>
                <v:textbo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v:textbox>
              </v:shape>
            </w:pict>
          </mc:Fallback>
        </mc:AlternateContent>
      </w:r>
    </w:p>
    <w:p w14:paraId="27FD8B94">
      <w:pPr>
        <w:snapToGrid w:val="0"/>
        <w:spacing w:before="50" w:line="360" w:lineRule="exact"/>
        <w:jc w:val="left"/>
        <w:rPr>
          <w:rFonts w:hint="eastAsia" w:ascii="宋体" w:hAnsi="宋体" w:eastAsia="宋体" w:cs="宋体"/>
          <w:b/>
          <w:bCs/>
          <w:color w:val="auto"/>
          <w:sz w:val="36"/>
          <w:szCs w:val="36"/>
          <w:highlight w:val="none"/>
        </w:rPr>
      </w:pPr>
    </w:p>
    <w:p w14:paraId="5C82C86E">
      <w:pPr>
        <w:snapToGrid w:val="0"/>
        <w:spacing w:before="50" w:line="360" w:lineRule="exact"/>
        <w:jc w:val="left"/>
        <w:rPr>
          <w:rFonts w:hint="eastAsia" w:ascii="宋体" w:hAnsi="宋体" w:eastAsia="宋体" w:cs="宋体"/>
          <w:b/>
          <w:bCs/>
          <w:color w:val="auto"/>
          <w:sz w:val="36"/>
          <w:szCs w:val="36"/>
          <w:highlight w:val="none"/>
        </w:rPr>
      </w:pPr>
    </w:p>
    <w:p w14:paraId="4BDDBE06">
      <w:pPr>
        <w:snapToGrid w:val="0"/>
        <w:spacing w:before="50" w:line="360" w:lineRule="exact"/>
        <w:jc w:val="left"/>
        <w:rPr>
          <w:rFonts w:hint="eastAsia" w:ascii="宋体" w:hAnsi="宋体" w:eastAsia="宋体" w:cs="宋体"/>
          <w:b/>
          <w:bCs/>
          <w:color w:val="auto"/>
          <w:sz w:val="36"/>
          <w:szCs w:val="36"/>
          <w:highlight w:val="none"/>
        </w:rPr>
      </w:pPr>
    </w:p>
    <w:p w14:paraId="476ACDBE">
      <w:pPr>
        <w:snapToGrid w:val="0"/>
        <w:spacing w:before="50" w:line="360" w:lineRule="exact"/>
        <w:jc w:val="left"/>
        <w:rPr>
          <w:rFonts w:hint="eastAsia" w:ascii="宋体" w:hAnsi="宋体" w:eastAsia="宋体" w:cs="宋体"/>
          <w:b/>
          <w:bCs/>
          <w:color w:val="auto"/>
          <w:sz w:val="36"/>
          <w:szCs w:val="36"/>
          <w:highlight w:val="none"/>
        </w:rPr>
      </w:pPr>
    </w:p>
    <w:p w14:paraId="23BA4F96">
      <w:pPr>
        <w:snapToGrid w:val="0"/>
        <w:spacing w:before="50" w:line="360" w:lineRule="exact"/>
        <w:jc w:val="left"/>
        <w:rPr>
          <w:rFonts w:hint="eastAsia" w:ascii="宋体" w:hAnsi="宋体" w:eastAsia="宋体" w:cs="宋体"/>
          <w:b/>
          <w:bCs/>
          <w:color w:val="auto"/>
          <w:sz w:val="36"/>
          <w:szCs w:val="36"/>
          <w:highlight w:val="none"/>
        </w:rPr>
      </w:pPr>
    </w:p>
    <w:p w14:paraId="09B32E5F">
      <w:pPr>
        <w:snapToGrid w:val="0"/>
        <w:spacing w:before="50" w:line="360" w:lineRule="exact"/>
        <w:jc w:val="left"/>
        <w:rPr>
          <w:rFonts w:hint="eastAsia" w:ascii="宋体" w:hAnsi="宋体" w:eastAsia="宋体" w:cs="宋体"/>
          <w:b/>
          <w:bCs/>
          <w:color w:val="auto"/>
          <w:sz w:val="36"/>
          <w:szCs w:val="36"/>
          <w:highlight w:val="none"/>
        </w:rPr>
      </w:pPr>
    </w:p>
    <w:p w14:paraId="575D3D92">
      <w:pPr>
        <w:snapToGrid w:val="0"/>
        <w:spacing w:before="50" w:line="360" w:lineRule="exact"/>
        <w:jc w:val="left"/>
        <w:rPr>
          <w:rFonts w:hint="eastAsia" w:ascii="宋体" w:hAnsi="宋体" w:eastAsia="宋体" w:cs="宋体"/>
          <w:b/>
          <w:bCs/>
          <w:color w:val="auto"/>
          <w:sz w:val="36"/>
          <w:szCs w:val="36"/>
          <w:highlight w:val="none"/>
        </w:rPr>
      </w:pPr>
    </w:p>
    <w:p w14:paraId="08B8C0ED">
      <w:pPr>
        <w:snapToGrid w:val="0"/>
        <w:spacing w:before="50" w:line="360" w:lineRule="exact"/>
        <w:jc w:val="left"/>
        <w:rPr>
          <w:rFonts w:hint="eastAsia" w:ascii="宋体" w:hAnsi="宋体" w:eastAsia="宋体" w:cs="宋体"/>
          <w:b/>
          <w:bCs/>
          <w:color w:val="auto"/>
          <w:sz w:val="36"/>
          <w:szCs w:val="36"/>
          <w:highlight w:val="none"/>
        </w:rPr>
      </w:pPr>
    </w:p>
    <w:p w14:paraId="76179538">
      <w:pPr>
        <w:snapToGrid w:val="0"/>
        <w:spacing w:before="50" w:line="360" w:lineRule="exact"/>
        <w:jc w:val="left"/>
        <w:rPr>
          <w:rFonts w:hint="eastAsia" w:ascii="宋体" w:hAnsi="宋体" w:eastAsia="宋体" w:cs="宋体"/>
          <w:b/>
          <w:bCs/>
          <w:color w:val="auto"/>
          <w:sz w:val="36"/>
          <w:szCs w:val="36"/>
          <w:highlight w:val="none"/>
        </w:rPr>
      </w:pPr>
    </w:p>
    <w:p w14:paraId="74D4EC15">
      <w:pPr>
        <w:snapToGrid w:val="0"/>
        <w:spacing w:before="50" w:line="360" w:lineRule="exact"/>
        <w:jc w:val="left"/>
        <w:rPr>
          <w:rFonts w:hint="eastAsia" w:ascii="宋体" w:hAnsi="宋体" w:eastAsia="宋体" w:cs="宋体"/>
          <w:b/>
          <w:bCs/>
          <w:color w:val="auto"/>
          <w:sz w:val="36"/>
          <w:szCs w:val="36"/>
          <w:highlight w:val="none"/>
        </w:rPr>
      </w:pPr>
    </w:p>
    <w:p w14:paraId="264CF6AE">
      <w:pPr>
        <w:snapToGrid w:val="0"/>
        <w:spacing w:before="50" w:line="360" w:lineRule="exact"/>
        <w:jc w:val="left"/>
        <w:rPr>
          <w:rFonts w:hint="eastAsia" w:ascii="宋体" w:hAnsi="宋体" w:eastAsia="宋体" w:cs="宋体"/>
          <w:b/>
          <w:bCs/>
          <w:color w:val="auto"/>
          <w:sz w:val="36"/>
          <w:szCs w:val="36"/>
          <w:highlight w:val="none"/>
        </w:rPr>
      </w:pPr>
    </w:p>
    <w:p w14:paraId="4404CE87">
      <w:pPr>
        <w:snapToGrid w:val="0"/>
        <w:spacing w:before="50" w:line="360" w:lineRule="exact"/>
        <w:jc w:val="left"/>
        <w:rPr>
          <w:rFonts w:hint="eastAsia" w:ascii="宋体" w:hAnsi="宋体" w:eastAsia="宋体" w:cs="宋体"/>
          <w:b/>
          <w:bCs/>
          <w:color w:val="auto"/>
          <w:sz w:val="36"/>
          <w:szCs w:val="36"/>
          <w:highlight w:val="none"/>
        </w:rPr>
      </w:pPr>
    </w:p>
    <w:p w14:paraId="522083E9">
      <w:pPr>
        <w:snapToGrid w:val="0"/>
        <w:spacing w:before="50" w:line="360" w:lineRule="exact"/>
        <w:jc w:val="left"/>
        <w:rPr>
          <w:rFonts w:hint="eastAsia" w:ascii="宋体" w:hAnsi="宋体" w:eastAsia="宋体" w:cs="宋体"/>
          <w:b/>
          <w:bCs/>
          <w:color w:val="auto"/>
          <w:sz w:val="36"/>
          <w:szCs w:val="36"/>
          <w:highlight w:val="none"/>
        </w:rPr>
      </w:pPr>
    </w:p>
    <w:p w14:paraId="6170C78A">
      <w:pPr>
        <w:snapToGrid w:val="0"/>
        <w:spacing w:before="50" w:line="360" w:lineRule="exact"/>
        <w:jc w:val="left"/>
        <w:rPr>
          <w:rFonts w:hint="eastAsia" w:ascii="宋体" w:hAnsi="宋体" w:eastAsia="宋体" w:cs="宋体"/>
          <w:b/>
          <w:bCs/>
          <w:color w:val="auto"/>
          <w:sz w:val="36"/>
          <w:szCs w:val="36"/>
          <w:highlight w:val="none"/>
        </w:rPr>
      </w:pPr>
    </w:p>
    <w:p w14:paraId="2D640486">
      <w:pPr>
        <w:widowControl/>
        <w:spacing w:line="360" w:lineRule="exact"/>
        <w:rPr>
          <w:rFonts w:hint="eastAsia" w:ascii="宋体" w:hAnsi="宋体" w:eastAsia="宋体" w:cs="宋体"/>
          <w:b/>
          <w:bCs/>
          <w:color w:val="auto"/>
          <w:sz w:val="24"/>
          <w:highlight w:val="none"/>
        </w:rPr>
      </w:pPr>
    </w:p>
    <w:p w14:paraId="2D93F0B4">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3.投标保证金缴纳证明材料复印件：</w:t>
      </w:r>
    </w:p>
    <w:p w14:paraId="05686EC7">
      <w:pPr>
        <w:pStyle w:val="27"/>
        <w:spacing w:line="360" w:lineRule="exact"/>
        <w:ind w:firstLine="420"/>
        <w:jc w:val="center"/>
        <w:rPr>
          <w:rFonts w:hint="eastAsia" w:ascii="宋体" w:hAnsi="宋体" w:eastAsia="宋体" w:cs="宋体"/>
          <w:b/>
          <w:color w:val="auto"/>
          <w:sz w:val="32"/>
          <w:highlight w:val="none"/>
          <w:lang w:val="en-US" w:eastAsia="zh-CN"/>
        </w:rPr>
      </w:pPr>
    </w:p>
    <w:p w14:paraId="10D64589">
      <w:pPr>
        <w:pStyle w:val="27"/>
        <w:spacing w:line="360" w:lineRule="exact"/>
        <w:ind w:firstLine="42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投标</w:t>
      </w:r>
      <w:r>
        <w:rPr>
          <w:rFonts w:hint="eastAsia" w:ascii="宋体" w:hAnsi="宋体" w:eastAsia="宋体" w:cs="宋体"/>
          <w:b/>
          <w:color w:val="auto"/>
          <w:sz w:val="32"/>
          <w:highlight w:val="none"/>
        </w:rPr>
        <w:t>保证金证明</w:t>
      </w:r>
    </w:p>
    <w:p w14:paraId="685DC833">
      <w:pPr>
        <w:spacing w:line="360" w:lineRule="exact"/>
        <w:ind w:firstLine="420" w:firstLineChars="200"/>
        <w:rPr>
          <w:rFonts w:hint="eastAsia" w:ascii="宋体" w:hAnsi="宋体" w:eastAsia="宋体" w:cs="宋体"/>
          <w:color w:val="auto"/>
          <w:highlight w:val="none"/>
        </w:rPr>
      </w:pPr>
    </w:p>
    <w:p w14:paraId="06FFBAFA">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900367D">
      <w:pPr>
        <w:pStyle w:val="27"/>
        <w:spacing w:line="360" w:lineRule="exact"/>
        <w:rPr>
          <w:rFonts w:hint="eastAsia" w:ascii="宋体" w:hAnsi="宋体" w:eastAsia="宋体" w:cs="宋体"/>
          <w:color w:val="auto"/>
          <w:highlight w:val="none"/>
        </w:rPr>
      </w:pPr>
      <w:r>
        <w:rPr>
          <w:rFonts w:hint="eastAsia" w:ascii="宋体" w:hAnsi="宋体" w:eastAsia="宋体" w:cs="宋体"/>
          <w:color w:val="auto"/>
          <w:sz w:val="20"/>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1"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96E9A7">
                            <w:pPr>
                              <w:jc w:val="center"/>
                              <w:rPr>
                                <w:color w:val="000000"/>
                              </w:rPr>
                            </w:pPr>
                          </w:p>
                          <w:p w14:paraId="016601B9">
                            <w:pPr>
                              <w:jc w:val="center"/>
                              <w:rPr>
                                <w:color w:val="000000"/>
                              </w:rPr>
                            </w:pPr>
                          </w:p>
                          <w:p w14:paraId="5D9942C5">
                            <w:pPr>
                              <w:jc w:val="center"/>
                              <w:rPr>
                                <w:color w:val="000000"/>
                              </w:rPr>
                            </w:pPr>
                          </w:p>
                          <w:p w14:paraId="1266A32F">
                            <w:pPr>
                              <w:jc w:val="center"/>
                              <w:rPr>
                                <w:color w:val="000000"/>
                              </w:rPr>
                            </w:pPr>
                          </w:p>
                          <w:p w14:paraId="52954DB8">
                            <w:pPr>
                              <w:jc w:val="center"/>
                              <w:rPr>
                                <w:color w:val="000000"/>
                              </w:rPr>
                            </w:pPr>
                          </w:p>
                          <w:p w14:paraId="67772CAF">
                            <w:pPr>
                              <w:jc w:val="center"/>
                            </w:pPr>
                          </w:p>
                          <w:p w14:paraId="6C8A730F">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6432;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ASdndYAAAAHAQAADwAAAAAAAAABACAAAAAiAAAAZHJzL2Rvd25yZXYueG1sUEsB&#10;AhQAFAAAAAgAh07iQIOWLbD3AQAALwQAAA4AAAAAAAAAAQAgAAAAJQEAAGRycy9lMm9Eb2MueG1s&#10;UEsFBgAAAAAGAAYAWQEAAI4FAAAAAA==&#10;">
                <v:fill on="t" focussize="0,0"/>
                <v:stroke color="#000000" joinstyle="miter"/>
                <v:imagedata o:title=""/>
                <o:lock v:ext="edit" aspectratio="f"/>
                <v:textbox>
                  <w:txbxContent>
                    <w:p w14:paraId="0D96E9A7">
                      <w:pPr>
                        <w:jc w:val="center"/>
                        <w:rPr>
                          <w:color w:val="000000"/>
                        </w:rPr>
                      </w:pPr>
                    </w:p>
                    <w:p w14:paraId="016601B9">
                      <w:pPr>
                        <w:jc w:val="center"/>
                        <w:rPr>
                          <w:color w:val="000000"/>
                        </w:rPr>
                      </w:pPr>
                    </w:p>
                    <w:p w14:paraId="5D9942C5">
                      <w:pPr>
                        <w:jc w:val="center"/>
                        <w:rPr>
                          <w:color w:val="000000"/>
                        </w:rPr>
                      </w:pPr>
                    </w:p>
                    <w:p w14:paraId="1266A32F">
                      <w:pPr>
                        <w:jc w:val="center"/>
                        <w:rPr>
                          <w:color w:val="000000"/>
                        </w:rPr>
                      </w:pPr>
                    </w:p>
                    <w:p w14:paraId="52954DB8">
                      <w:pPr>
                        <w:jc w:val="center"/>
                        <w:rPr>
                          <w:color w:val="000000"/>
                        </w:rPr>
                      </w:pPr>
                    </w:p>
                    <w:p w14:paraId="67772CAF">
                      <w:pPr>
                        <w:jc w:val="center"/>
                      </w:pPr>
                    </w:p>
                    <w:p w14:paraId="6C8A730F">
                      <w:pPr>
                        <w:jc w:val="center"/>
                        <w:rPr>
                          <w:szCs w:val="21"/>
                        </w:rPr>
                      </w:pPr>
                      <w:r>
                        <w:rPr>
                          <w:rFonts w:hint="eastAsia" w:hAnsi="宋体"/>
                        </w:rPr>
                        <w:t>转账底单、电汇单、支票、汇票、本票或银行、保险机构出具的保函复印件</w:t>
                      </w:r>
                    </w:p>
                  </w:txbxContent>
                </v:textbox>
              </v:rect>
            </w:pict>
          </mc:Fallback>
        </mc:AlternateContent>
      </w:r>
    </w:p>
    <w:p w14:paraId="25BC9F0B">
      <w:pPr>
        <w:pStyle w:val="27"/>
        <w:spacing w:line="360" w:lineRule="exact"/>
        <w:rPr>
          <w:rFonts w:hint="eastAsia" w:ascii="宋体" w:hAnsi="宋体" w:eastAsia="宋体" w:cs="宋体"/>
          <w:color w:val="auto"/>
          <w:highlight w:val="none"/>
        </w:rPr>
      </w:pPr>
    </w:p>
    <w:p w14:paraId="2F1BAC99">
      <w:pPr>
        <w:pStyle w:val="27"/>
        <w:spacing w:line="360" w:lineRule="exact"/>
        <w:rPr>
          <w:rFonts w:hint="eastAsia" w:ascii="宋体" w:hAnsi="宋体" w:eastAsia="宋体" w:cs="宋体"/>
          <w:color w:val="auto"/>
          <w:highlight w:val="none"/>
        </w:rPr>
      </w:pPr>
    </w:p>
    <w:p w14:paraId="7DB7EF05">
      <w:pPr>
        <w:pStyle w:val="27"/>
        <w:spacing w:line="360" w:lineRule="exact"/>
        <w:rPr>
          <w:rFonts w:hint="eastAsia" w:ascii="宋体" w:hAnsi="宋体" w:eastAsia="宋体" w:cs="宋体"/>
          <w:color w:val="auto"/>
          <w:sz w:val="44"/>
          <w:highlight w:val="none"/>
        </w:rPr>
      </w:pPr>
    </w:p>
    <w:p w14:paraId="7BEB7E7F">
      <w:pPr>
        <w:pStyle w:val="27"/>
        <w:spacing w:line="360" w:lineRule="exact"/>
        <w:rPr>
          <w:rFonts w:hint="eastAsia" w:ascii="宋体" w:hAnsi="宋体" w:eastAsia="宋体" w:cs="宋体"/>
          <w:color w:val="auto"/>
          <w:sz w:val="44"/>
          <w:highlight w:val="none"/>
        </w:rPr>
      </w:pPr>
    </w:p>
    <w:p w14:paraId="1D694146">
      <w:pPr>
        <w:pStyle w:val="27"/>
        <w:spacing w:line="360" w:lineRule="exact"/>
        <w:rPr>
          <w:rFonts w:hint="eastAsia" w:ascii="宋体" w:hAnsi="宋体" w:eastAsia="宋体" w:cs="宋体"/>
          <w:color w:val="auto"/>
          <w:sz w:val="44"/>
          <w:highlight w:val="none"/>
        </w:rPr>
      </w:pPr>
    </w:p>
    <w:p w14:paraId="44F12B36">
      <w:pPr>
        <w:pStyle w:val="27"/>
        <w:spacing w:line="360" w:lineRule="exact"/>
        <w:rPr>
          <w:rFonts w:hint="eastAsia" w:ascii="宋体" w:hAnsi="宋体" w:eastAsia="宋体" w:cs="宋体"/>
          <w:color w:val="auto"/>
          <w:sz w:val="44"/>
          <w:highlight w:val="none"/>
        </w:rPr>
      </w:pPr>
    </w:p>
    <w:p w14:paraId="6D869043">
      <w:pPr>
        <w:pStyle w:val="27"/>
        <w:spacing w:line="360" w:lineRule="exact"/>
        <w:rPr>
          <w:rFonts w:hint="eastAsia" w:ascii="宋体" w:hAnsi="宋体" w:eastAsia="宋体" w:cs="宋体"/>
          <w:color w:val="auto"/>
          <w:sz w:val="44"/>
          <w:highlight w:val="none"/>
        </w:rPr>
      </w:pPr>
    </w:p>
    <w:p w14:paraId="07979F64">
      <w:pPr>
        <w:pStyle w:val="27"/>
        <w:spacing w:line="360" w:lineRule="exact"/>
        <w:ind w:firstLine="4830" w:firstLineChars="2300"/>
        <w:rPr>
          <w:rFonts w:hint="eastAsia" w:ascii="宋体" w:hAnsi="宋体" w:eastAsia="宋体" w:cs="宋体"/>
          <w:color w:val="auto"/>
          <w:highlight w:val="none"/>
        </w:rPr>
      </w:pPr>
    </w:p>
    <w:p w14:paraId="6FF34455">
      <w:pPr>
        <w:pStyle w:val="27"/>
        <w:spacing w:line="360" w:lineRule="exact"/>
        <w:ind w:firstLine="4830" w:firstLineChars="2300"/>
        <w:rPr>
          <w:rFonts w:hint="eastAsia" w:ascii="宋体" w:hAnsi="宋体" w:eastAsia="宋体" w:cs="宋体"/>
          <w:color w:val="auto"/>
          <w:highlight w:val="none"/>
        </w:rPr>
      </w:pPr>
    </w:p>
    <w:p w14:paraId="6CE7E880">
      <w:pPr>
        <w:pStyle w:val="27"/>
        <w:spacing w:line="360" w:lineRule="exact"/>
        <w:ind w:firstLine="4830" w:firstLineChars="2300"/>
        <w:rPr>
          <w:rFonts w:hint="eastAsia" w:ascii="宋体" w:hAnsi="宋体" w:eastAsia="宋体" w:cs="宋体"/>
          <w:color w:val="auto"/>
          <w:highlight w:val="none"/>
        </w:rPr>
      </w:pPr>
    </w:p>
    <w:p w14:paraId="15856828">
      <w:pPr>
        <w:pStyle w:val="27"/>
        <w:spacing w:line="360" w:lineRule="exact"/>
        <w:ind w:firstLine="4830" w:firstLineChars="2300"/>
        <w:rPr>
          <w:rFonts w:hint="eastAsia" w:ascii="宋体" w:hAnsi="宋体" w:eastAsia="宋体" w:cs="宋体"/>
          <w:color w:val="auto"/>
          <w:highlight w:val="none"/>
        </w:rPr>
      </w:pPr>
    </w:p>
    <w:p w14:paraId="2CEB8804">
      <w:pPr>
        <w:pStyle w:val="27"/>
        <w:spacing w:line="360" w:lineRule="exact"/>
        <w:ind w:firstLine="4830" w:firstLineChars="2300"/>
        <w:rPr>
          <w:rFonts w:hint="eastAsia" w:ascii="宋体" w:hAnsi="宋体" w:eastAsia="宋体" w:cs="宋体"/>
          <w:color w:val="auto"/>
          <w:highlight w:val="none"/>
        </w:rPr>
      </w:pPr>
    </w:p>
    <w:p w14:paraId="7F183357">
      <w:pPr>
        <w:pStyle w:val="27"/>
        <w:spacing w:line="360" w:lineRule="exact"/>
        <w:ind w:firstLine="4830" w:firstLineChars="2300"/>
        <w:rPr>
          <w:rFonts w:hint="eastAsia" w:ascii="宋体" w:hAnsi="宋体" w:eastAsia="宋体" w:cs="宋体"/>
          <w:color w:val="auto"/>
          <w:highlight w:val="none"/>
        </w:rPr>
      </w:pPr>
    </w:p>
    <w:p w14:paraId="4A9E7064">
      <w:pPr>
        <w:pStyle w:val="27"/>
        <w:spacing w:line="360" w:lineRule="exact"/>
        <w:ind w:firstLine="4830" w:firstLineChars="2300"/>
        <w:rPr>
          <w:rFonts w:hint="eastAsia" w:ascii="宋体" w:hAnsi="宋体" w:eastAsia="宋体" w:cs="宋体"/>
          <w:color w:val="auto"/>
          <w:highlight w:val="none"/>
        </w:rPr>
      </w:pPr>
    </w:p>
    <w:p w14:paraId="14D0C8EB">
      <w:pPr>
        <w:pStyle w:val="27"/>
        <w:spacing w:line="360" w:lineRule="exact"/>
        <w:ind w:firstLine="4830" w:firstLineChars="2300"/>
        <w:rPr>
          <w:rFonts w:hint="eastAsia" w:ascii="宋体" w:hAnsi="宋体" w:eastAsia="宋体" w:cs="宋体"/>
          <w:color w:val="auto"/>
          <w:highlight w:val="none"/>
        </w:rPr>
      </w:pPr>
    </w:p>
    <w:p w14:paraId="45247406">
      <w:pPr>
        <w:pStyle w:val="27"/>
        <w:spacing w:line="360" w:lineRule="exact"/>
        <w:ind w:firstLine="4830" w:firstLineChars="2300"/>
        <w:rPr>
          <w:rFonts w:hint="eastAsia" w:ascii="宋体" w:hAnsi="宋体" w:eastAsia="宋体" w:cs="宋体"/>
          <w:color w:val="auto"/>
          <w:highlight w:val="none"/>
        </w:rPr>
      </w:pPr>
    </w:p>
    <w:p w14:paraId="6B31FB5A">
      <w:pPr>
        <w:pStyle w:val="27"/>
        <w:spacing w:line="360" w:lineRule="exact"/>
        <w:ind w:firstLine="4830" w:firstLineChars="2300"/>
        <w:rPr>
          <w:rFonts w:hint="eastAsia" w:ascii="宋体" w:hAnsi="宋体" w:eastAsia="宋体" w:cs="宋体"/>
          <w:color w:val="auto"/>
          <w:highlight w:val="none"/>
        </w:rPr>
      </w:pPr>
    </w:p>
    <w:p w14:paraId="72EC52F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622601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623FAD0">
      <w:pPr>
        <w:tabs>
          <w:tab w:val="left" w:pos="1418"/>
        </w:tabs>
        <w:snapToGrid w:val="0"/>
        <w:spacing w:before="50" w:after="50" w:line="360" w:lineRule="exact"/>
        <w:rPr>
          <w:rFonts w:hint="eastAsia" w:ascii="宋体" w:hAnsi="宋体" w:eastAsia="宋体" w:cs="宋体"/>
          <w:b/>
          <w:bCs/>
          <w:color w:val="auto"/>
          <w:sz w:val="24"/>
          <w:highlight w:val="none"/>
        </w:rPr>
      </w:pPr>
    </w:p>
    <w:p w14:paraId="17FFC0AF">
      <w:pPr>
        <w:tabs>
          <w:tab w:val="left" w:pos="1418"/>
        </w:tabs>
        <w:snapToGrid w:val="0"/>
        <w:spacing w:before="50" w:after="50" w:line="360" w:lineRule="exact"/>
        <w:rPr>
          <w:rFonts w:hint="eastAsia" w:ascii="宋体" w:hAnsi="宋体" w:eastAsia="宋体" w:cs="宋体"/>
          <w:b/>
          <w:bCs/>
          <w:color w:val="auto"/>
          <w:sz w:val="24"/>
          <w:highlight w:val="none"/>
        </w:rPr>
      </w:pPr>
    </w:p>
    <w:p w14:paraId="453CFFB3">
      <w:pPr>
        <w:tabs>
          <w:tab w:val="left" w:pos="1418"/>
        </w:tabs>
        <w:snapToGrid w:val="0"/>
        <w:spacing w:before="50" w:after="50" w:line="360" w:lineRule="exact"/>
        <w:rPr>
          <w:rFonts w:hint="eastAsia" w:ascii="宋体" w:hAnsi="宋体" w:eastAsia="宋体" w:cs="宋体"/>
          <w:b/>
          <w:bCs/>
          <w:color w:val="auto"/>
          <w:sz w:val="24"/>
          <w:highlight w:val="none"/>
        </w:rPr>
      </w:pPr>
    </w:p>
    <w:p w14:paraId="0CBC23B8">
      <w:pPr>
        <w:tabs>
          <w:tab w:val="left" w:pos="1418"/>
        </w:tabs>
        <w:snapToGrid w:val="0"/>
        <w:spacing w:before="50" w:after="50" w:line="360" w:lineRule="exact"/>
        <w:rPr>
          <w:rFonts w:hint="eastAsia" w:ascii="宋体" w:hAnsi="宋体" w:eastAsia="宋体" w:cs="宋体"/>
          <w:b/>
          <w:bCs/>
          <w:color w:val="auto"/>
          <w:sz w:val="24"/>
          <w:highlight w:val="none"/>
        </w:rPr>
      </w:pPr>
    </w:p>
    <w:p w14:paraId="3F19046E">
      <w:pPr>
        <w:tabs>
          <w:tab w:val="left" w:pos="1418"/>
        </w:tabs>
        <w:snapToGrid w:val="0"/>
        <w:spacing w:before="50" w:after="50" w:line="360" w:lineRule="exact"/>
        <w:rPr>
          <w:rFonts w:hint="eastAsia" w:ascii="宋体" w:hAnsi="宋体" w:eastAsia="宋体" w:cs="宋体"/>
          <w:b/>
          <w:bCs/>
          <w:color w:val="auto"/>
          <w:sz w:val="24"/>
          <w:highlight w:val="none"/>
        </w:rPr>
      </w:pPr>
    </w:p>
    <w:p w14:paraId="346B2A58">
      <w:pPr>
        <w:tabs>
          <w:tab w:val="left" w:pos="1418"/>
        </w:tabs>
        <w:snapToGrid w:val="0"/>
        <w:spacing w:before="50" w:after="50" w:line="360" w:lineRule="exact"/>
        <w:rPr>
          <w:rFonts w:hint="eastAsia" w:ascii="宋体" w:hAnsi="宋体" w:eastAsia="宋体" w:cs="宋体"/>
          <w:b/>
          <w:bCs/>
          <w:color w:val="auto"/>
          <w:sz w:val="24"/>
          <w:highlight w:val="none"/>
        </w:rPr>
      </w:pPr>
    </w:p>
    <w:p w14:paraId="6C2E9CEB">
      <w:pPr>
        <w:tabs>
          <w:tab w:val="left" w:pos="1418"/>
        </w:tabs>
        <w:snapToGrid w:val="0"/>
        <w:spacing w:before="50" w:after="50" w:line="360" w:lineRule="exact"/>
        <w:rPr>
          <w:rFonts w:hint="eastAsia" w:ascii="宋体" w:hAnsi="宋体" w:eastAsia="宋体" w:cs="宋体"/>
          <w:b/>
          <w:bCs/>
          <w:color w:val="auto"/>
          <w:sz w:val="24"/>
          <w:highlight w:val="none"/>
        </w:rPr>
      </w:pPr>
    </w:p>
    <w:p w14:paraId="0D2FA560">
      <w:pPr>
        <w:tabs>
          <w:tab w:val="left" w:pos="1418"/>
        </w:tabs>
        <w:snapToGrid w:val="0"/>
        <w:spacing w:before="50" w:after="50" w:line="360" w:lineRule="exact"/>
        <w:rPr>
          <w:rFonts w:hint="eastAsia" w:ascii="宋体" w:hAnsi="宋体" w:eastAsia="宋体" w:cs="宋体"/>
          <w:b/>
          <w:bCs/>
          <w:color w:val="auto"/>
          <w:sz w:val="24"/>
          <w:highlight w:val="none"/>
        </w:rPr>
      </w:pPr>
    </w:p>
    <w:p w14:paraId="01098E53">
      <w:pPr>
        <w:tabs>
          <w:tab w:val="left" w:pos="1418"/>
        </w:tabs>
        <w:snapToGrid w:val="0"/>
        <w:spacing w:before="50" w:after="50" w:line="360" w:lineRule="exact"/>
        <w:rPr>
          <w:rFonts w:hint="eastAsia" w:ascii="宋体" w:hAnsi="宋体" w:eastAsia="宋体" w:cs="宋体"/>
          <w:b/>
          <w:bCs/>
          <w:color w:val="auto"/>
          <w:sz w:val="24"/>
          <w:highlight w:val="none"/>
        </w:rPr>
      </w:pPr>
    </w:p>
    <w:p w14:paraId="418AA6C4">
      <w:pPr>
        <w:tabs>
          <w:tab w:val="left" w:pos="1418"/>
        </w:tabs>
        <w:snapToGrid w:val="0"/>
        <w:spacing w:before="50" w:after="50" w:line="360" w:lineRule="exact"/>
        <w:rPr>
          <w:rFonts w:hint="eastAsia" w:ascii="宋体" w:hAnsi="宋体" w:eastAsia="宋体" w:cs="宋体"/>
          <w:b/>
          <w:bCs/>
          <w:color w:val="auto"/>
          <w:sz w:val="24"/>
          <w:highlight w:val="none"/>
        </w:rPr>
      </w:pPr>
    </w:p>
    <w:p w14:paraId="19BADCE2">
      <w:pPr>
        <w:tabs>
          <w:tab w:val="left" w:pos="1418"/>
        </w:tabs>
        <w:snapToGrid w:val="0"/>
        <w:spacing w:before="50" w:after="50" w:line="360" w:lineRule="exact"/>
        <w:rPr>
          <w:rFonts w:hint="eastAsia" w:ascii="宋体" w:hAnsi="宋体" w:eastAsia="宋体" w:cs="宋体"/>
          <w:b/>
          <w:bCs/>
          <w:color w:val="auto"/>
          <w:sz w:val="24"/>
          <w:highlight w:val="none"/>
        </w:rPr>
      </w:pPr>
    </w:p>
    <w:p w14:paraId="0752482C">
      <w:pPr>
        <w:tabs>
          <w:tab w:val="left" w:pos="1418"/>
        </w:tabs>
        <w:snapToGrid w:val="0"/>
        <w:spacing w:before="50" w:after="50" w:line="360" w:lineRule="exact"/>
        <w:rPr>
          <w:rFonts w:hint="eastAsia" w:ascii="宋体" w:hAnsi="宋体" w:eastAsia="宋体" w:cs="宋体"/>
          <w:b/>
          <w:bCs/>
          <w:color w:val="auto"/>
          <w:sz w:val="24"/>
          <w:highlight w:val="none"/>
        </w:rPr>
      </w:pPr>
    </w:p>
    <w:p w14:paraId="7B9A5229">
      <w:pPr>
        <w:tabs>
          <w:tab w:val="left" w:pos="1418"/>
        </w:tabs>
        <w:snapToGrid w:val="0"/>
        <w:spacing w:before="50" w:after="50" w:line="360" w:lineRule="exact"/>
        <w:rPr>
          <w:rFonts w:hint="eastAsia" w:ascii="宋体" w:hAnsi="宋体" w:eastAsia="宋体" w:cs="宋体"/>
          <w:b/>
          <w:bCs/>
          <w:color w:val="auto"/>
          <w:sz w:val="24"/>
          <w:highlight w:val="none"/>
        </w:rPr>
      </w:pPr>
    </w:p>
    <w:p w14:paraId="4B57789D">
      <w:pPr>
        <w:snapToGrid w:val="0"/>
        <w:spacing w:before="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4.商务响应表格式：</w:t>
      </w:r>
    </w:p>
    <w:p w14:paraId="2C959CB7">
      <w:pPr>
        <w:snapToGrid w:val="0"/>
        <w:spacing w:before="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0425E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ED443F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0333C45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6C1DB06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3E24CD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投标人的承诺或说明</w:t>
            </w:r>
          </w:p>
        </w:tc>
      </w:tr>
      <w:tr w14:paraId="79C14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AD502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基本要求</w:t>
            </w:r>
          </w:p>
        </w:tc>
        <w:tc>
          <w:tcPr>
            <w:tcW w:w="2700" w:type="dxa"/>
            <w:tcBorders>
              <w:top w:val="single" w:color="auto" w:sz="4" w:space="0"/>
              <w:left w:val="single" w:color="auto" w:sz="4" w:space="0"/>
              <w:bottom w:val="single" w:color="auto" w:sz="4" w:space="0"/>
              <w:right w:val="single" w:color="auto" w:sz="4" w:space="0"/>
            </w:tcBorders>
            <w:vAlign w:val="center"/>
          </w:tcPr>
          <w:p w14:paraId="515A80E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820963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C439C3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616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087403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报价要求</w:t>
            </w:r>
          </w:p>
        </w:tc>
        <w:tc>
          <w:tcPr>
            <w:tcW w:w="2700" w:type="dxa"/>
            <w:tcBorders>
              <w:top w:val="single" w:color="auto" w:sz="4" w:space="0"/>
              <w:left w:val="single" w:color="auto" w:sz="4" w:space="0"/>
              <w:bottom w:val="single" w:color="auto" w:sz="4" w:space="0"/>
              <w:right w:val="single" w:color="auto" w:sz="4" w:space="0"/>
            </w:tcBorders>
            <w:vAlign w:val="center"/>
          </w:tcPr>
          <w:p w14:paraId="50A2058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1FFF7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82EF9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3E8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55CB2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售后服务要求</w:t>
            </w:r>
          </w:p>
        </w:tc>
        <w:tc>
          <w:tcPr>
            <w:tcW w:w="2700" w:type="dxa"/>
            <w:tcBorders>
              <w:top w:val="single" w:color="auto" w:sz="4" w:space="0"/>
              <w:left w:val="single" w:color="auto" w:sz="4" w:space="0"/>
              <w:bottom w:val="single" w:color="auto" w:sz="4" w:space="0"/>
              <w:right w:val="single" w:color="auto" w:sz="4" w:space="0"/>
            </w:tcBorders>
            <w:vAlign w:val="center"/>
          </w:tcPr>
          <w:p w14:paraId="7E6F87D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AB4BBF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5E284EA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651D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689A2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质保期</w:t>
            </w:r>
          </w:p>
        </w:tc>
        <w:tc>
          <w:tcPr>
            <w:tcW w:w="2700" w:type="dxa"/>
            <w:tcBorders>
              <w:top w:val="single" w:color="auto" w:sz="4" w:space="0"/>
              <w:left w:val="single" w:color="auto" w:sz="4" w:space="0"/>
              <w:bottom w:val="single" w:color="auto" w:sz="4" w:space="0"/>
              <w:right w:val="single" w:color="auto" w:sz="4" w:space="0"/>
            </w:tcBorders>
            <w:vAlign w:val="center"/>
          </w:tcPr>
          <w:p w14:paraId="36951D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995F16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35229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FC62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D6ABB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备品备件及耗材等要求</w:t>
            </w:r>
          </w:p>
        </w:tc>
        <w:tc>
          <w:tcPr>
            <w:tcW w:w="2700" w:type="dxa"/>
            <w:tcBorders>
              <w:top w:val="single" w:color="auto" w:sz="4" w:space="0"/>
              <w:left w:val="single" w:color="auto" w:sz="4" w:space="0"/>
              <w:bottom w:val="single" w:color="auto" w:sz="4" w:space="0"/>
              <w:right w:val="single" w:color="auto" w:sz="4" w:space="0"/>
            </w:tcBorders>
            <w:vAlign w:val="center"/>
          </w:tcPr>
          <w:p w14:paraId="57406CE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24630C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6E822A2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9F62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C90C8C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合同签订时间</w:t>
            </w:r>
          </w:p>
        </w:tc>
        <w:tc>
          <w:tcPr>
            <w:tcW w:w="2700" w:type="dxa"/>
            <w:tcBorders>
              <w:top w:val="single" w:color="auto" w:sz="4" w:space="0"/>
              <w:left w:val="single" w:color="auto" w:sz="4" w:space="0"/>
              <w:bottom w:val="single" w:color="auto" w:sz="4" w:space="0"/>
              <w:right w:val="single" w:color="auto" w:sz="4" w:space="0"/>
            </w:tcBorders>
            <w:vAlign w:val="center"/>
          </w:tcPr>
          <w:p w14:paraId="58F3FDF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0B076B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6669E7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9799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AC1801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交货时间及地点</w:t>
            </w:r>
          </w:p>
        </w:tc>
        <w:tc>
          <w:tcPr>
            <w:tcW w:w="2700" w:type="dxa"/>
            <w:tcBorders>
              <w:top w:val="single" w:color="auto" w:sz="4" w:space="0"/>
              <w:left w:val="single" w:color="auto" w:sz="4" w:space="0"/>
              <w:bottom w:val="single" w:color="auto" w:sz="4" w:space="0"/>
              <w:right w:val="single" w:color="auto" w:sz="4" w:space="0"/>
            </w:tcBorders>
            <w:vAlign w:val="center"/>
          </w:tcPr>
          <w:p w14:paraId="33C075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7FB8E8E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E950BA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9A5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AAA2C5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交货要求</w:t>
            </w:r>
          </w:p>
        </w:tc>
        <w:tc>
          <w:tcPr>
            <w:tcW w:w="2700" w:type="dxa"/>
            <w:tcBorders>
              <w:top w:val="single" w:color="auto" w:sz="4" w:space="0"/>
              <w:left w:val="single" w:color="auto" w:sz="4" w:space="0"/>
              <w:bottom w:val="single" w:color="auto" w:sz="4" w:space="0"/>
              <w:right w:val="single" w:color="auto" w:sz="4" w:space="0"/>
            </w:tcBorders>
            <w:vAlign w:val="center"/>
          </w:tcPr>
          <w:p w14:paraId="72B5F6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3E17CC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F8B098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F92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92DA46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付款方式</w:t>
            </w:r>
          </w:p>
        </w:tc>
        <w:tc>
          <w:tcPr>
            <w:tcW w:w="2700" w:type="dxa"/>
            <w:tcBorders>
              <w:top w:val="single" w:color="auto" w:sz="4" w:space="0"/>
              <w:left w:val="single" w:color="auto" w:sz="4" w:space="0"/>
              <w:bottom w:val="single" w:color="auto" w:sz="4" w:space="0"/>
              <w:right w:val="single" w:color="auto" w:sz="4" w:space="0"/>
            </w:tcBorders>
            <w:vAlign w:val="center"/>
          </w:tcPr>
          <w:p w14:paraId="36A748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2D6DA0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751841F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CF83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BD8D4F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设备调试与验收标准</w:t>
            </w:r>
          </w:p>
        </w:tc>
        <w:tc>
          <w:tcPr>
            <w:tcW w:w="2700" w:type="dxa"/>
            <w:tcBorders>
              <w:top w:val="single" w:color="auto" w:sz="4" w:space="0"/>
              <w:left w:val="single" w:color="auto" w:sz="4" w:space="0"/>
              <w:bottom w:val="single" w:color="auto" w:sz="4" w:space="0"/>
              <w:right w:val="single" w:color="auto" w:sz="4" w:space="0"/>
            </w:tcBorders>
            <w:vAlign w:val="center"/>
          </w:tcPr>
          <w:p w14:paraId="26F353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6EE36C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E4B922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E962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AA52A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产品质量要求</w:t>
            </w:r>
          </w:p>
        </w:tc>
        <w:tc>
          <w:tcPr>
            <w:tcW w:w="2700" w:type="dxa"/>
            <w:tcBorders>
              <w:top w:val="single" w:color="auto" w:sz="4" w:space="0"/>
              <w:left w:val="single" w:color="auto" w:sz="4" w:space="0"/>
              <w:bottom w:val="single" w:color="auto" w:sz="4" w:space="0"/>
              <w:right w:val="single" w:color="auto" w:sz="4" w:space="0"/>
            </w:tcBorders>
            <w:vAlign w:val="center"/>
          </w:tcPr>
          <w:p w14:paraId="3472D60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46FBE71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F4ED3F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F64C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27D2C0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履约保证金</w:t>
            </w:r>
          </w:p>
        </w:tc>
        <w:tc>
          <w:tcPr>
            <w:tcW w:w="2700" w:type="dxa"/>
            <w:tcBorders>
              <w:top w:val="single" w:color="auto" w:sz="4" w:space="0"/>
              <w:left w:val="single" w:color="auto" w:sz="4" w:space="0"/>
              <w:bottom w:val="single" w:color="auto" w:sz="4" w:space="0"/>
              <w:right w:val="single" w:color="auto" w:sz="4" w:space="0"/>
            </w:tcBorders>
            <w:vAlign w:val="center"/>
          </w:tcPr>
          <w:p w14:paraId="406354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C4C426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263C306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986D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9F4DFD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p>
        </w:tc>
        <w:tc>
          <w:tcPr>
            <w:tcW w:w="2700" w:type="dxa"/>
            <w:tcBorders>
              <w:top w:val="single" w:color="auto" w:sz="4" w:space="0"/>
              <w:left w:val="single" w:color="auto" w:sz="4" w:space="0"/>
              <w:bottom w:val="single" w:color="auto" w:sz="4" w:space="0"/>
              <w:right w:val="single" w:color="auto" w:sz="4" w:space="0"/>
            </w:tcBorders>
            <w:vAlign w:val="center"/>
          </w:tcPr>
          <w:p w14:paraId="48D0C173">
            <w:pPr>
              <w:snapToGrid w:val="0"/>
              <w:spacing w:before="120" w:beforeLines="50" w:line="360" w:lineRule="exact"/>
              <w:jc w:val="center"/>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9C255CD">
            <w:pPr>
              <w:snapToGrid w:val="0"/>
              <w:spacing w:before="120" w:beforeLines="50" w:line="360" w:lineRule="exact"/>
              <w:jc w:val="center"/>
              <w:rPr>
                <w:rFonts w:hint="eastAsia" w:ascii="宋体" w:hAnsi="宋体" w:eastAsia="宋体" w:cs="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57C51032">
            <w:pPr>
              <w:snapToGrid w:val="0"/>
              <w:spacing w:before="120" w:beforeLines="50" w:line="360" w:lineRule="exact"/>
              <w:jc w:val="center"/>
              <w:rPr>
                <w:rFonts w:hint="eastAsia" w:ascii="宋体" w:hAnsi="宋体" w:eastAsia="宋体" w:cs="宋体"/>
                <w:color w:val="auto"/>
                <w:szCs w:val="21"/>
                <w:highlight w:val="none"/>
              </w:rPr>
            </w:pPr>
          </w:p>
        </w:tc>
      </w:tr>
    </w:tbl>
    <w:p w14:paraId="7033C7B8">
      <w:pPr>
        <w:snapToGrid w:val="0"/>
        <w:spacing w:before="50" w:after="120" w:afterLines="50" w:line="360" w:lineRule="exact"/>
        <w:jc w:val="left"/>
        <w:rPr>
          <w:rFonts w:hint="eastAsia" w:ascii="宋体" w:hAnsi="宋体" w:eastAsia="宋体" w:cs="宋体"/>
          <w:b/>
          <w:color w:val="auto"/>
          <w:sz w:val="24"/>
          <w:highlight w:val="none"/>
        </w:rPr>
      </w:pPr>
    </w:p>
    <w:p w14:paraId="7C69AA38">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1C2D452A">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70BA633">
      <w:pPr>
        <w:snapToGrid w:val="0"/>
        <w:rPr>
          <w:rFonts w:hint="eastAsia" w:ascii="宋体" w:hAnsi="宋体" w:eastAsia="宋体" w:cs="宋体"/>
          <w:color w:val="auto"/>
          <w:sz w:val="30"/>
          <w:szCs w:val="30"/>
          <w:highlight w:val="none"/>
        </w:rPr>
      </w:pPr>
    </w:p>
    <w:p w14:paraId="205F4E3B">
      <w:pPr>
        <w:snapToGrid w:val="0"/>
        <w:rPr>
          <w:rFonts w:hint="eastAsia" w:ascii="宋体" w:hAnsi="宋体" w:eastAsia="宋体" w:cs="宋体"/>
          <w:color w:val="auto"/>
          <w:sz w:val="30"/>
          <w:szCs w:val="30"/>
          <w:highlight w:val="none"/>
        </w:rPr>
      </w:pPr>
    </w:p>
    <w:p w14:paraId="27314006">
      <w:pPr>
        <w:snapToGrid w:val="0"/>
        <w:rPr>
          <w:rFonts w:hint="eastAsia" w:ascii="宋体" w:hAnsi="宋体" w:eastAsia="宋体" w:cs="宋体"/>
          <w:color w:val="auto"/>
          <w:sz w:val="30"/>
          <w:szCs w:val="30"/>
          <w:highlight w:val="none"/>
        </w:rPr>
      </w:pPr>
    </w:p>
    <w:p w14:paraId="15DF99BA">
      <w:pPr>
        <w:snapToGrid w:val="0"/>
        <w:rPr>
          <w:rFonts w:hint="eastAsia" w:ascii="宋体" w:hAnsi="宋体" w:eastAsia="宋体" w:cs="宋体"/>
          <w:color w:val="auto"/>
          <w:sz w:val="30"/>
          <w:szCs w:val="30"/>
          <w:highlight w:val="none"/>
        </w:rPr>
      </w:pPr>
    </w:p>
    <w:p w14:paraId="2F141974">
      <w:pPr>
        <w:snapToGrid w:val="0"/>
        <w:rPr>
          <w:rFonts w:hint="eastAsia" w:ascii="宋体" w:hAnsi="宋体" w:eastAsia="宋体" w:cs="宋体"/>
          <w:color w:val="auto"/>
          <w:sz w:val="30"/>
          <w:szCs w:val="30"/>
          <w:highlight w:val="none"/>
        </w:rPr>
      </w:pPr>
    </w:p>
    <w:p w14:paraId="14F91599">
      <w:pPr>
        <w:snapToGrid w:val="0"/>
        <w:rPr>
          <w:rFonts w:hint="eastAsia" w:ascii="宋体" w:hAnsi="宋体" w:eastAsia="宋体" w:cs="宋体"/>
          <w:color w:val="auto"/>
          <w:sz w:val="30"/>
          <w:szCs w:val="30"/>
          <w:highlight w:val="none"/>
        </w:rPr>
      </w:pPr>
    </w:p>
    <w:p w14:paraId="3E27F244">
      <w:pPr>
        <w:snapToGrid w:val="0"/>
        <w:rPr>
          <w:rFonts w:hint="eastAsia" w:ascii="宋体" w:hAnsi="宋体" w:eastAsia="宋体" w:cs="宋体"/>
          <w:color w:val="auto"/>
          <w:sz w:val="30"/>
          <w:szCs w:val="30"/>
          <w:highlight w:val="none"/>
        </w:rPr>
      </w:pPr>
    </w:p>
    <w:p w14:paraId="1C98A82E">
      <w:pPr>
        <w:snapToGrid w:val="0"/>
        <w:rPr>
          <w:rFonts w:hint="eastAsia" w:ascii="宋体" w:hAnsi="宋体" w:eastAsia="宋体" w:cs="宋体"/>
          <w:color w:val="auto"/>
          <w:sz w:val="30"/>
          <w:szCs w:val="30"/>
          <w:highlight w:val="none"/>
        </w:rPr>
      </w:pPr>
    </w:p>
    <w:p w14:paraId="0263879D">
      <w:pPr>
        <w:snapToGrid w:val="0"/>
        <w:rPr>
          <w:rFonts w:hint="eastAsia" w:ascii="宋体" w:hAnsi="宋体" w:eastAsia="宋体" w:cs="宋体"/>
          <w:color w:val="auto"/>
          <w:sz w:val="30"/>
          <w:szCs w:val="30"/>
          <w:highlight w:val="none"/>
        </w:rPr>
      </w:pPr>
    </w:p>
    <w:p w14:paraId="72255AFA">
      <w:pPr>
        <w:snapToGrid w:val="0"/>
        <w:rPr>
          <w:rFonts w:hint="eastAsia" w:ascii="宋体" w:hAnsi="宋体" w:eastAsia="宋体" w:cs="宋体"/>
          <w:color w:val="auto"/>
          <w:sz w:val="30"/>
          <w:szCs w:val="30"/>
          <w:highlight w:val="none"/>
        </w:rPr>
      </w:pPr>
    </w:p>
    <w:p w14:paraId="6143467D">
      <w:pPr>
        <w:snapToGrid w:val="0"/>
        <w:rPr>
          <w:rFonts w:hint="eastAsia" w:ascii="宋体" w:hAnsi="宋体" w:eastAsia="宋体" w:cs="宋体"/>
          <w:color w:val="auto"/>
          <w:sz w:val="30"/>
          <w:szCs w:val="30"/>
          <w:highlight w:val="none"/>
        </w:rPr>
      </w:pPr>
    </w:p>
    <w:p w14:paraId="4745C85D">
      <w:pPr>
        <w:snapToGrid w:val="0"/>
        <w:rPr>
          <w:rFonts w:hint="eastAsia" w:ascii="宋体" w:hAnsi="宋体" w:eastAsia="宋体" w:cs="宋体"/>
          <w:color w:val="auto"/>
          <w:sz w:val="30"/>
          <w:szCs w:val="30"/>
          <w:highlight w:val="none"/>
        </w:rPr>
      </w:pPr>
    </w:p>
    <w:p w14:paraId="047E0303">
      <w:pPr>
        <w:snapToGrid w:val="0"/>
        <w:rPr>
          <w:rFonts w:hint="eastAsia" w:ascii="宋体" w:hAnsi="宋体" w:eastAsia="宋体" w:cs="宋体"/>
          <w:color w:val="auto"/>
          <w:sz w:val="30"/>
          <w:szCs w:val="30"/>
          <w:highlight w:val="none"/>
        </w:rPr>
      </w:pPr>
    </w:p>
    <w:p w14:paraId="401D5C62">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20C8DC4">
      <w:pPr>
        <w:snapToGrid w:val="0"/>
        <w:spacing w:before="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 代理服务费承诺书格式</w:t>
      </w:r>
    </w:p>
    <w:p w14:paraId="63FBBC7A">
      <w:pPr>
        <w:snapToGrid w:val="0"/>
        <w:spacing w:beforeLines="50" w:after="50" w:line="360" w:lineRule="exact"/>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代理服务费承诺书</w:t>
      </w:r>
    </w:p>
    <w:p w14:paraId="791A0D7E">
      <w:pPr>
        <w:snapToGrid w:val="0"/>
        <w:spacing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致：广西德元工程项目管理有限责任公司</w:t>
      </w:r>
    </w:p>
    <w:p w14:paraId="4B82BB5F">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我单位参加了贵方组织的采购项目编号为（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）的投标，并递交了投标保证金（¥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），在此我方说明如下：</w:t>
      </w:r>
    </w:p>
    <w:p w14:paraId="4EB7F965">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7464FB0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种方式缴纳代理服务费。</w:t>
      </w:r>
    </w:p>
    <w:p w14:paraId="3B053744">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第一种方式：一次性足额缴纳代理服务费。</w:t>
      </w:r>
    </w:p>
    <w:p w14:paraId="1C2F9E86">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第二种方式：从</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保证金中抵扣代理服务费，不足部分补交。</w:t>
      </w:r>
    </w:p>
    <w:p w14:paraId="22BA0795">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2.如我单位投标保证金无法原路返回，请按下表账户信息无息退还。</w:t>
      </w:r>
    </w:p>
    <w:tbl>
      <w:tblPr>
        <w:tblStyle w:val="4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10E63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11AB241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收款户名</w:t>
            </w:r>
          </w:p>
        </w:tc>
        <w:tc>
          <w:tcPr>
            <w:tcW w:w="4814" w:type="dxa"/>
          </w:tcPr>
          <w:p w14:paraId="769E05A3">
            <w:pPr>
              <w:snapToGrid w:val="0"/>
              <w:spacing w:before="50" w:afterLines="50" w:line="360" w:lineRule="exact"/>
              <w:jc w:val="left"/>
              <w:rPr>
                <w:rFonts w:hint="eastAsia" w:ascii="宋体" w:hAnsi="宋体" w:eastAsia="宋体" w:cs="宋体"/>
                <w:b/>
                <w:color w:val="auto"/>
                <w:szCs w:val="21"/>
                <w:highlight w:val="none"/>
              </w:rPr>
            </w:pPr>
          </w:p>
        </w:tc>
      </w:tr>
      <w:tr w14:paraId="6AD64A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1E52DB5D">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p>
        </w:tc>
        <w:tc>
          <w:tcPr>
            <w:tcW w:w="4814" w:type="dxa"/>
          </w:tcPr>
          <w:p w14:paraId="18F8E26D">
            <w:pPr>
              <w:snapToGrid w:val="0"/>
              <w:spacing w:before="50" w:afterLines="50" w:line="360" w:lineRule="exact"/>
              <w:jc w:val="left"/>
              <w:rPr>
                <w:rFonts w:hint="eastAsia" w:ascii="宋体" w:hAnsi="宋体" w:eastAsia="宋体" w:cs="宋体"/>
                <w:b/>
                <w:color w:val="auto"/>
                <w:szCs w:val="21"/>
                <w:highlight w:val="none"/>
              </w:rPr>
            </w:pPr>
          </w:p>
        </w:tc>
      </w:tr>
      <w:tr w14:paraId="4DDEBC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4E317CC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814" w:type="dxa"/>
          </w:tcPr>
          <w:p w14:paraId="26785E2E">
            <w:pPr>
              <w:snapToGrid w:val="0"/>
              <w:spacing w:before="50" w:afterLines="50" w:line="360" w:lineRule="exact"/>
              <w:jc w:val="left"/>
              <w:rPr>
                <w:rFonts w:hint="eastAsia" w:ascii="宋体" w:hAnsi="宋体" w:eastAsia="宋体" w:cs="宋体"/>
                <w:b/>
                <w:color w:val="auto"/>
                <w:szCs w:val="21"/>
                <w:highlight w:val="none"/>
              </w:rPr>
            </w:pPr>
          </w:p>
        </w:tc>
      </w:tr>
      <w:tr w14:paraId="6251B6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6F85483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银行行号</w:t>
            </w:r>
          </w:p>
        </w:tc>
        <w:tc>
          <w:tcPr>
            <w:tcW w:w="4814" w:type="dxa"/>
          </w:tcPr>
          <w:p w14:paraId="32EEF7B2">
            <w:pPr>
              <w:snapToGrid w:val="0"/>
              <w:spacing w:before="50" w:afterLines="50" w:line="360" w:lineRule="exact"/>
              <w:jc w:val="left"/>
              <w:rPr>
                <w:rFonts w:hint="eastAsia" w:ascii="宋体" w:hAnsi="宋体" w:eastAsia="宋体" w:cs="宋体"/>
                <w:b/>
                <w:color w:val="auto"/>
                <w:szCs w:val="21"/>
                <w:highlight w:val="none"/>
              </w:rPr>
            </w:pPr>
          </w:p>
        </w:tc>
      </w:tr>
    </w:tbl>
    <w:p w14:paraId="73FD99FC">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3．如果我单位未遵守有关招标文件关于投标保证金的规定，贵方可以没收我单位投标保证金。</w:t>
      </w:r>
    </w:p>
    <w:p w14:paraId="0C3CF03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我单位选择第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种方式作为代理服务费开票类型：</w:t>
      </w:r>
    </w:p>
    <w:p w14:paraId="7938CF3D">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第一种方式：开具收据。</w:t>
      </w:r>
    </w:p>
    <w:p w14:paraId="05C8A3C4">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第二种方式：开具增值税普通发票。开票信息如下：1.公司名称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0753D17">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第三种方式：开具增值税专用发票，开票信息如下：1.公司名称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；3.税局登记地址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；4.税局登记电话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；5.开户银行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；6.银行账户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9145FE">
      <w:pPr>
        <w:snapToGrid w:val="0"/>
        <w:spacing w:before="50" w:afterLines="50" w:line="360" w:lineRule="exact"/>
        <w:jc w:val="left"/>
        <w:rPr>
          <w:rFonts w:hint="eastAsia" w:ascii="宋体" w:hAnsi="宋体" w:eastAsia="宋体" w:cs="宋体"/>
          <w:b/>
          <w:color w:val="auto"/>
          <w:sz w:val="24"/>
          <w:highlight w:val="none"/>
        </w:rPr>
      </w:pPr>
    </w:p>
    <w:p w14:paraId="2CB3332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0F0D598">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5AFEB54">
      <w:pPr>
        <w:tabs>
          <w:tab w:val="left" w:pos="1418"/>
        </w:tabs>
        <w:snapToGrid w:val="0"/>
        <w:spacing w:before="50" w:after="50" w:line="360" w:lineRule="exact"/>
        <w:rPr>
          <w:rFonts w:hint="eastAsia" w:ascii="宋体" w:hAnsi="宋体" w:eastAsia="宋体" w:cs="宋体"/>
          <w:b/>
          <w:bCs/>
          <w:color w:val="auto"/>
          <w:sz w:val="24"/>
          <w:highlight w:val="none"/>
        </w:rPr>
      </w:pPr>
    </w:p>
    <w:p w14:paraId="0CCB726A">
      <w:pPr>
        <w:tabs>
          <w:tab w:val="left" w:pos="1418"/>
        </w:tabs>
        <w:snapToGrid w:val="0"/>
        <w:spacing w:before="50" w:after="50" w:line="360" w:lineRule="exact"/>
        <w:rPr>
          <w:rFonts w:hint="eastAsia" w:ascii="宋体" w:hAnsi="宋体" w:eastAsia="宋体" w:cs="宋体"/>
          <w:b/>
          <w:bCs/>
          <w:color w:val="auto"/>
          <w:sz w:val="24"/>
          <w:highlight w:val="none"/>
        </w:rPr>
      </w:pPr>
    </w:p>
    <w:p w14:paraId="5CDFCE9F">
      <w:pPr>
        <w:tabs>
          <w:tab w:val="left" w:pos="1418"/>
        </w:tabs>
        <w:snapToGrid w:val="0"/>
        <w:spacing w:before="50" w:after="50" w:line="360" w:lineRule="exact"/>
        <w:rPr>
          <w:rFonts w:hint="eastAsia" w:ascii="宋体" w:hAnsi="宋体" w:eastAsia="宋体" w:cs="宋体"/>
          <w:b/>
          <w:bCs/>
          <w:color w:val="auto"/>
          <w:sz w:val="24"/>
          <w:highlight w:val="none"/>
        </w:rPr>
      </w:pPr>
    </w:p>
    <w:p w14:paraId="4A248069">
      <w:pPr>
        <w:tabs>
          <w:tab w:val="left" w:pos="1418"/>
        </w:tabs>
        <w:snapToGrid w:val="0"/>
        <w:spacing w:before="50" w:after="50" w:line="360" w:lineRule="exact"/>
        <w:rPr>
          <w:rFonts w:hint="eastAsia" w:ascii="宋体" w:hAnsi="宋体" w:eastAsia="宋体" w:cs="宋体"/>
          <w:b/>
          <w:bCs/>
          <w:color w:val="auto"/>
          <w:sz w:val="24"/>
          <w:highlight w:val="none"/>
        </w:rPr>
      </w:pPr>
    </w:p>
    <w:p w14:paraId="51EBA628">
      <w:pPr>
        <w:tabs>
          <w:tab w:val="left" w:pos="1418"/>
        </w:tabs>
        <w:snapToGrid w:val="0"/>
        <w:spacing w:before="50" w:after="50" w:line="360" w:lineRule="exact"/>
        <w:rPr>
          <w:rFonts w:hint="eastAsia" w:ascii="宋体" w:hAnsi="宋体" w:eastAsia="宋体" w:cs="宋体"/>
          <w:b/>
          <w:bCs/>
          <w:color w:val="auto"/>
          <w:sz w:val="24"/>
          <w:highlight w:val="none"/>
        </w:rPr>
      </w:pPr>
    </w:p>
    <w:p w14:paraId="027CDE59">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w:t>
      </w:r>
      <w:r>
        <w:rPr>
          <w:rFonts w:hint="eastAsia" w:ascii="宋体" w:hAnsi="宋体" w:cs="宋体"/>
          <w:b/>
          <w:color w:val="auto"/>
          <w:sz w:val="24"/>
          <w:highlight w:val="none"/>
          <w:lang w:eastAsia="zh-CN"/>
        </w:rPr>
        <w:t>投标人同类项目业绩一览表</w:t>
      </w:r>
      <w:r>
        <w:rPr>
          <w:rFonts w:hint="eastAsia" w:ascii="宋体" w:hAnsi="宋体" w:eastAsia="宋体" w:cs="宋体"/>
          <w:b/>
          <w:color w:val="auto"/>
          <w:sz w:val="24"/>
          <w:highlight w:val="none"/>
        </w:rPr>
        <w:t>格式：</w:t>
      </w:r>
    </w:p>
    <w:p w14:paraId="18C642A7">
      <w:pPr>
        <w:pStyle w:val="36"/>
        <w:snapToGrid w:val="0"/>
        <w:spacing w:line="360" w:lineRule="exact"/>
        <w:ind w:left="420" w:hanging="42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投标人同类项目业绩一览表</w:t>
      </w:r>
    </w:p>
    <w:p w14:paraId="6F8B118E">
      <w:pPr>
        <w:pStyle w:val="36"/>
        <w:snapToGrid w:val="0"/>
        <w:spacing w:line="360" w:lineRule="exact"/>
        <w:ind w:left="420" w:hanging="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（投标人同类项目合同复印件、用户验收报告、用户评价意见格式自拟）</w:t>
      </w:r>
    </w:p>
    <w:tbl>
      <w:tblPr>
        <w:tblStyle w:val="48"/>
        <w:tblW w:w="8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276"/>
        <w:gridCol w:w="1080"/>
        <w:gridCol w:w="1080"/>
        <w:gridCol w:w="958"/>
        <w:gridCol w:w="720"/>
        <w:gridCol w:w="720"/>
        <w:gridCol w:w="720"/>
        <w:gridCol w:w="1327"/>
      </w:tblGrid>
      <w:tr w14:paraId="12245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0A7679F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109A63D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CA7791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14:paraId="3B40E4A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B87CAF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2A7787E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0DB732C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5B9CD5FD">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1A2CE15F">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4C6FAEF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19C617C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1F33C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31A43EDD">
            <w:pPr>
              <w:widowControl/>
              <w:spacing w:line="360" w:lineRule="exact"/>
              <w:jc w:val="left"/>
              <w:rPr>
                <w:rFonts w:hint="eastAsia" w:ascii="宋体" w:hAnsi="宋体" w:eastAsia="宋体" w:cs="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54713DF">
            <w:pPr>
              <w:widowControl/>
              <w:spacing w:line="360" w:lineRule="exact"/>
              <w:jc w:val="left"/>
              <w:rPr>
                <w:rFonts w:hint="eastAsia" w:ascii="宋体" w:hAnsi="宋体" w:eastAsia="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B8F0496">
            <w:pPr>
              <w:widowControl/>
              <w:spacing w:line="360" w:lineRule="exact"/>
              <w:jc w:val="left"/>
              <w:rPr>
                <w:rFonts w:hint="eastAsia" w:ascii="宋体" w:hAnsi="宋体" w:eastAsia="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413C9D">
            <w:pPr>
              <w:widowControl/>
              <w:spacing w:line="360" w:lineRule="exact"/>
              <w:jc w:val="left"/>
              <w:rPr>
                <w:rFonts w:hint="eastAsia" w:ascii="宋体" w:hAnsi="宋体" w:eastAsia="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4D53C1F6">
            <w:pPr>
              <w:widowControl/>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317C43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1C6724B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717BC14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47321E51">
            <w:pPr>
              <w:widowControl/>
              <w:spacing w:line="360" w:lineRule="exact"/>
              <w:jc w:val="left"/>
              <w:rPr>
                <w:rFonts w:hint="eastAsia" w:ascii="宋体" w:hAnsi="宋体" w:eastAsia="宋体" w:cs="宋体"/>
                <w:color w:val="auto"/>
                <w:szCs w:val="21"/>
                <w:highlight w:val="none"/>
              </w:rPr>
            </w:pPr>
          </w:p>
        </w:tc>
      </w:tr>
      <w:tr w14:paraId="41AAC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14:paraId="7351AC73">
            <w:pPr>
              <w:snapToGrid w:val="0"/>
              <w:spacing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2AEB3F9">
            <w:pPr>
              <w:snapToGrid w:val="0"/>
              <w:spacing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4FE617D">
            <w:pPr>
              <w:snapToGrid w:val="0"/>
              <w:spacing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A0E084A">
            <w:pPr>
              <w:snapToGrid w:val="0"/>
              <w:spacing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E4C93F2">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5D93638">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E09E4BA">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FD07479">
            <w:pPr>
              <w:snapToGrid w:val="0"/>
              <w:spacing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279E62F9">
            <w:pPr>
              <w:snapToGrid w:val="0"/>
              <w:spacing w:line="360" w:lineRule="exact"/>
              <w:jc w:val="left"/>
              <w:rPr>
                <w:rFonts w:hint="eastAsia" w:ascii="宋体" w:hAnsi="宋体" w:eastAsia="宋体" w:cs="宋体"/>
                <w:color w:val="auto"/>
                <w:szCs w:val="21"/>
                <w:highlight w:val="none"/>
              </w:rPr>
            </w:pPr>
          </w:p>
        </w:tc>
      </w:tr>
      <w:tr w14:paraId="4A912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3FFD040D">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5D58DDB">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E99EBDF">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18B93AC">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BA3503E">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8F51F84">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E71CDCB">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BEFB80E">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67E11B4">
            <w:pPr>
              <w:snapToGrid w:val="0"/>
              <w:spacing w:before="50" w:afterLines="50" w:line="360" w:lineRule="exact"/>
              <w:jc w:val="left"/>
              <w:rPr>
                <w:rFonts w:hint="eastAsia" w:ascii="宋体" w:hAnsi="宋体" w:eastAsia="宋体" w:cs="宋体"/>
                <w:color w:val="auto"/>
                <w:szCs w:val="21"/>
                <w:highlight w:val="none"/>
              </w:rPr>
            </w:pPr>
          </w:p>
        </w:tc>
      </w:tr>
      <w:tr w14:paraId="24327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14:paraId="0156E977">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899A320">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E483D4F">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AEAA1E0">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5F4C1B0">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8884E8F">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D4CEB2F">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A3050B4">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5620A934">
            <w:pPr>
              <w:snapToGrid w:val="0"/>
              <w:spacing w:before="50" w:afterLines="50" w:line="360" w:lineRule="exact"/>
              <w:jc w:val="left"/>
              <w:rPr>
                <w:rFonts w:hint="eastAsia" w:ascii="宋体" w:hAnsi="宋体" w:eastAsia="宋体" w:cs="宋体"/>
                <w:color w:val="auto"/>
                <w:szCs w:val="21"/>
                <w:highlight w:val="none"/>
              </w:rPr>
            </w:pPr>
          </w:p>
        </w:tc>
      </w:tr>
      <w:tr w14:paraId="3109E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72CC3533">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A191761">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A822800">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4C65182">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3B2C40C">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8453184">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98464B8">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C3FC432">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14C341E">
            <w:pPr>
              <w:snapToGrid w:val="0"/>
              <w:spacing w:before="50" w:afterLines="50" w:line="360" w:lineRule="exact"/>
              <w:jc w:val="left"/>
              <w:rPr>
                <w:rFonts w:hint="eastAsia" w:ascii="宋体" w:hAnsi="宋体" w:eastAsia="宋体" w:cs="宋体"/>
                <w:color w:val="auto"/>
                <w:szCs w:val="21"/>
                <w:highlight w:val="none"/>
              </w:rPr>
            </w:pPr>
          </w:p>
        </w:tc>
      </w:tr>
      <w:tr w14:paraId="0BD8A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101" w:type="dxa"/>
            <w:tcBorders>
              <w:top w:val="single" w:color="auto" w:sz="4" w:space="0"/>
              <w:left w:val="single" w:color="auto" w:sz="4" w:space="0"/>
              <w:bottom w:val="single" w:color="auto" w:sz="4" w:space="0"/>
              <w:right w:val="single" w:color="auto" w:sz="4" w:space="0"/>
            </w:tcBorders>
          </w:tcPr>
          <w:p w14:paraId="5E844703">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083D1B8">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25D1828">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8744BA3">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C929F6B">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994F7D6">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2027C00">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A36CAB2">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08920449">
            <w:pPr>
              <w:snapToGrid w:val="0"/>
              <w:spacing w:before="50" w:afterLines="50" w:line="360" w:lineRule="exact"/>
              <w:jc w:val="left"/>
              <w:rPr>
                <w:rFonts w:hint="eastAsia" w:ascii="宋体" w:hAnsi="宋体" w:eastAsia="宋体" w:cs="宋体"/>
                <w:color w:val="auto"/>
                <w:szCs w:val="21"/>
                <w:highlight w:val="none"/>
              </w:rPr>
            </w:pPr>
          </w:p>
        </w:tc>
      </w:tr>
    </w:tbl>
    <w:p w14:paraId="3452F034">
      <w:pPr>
        <w:pStyle w:val="16"/>
        <w:snapToGrid w:val="0"/>
        <w:spacing w:line="360" w:lineRule="exact"/>
        <w:rPr>
          <w:rFonts w:hint="eastAsia" w:ascii="宋体" w:hAnsi="宋体" w:eastAsia="宋体" w:cs="宋体"/>
          <w:color w:val="auto"/>
          <w:sz w:val="21"/>
          <w:szCs w:val="21"/>
          <w:highlight w:val="none"/>
        </w:rPr>
      </w:pPr>
    </w:p>
    <w:p w14:paraId="6C0A3CF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6C7AA9C">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9FDBD53">
      <w:pPr>
        <w:tabs>
          <w:tab w:val="left" w:pos="1418"/>
        </w:tabs>
        <w:snapToGrid w:val="0"/>
        <w:spacing w:before="50" w:after="50" w:line="360" w:lineRule="exact"/>
        <w:rPr>
          <w:rFonts w:hint="eastAsia" w:ascii="宋体" w:hAnsi="宋体" w:eastAsia="宋体" w:cs="宋体"/>
          <w:b/>
          <w:bCs/>
          <w:color w:val="auto"/>
          <w:sz w:val="24"/>
          <w:highlight w:val="none"/>
        </w:rPr>
      </w:pPr>
    </w:p>
    <w:p w14:paraId="04448ECB">
      <w:pPr>
        <w:tabs>
          <w:tab w:val="left" w:pos="1418"/>
        </w:tabs>
        <w:snapToGrid w:val="0"/>
        <w:spacing w:before="50" w:after="50" w:line="360" w:lineRule="exact"/>
        <w:rPr>
          <w:rFonts w:hint="eastAsia" w:ascii="宋体" w:hAnsi="宋体" w:eastAsia="宋体" w:cs="宋体"/>
          <w:b/>
          <w:bCs/>
          <w:color w:val="auto"/>
          <w:sz w:val="24"/>
          <w:highlight w:val="none"/>
        </w:rPr>
      </w:pPr>
    </w:p>
    <w:p w14:paraId="09D61728">
      <w:pPr>
        <w:tabs>
          <w:tab w:val="left" w:pos="1418"/>
        </w:tabs>
        <w:snapToGrid w:val="0"/>
        <w:spacing w:before="50" w:after="50" w:line="360" w:lineRule="exact"/>
        <w:rPr>
          <w:rFonts w:hint="eastAsia" w:ascii="宋体" w:hAnsi="宋体" w:eastAsia="宋体" w:cs="宋体"/>
          <w:b/>
          <w:bCs/>
          <w:color w:val="auto"/>
          <w:sz w:val="24"/>
          <w:highlight w:val="none"/>
        </w:rPr>
      </w:pPr>
    </w:p>
    <w:p w14:paraId="3F466ACC">
      <w:pPr>
        <w:tabs>
          <w:tab w:val="left" w:pos="1418"/>
        </w:tabs>
        <w:snapToGrid w:val="0"/>
        <w:spacing w:before="50" w:after="50" w:line="360" w:lineRule="exact"/>
        <w:rPr>
          <w:rFonts w:hint="eastAsia" w:ascii="宋体" w:hAnsi="宋体" w:eastAsia="宋体" w:cs="宋体"/>
          <w:b/>
          <w:bCs/>
          <w:color w:val="auto"/>
          <w:sz w:val="24"/>
          <w:highlight w:val="none"/>
        </w:rPr>
      </w:pPr>
    </w:p>
    <w:p w14:paraId="127B83B7">
      <w:pPr>
        <w:tabs>
          <w:tab w:val="left" w:pos="1418"/>
        </w:tabs>
        <w:snapToGrid w:val="0"/>
        <w:spacing w:before="50" w:after="50" w:line="360" w:lineRule="exact"/>
        <w:rPr>
          <w:rFonts w:hint="eastAsia" w:ascii="宋体" w:hAnsi="宋体" w:eastAsia="宋体" w:cs="宋体"/>
          <w:b/>
          <w:bCs/>
          <w:color w:val="auto"/>
          <w:sz w:val="24"/>
          <w:highlight w:val="none"/>
        </w:rPr>
      </w:pPr>
    </w:p>
    <w:p w14:paraId="07F91E26">
      <w:pPr>
        <w:tabs>
          <w:tab w:val="left" w:pos="1418"/>
        </w:tabs>
        <w:snapToGrid w:val="0"/>
        <w:spacing w:before="50" w:after="50" w:line="360" w:lineRule="exact"/>
        <w:rPr>
          <w:rFonts w:hint="eastAsia" w:ascii="宋体" w:hAnsi="宋体" w:eastAsia="宋体" w:cs="宋体"/>
          <w:b/>
          <w:bCs/>
          <w:color w:val="auto"/>
          <w:sz w:val="24"/>
          <w:highlight w:val="none"/>
        </w:rPr>
      </w:pPr>
    </w:p>
    <w:p w14:paraId="692A1D88">
      <w:pPr>
        <w:tabs>
          <w:tab w:val="left" w:pos="1418"/>
        </w:tabs>
        <w:snapToGrid w:val="0"/>
        <w:spacing w:before="50" w:after="50" w:line="360" w:lineRule="exact"/>
        <w:rPr>
          <w:rFonts w:hint="eastAsia" w:ascii="宋体" w:hAnsi="宋体" w:eastAsia="宋体" w:cs="宋体"/>
          <w:b/>
          <w:bCs/>
          <w:color w:val="auto"/>
          <w:sz w:val="24"/>
          <w:highlight w:val="none"/>
        </w:rPr>
      </w:pPr>
    </w:p>
    <w:p w14:paraId="0966C44A">
      <w:pPr>
        <w:tabs>
          <w:tab w:val="left" w:pos="1418"/>
        </w:tabs>
        <w:snapToGrid w:val="0"/>
        <w:spacing w:before="50" w:after="50" w:line="360" w:lineRule="exact"/>
        <w:rPr>
          <w:rFonts w:hint="eastAsia" w:ascii="宋体" w:hAnsi="宋体" w:eastAsia="宋体" w:cs="宋体"/>
          <w:b/>
          <w:bCs/>
          <w:color w:val="auto"/>
          <w:sz w:val="24"/>
          <w:highlight w:val="none"/>
        </w:rPr>
      </w:pPr>
    </w:p>
    <w:p w14:paraId="194C257C">
      <w:pPr>
        <w:tabs>
          <w:tab w:val="left" w:pos="1418"/>
        </w:tabs>
        <w:snapToGrid w:val="0"/>
        <w:spacing w:before="50" w:after="50" w:line="360" w:lineRule="exact"/>
        <w:rPr>
          <w:rFonts w:hint="eastAsia" w:ascii="宋体" w:hAnsi="宋体" w:eastAsia="宋体" w:cs="宋体"/>
          <w:b/>
          <w:bCs/>
          <w:color w:val="auto"/>
          <w:sz w:val="24"/>
          <w:highlight w:val="none"/>
        </w:rPr>
      </w:pPr>
    </w:p>
    <w:p w14:paraId="4778E746">
      <w:pPr>
        <w:tabs>
          <w:tab w:val="left" w:pos="1418"/>
        </w:tabs>
        <w:snapToGrid w:val="0"/>
        <w:spacing w:before="50" w:after="50" w:line="360" w:lineRule="exact"/>
        <w:rPr>
          <w:rFonts w:hint="eastAsia" w:ascii="宋体" w:hAnsi="宋体" w:eastAsia="宋体" w:cs="宋体"/>
          <w:b/>
          <w:bCs/>
          <w:color w:val="auto"/>
          <w:sz w:val="24"/>
          <w:highlight w:val="none"/>
        </w:rPr>
      </w:pPr>
    </w:p>
    <w:p w14:paraId="1D0DFC35">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09C3BFD6">
      <w:pPr>
        <w:snapToGrid w:val="0"/>
        <w:spacing w:before="50" w:after="120" w:afterLines="50" w:line="360" w:lineRule="exact"/>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技术部分</w:t>
      </w:r>
    </w:p>
    <w:p w14:paraId="574FFC67">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1.设备配置清单格式：</w:t>
      </w:r>
    </w:p>
    <w:p w14:paraId="2A3639F3">
      <w:pPr>
        <w:snapToGrid w:val="0"/>
        <w:spacing w:before="50" w:afterLines="50"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设备配置清单</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81"/>
        <w:gridCol w:w="839"/>
        <w:gridCol w:w="1281"/>
        <w:gridCol w:w="1419"/>
        <w:gridCol w:w="2004"/>
        <w:gridCol w:w="1080"/>
      </w:tblGrid>
      <w:tr w14:paraId="36F8A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21DD5E5">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1960C3F7">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839" w:type="dxa"/>
            <w:tcBorders>
              <w:top w:val="single" w:color="auto" w:sz="4" w:space="0"/>
              <w:left w:val="single" w:color="auto" w:sz="4" w:space="0"/>
              <w:bottom w:val="single" w:color="auto" w:sz="4" w:space="0"/>
              <w:right w:val="single" w:color="auto" w:sz="4" w:space="0"/>
            </w:tcBorders>
            <w:vAlign w:val="center"/>
          </w:tcPr>
          <w:p w14:paraId="7373585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4208BCF7">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193439B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2004" w:type="dxa"/>
            <w:tcBorders>
              <w:top w:val="single" w:color="auto" w:sz="4" w:space="0"/>
              <w:left w:val="single" w:color="auto" w:sz="4" w:space="0"/>
              <w:bottom w:val="single" w:color="auto" w:sz="4" w:space="0"/>
              <w:right w:val="single" w:color="auto" w:sz="4" w:space="0"/>
            </w:tcBorders>
            <w:vAlign w:val="center"/>
          </w:tcPr>
          <w:p w14:paraId="690B0D19">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094A006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3692E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BDA4D29">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76F6E44">
            <w:pPr>
              <w:snapToGrid w:val="0"/>
              <w:spacing w:before="50" w:after="50" w:line="360" w:lineRule="exact"/>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127CE34C">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E2CD534">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9046E97">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5CA8D474">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F04EF08">
            <w:pPr>
              <w:snapToGrid w:val="0"/>
              <w:spacing w:before="50" w:after="50" w:line="360" w:lineRule="exact"/>
              <w:jc w:val="center"/>
              <w:rPr>
                <w:rFonts w:hint="eastAsia" w:ascii="宋体" w:hAnsi="宋体" w:eastAsia="宋体" w:cs="宋体"/>
                <w:color w:val="auto"/>
                <w:szCs w:val="21"/>
                <w:highlight w:val="none"/>
              </w:rPr>
            </w:pPr>
          </w:p>
        </w:tc>
      </w:tr>
      <w:tr w14:paraId="59A00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19F17E1">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3C4CB675">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71EE56BE">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E31883F">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732E15B">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46EA71AD">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5786C9A">
            <w:pPr>
              <w:snapToGrid w:val="0"/>
              <w:spacing w:before="50" w:after="50" w:line="360" w:lineRule="exact"/>
              <w:jc w:val="center"/>
              <w:rPr>
                <w:rFonts w:hint="eastAsia" w:ascii="宋体" w:hAnsi="宋体" w:eastAsia="宋体" w:cs="宋体"/>
                <w:color w:val="auto"/>
                <w:szCs w:val="21"/>
                <w:highlight w:val="none"/>
              </w:rPr>
            </w:pPr>
          </w:p>
        </w:tc>
      </w:tr>
      <w:tr w14:paraId="60CA8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306C226">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34B50ED">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5AF169BA">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4A3FF83">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040B345C">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0E022194">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52DCB89">
            <w:pPr>
              <w:snapToGrid w:val="0"/>
              <w:spacing w:before="50" w:after="50" w:line="360" w:lineRule="exact"/>
              <w:jc w:val="center"/>
              <w:rPr>
                <w:rFonts w:hint="eastAsia" w:ascii="宋体" w:hAnsi="宋体" w:eastAsia="宋体" w:cs="宋体"/>
                <w:color w:val="auto"/>
                <w:szCs w:val="21"/>
                <w:highlight w:val="none"/>
              </w:rPr>
            </w:pPr>
          </w:p>
        </w:tc>
      </w:tr>
    </w:tbl>
    <w:p w14:paraId="7A507C0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7F7F8AD">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817EFD0">
      <w:pPr>
        <w:snapToGrid w:val="0"/>
        <w:spacing w:before="50" w:line="360" w:lineRule="exact"/>
        <w:jc w:val="left"/>
        <w:rPr>
          <w:rFonts w:hint="eastAsia" w:ascii="宋体" w:hAnsi="宋体" w:eastAsia="宋体" w:cs="宋体"/>
          <w:b/>
          <w:color w:val="auto"/>
          <w:sz w:val="24"/>
          <w:szCs w:val="20"/>
          <w:highlight w:val="none"/>
        </w:rPr>
      </w:pPr>
      <w:r>
        <w:rPr>
          <w:rFonts w:hint="eastAsia" w:ascii="宋体" w:hAnsi="宋体" w:eastAsia="宋体" w:cs="宋体"/>
          <w:color w:val="auto"/>
          <w:spacing w:val="20"/>
          <w:szCs w:val="21"/>
          <w:highlight w:val="none"/>
        </w:rPr>
        <w:br w:type="page"/>
      </w:r>
      <w:r>
        <w:rPr>
          <w:rFonts w:hint="eastAsia" w:ascii="宋体" w:hAnsi="宋体" w:eastAsia="宋体" w:cs="宋体"/>
          <w:b/>
          <w:color w:val="auto"/>
          <w:sz w:val="24"/>
          <w:highlight w:val="none"/>
        </w:rPr>
        <w:t>2.技术响应表格式：</w:t>
      </w:r>
    </w:p>
    <w:p w14:paraId="42E84BAF">
      <w:pPr>
        <w:spacing w:before="1" w:line="404" w:lineRule="exact"/>
        <w:ind w:left="-1" w:leftChars="-1889" w:right="56" w:hanging="3966" w:hangingChars="1646"/>
        <w:jc w:val="center"/>
        <w:rPr>
          <w:rFonts w:hint="eastAsia" w:ascii="宋体" w:hAnsi="宋体" w:eastAsia="宋体" w:cs="宋体"/>
          <w:b/>
          <w:color w:val="auto"/>
          <w:sz w:val="30"/>
          <w:szCs w:val="30"/>
          <w:highlight w:val="none"/>
        </w:rPr>
      </w:pPr>
      <w:r>
        <w:rPr>
          <w:rFonts w:hint="eastAsia" w:ascii="宋体" w:hAnsi="宋体" w:eastAsia="宋体" w:cs="宋体"/>
          <w:b/>
          <w:color w:val="auto"/>
          <w:sz w:val="24"/>
          <w:highlight w:val="none"/>
        </w:rPr>
        <w:t xml:space="preserve">                                  </w:t>
      </w:r>
      <w:r>
        <w:rPr>
          <w:rFonts w:hint="eastAsia" w:ascii="宋体" w:hAnsi="宋体" w:eastAsia="宋体" w:cs="宋体"/>
          <w:b/>
          <w:color w:val="auto"/>
          <w:sz w:val="30"/>
          <w:szCs w:val="30"/>
          <w:highlight w:val="none"/>
        </w:rPr>
        <w:t>技术响应表</w:t>
      </w:r>
    </w:p>
    <w:tbl>
      <w:tblPr>
        <w:tblStyle w:val="48"/>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373BB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exact"/>
          <w:jc w:val="center"/>
        </w:trPr>
        <w:tc>
          <w:tcPr>
            <w:tcW w:w="826" w:type="dxa"/>
            <w:vAlign w:val="center"/>
          </w:tcPr>
          <w:p w14:paraId="789D9C3C">
            <w:pPr>
              <w:snapToGrid w:val="0"/>
              <w:spacing w:before="50" w:after="50"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序号</w:t>
            </w:r>
          </w:p>
        </w:tc>
        <w:tc>
          <w:tcPr>
            <w:tcW w:w="1363" w:type="dxa"/>
            <w:vAlign w:val="center"/>
          </w:tcPr>
          <w:p w14:paraId="25E21D46">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680" w:type="dxa"/>
            <w:tcBorders>
              <w:right w:val="single" w:color="auto" w:sz="4" w:space="0"/>
            </w:tcBorders>
            <w:vAlign w:val="center"/>
          </w:tcPr>
          <w:p w14:paraId="6C82B73D">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2118" w:type="dxa"/>
            <w:tcBorders>
              <w:left w:val="single" w:color="auto" w:sz="4" w:space="0"/>
            </w:tcBorders>
            <w:vAlign w:val="center"/>
          </w:tcPr>
          <w:p w14:paraId="57E2992B">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w:t>
            </w:r>
          </w:p>
        </w:tc>
        <w:tc>
          <w:tcPr>
            <w:tcW w:w="2976" w:type="dxa"/>
            <w:vAlign w:val="center"/>
          </w:tcPr>
          <w:p w14:paraId="6A969368">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偏离情况说明</w:t>
            </w:r>
          </w:p>
        </w:tc>
      </w:tr>
      <w:tr w14:paraId="053F7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6CDFF03E">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63" w:type="dxa"/>
            <w:vAlign w:val="center"/>
          </w:tcPr>
          <w:p w14:paraId="108D12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1815130C">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0A55EAD">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1B4BD5F2">
            <w:pPr>
              <w:snapToGrid w:val="0"/>
              <w:spacing w:before="50" w:after="50" w:line="360" w:lineRule="exact"/>
              <w:jc w:val="center"/>
              <w:rPr>
                <w:rFonts w:hint="eastAsia" w:ascii="宋体" w:hAnsi="宋体" w:eastAsia="宋体" w:cs="宋体"/>
                <w:color w:val="auto"/>
                <w:szCs w:val="21"/>
                <w:highlight w:val="none"/>
              </w:rPr>
            </w:pPr>
          </w:p>
        </w:tc>
      </w:tr>
      <w:tr w14:paraId="135E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6" w:hRule="exact"/>
          <w:jc w:val="center"/>
        </w:trPr>
        <w:tc>
          <w:tcPr>
            <w:tcW w:w="826" w:type="dxa"/>
            <w:vAlign w:val="center"/>
          </w:tcPr>
          <w:p w14:paraId="0E5D53D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63" w:type="dxa"/>
            <w:vAlign w:val="center"/>
          </w:tcPr>
          <w:p w14:paraId="384DC54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DDE2C1E">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C948A59">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6D1D0A4D">
            <w:pPr>
              <w:snapToGrid w:val="0"/>
              <w:spacing w:before="50" w:after="50" w:line="360" w:lineRule="exact"/>
              <w:jc w:val="center"/>
              <w:rPr>
                <w:rFonts w:hint="eastAsia" w:ascii="宋体" w:hAnsi="宋体" w:eastAsia="宋体" w:cs="宋体"/>
                <w:color w:val="auto"/>
                <w:szCs w:val="21"/>
                <w:highlight w:val="none"/>
              </w:rPr>
            </w:pPr>
          </w:p>
        </w:tc>
      </w:tr>
      <w:tr w14:paraId="5FED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826" w:type="dxa"/>
            <w:vAlign w:val="center"/>
          </w:tcPr>
          <w:p w14:paraId="4FE6723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63" w:type="dxa"/>
            <w:vAlign w:val="center"/>
          </w:tcPr>
          <w:p w14:paraId="569C18E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76A3AC98">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243E3518">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3EFDB9B7">
            <w:pPr>
              <w:snapToGrid w:val="0"/>
              <w:spacing w:before="50" w:after="50" w:line="360" w:lineRule="exact"/>
              <w:jc w:val="center"/>
              <w:rPr>
                <w:rFonts w:hint="eastAsia" w:ascii="宋体" w:hAnsi="宋体" w:eastAsia="宋体" w:cs="宋体"/>
                <w:color w:val="auto"/>
                <w:szCs w:val="21"/>
                <w:highlight w:val="none"/>
              </w:rPr>
            </w:pPr>
          </w:p>
        </w:tc>
      </w:tr>
      <w:tr w14:paraId="397FA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1F328C8A">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N</w:t>
            </w:r>
          </w:p>
        </w:tc>
        <w:tc>
          <w:tcPr>
            <w:tcW w:w="1363" w:type="dxa"/>
            <w:vAlign w:val="center"/>
          </w:tcPr>
          <w:p w14:paraId="77C677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B497679">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2111D5F">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032A48B3">
            <w:pPr>
              <w:snapToGrid w:val="0"/>
              <w:spacing w:before="50" w:after="50" w:line="360" w:lineRule="exact"/>
              <w:jc w:val="center"/>
              <w:rPr>
                <w:rFonts w:hint="eastAsia" w:ascii="宋体" w:hAnsi="宋体" w:eastAsia="宋体" w:cs="宋体"/>
                <w:color w:val="auto"/>
                <w:szCs w:val="21"/>
                <w:highlight w:val="none"/>
              </w:rPr>
            </w:pPr>
          </w:p>
        </w:tc>
      </w:tr>
    </w:tbl>
    <w:p w14:paraId="74293F0D">
      <w:pPr>
        <w:pStyle w:val="20"/>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注：1、投标人应根据投标货物技术参数及其性能（配置）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对照招标文件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要求在“偏离情况”栏注明“正偏离”、“负偏离”或“无偏离”。</w:t>
      </w:r>
    </w:p>
    <w:p w14:paraId="265D8D00">
      <w:pPr>
        <w:pStyle w:val="20"/>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2、投标人应将投标货物技术参数及其性能（配置）中与招标文件要求的有偏离的地方用明显标识，以便于评委评审，否则如给评审造成困难，其可能导致评委作出不利于投标人的评价，是投标人的责任。</w:t>
      </w:r>
    </w:p>
    <w:p w14:paraId="577FDA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1AF08ED">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A819569">
      <w:pPr>
        <w:snapToGrid w:val="0"/>
        <w:spacing w:before="50" w:after="50" w:line="360" w:lineRule="exact"/>
        <w:rPr>
          <w:rFonts w:hint="eastAsia" w:ascii="宋体" w:hAnsi="宋体" w:eastAsia="宋体" w:cs="宋体"/>
          <w:color w:val="auto"/>
          <w:spacing w:val="20"/>
          <w:szCs w:val="21"/>
          <w:highlight w:val="none"/>
        </w:rPr>
      </w:pPr>
    </w:p>
    <w:p w14:paraId="02A9A828">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技术响应表附件</w:t>
      </w:r>
      <w:r>
        <w:rPr>
          <w:rFonts w:hint="eastAsia" w:ascii="宋体" w:hAnsi="宋体" w:eastAsia="宋体" w:cs="宋体"/>
          <w:color w:val="auto"/>
          <w:spacing w:val="20"/>
          <w:szCs w:val="21"/>
          <w:highlight w:val="none"/>
        </w:rPr>
        <w:t>：</w:t>
      </w:r>
    </w:p>
    <w:tbl>
      <w:tblPr>
        <w:tblStyle w:val="48"/>
        <w:tblW w:w="88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4DB1D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897" w:type="dxa"/>
            <w:gridSpan w:val="4"/>
            <w:tcBorders>
              <w:top w:val="single" w:color="auto" w:sz="4" w:space="0"/>
              <w:left w:val="single" w:color="auto" w:sz="4" w:space="0"/>
              <w:bottom w:val="single" w:color="auto" w:sz="4" w:space="0"/>
              <w:right w:val="single" w:color="auto" w:sz="4" w:space="0"/>
            </w:tcBorders>
            <w:vAlign w:val="center"/>
          </w:tcPr>
          <w:p w14:paraId="77DF93C3">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附件资料汇总表</w:t>
            </w:r>
          </w:p>
        </w:tc>
      </w:tr>
      <w:tr w14:paraId="2D8BD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4D3B85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157CDAA8">
            <w:pPr>
              <w:snapToGrid w:val="0"/>
              <w:spacing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2551" w:type="dxa"/>
            <w:tcBorders>
              <w:top w:val="single" w:color="auto" w:sz="4" w:space="0"/>
              <w:left w:val="single" w:color="auto" w:sz="4" w:space="0"/>
              <w:bottom w:val="single" w:color="auto" w:sz="4" w:space="0"/>
              <w:right w:val="single" w:color="auto" w:sz="4" w:space="0"/>
            </w:tcBorders>
            <w:vAlign w:val="center"/>
          </w:tcPr>
          <w:p w14:paraId="374E8BAA">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413303CF">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r>
      <w:tr w14:paraId="27F6E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9" w:type="dxa"/>
            <w:tcBorders>
              <w:top w:val="single" w:color="auto" w:sz="4" w:space="0"/>
              <w:left w:val="single" w:color="auto" w:sz="4" w:space="0"/>
              <w:bottom w:val="single" w:color="auto" w:sz="4" w:space="0"/>
              <w:right w:val="single" w:color="auto" w:sz="4" w:space="0"/>
            </w:tcBorders>
          </w:tcPr>
          <w:p w14:paraId="0C2155E8">
            <w:pPr>
              <w:snapToGrid w:val="0"/>
              <w:spacing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41ED1EA5">
            <w:pPr>
              <w:snapToGrid w:val="0"/>
              <w:spacing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C439B68">
            <w:pPr>
              <w:snapToGrid w:val="0"/>
              <w:spacing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79C3D3F3">
            <w:pPr>
              <w:snapToGrid w:val="0"/>
              <w:spacing w:line="360" w:lineRule="exact"/>
              <w:jc w:val="left"/>
              <w:rPr>
                <w:rFonts w:hint="eastAsia" w:ascii="宋体" w:hAnsi="宋体" w:eastAsia="宋体" w:cs="宋体"/>
                <w:color w:val="auto"/>
                <w:szCs w:val="21"/>
                <w:highlight w:val="none"/>
              </w:rPr>
            </w:pPr>
          </w:p>
        </w:tc>
      </w:tr>
      <w:tr w14:paraId="6B041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5626BA86">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749072D0">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11ED43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C432C3E">
            <w:pPr>
              <w:snapToGrid w:val="0"/>
              <w:spacing w:before="50" w:afterLines="50" w:line="360" w:lineRule="exact"/>
              <w:jc w:val="left"/>
              <w:rPr>
                <w:rFonts w:hint="eastAsia" w:ascii="宋体" w:hAnsi="宋体" w:eastAsia="宋体" w:cs="宋体"/>
                <w:color w:val="auto"/>
                <w:szCs w:val="21"/>
                <w:highlight w:val="none"/>
              </w:rPr>
            </w:pPr>
          </w:p>
        </w:tc>
      </w:tr>
      <w:tr w14:paraId="2EC8C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tcPr>
          <w:p w14:paraId="25DA4622">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AD1DDE4">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BB3CFD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55FBF2F7">
            <w:pPr>
              <w:snapToGrid w:val="0"/>
              <w:spacing w:before="50" w:afterLines="50" w:line="360" w:lineRule="exact"/>
              <w:jc w:val="left"/>
              <w:rPr>
                <w:rFonts w:hint="eastAsia" w:ascii="宋体" w:hAnsi="宋体" w:eastAsia="宋体" w:cs="宋体"/>
                <w:color w:val="auto"/>
                <w:szCs w:val="21"/>
                <w:highlight w:val="none"/>
              </w:rPr>
            </w:pPr>
          </w:p>
        </w:tc>
      </w:tr>
      <w:tr w14:paraId="37EDC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5952136A">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11A81B2B">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A79DBE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D143D77">
            <w:pPr>
              <w:snapToGrid w:val="0"/>
              <w:spacing w:before="50" w:afterLines="50" w:line="360" w:lineRule="exact"/>
              <w:jc w:val="left"/>
              <w:rPr>
                <w:rFonts w:hint="eastAsia" w:ascii="宋体" w:hAnsi="宋体" w:eastAsia="宋体" w:cs="宋体"/>
                <w:color w:val="auto"/>
                <w:szCs w:val="21"/>
                <w:highlight w:val="none"/>
              </w:rPr>
            </w:pPr>
          </w:p>
        </w:tc>
      </w:tr>
      <w:tr w14:paraId="063B5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E8FAF94">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696AED01">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926AB3F">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49CDEE7">
            <w:pPr>
              <w:snapToGrid w:val="0"/>
              <w:spacing w:before="50" w:afterLines="50" w:line="360" w:lineRule="exact"/>
              <w:jc w:val="left"/>
              <w:rPr>
                <w:rFonts w:hint="eastAsia" w:ascii="宋体" w:hAnsi="宋体" w:eastAsia="宋体" w:cs="宋体"/>
                <w:color w:val="auto"/>
                <w:szCs w:val="21"/>
                <w:highlight w:val="none"/>
              </w:rPr>
            </w:pPr>
          </w:p>
        </w:tc>
      </w:tr>
    </w:tbl>
    <w:p w14:paraId="1EA12BB1">
      <w:pPr>
        <w:snapToGrid w:val="0"/>
        <w:spacing w:beforeLines="50" w:after="50" w:line="36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注：此表后附“第</w:t>
      </w:r>
      <w:r>
        <w:rPr>
          <w:rFonts w:hint="eastAsia" w:ascii="宋体" w:hAnsi="宋体" w:cs="宋体"/>
          <w:b/>
          <w:color w:val="auto"/>
          <w:szCs w:val="21"/>
          <w:highlight w:val="none"/>
          <w:lang w:val="en-US" w:eastAsia="zh-CN"/>
        </w:rPr>
        <w:t>二</w:t>
      </w:r>
      <w:r>
        <w:rPr>
          <w:rFonts w:hint="eastAsia" w:ascii="宋体" w:hAnsi="宋体" w:eastAsia="宋体" w:cs="宋体"/>
          <w:b/>
          <w:color w:val="auto"/>
          <w:szCs w:val="21"/>
          <w:highlight w:val="none"/>
        </w:rPr>
        <w:t>章</w:t>
      </w:r>
      <w:r>
        <w:rPr>
          <w:rFonts w:hint="eastAsia" w:ascii="宋体" w:hAnsi="宋体" w:cs="宋体"/>
          <w:b/>
          <w:color w:val="auto"/>
          <w:szCs w:val="21"/>
          <w:highlight w:val="none"/>
          <w:lang w:val="en-US" w:eastAsia="zh-CN"/>
        </w:rPr>
        <w:t xml:space="preserve"> </w:t>
      </w:r>
      <w:r>
        <w:rPr>
          <w:rFonts w:hint="eastAsia" w:ascii="宋体" w:hAnsi="宋体" w:eastAsia="宋体" w:cs="宋体"/>
          <w:b/>
          <w:color w:val="auto"/>
          <w:szCs w:val="21"/>
          <w:highlight w:val="none"/>
        </w:rPr>
        <w:t>招标项目采购需求”中要求必须提供的资料，也可附供应商认为需要提供的投标货物相关资料。</w:t>
      </w:r>
    </w:p>
    <w:p w14:paraId="0AEFCD42">
      <w:pPr>
        <w:pStyle w:val="27"/>
        <w:spacing w:line="400" w:lineRule="exact"/>
        <w:jc w:val="left"/>
        <w:rPr>
          <w:rFonts w:hint="eastAsia" w:ascii="宋体" w:hAnsi="宋体" w:eastAsia="宋体" w:cs="宋体"/>
          <w:b/>
          <w:color w:val="auto"/>
          <w:sz w:val="24"/>
          <w:highlight w:val="none"/>
        </w:rPr>
      </w:pPr>
    </w:p>
    <w:p w14:paraId="12ECA152">
      <w:pPr>
        <w:pStyle w:val="27"/>
        <w:spacing w:line="400" w:lineRule="exact"/>
        <w:jc w:val="left"/>
        <w:rPr>
          <w:rFonts w:hint="eastAsia" w:ascii="宋体" w:hAnsi="宋体" w:eastAsia="宋体" w:cs="宋体"/>
          <w:b/>
          <w:color w:val="auto"/>
          <w:sz w:val="24"/>
          <w:highlight w:val="none"/>
        </w:rPr>
      </w:pPr>
    </w:p>
    <w:p w14:paraId="4E96E059">
      <w:pPr>
        <w:pStyle w:val="14"/>
        <w:rPr>
          <w:rFonts w:hint="eastAsia" w:ascii="宋体" w:hAnsi="宋体" w:eastAsia="宋体" w:cs="宋体"/>
          <w:b/>
          <w:color w:val="auto"/>
          <w:sz w:val="24"/>
          <w:highlight w:val="none"/>
        </w:rPr>
      </w:pPr>
    </w:p>
    <w:p w14:paraId="78EF7BCD">
      <w:pPr>
        <w:rPr>
          <w:rFonts w:hint="eastAsia" w:ascii="宋体" w:hAnsi="宋体" w:eastAsia="宋体" w:cs="宋体"/>
          <w:b/>
          <w:color w:val="auto"/>
          <w:sz w:val="24"/>
          <w:highlight w:val="none"/>
        </w:rPr>
      </w:pPr>
    </w:p>
    <w:p w14:paraId="51F99732">
      <w:pPr>
        <w:rPr>
          <w:rFonts w:hint="eastAsia" w:ascii="宋体" w:hAnsi="宋体" w:eastAsia="宋体" w:cs="宋体"/>
          <w:b/>
          <w:color w:val="auto"/>
          <w:sz w:val="24"/>
          <w:highlight w:val="none"/>
        </w:rPr>
      </w:pPr>
    </w:p>
    <w:p w14:paraId="6A1B7C9E">
      <w:pPr>
        <w:rPr>
          <w:rFonts w:hint="eastAsia"/>
          <w:color w:val="auto"/>
          <w:highlight w:val="none"/>
        </w:rPr>
      </w:pPr>
    </w:p>
    <w:p w14:paraId="11BE31F0">
      <w:pPr>
        <w:pStyle w:val="27"/>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3. 项目实施方案格式：</w:t>
      </w:r>
    </w:p>
    <w:p w14:paraId="45642EC3">
      <w:pPr>
        <w:pStyle w:val="27"/>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项目实施方案</w:t>
      </w:r>
    </w:p>
    <w:p w14:paraId="15C4CCDA">
      <w:pPr>
        <w:pStyle w:val="2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由供应商按第</w:t>
      </w:r>
      <w:r>
        <w:rPr>
          <w:rFonts w:hint="eastAsia" w:hAnsi="宋体" w:cs="宋体"/>
          <w:color w:val="auto"/>
          <w:highlight w:val="none"/>
          <w:lang w:val="en-US" w:eastAsia="zh-CN"/>
        </w:rPr>
        <w:t>二</w:t>
      </w:r>
      <w:r>
        <w:rPr>
          <w:rFonts w:hint="eastAsia" w:ascii="宋体" w:hAnsi="宋体" w:eastAsia="宋体" w:cs="宋体"/>
          <w:color w:val="auto"/>
          <w:highlight w:val="none"/>
        </w:rPr>
        <w:t>章《招标项目采购需求》所投采购需求自行填写，所作的项目实施方案作为构成合同不可分割的部分，必须真实、诚信。</w:t>
      </w:r>
    </w:p>
    <w:p w14:paraId="3AE6498E">
      <w:pPr>
        <w:pStyle w:val="27"/>
        <w:spacing w:line="440" w:lineRule="exact"/>
        <w:ind w:firstLine="402" w:firstLineChars="200"/>
        <w:rPr>
          <w:rFonts w:hint="eastAsia" w:ascii="宋体" w:hAnsi="宋体" w:eastAsia="宋体" w:cs="宋体"/>
          <w:b/>
          <w:bCs/>
          <w:color w:val="auto"/>
          <w:sz w:val="20"/>
          <w:highlight w:val="none"/>
        </w:rPr>
      </w:pPr>
    </w:p>
    <w:p w14:paraId="5ECACEA2">
      <w:pPr>
        <w:pStyle w:val="27"/>
        <w:spacing w:line="440" w:lineRule="exact"/>
        <w:ind w:firstLine="422" w:firstLineChars="200"/>
        <w:rPr>
          <w:rFonts w:hint="eastAsia" w:ascii="宋体" w:hAnsi="宋体" w:eastAsia="宋体" w:cs="宋体"/>
          <w:b/>
          <w:bCs/>
          <w:color w:val="auto"/>
          <w:highlight w:val="none"/>
        </w:rPr>
      </w:pPr>
    </w:p>
    <w:p w14:paraId="6047ABD9">
      <w:pPr>
        <w:pStyle w:val="27"/>
        <w:rPr>
          <w:rFonts w:hint="eastAsia" w:ascii="宋体" w:hAnsi="宋体" w:eastAsia="宋体" w:cs="宋体"/>
          <w:color w:val="auto"/>
          <w:highlight w:val="none"/>
        </w:rPr>
      </w:pPr>
    </w:p>
    <w:p w14:paraId="6A468D7A">
      <w:pPr>
        <w:pStyle w:val="27"/>
        <w:rPr>
          <w:rFonts w:hint="eastAsia" w:ascii="宋体" w:hAnsi="宋体" w:eastAsia="宋体" w:cs="宋体"/>
          <w:color w:val="auto"/>
          <w:highlight w:val="none"/>
        </w:rPr>
      </w:pPr>
    </w:p>
    <w:p w14:paraId="0466C1F6">
      <w:pPr>
        <w:pStyle w:val="27"/>
        <w:rPr>
          <w:rFonts w:hint="eastAsia" w:ascii="宋体" w:hAnsi="宋体" w:eastAsia="宋体" w:cs="宋体"/>
          <w:color w:val="auto"/>
          <w:highlight w:val="none"/>
        </w:rPr>
      </w:pPr>
    </w:p>
    <w:p w14:paraId="18BBBC76">
      <w:pPr>
        <w:pStyle w:val="27"/>
        <w:rPr>
          <w:rFonts w:hint="eastAsia" w:ascii="宋体" w:hAnsi="宋体" w:eastAsia="宋体" w:cs="宋体"/>
          <w:color w:val="auto"/>
          <w:highlight w:val="none"/>
        </w:rPr>
      </w:pPr>
    </w:p>
    <w:p w14:paraId="06CD9229">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937E6E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543EA47">
      <w:pPr>
        <w:pStyle w:val="27"/>
        <w:rPr>
          <w:rFonts w:hint="eastAsia" w:ascii="宋体" w:hAnsi="宋体" w:eastAsia="宋体" w:cs="宋体"/>
          <w:color w:val="auto"/>
          <w:highlight w:val="none"/>
        </w:rPr>
      </w:pPr>
    </w:p>
    <w:p w14:paraId="21782C22">
      <w:pPr>
        <w:pStyle w:val="27"/>
        <w:rPr>
          <w:rFonts w:hint="eastAsia" w:ascii="宋体" w:hAnsi="宋体" w:eastAsia="宋体" w:cs="宋体"/>
          <w:color w:val="auto"/>
          <w:highlight w:val="none"/>
        </w:rPr>
      </w:pPr>
    </w:p>
    <w:p w14:paraId="097B6C2B">
      <w:pPr>
        <w:pStyle w:val="27"/>
        <w:rPr>
          <w:rFonts w:hint="eastAsia" w:ascii="宋体" w:hAnsi="宋体" w:eastAsia="宋体" w:cs="宋体"/>
          <w:color w:val="auto"/>
          <w:highlight w:val="none"/>
        </w:rPr>
      </w:pPr>
    </w:p>
    <w:p w14:paraId="3B9AFD40">
      <w:pPr>
        <w:pStyle w:val="27"/>
        <w:rPr>
          <w:rFonts w:hint="eastAsia" w:ascii="宋体" w:hAnsi="宋体" w:eastAsia="宋体" w:cs="宋体"/>
          <w:color w:val="auto"/>
          <w:highlight w:val="none"/>
        </w:rPr>
      </w:pPr>
    </w:p>
    <w:p w14:paraId="2EE49801">
      <w:pPr>
        <w:pStyle w:val="27"/>
        <w:rPr>
          <w:rFonts w:hint="eastAsia" w:ascii="宋体" w:hAnsi="宋体" w:eastAsia="宋体" w:cs="宋体"/>
          <w:color w:val="auto"/>
          <w:highlight w:val="none"/>
        </w:rPr>
      </w:pPr>
    </w:p>
    <w:p w14:paraId="36D4E5A9">
      <w:pPr>
        <w:pStyle w:val="27"/>
        <w:rPr>
          <w:rFonts w:hint="eastAsia" w:ascii="宋体" w:hAnsi="宋体" w:eastAsia="宋体" w:cs="宋体"/>
          <w:color w:val="auto"/>
          <w:highlight w:val="none"/>
        </w:rPr>
      </w:pPr>
    </w:p>
    <w:p w14:paraId="6BFE3426">
      <w:pPr>
        <w:pStyle w:val="27"/>
        <w:rPr>
          <w:rFonts w:hint="eastAsia" w:ascii="宋体" w:hAnsi="宋体" w:eastAsia="宋体" w:cs="宋体"/>
          <w:color w:val="auto"/>
          <w:highlight w:val="none"/>
        </w:rPr>
      </w:pPr>
    </w:p>
    <w:p w14:paraId="04B5DF43">
      <w:pPr>
        <w:pStyle w:val="27"/>
        <w:rPr>
          <w:rFonts w:hint="eastAsia" w:ascii="宋体" w:hAnsi="宋体" w:eastAsia="宋体" w:cs="宋体"/>
          <w:color w:val="auto"/>
          <w:highlight w:val="none"/>
        </w:rPr>
      </w:pPr>
    </w:p>
    <w:p w14:paraId="68E51088">
      <w:pPr>
        <w:pStyle w:val="27"/>
        <w:rPr>
          <w:rFonts w:hint="eastAsia" w:ascii="宋体" w:hAnsi="宋体" w:eastAsia="宋体" w:cs="宋体"/>
          <w:color w:val="auto"/>
          <w:highlight w:val="none"/>
        </w:rPr>
      </w:pPr>
    </w:p>
    <w:p w14:paraId="2641AA76">
      <w:pPr>
        <w:snapToGrid w:val="0"/>
        <w:spacing w:before="50" w:after="50" w:line="360" w:lineRule="exact"/>
        <w:rPr>
          <w:rFonts w:hint="eastAsia" w:ascii="宋体" w:hAnsi="宋体" w:eastAsia="宋体" w:cs="宋体"/>
          <w:b/>
          <w:color w:val="auto"/>
          <w:sz w:val="24"/>
          <w:highlight w:val="none"/>
        </w:rPr>
      </w:pPr>
    </w:p>
    <w:p w14:paraId="4231451B">
      <w:pPr>
        <w:snapToGrid w:val="0"/>
        <w:spacing w:before="50" w:after="50" w:line="360" w:lineRule="exact"/>
        <w:rPr>
          <w:rFonts w:hint="eastAsia" w:ascii="宋体" w:hAnsi="宋体" w:eastAsia="宋体" w:cs="宋体"/>
          <w:b/>
          <w:color w:val="auto"/>
          <w:sz w:val="24"/>
          <w:highlight w:val="none"/>
        </w:rPr>
      </w:pPr>
    </w:p>
    <w:p w14:paraId="049B85E6">
      <w:pPr>
        <w:snapToGrid w:val="0"/>
        <w:spacing w:before="50" w:after="50" w:line="360" w:lineRule="exact"/>
        <w:rPr>
          <w:rFonts w:hint="eastAsia" w:ascii="宋体" w:hAnsi="宋体" w:eastAsia="宋体" w:cs="宋体"/>
          <w:b/>
          <w:color w:val="auto"/>
          <w:sz w:val="24"/>
          <w:highlight w:val="none"/>
        </w:rPr>
      </w:pPr>
    </w:p>
    <w:p w14:paraId="14DF72C6">
      <w:pPr>
        <w:snapToGrid w:val="0"/>
        <w:spacing w:before="50" w:after="50" w:line="360" w:lineRule="exact"/>
        <w:rPr>
          <w:rFonts w:hint="eastAsia" w:ascii="宋体" w:hAnsi="宋体" w:eastAsia="宋体" w:cs="宋体"/>
          <w:b/>
          <w:color w:val="auto"/>
          <w:sz w:val="24"/>
          <w:highlight w:val="none"/>
        </w:rPr>
      </w:pPr>
    </w:p>
    <w:p w14:paraId="7C71C764">
      <w:pPr>
        <w:snapToGrid w:val="0"/>
        <w:spacing w:before="50" w:after="50" w:line="360" w:lineRule="exact"/>
        <w:rPr>
          <w:rFonts w:hint="eastAsia" w:ascii="宋体" w:hAnsi="宋体" w:eastAsia="宋体" w:cs="宋体"/>
          <w:b/>
          <w:color w:val="auto"/>
          <w:sz w:val="24"/>
          <w:highlight w:val="none"/>
        </w:rPr>
      </w:pPr>
    </w:p>
    <w:p w14:paraId="6A92ADFD">
      <w:pPr>
        <w:snapToGrid w:val="0"/>
        <w:spacing w:before="50" w:after="50" w:line="360" w:lineRule="exact"/>
        <w:rPr>
          <w:rFonts w:hint="eastAsia" w:ascii="宋体" w:hAnsi="宋体" w:eastAsia="宋体" w:cs="宋体"/>
          <w:b/>
          <w:color w:val="auto"/>
          <w:sz w:val="24"/>
          <w:highlight w:val="none"/>
        </w:rPr>
      </w:pPr>
    </w:p>
    <w:p w14:paraId="74003B74">
      <w:pPr>
        <w:snapToGrid w:val="0"/>
        <w:spacing w:before="50" w:after="50" w:line="360" w:lineRule="exact"/>
        <w:rPr>
          <w:rFonts w:hint="eastAsia" w:ascii="宋体" w:hAnsi="宋体" w:eastAsia="宋体" w:cs="宋体"/>
          <w:b/>
          <w:color w:val="auto"/>
          <w:sz w:val="24"/>
          <w:highlight w:val="none"/>
        </w:rPr>
      </w:pPr>
    </w:p>
    <w:p w14:paraId="34B5EB84">
      <w:pPr>
        <w:snapToGrid w:val="0"/>
        <w:spacing w:before="50" w:after="50" w:line="360" w:lineRule="exact"/>
        <w:rPr>
          <w:rFonts w:hint="eastAsia" w:ascii="宋体" w:hAnsi="宋体" w:eastAsia="宋体" w:cs="宋体"/>
          <w:b/>
          <w:color w:val="auto"/>
          <w:sz w:val="24"/>
          <w:highlight w:val="none"/>
        </w:rPr>
      </w:pPr>
    </w:p>
    <w:p w14:paraId="57095FA7">
      <w:pPr>
        <w:snapToGrid w:val="0"/>
        <w:spacing w:before="50" w:after="50" w:line="360" w:lineRule="exact"/>
        <w:rPr>
          <w:rFonts w:hint="eastAsia" w:ascii="宋体" w:hAnsi="宋体" w:eastAsia="宋体" w:cs="宋体"/>
          <w:b/>
          <w:color w:val="auto"/>
          <w:sz w:val="24"/>
          <w:highlight w:val="none"/>
        </w:rPr>
      </w:pPr>
    </w:p>
    <w:p w14:paraId="0B43F4A9">
      <w:pPr>
        <w:snapToGrid w:val="0"/>
        <w:spacing w:before="50" w:after="50" w:line="360" w:lineRule="exact"/>
        <w:rPr>
          <w:rFonts w:hint="eastAsia" w:ascii="宋体" w:hAnsi="宋体" w:eastAsia="宋体" w:cs="宋体"/>
          <w:b/>
          <w:color w:val="auto"/>
          <w:sz w:val="24"/>
          <w:highlight w:val="none"/>
        </w:rPr>
      </w:pPr>
    </w:p>
    <w:p w14:paraId="4D2B9CBE">
      <w:pPr>
        <w:snapToGrid w:val="0"/>
        <w:spacing w:before="50" w:after="50" w:line="360" w:lineRule="exact"/>
        <w:rPr>
          <w:rFonts w:hint="eastAsia" w:ascii="宋体" w:hAnsi="宋体" w:eastAsia="宋体" w:cs="宋体"/>
          <w:b/>
          <w:color w:val="auto"/>
          <w:sz w:val="24"/>
          <w:highlight w:val="none"/>
        </w:rPr>
      </w:pPr>
    </w:p>
    <w:p w14:paraId="72EEFFA6">
      <w:pPr>
        <w:snapToGrid w:val="0"/>
        <w:spacing w:before="50" w:after="50" w:line="360" w:lineRule="exact"/>
        <w:rPr>
          <w:rFonts w:hint="eastAsia" w:ascii="宋体" w:hAnsi="宋体" w:eastAsia="宋体" w:cs="宋体"/>
          <w:b/>
          <w:color w:val="auto"/>
          <w:sz w:val="24"/>
          <w:highlight w:val="none"/>
        </w:rPr>
      </w:pPr>
    </w:p>
    <w:p w14:paraId="4DD4B5EA">
      <w:pPr>
        <w:snapToGrid w:val="0"/>
        <w:spacing w:before="50" w:after="50" w:line="360" w:lineRule="exact"/>
        <w:rPr>
          <w:rFonts w:hint="eastAsia" w:ascii="宋体" w:hAnsi="宋体" w:eastAsia="宋体" w:cs="宋体"/>
          <w:b/>
          <w:color w:val="auto"/>
          <w:sz w:val="24"/>
          <w:highlight w:val="none"/>
        </w:rPr>
      </w:pPr>
    </w:p>
    <w:p w14:paraId="257CF469">
      <w:pPr>
        <w:snapToGrid w:val="0"/>
        <w:spacing w:before="50" w:after="50" w:line="360" w:lineRule="exact"/>
        <w:rPr>
          <w:rFonts w:hint="eastAsia" w:ascii="宋体" w:hAnsi="宋体" w:eastAsia="宋体" w:cs="宋体"/>
          <w:b/>
          <w:color w:val="auto"/>
          <w:sz w:val="24"/>
          <w:highlight w:val="none"/>
        </w:rPr>
      </w:pPr>
    </w:p>
    <w:p w14:paraId="475DC2E2">
      <w:pPr>
        <w:snapToGrid w:val="0"/>
        <w:spacing w:before="50" w:after="50" w:line="360" w:lineRule="exact"/>
        <w:rPr>
          <w:rFonts w:hint="eastAsia" w:ascii="宋体" w:hAnsi="宋体" w:eastAsia="宋体" w:cs="宋体"/>
          <w:b/>
          <w:color w:val="auto"/>
          <w:sz w:val="24"/>
          <w:highlight w:val="none"/>
        </w:rPr>
      </w:pPr>
    </w:p>
    <w:p w14:paraId="3AB74249">
      <w:pPr>
        <w:snapToGrid w:val="0"/>
        <w:spacing w:before="50" w:after="50" w:line="360" w:lineRule="exact"/>
        <w:rPr>
          <w:rFonts w:hint="eastAsia" w:ascii="宋体" w:hAnsi="宋体" w:eastAsia="宋体" w:cs="宋体"/>
          <w:b/>
          <w:color w:val="auto"/>
          <w:sz w:val="24"/>
          <w:highlight w:val="none"/>
        </w:rPr>
      </w:pPr>
    </w:p>
    <w:p w14:paraId="1FC88C5E">
      <w:pPr>
        <w:snapToGrid w:val="0"/>
        <w:spacing w:before="50" w:after="50" w:line="360" w:lineRule="exact"/>
        <w:rPr>
          <w:rFonts w:hint="eastAsia" w:ascii="宋体" w:hAnsi="宋体" w:eastAsia="宋体" w:cs="宋体"/>
          <w:b/>
          <w:color w:val="auto"/>
          <w:sz w:val="24"/>
          <w:highlight w:val="none"/>
        </w:rPr>
      </w:pPr>
    </w:p>
    <w:p w14:paraId="5D7556C9">
      <w:pPr>
        <w:snapToGrid w:val="0"/>
        <w:spacing w:before="50" w:after="50" w:line="360" w:lineRule="exact"/>
        <w:rPr>
          <w:rFonts w:hint="eastAsia" w:ascii="宋体" w:hAnsi="宋体" w:eastAsia="宋体" w:cs="宋体"/>
          <w:b/>
          <w:color w:val="auto"/>
          <w:sz w:val="24"/>
          <w:highlight w:val="none"/>
        </w:rPr>
      </w:pPr>
    </w:p>
    <w:p w14:paraId="09B8165B">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b/>
          <w:color w:val="auto"/>
          <w:sz w:val="24"/>
          <w:highlight w:val="none"/>
        </w:rPr>
        <w:t>4.售后服务方案及承诺书格式：</w:t>
      </w:r>
    </w:p>
    <w:p w14:paraId="1917B1AA">
      <w:pPr>
        <w:snapToGrid w:val="0"/>
        <w:spacing w:before="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售后服务方案及承诺书</w:t>
      </w:r>
    </w:p>
    <w:p w14:paraId="0616F690">
      <w:pPr>
        <w:snapToGrid w:val="0"/>
        <w:spacing w:before="50" w:after="50"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第1条</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由投标人按第二章《招标项目采购需求》要求自行填写，所作的承诺作为构成合同不可分割的部分，必须真实、诚信，如提供虚假承诺或在中标、成交后不按其承诺履行的，将依法追究违约责任，并按《中华人民共和国政府采购法》规定予以处罚。）</w:t>
      </w:r>
    </w:p>
    <w:p w14:paraId="08C25295">
      <w:pPr>
        <w:snapToGrid w:val="0"/>
        <w:spacing w:before="50" w:after="50"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第2条</w:t>
      </w:r>
    </w:p>
    <w:p w14:paraId="41CD9560">
      <w:pPr>
        <w:snapToGrid w:val="0"/>
        <w:spacing w:before="50" w:after="50" w:line="360" w:lineRule="exact"/>
        <w:ind w:firstLine="210" w:firstLineChars="100"/>
        <w:rPr>
          <w:rFonts w:hint="eastAsia" w:ascii="宋体" w:hAnsi="宋体" w:eastAsia="宋体" w:cs="宋体"/>
          <w:color w:val="auto"/>
          <w:szCs w:val="21"/>
          <w:highlight w:val="none"/>
        </w:rPr>
      </w:pPr>
    </w:p>
    <w:p w14:paraId="5956FD5F">
      <w:pPr>
        <w:snapToGrid w:val="0"/>
        <w:spacing w:before="50" w:after="50" w:line="360" w:lineRule="exact"/>
        <w:ind w:firstLine="210" w:firstLineChars="100"/>
        <w:rPr>
          <w:rFonts w:hint="eastAsia" w:ascii="宋体" w:hAnsi="宋体" w:eastAsia="宋体" w:cs="宋体"/>
          <w:color w:val="auto"/>
          <w:szCs w:val="21"/>
          <w:highlight w:val="none"/>
        </w:rPr>
      </w:pPr>
    </w:p>
    <w:p w14:paraId="65C905D9">
      <w:pPr>
        <w:snapToGrid w:val="0"/>
        <w:spacing w:before="50" w:after="50" w:line="360" w:lineRule="exact"/>
        <w:ind w:firstLine="210" w:firstLineChars="100"/>
        <w:rPr>
          <w:rFonts w:hint="eastAsia" w:ascii="宋体" w:hAnsi="宋体" w:eastAsia="宋体" w:cs="宋体"/>
          <w:color w:val="auto"/>
          <w:szCs w:val="21"/>
          <w:highlight w:val="none"/>
        </w:rPr>
      </w:pPr>
    </w:p>
    <w:p w14:paraId="5DF68426">
      <w:pPr>
        <w:snapToGrid w:val="0"/>
        <w:spacing w:before="50" w:after="50" w:line="360" w:lineRule="exact"/>
        <w:ind w:firstLine="210" w:firstLineChars="100"/>
        <w:rPr>
          <w:rFonts w:hint="eastAsia" w:ascii="宋体" w:hAnsi="宋体" w:eastAsia="宋体" w:cs="宋体"/>
          <w:color w:val="auto"/>
          <w:szCs w:val="21"/>
          <w:highlight w:val="none"/>
        </w:rPr>
      </w:pPr>
    </w:p>
    <w:p w14:paraId="1645FACA">
      <w:pPr>
        <w:snapToGrid w:val="0"/>
        <w:spacing w:before="50" w:after="50" w:line="360" w:lineRule="exact"/>
        <w:ind w:firstLine="210" w:firstLineChars="100"/>
        <w:rPr>
          <w:rFonts w:hint="eastAsia" w:ascii="宋体" w:hAnsi="宋体" w:eastAsia="宋体" w:cs="宋体"/>
          <w:color w:val="auto"/>
          <w:szCs w:val="21"/>
          <w:highlight w:val="none"/>
        </w:rPr>
      </w:pPr>
    </w:p>
    <w:p w14:paraId="348CC54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4C6E2A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81DEF49">
      <w:pPr>
        <w:spacing w:line="360" w:lineRule="exact"/>
        <w:ind w:firstLine="6300" w:firstLineChars="3000"/>
        <w:rPr>
          <w:rFonts w:hint="eastAsia" w:ascii="宋体" w:hAnsi="宋体" w:eastAsia="宋体" w:cs="宋体"/>
          <w:color w:val="auto"/>
          <w:szCs w:val="21"/>
          <w:highlight w:val="none"/>
        </w:rPr>
      </w:pPr>
    </w:p>
    <w:p w14:paraId="00BE512A">
      <w:pPr>
        <w:spacing w:line="360" w:lineRule="exact"/>
        <w:ind w:firstLine="6300" w:firstLineChars="3000"/>
        <w:rPr>
          <w:rFonts w:hint="eastAsia" w:ascii="宋体" w:hAnsi="宋体" w:eastAsia="宋体" w:cs="宋体"/>
          <w:color w:val="auto"/>
          <w:szCs w:val="21"/>
          <w:highlight w:val="none"/>
        </w:rPr>
      </w:pPr>
    </w:p>
    <w:p w14:paraId="07FFDCA6">
      <w:pPr>
        <w:spacing w:line="360" w:lineRule="exact"/>
        <w:ind w:firstLine="6300" w:firstLineChars="3000"/>
        <w:rPr>
          <w:rFonts w:hint="eastAsia" w:ascii="宋体" w:hAnsi="宋体" w:eastAsia="宋体" w:cs="宋体"/>
          <w:color w:val="auto"/>
          <w:szCs w:val="21"/>
          <w:highlight w:val="none"/>
        </w:rPr>
      </w:pPr>
    </w:p>
    <w:p w14:paraId="38CA47E1">
      <w:pPr>
        <w:spacing w:line="360" w:lineRule="exact"/>
        <w:ind w:firstLine="6300" w:firstLineChars="3000"/>
        <w:rPr>
          <w:rFonts w:hint="eastAsia" w:ascii="宋体" w:hAnsi="宋体" w:eastAsia="宋体" w:cs="宋体"/>
          <w:color w:val="auto"/>
          <w:szCs w:val="21"/>
          <w:highlight w:val="none"/>
        </w:rPr>
      </w:pPr>
    </w:p>
    <w:p w14:paraId="152148CC">
      <w:pPr>
        <w:spacing w:line="360" w:lineRule="exact"/>
        <w:ind w:firstLine="6300" w:firstLineChars="3000"/>
        <w:rPr>
          <w:rFonts w:hint="eastAsia" w:ascii="宋体" w:hAnsi="宋体" w:eastAsia="宋体" w:cs="宋体"/>
          <w:color w:val="auto"/>
          <w:szCs w:val="21"/>
          <w:highlight w:val="none"/>
        </w:rPr>
      </w:pPr>
    </w:p>
    <w:p w14:paraId="26828CFD">
      <w:pPr>
        <w:spacing w:line="360" w:lineRule="exact"/>
        <w:ind w:firstLine="6300" w:firstLineChars="3000"/>
        <w:rPr>
          <w:rFonts w:hint="eastAsia" w:ascii="宋体" w:hAnsi="宋体" w:eastAsia="宋体" w:cs="宋体"/>
          <w:color w:val="auto"/>
          <w:szCs w:val="21"/>
          <w:highlight w:val="none"/>
        </w:rPr>
      </w:pPr>
    </w:p>
    <w:p w14:paraId="56BDA3A4">
      <w:pPr>
        <w:spacing w:line="360" w:lineRule="exact"/>
        <w:ind w:firstLine="6300" w:firstLineChars="3000"/>
        <w:rPr>
          <w:rFonts w:hint="eastAsia" w:ascii="宋体" w:hAnsi="宋体" w:eastAsia="宋体" w:cs="宋体"/>
          <w:color w:val="auto"/>
          <w:szCs w:val="21"/>
          <w:highlight w:val="none"/>
        </w:rPr>
      </w:pPr>
    </w:p>
    <w:p w14:paraId="7D62C800">
      <w:pPr>
        <w:spacing w:line="360" w:lineRule="exact"/>
        <w:ind w:firstLine="6300" w:firstLineChars="3000"/>
        <w:rPr>
          <w:rFonts w:hint="eastAsia" w:ascii="宋体" w:hAnsi="宋体" w:eastAsia="宋体" w:cs="宋体"/>
          <w:color w:val="auto"/>
          <w:szCs w:val="21"/>
          <w:highlight w:val="none"/>
        </w:rPr>
      </w:pPr>
    </w:p>
    <w:p w14:paraId="3937E925">
      <w:pPr>
        <w:spacing w:line="360" w:lineRule="exact"/>
        <w:ind w:firstLine="6300" w:firstLineChars="3000"/>
        <w:rPr>
          <w:rFonts w:hint="eastAsia" w:ascii="宋体" w:hAnsi="宋体" w:eastAsia="宋体" w:cs="宋体"/>
          <w:color w:val="auto"/>
          <w:szCs w:val="21"/>
          <w:highlight w:val="none"/>
        </w:rPr>
      </w:pPr>
    </w:p>
    <w:p w14:paraId="5813E23D">
      <w:pPr>
        <w:spacing w:line="360" w:lineRule="exact"/>
        <w:ind w:firstLine="6300" w:firstLineChars="3000"/>
        <w:rPr>
          <w:rFonts w:hint="eastAsia" w:ascii="宋体" w:hAnsi="宋体" w:eastAsia="宋体" w:cs="宋体"/>
          <w:color w:val="auto"/>
          <w:szCs w:val="21"/>
          <w:highlight w:val="none"/>
        </w:rPr>
      </w:pPr>
    </w:p>
    <w:p w14:paraId="78DC7848">
      <w:pPr>
        <w:spacing w:line="360" w:lineRule="exact"/>
        <w:ind w:firstLine="6300" w:firstLineChars="3000"/>
        <w:rPr>
          <w:rFonts w:hint="eastAsia" w:ascii="宋体" w:hAnsi="宋体" w:eastAsia="宋体" w:cs="宋体"/>
          <w:color w:val="auto"/>
          <w:szCs w:val="21"/>
          <w:highlight w:val="none"/>
        </w:rPr>
      </w:pPr>
    </w:p>
    <w:p w14:paraId="03850063">
      <w:pPr>
        <w:spacing w:line="360" w:lineRule="exact"/>
        <w:ind w:firstLine="6300" w:firstLineChars="3000"/>
        <w:rPr>
          <w:rFonts w:hint="eastAsia" w:ascii="宋体" w:hAnsi="宋体" w:eastAsia="宋体" w:cs="宋体"/>
          <w:color w:val="auto"/>
          <w:szCs w:val="21"/>
          <w:highlight w:val="none"/>
        </w:rPr>
      </w:pPr>
    </w:p>
    <w:p w14:paraId="249999B1">
      <w:pPr>
        <w:spacing w:line="360" w:lineRule="exact"/>
        <w:ind w:firstLine="6300" w:firstLineChars="3000"/>
        <w:rPr>
          <w:rFonts w:hint="eastAsia" w:ascii="宋体" w:hAnsi="宋体" w:eastAsia="宋体" w:cs="宋体"/>
          <w:color w:val="auto"/>
          <w:szCs w:val="21"/>
          <w:highlight w:val="none"/>
        </w:rPr>
      </w:pPr>
    </w:p>
    <w:p w14:paraId="21631702">
      <w:pPr>
        <w:spacing w:line="360" w:lineRule="exact"/>
        <w:ind w:firstLine="6300" w:firstLineChars="3000"/>
        <w:rPr>
          <w:rFonts w:hint="eastAsia" w:ascii="宋体" w:hAnsi="宋体" w:eastAsia="宋体" w:cs="宋体"/>
          <w:color w:val="auto"/>
          <w:szCs w:val="21"/>
          <w:highlight w:val="none"/>
        </w:rPr>
      </w:pPr>
    </w:p>
    <w:p w14:paraId="17ADCD35">
      <w:pPr>
        <w:spacing w:line="360" w:lineRule="exact"/>
        <w:ind w:firstLine="6300" w:firstLineChars="3000"/>
        <w:rPr>
          <w:rFonts w:hint="eastAsia" w:ascii="宋体" w:hAnsi="宋体" w:eastAsia="宋体" w:cs="宋体"/>
          <w:color w:val="auto"/>
          <w:szCs w:val="21"/>
          <w:highlight w:val="none"/>
        </w:rPr>
      </w:pPr>
    </w:p>
    <w:p w14:paraId="56CF63DC">
      <w:pPr>
        <w:spacing w:line="360" w:lineRule="exact"/>
        <w:ind w:firstLine="6300" w:firstLineChars="3000"/>
        <w:rPr>
          <w:rFonts w:hint="eastAsia" w:ascii="宋体" w:hAnsi="宋体" w:eastAsia="宋体" w:cs="宋体"/>
          <w:color w:val="auto"/>
          <w:szCs w:val="21"/>
          <w:highlight w:val="none"/>
        </w:rPr>
      </w:pPr>
    </w:p>
    <w:p w14:paraId="36B36E1E">
      <w:pPr>
        <w:spacing w:line="360" w:lineRule="exact"/>
        <w:ind w:firstLine="6300" w:firstLineChars="3000"/>
        <w:rPr>
          <w:rFonts w:hint="eastAsia" w:ascii="宋体" w:hAnsi="宋体" w:eastAsia="宋体" w:cs="宋体"/>
          <w:color w:val="auto"/>
          <w:szCs w:val="21"/>
          <w:highlight w:val="none"/>
        </w:rPr>
      </w:pPr>
    </w:p>
    <w:p w14:paraId="5A4DA769">
      <w:pPr>
        <w:spacing w:line="360" w:lineRule="exact"/>
        <w:ind w:firstLine="6300" w:firstLineChars="3000"/>
        <w:rPr>
          <w:rFonts w:hint="eastAsia" w:ascii="宋体" w:hAnsi="宋体" w:eastAsia="宋体" w:cs="宋体"/>
          <w:color w:val="auto"/>
          <w:szCs w:val="21"/>
          <w:highlight w:val="none"/>
        </w:rPr>
      </w:pPr>
    </w:p>
    <w:p w14:paraId="3076C487">
      <w:pPr>
        <w:spacing w:line="360" w:lineRule="exact"/>
        <w:ind w:firstLine="6300" w:firstLineChars="3000"/>
        <w:rPr>
          <w:rFonts w:hint="eastAsia" w:ascii="宋体" w:hAnsi="宋体" w:eastAsia="宋体" w:cs="宋体"/>
          <w:color w:val="auto"/>
          <w:szCs w:val="21"/>
          <w:highlight w:val="none"/>
        </w:rPr>
      </w:pPr>
    </w:p>
    <w:p w14:paraId="65E9E252">
      <w:pPr>
        <w:spacing w:line="360" w:lineRule="exact"/>
        <w:ind w:firstLine="6300" w:firstLineChars="3000"/>
        <w:rPr>
          <w:rFonts w:hint="eastAsia" w:ascii="宋体" w:hAnsi="宋体" w:eastAsia="宋体" w:cs="宋体"/>
          <w:color w:val="auto"/>
          <w:szCs w:val="21"/>
          <w:highlight w:val="none"/>
        </w:rPr>
      </w:pPr>
    </w:p>
    <w:p w14:paraId="74B3ACC4">
      <w:pPr>
        <w:spacing w:line="360" w:lineRule="exact"/>
        <w:ind w:firstLine="6300" w:firstLineChars="3000"/>
        <w:rPr>
          <w:rFonts w:hint="eastAsia" w:ascii="宋体" w:hAnsi="宋体" w:eastAsia="宋体" w:cs="宋体"/>
          <w:color w:val="auto"/>
          <w:szCs w:val="21"/>
          <w:highlight w:val="none"/>
        </w:rPr>
      </w:pPr>
    </w:p>
    <w:p w14:paraId="02ABF4EF">
      <w:pPr>
        <w:spacing w:line="360" w:lineRule="exact"/>
        <w:ind w:firstLine="6300" w:firstLineChars="3000"/>
        <w:rPr>
          <w:rFonts w:hint="eastAsia" w:ascii="宋体" w:hAnsi="宋体" w:eastAsia="宋体" w:cs="宋体"/>
          <w:color w:val="auto"/>
          <w:szCs w:val="21"/>
          <w:highlight w:val="none"/>
        </w:rPr>
      </w:pPr>
    </w:p>
    <w:p w14:paraId="74857F32">
      <w:pPr>
        <w:spacing w:line="360" w:lineRule="exact"/>
        <w:ind w:firstLine="6300" w:firstLineChars="3000"/>
        <w:rPr>
          <w:rFonts w:hint="eastAsia" w:ascii="宋体" w:hAnsi="宋体" w:eastAsia="宋体" w:cs="宋体"/>
          <w:color w:val="auto"/>
          <w:szCs w:val="21"/>
          <w:highlight w:val="none"/>
        </w:rPr>
      </w:pPr>
    </w:p>
    <w:p w14:paraId="00A1840A">
      <w:pPr>
        <w:spacing w:line="360" w:lineRule="exact"/>
        <w:ind w:firstLine="6300" w:firstLineChars="3000"/>
        <w:rPr>
          <w:rFonts w:hint="eastAsia" w:ascii="宋体" w:hAnsi="宋体" w:eastAsia="宋体" w:cs="宋体"/>
          <w:color w:val="auto"/>
          <w:szCs w:val="21"/>
          <w:highlight w:val="none"/>
        </w:rPr>
      </w:pPr>
    </w:p>
    <w:p w14:paraId="6F823CBD">
      <w:pPr>
        <w:spacing w:line="360" w:lineRule="exact"/>
        <w:ind w:firstLine="6300" w:firstLineChars="3000"/>
        <w:rPr>
          <w:rFonts w:hint="eastAsia" w:ascii="宋体" w:hAnsi="宋体" w:eastAsia="宋体" w:cs="宋体"/>
          <w:color w:val="auto"/>
          <w:szCs w:val="21"/>
          <w:highlight w:val="none"/>
        </w:rPr>
      </w:pPr>
    </w:p>
    <w:p w14:paraId="2FBF1705">
      <w:pPr>
        <w:snapToGrid w:val="0"/>
        <w:spacing w:before="50" w:afterLines="50" w:line="360" w:lineRule="exact"/>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5.选配件、专用耗材、售后服务优惠表格式：</w:t>
      </w:r>
    </w:p>
    <w:p w14:paraId="186DC8CB">
      <w:pPr>
        <w:tabs>
          <w:tab w:val="left" w:pos="315"/>
        </w:tabs>
        <w:snapToGrid w:val="0"/>
        <w:spacing w:before="50" w:after="50" w:line="360" w:lineRule="exact"/>
        <w:rPr>
          <w:rFonts w:hint="eastAsia" w:ascii="宋体" w:hAnsi="宋体" w:eastAsia="宋体" w:cs="宋体"/>
          <w:color w:val="auto"/>
          <w:sz w:val="24"/>
          <w:highlight w:val="none"/>
        </w:rPr>
      </w:pPr>
    </w:p>
    <w:p w14:paraId="3C05B4DA">
      <w:pPr>
        <w:tabs>
          <w:tab w:val="left" w:pos="315"/>
        </w:tabs>
        <w:snapToGrid w:val="0"/>
        <w:spacing w:before="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选配件、专用耗材、售后服务优惠表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48B10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2" w:hRule="exac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F8CB73">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0CC9EFFF">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0B9719B">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FC7E5E0">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58778BFE">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比投标报价优惠率</w:t>
            </w:r>
          </w:p>
        </w:tc>
      </w:tr>
      <w:tr w14:paraId="30CB8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7EF03A50">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tcPr>
          <w:p w14:paraId="749A0334">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tcPr>
          <w:p w14:paraId="5ADF0183">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14:paraId="627ECA53">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2" w:space="0"/>
              <w:left w:val="single" w:color="auto" w:sz="6" w:space="0"/>
              <w:bottom w:val="single" w:color="auto" w:sz="6" w:space="0"/>
              <w:right w:val="single" w:color="auto" w:sz="2" w:space="0"/>
            </w:tcBorders>
          </w:tcPr>
          <w:p w14:paraId="5BD3008B">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10949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5D2C1606">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tcPr>
          <w:p w14:paraId="3CB00668">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19CAFE12">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FA51F09">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404E06A8">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75464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1C7F459E">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tcPr>
          <w:p w14:paraId="3EB11584">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4D39FEF8">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02BCBD13">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3497B69F">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56C7C3AB">
      <w:pPr>
        <w:snapToGrid w:val="0"/>
        <w:spacing w:before="50" w:after="50" w:line="360" w:lineRule="exact"/>
        <w:ind w:firstLine="210" w:firstLineChars="100"/>
        <w:rPr>
          <w:rFonts w:hint="eastAsia" w:ascii="宋体" w:hAnsi="宋体" w:eastAsia="宋体" w:cs="宋体"/>
          <w:color w:val="auto"/>
          <w:szCs w:val="21"/>
          <w:highlight w:val="none"/>
        </w:rPr>
      </w:pPr>
    </w:p>
    <w:p w14:paraId="489C729E">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23FCC587">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9870E3E">
      <w:pPr>
        <w:spacing w:line="360" w:lineRule="exact"/>
        <w:ind w:firstLine="6300" w:firstLineChars="3000"/>
        <w:rPr>
          <w:rFonts w:hint="eastAsia" w:ascii="宋体" w:hAnsi="宋体" w:eastAsia="宋体" w:cs="宋体"/>
          <w:color w:val="auto"/>
          <w:szCs w:val="21"/>
          <w:highlight w:val="none"/>
        </w:rPr>
      </w:pPr>
    </w:p>
    <w:p w14:paraId="31FE8996">
      <w:pPr>
        <w:spacing w:line="360" w:lineRule="exact"/>
        <w:ind w:firstLine="6300" w:firstLineChars="3000"/>
        <w:rPr>
          <w:rFonts w:hint="eastAsia" w:ascii="宋体" w:hAnsi="宋体" w:eastAsia="宋体" w:cs="宋体"/>
          <w:color w:val="auto"/>
          <w:szCs w:val="21"/>
          <w:highlight w:val="none"/>
        </w:rPr>
      </w:pPr>
    </w:p>
    <w:p w14:paraId="7A54A4FB">
      <w:pPr>
        <w:spacing w:line="360" w:lineRule="exact"/>
        <w:ind w:firstLine="6300" w:firstLineChars="3000"/>
        <w:rPr>
          <w:rFonts w:hint="eastAsia" w:ascii="宋体" w:hAnsi="宋体" w:eastAsia="宋体" w:cs="宋体"/>
          <w:color w:val="auto"/>
          <w:szCs w:val="21"/>
          <w:highlight w:val="none"/>
        </w:rPr>
      </w:pPr>
    </w:p>
    <w:p w14:paraId="1B1E84D9">
      <w:pPr>
        <w:spacing w:line="360" w:lineRule="exact"/>
        <w:ind w:firstLine="6300" w:firstLineChars="3000"/>
        <w:rPr>
          <w:rFonts w:hint="eastAsia" w:ascii="宋体" w:hAnsi="宋体" w:eastAsia="宋体" w:cs="宋体"/>
          <w:color w:val="auto"/>
          <w:szCs w:val="21"/>
          <w:highlight w:val="none"/>
        </w:rPr>
      </w:pPr>
    </w:p>
    <w:p w14:paraId="14943313">
      <w:pPr>
        <w:spacing w:line="360" w:lineRule="exact"/>
        <w:ind w:firstLine="6300" w:firstLineChars="3000"/>
        <w:rPr>
          <w:rFonts w:hint="eastAsia" w:ascii="宋体" w:hAnsi="宋体" w:eastAsia="宋体" w:cs="宋体"/>
          <w:color w:val="auto"/>
          <w:szCs w:val="21"/>
          <w:highlight w:val="none"/>
        </w:rPr>
      </w:pPr>
    </w:p>
    <w:p w14:paraId="34082A26">
      <w:pPr>
        <w:spacing w:line="360" w:lineRule="exact"/>
        <w:ind w:firstLine="6300" w:firstLineChars="3000"/>
        <w:rPr>
          <w:rFonts w:hint="eastAsia" w:ascii="宋体" w:hAnsi="宋体" w:eastAsia="宋体" w:cs="宋体"/>
          <w:color w:val="auto"/>
          <w:szCs w:val="21"/>
          <w:highlight w:val="none"/>
        </w:rPr>
      </w:pPr>
    </w:p>
    <w:p w14:paraId="6F159641">
      <w:pPr>
        <w:spacing w:line="360" w:lineRule="exact"/>
        <w:ind w:firstLine="6300" w:firstLineChars="3000"/>
        <w:rPr>
          <w:rFonts w:hint="eastAsia" w:ascii="宋体" w:hAnsi="宋体" w:eastAsia="宋体" w:cs="宋体"/>
          <w:color w:val="auto"/>
          <w:szCs w:val="21"/>
          <w:highlight w:val="none"/>
        </w:rPr>
      </w:pPr>
    </w:p>
    <w:p w14:paraId="76300BEF">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投标人对本项目的合理化建议和改进措施（格式自拟）；</w:t>
      </w:r>
    </w:p>
    <w:p w14:paraId="6E82769D">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7.</w:t>
      </w:r>
      <w:r>
        <w:rPr>
          <w:rFonts w:hint="eastAsia" w:ascii="宋体" w:hAnsi="宋体" w:eastAsia="宋体" w:cs="宋体"/>
          <w:b/>
          <w:color w:val="auto"/>
          <w:sz w:val="24"/>
          <w:highlight w:val="none"/>
        </w:rPr>
        <w:t>投标人需要说明的其他文件和说明（格式自拟）。</w:t>
      </w:r>
    </w:p>
    <w:p w14:paraId="63A7BD98">
      <w:pPr>
        <w:spacing w:line="360" w:lineRule="exact"/>
        <w:ind w:firstLine="6300" w:firstLineChars="3000"/>
        <w:rPr>
          <w:rFonts w:hint="eastAsia" w:ascii="宋体" w:hAnsi="宋体" w:eastAsia="宋体" w:cs="宋体"/>
          <w:color w:val="auto"/>
          <w:szCs w:val="21"/>
          <w:highlight w:val="none"/>
        </w:rPr>
      </w:pPr>
    </w:p>
    <w:bookmarkEnd w:id="104"/>
    <w:sectPr>
      <w:footerReference r:id="rId7" w:type="first"/>
      <w:headerReference r:id="rId3" w:type="default"/>
      <w:footerReference r:id="rId5" w:type="default"/>
      <w:headerReference r:id="rId4" w:type="even"/>
      <w:footerReference r:id="rId6" w:type="even"/>
      <w:pgSz w:w="11906" w:h="16838"/>
      <w:pgMar w:top="1134" w:right="1134" w:bottom="1134" w:left="1134" w:header="851" w:footer="992" w:gutter="0"/>
      <w:pgNumType w:chapStyle="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CED6E">
    <w:pPr>
      <w:pStyle w:val="2"/>
      <w:framePr w:wrap="around" w:vAnchor="text" w:hAnchor="page" w:x="5761" w:y="427"/>
      <w:rPr>
        <w:rStyle w:val="53"/>
      </w:rPr>
    </w:pPr>
    <w:r>
      <w:fldChar w:fldCharType="begin"/>
    </w:r>
    <w:r>
      <w:rPr>
        <w:rStyle w:val="53"/>
      </w:rPr>
      <w:instrText xml:space="preserve">PAGE  </w:instrText>
    </w:r>
    <w:r>
      <w:fldChar w:fldCharType="separate"/>
    </w:r>
    <w:r>
      <w:rPr>
        <w:rStyle w:val="53"/>
      </w:rPr>
      <w:t>55</w:t>
    </w:r>
    <w:r>
      <w:fldChar w:fldCharType="end"/>
    </w:r>
  </w:p>
  <w:p w14:paraId="62C3C95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EBC8">
    <w:pPr>
      <w:pStyle w:val="2"/>
      <w:framePr w:wrap="around" w:vAnchor="text" w:hAnchor="margin" w:xAlign="center" w:y="1"/>
      <w:rPr>
        <w:rStyle w:val="53"/>
      </w:rPr>
    </w:pPr>
    <w:r>
      <w:fldChar w:fldCharType="begin"/>
    </w:r>
    <w:r>
      <w:rPr>
        <w:rStyle w:val="53"/>
      </w:rPr>
      <w:instrText xml:space="preserve">PAGE  </w:instrText>
    </w:r>
    <w:r>
      <w:fldChar w:fldCharType="end"/>
    </w:r>
  </w:p>
  <w:p w14:paraId="3639267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FDED">
    <w:pPr>
      <w:pStyle w:val="2"/>
      <w:framePr w:wrap="around" w:vAnchor="text" w:hAnchor="margin" w:xAlign="right" w:y="1"/>
      <w:rPr>
        <w:rStyle w:val="53"/>
      </w:rPr>
    </w:pPr>
  </w:p>
  <w:p w14:paraId="52513756">
    <w:pPr>
      <w:pStyle w:val="2"/>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576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3753">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7461D"/>
    <w:multiLevelType w:val="multilevel"/>
    <w:tmpl w:val="03A7461D"/>
    <w:lvl w:ilvl="0" w:tentative="0">
      <w:start w:val="1"/>
      <w:numFmt w:val="lowerLetter"/>
      <w:lvlText w:val="%1)"/>
      <w:lvlJc w:val="left"/>
      <w:pPr>
        <w:tabs>
          <w:tab w:val="left" w:pos="900"/>
        </w:tabs>
        <w:ind w:left="900" w:hanging="420"/>
      </w:pPr>
    </w:lvl>
    <w:lvl w:ilvl="1" w:tentative="0">
      <w:start w:val="1"/>
      <w:numFmt w:val="decimal"/>
      <w:lvlText w:val="（%2）"/>
      <w:lvlJc w:val="left"/>
      <w:pPr>
        <w:tabs>
          <w:tab w:val="left" w:pos="1620"/>
        </w:tabs>
        <w:ind w:left="1620" w:hanging="720"/>
      </w:pPr>
      <w:rPr>
        <w:rFonts w:hint="default"/>
        <w:lang w:val="en-U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FAEB2AD"/>
    <w:multiLevelType w:val="singleLevel"/>
    <w:tmpl w:val="0FAEB2A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WM5Njk2NzhmNDBkMDcwYTM0OGUzMzBiYmFhZGEifQ=="/>
    <w:docVar w:name="KSO_WPS_MARK_KEY" w:val="7d13996a-8e5b-4025-9e8c-684fa49542d0"/>
  </w:docVars>
  <w:rsids>
    <w:rsidRoot w:val="00172A27"/>
    <w:rsid w:val="00000B38"/>
    <w:rsid w:val="00001274"/>
    <w:rsid w:val="000017C1"/>
    <w:rsid w:val="00003C99"/>
    <w:rsid w:val="00004485"/>
    <w:rsid w:val="000053EF"/>
    <w:rsid w:val="0000562E"/>
    <w:rsid w:val="00011F12"/>
    <w:rsid w:val="00013F7A"/>
    <w:rsid w:val="00021743"/>
    <w:rsid w:val="0002346D"/>
    <w:rsid w:val="0002760D"/>
    <w:rsid w:val="00030EF3"/>
    <w:rsid w:val="0003325C"/>
    <w:rsid w:val="0003361B"/>
    <w:rsid w:val="000342E2"/>
    <w:rsid w:val="00034E02"/>
    <w:rsid w:val="00035009"/>
    <w:rsid w:val="00035602"/>
    <w:rsid w:val="000363C6"/>
    <w:rsid w:val="000367E5"/>
    <w:rsid w:val="00040FC7"/>
    <w:rsid w:val="0004560A"/>
    <w:rsid w:val="00045690"/>
    <w:rsid w:val="0004685B"/>
    <w:rsid w:val="00046B9F"/>
    <w:rsid w:val="00050296"/>
    <w:rsid w:val="00050CE6"/>
    <w:rsid w:val="00054B00"/>
    <w:rsid w:val="00055193"/>
    <w:rsid w:val="0005618C"/>
    <w:rsid w:val="0005774B"/>
    <w:rsid w:val="0006009D"/>
    <w:rsid w:val="0006159D"/>
    <w:rsid w:val="00061AA4"/>
    <w:rsid w:val="00062391"/>
    <w:rsid w:val="000631D3"/>
    <w:rsid w:val="00063722"/>
    <w:rsid w:val="00063989"/>
    <w:rsid w:val="00066412"/>
    <w:rsid w:val="0006657A"/>
    <w:rsid w:val="00070676"/>
    <w:rsid w:val="000712D9"/>
    <w:rsid w:val="00072F31"/>
    <w:rsid w:val="0007347F"/>
    <w:rsid w:val="000736BC"/>
    <w:rsid w:val="000757A4"/>
    <w:rsid w:val="00075D3F"/>
    <w:rsid w:val="000765E8"/>
    <w:rsid w:val="00076D9D"/>
    <w:rsid w:val="00081456"/>
    <w:rsid w:val="00082CEB"/>
    <w:rsid w:val="0008417D"/>
    <w:rsid w:val="00084346"/>
    <w:rsid w:val="00084412"/>
    <w:rsid w:val="00084779"/>
    <w:rsid w:val="00084A5A"/>
    <w:rsid w:val="00087C5C"/>
    <w:rsid w:val="00087D3C"/>
    <w:rsid w:val="000949BB"/>
    <w:rsid w:val="00094EFB"/>
    <w:rsid w:val="0009538D"/>
    <w:rsid w:val="00096B3A"/>
    <w:rsid w:val="00097982"/>
    <w:rsid w:val="000A0E3C"/>
    <w:rsid w:val="000A22AF"/>
    <w:rsid w:val="000A2ACC"/>
    <w:rsid w:val="000A63EB"/>
    <w:rsid w:val="000A7E1D"/>
    <w:rsid w:val="000B010D"/>
    <w:rsid w:val="000B3223"/>
    <w:rsid w:val="000B471B"/>
    <w:rsid w:val="000B4F6A"/>
    <w:rsid w:val="000B6F22"/>
    <w:rsid w:val="000C04AA"/>
    <w:rsid w:val="000C3EAF"/>
    <w:rsid w:val="000C48D8"/>
    <w:rsid w:val="000C5A9E"/>
    <w:rsid w:val="000C649B"/>
    <w:rsid w:val="000C70E9"/>
    <w:rsid w:val="000C730B"/>
    <w:rsid w:val="000D068A"/>
    <w:rsid w:val="000D0E85"/>
    <w:rsid w:val="000D217B"/>
    <w:rsid w:val="000D4366"/>
    <w:rsid w:val="000D4377"/>
    <w:rsid w:val="000E1084"/>
    <w:rsid w:val="000E125D"/>
    <w:rsid w:val="000E1DD1"/>
    <w:rsid w:val="000E2DB9"/>
    <w:rsid w:val="000E2E8A"/>
    <w:rsid w:val="000E5357"/>
    <w:rsid w:val="000E5570"/>
    <w:rsid w:val="000E5FC3"/>
    <w:rsid w:val="000F0657"/>
    <w:rsid w:val="000F1780"/>
    <w:rsid w:val="000F197F"/>
    <w:rsid w:val="000F46F7"/>
    <w:rsid w:val="000F7282"/>
    <w:rsid w:val="000F7348"/>
    <w:rsid w:val="000F7667"/>
    <w:rsid w:val="000F7A8F"/>
    <w:rsid w:val="0010014E"/>
    <w:rsid w:val="00102B04"/>
    <w:rsid w:val="00103366"/>
    <w:rsid w:val="001033D1"/>
    <w:rsid w:val="00103AC6"/>
    <w:rsid w:val="001069BA"/>
    <w:rsid w:val="001118EA"/>
    <w:rsid w:val="00111F5C"/>
    <w:rsid w:val="0011257F"/>
    <w:rsid w:val="00112D96"/>
    <w:rsid w:val="00113952"/>
    <w:rsid w:val="001156D8"/>
    <w:rsid w:val="0012019C"/>
    <w:rsid w:val="00121773"/>
    <w:rsid w:val="001217F8"/>
    <w:rsid w:val="00122510"/>
    <w:rsid w:val="00122DF7"/>
    <w:rsid w:val="00123909"/>
    <w:rsid w:val="001258BF"/>
    <w:rsid w:val="00126CE0"/>
    <w:rsid w:val="00126F74"/>
    <w:rsid w:val="0013039B"/>
    <w:rsid w:val="00130905"/>
    <w:rsid w:val="00131267"/>
    <w:rsid w:val="00132E3C"/>
    <w:rsid w:val="001334F9"/>
    <w:rsid w:val="00136311"/>
    <w:rsid w:val="00145B7F"/>
    <w:rsid w:val="001462BA"/>
    <w:rsid w:val="001464DB"/>
    <w:rsid w:val="001516BD"/>
    <w:rsid w:val="00153F20"/>
    <w:rsid w:val="00154433"/>
    <w:rsid w:val="00156E4D"/>
    <w:rsid w:val="00161573"/>
    <w:rsid w:val="00161FF0"/>
    <w:rsid w:val="0016242C"/>
    <w:rsid w:val="00167838"/>
    <w:rsid w:val="00172704"/>
    <w:rsid w:val="00172A27"/>
    <w:rsid w:val="00172BDB"/>
    <w:rsid w:val="00173C7B"/>
    <w:rsid w:val="00174572"/>
    <w:rsid w:val="00174CE1"/>
    <w:rsid w:val="00191415"/>
    <w:rsid w:val="00191EC5"/>
    <w:rsid w:val="00191F05"/>
    <w:rsid w:val="001A03D1"/>
    <w:rsid w:val="001A0B12"/>
    <w:rsid w:val="001A175A"/>
    <w:rsid w:val="001A43E4"/>
    <w:rsid w:val="001A5C84"/>
    <w:rsid w:val="001A72CD"/>
    <w:rsid w:val="001B1BC5"/>
    <w:rsid w:val="001B1FBD"/>
    <w:rsid w:val="001B2B86"/>
    <w:rsid w:val="001B6049"/>
    <w:rsid w:val="001B60B7"/>
    <w:rsid w:val="001B7D42"/>
    <w:rsid w:val="001C05B8"/>
    <w:rsid w:val="001C1E29"/>
    <w:rsid w:val="001C2342"/>
    <w:rsid w:val="001C57A1"/>
    <w:rsid w:val="001C6286"/>
    <w:rsid w:val="001C7783"/>
    <w:rsid w:val="001C78C0"/>
    <w:rsid w:val="001D13FE"/>
    <w:rsid w:val="001D2278"/>
    <w:rsid w:val="001D2514"/>
    <w:rsid w:val="001D298F"/>
    <w:rsid w:val="001D310B"/>
    <w:rsid w:val="001D3E46"/>
    <w:rsid w:val="001D6659"/>
    <w:rsid w:val="001E286F"/>
    <w:rsid w:val="001E7D9B"/>
    <w:rsid w:val="001F1BB4"/>
    <w:rsid w:val="001F6025"/>
    <w:rsid w:val="001F6A47"/>
    <w:rsid w:val="001F7046"/>
    <w:rsid w:val="00207B9E"/>
    <w:rsid w:val="00210328"/>
    <w:rsid w:val="0021062C"/>
    <w:rsid w:val="00210D04"/>
    <w:rsid w:val="00212523"/>
    <w:rsid w:val="00217DA2"/>
    <w:rsid w:val="002218DC"/>
    <w:rsid w:val="00222011"/>
    <w:rsid w:val="0022431C"/>
    <w:rsid w:val="00224362"/>
    <w:rsid w:val="002262EF"/>
    <w:rsid w:val="00227396"/>
    <w:rsid w:val="00227A3F"/>
    <w:rsid w:val="00231E08"/>
    <w:rsid w:val="002343F1"/>
    <w:rsid w:val="002347E3"/>
    <w:rsid w:val="0023687C"/>
    <w:rsid w:val="00241666"/>
    <w:rsid w:val="00241FDB"/>
    <w:rsid w:val="0024242A"/>
    <w:rsid w:val="00245CA6"/>
    <w:rsid w:val="002460A1"/>
    <w:rsid w:val="002461F4"/>
    <w:rsid w:val="00246979"/>
    <w:rsid w:val="00246EBA"/>
    <w:rsid w:val="00250A99"/>
    <w:rsid w:val="0025195C"/>
    <w:rsid w:val="00251B08"/>
    <w:rsid w:val="00252126"/>
    <w:rsid w:val="00252E6A"/>
    <w:rsid w:val="002542EC"/>
    <w:rsid w:val="002575F6"/>
    <w:rsid w:val="002621F4"/>
    <w:rsid w:val="00262F9C"/>
    <w:rsid w:val="00270256"/>
    <w:rsid w:val="00270713"/>
    <w:rsid w:val="002716FA"/>
    <w:rsid w:val="00271F2F"/>
    <w:rsid w:val="00271FD7"/>
    <w:rsid w:val="00272E83"/>
    <w:rsid w:val="002747DA"/>
    <w:rsid w:val="00275014"/>
    <w:rsid w:val="00275AF1"/>
    <w:rsid w:val="00276312"/>
    <w:rsid w:val="00283FAE"/>
    <w:rsid w:val="0028707A"/>
    <w:rsid w:val="00287963"/>
    <w:rsid w:val="00290D12"/>
    <w:rsid w:val="00291426"/>
    <w:rsid w:val="00294DB5"/>
    <w:rsid w:val="002A03D6"/>
    <w:rsid w:val="002A167D"/>
    <w:rsid w:val="002A2724"/>
    <w:rsid w:val="002A3223"/>
    <w:rsid w:val="002A3409"/>
    <w:rsid w:val="002A4170"/>
    <w:rsid w:val="002A6B7B"/>
    <w:rsid w:val="002B2EC2"/>
    <w:rsid w:val="002B315A"/>
    <w:rsid w:val="002B3A04"/>
    <w:rsid w:val="002B70C2"/>
    <w:rsid w:val="002B76FA"/>
    <w:rsid w:val="002C0814"/>
    <w:rsid w:val="002C422D"/>
    <w:rsid w:val="002C4B54"/>
    <w:rsid w:val="002C6007"/>
    <w:rsid w:val="002D0452"/>
    <w:rsid w:val="002D295C"/>
    <w:rsid w:val="002D300C"/>
    <w:rsid w:val="002E0B3B"/>
    <w:rsid w:val="002E2429"/>
    <w:rsid w:val="002E2C8B"/>
    <w:rsid w:val="002E37C3"/>
    <w:rsid w:val="002E396B"/>
    <w:rsid w:val="002E526E"/>
    <w:rsid w:val="002E66E3"/>
    <w:rsid w:val="002E756A"/>
    <w:rsid w:val="002F593D"/>
    <w:rsid w:val="0030092F"/>
    <w:rsid w:val="0030361D"/>
    <w:rsid w:val="00311711"/>
    <w:rsid w:val="00314138"/>
    <w:rsid w:val="00321157"/>
    <w:rsid w:val="003243B9"/>
    <w:rsid w:val="0033026E"/>
    <w:rsid w:val="00330F6A"/>
    <w:rsid w:val="0033238E"/>
    <w:rsid w:val="003340B9"/>
    <w:rsid w:val="003344B4"/>
    <w:rsid w:val="00334EA4"/>
    <w:rsid w:val="00335686"/>
    <w:rsid w:val="00336B5E"/>
    <w:rsid w:val="00337CD3"/>
    <w:rsid w:val="003406E6"/>
    <w:rsid w:val="00341541"/>
    <w:rsid w:val="00341613"/>
    <w:rsid w:val="00344D02"/>
    <w:rsid w:val="00346084"/>
    <w:rsid w:val="00347671"/>
    <w:rsid w:val="0035105E"/>
    <w:rsid w:val="00351D1D"/>
    <w:rsid w:val="00355F1A"/>
    <w:rsid w:val="00356830"/>
    <w:rsid w:val="003578D4"/>
    <w:rsid w:val="00362042"/>
    <w:rsid w:val="003646D6"/>
    <w:rsid w:val="00364DEE"/>
    <w:rsid w:val="00367F88"/>
    <w:rsid w:val="00374EE8"/>
    <w:rsid w:val="003767BE"/>
    <w:rsid w:val="00383AF3"/>
    <w:rsid w:val="00383F20"/>
    <w:rsid w:val="00384F8A"/>
    <w:rsid w:val="003855CA"/>
    <w:rsid w:val="0038765C"/>
    <w:rsid w:val="003906CE"/>
    <w:rsid w:val="0039097E"/>
    <w:rsid w:val="00390A86"/>
    <w:rsid w:val="00391F39"/>
    <w:rsid w:val="00392B2B"/>
    <w:rsid w:val="00394300"/>
    <w:rsid w:val="003A0482"/>
    <w:rsid w:val="003A11B2"/>
    <w:rsid w:val="003A2C9B"/>
    <w:rsid w:val="003A358C"/>
    <w:rsid w:val="003A6A61"/>
    <w:rsid w:val="003A7189"/>
    <w:rsid w:val="003A7FDC"/>
    <w:rsid w:val="003B24F0"/>
    <w:rsid w:val="003B27BE"/>
    <w:rsid w:val="003B2F2B"/>
    <w:rsid w:val="003B71A2"/>
    <w:rsid w:val="003C0B0F"/>
    <w:rsid w:val="003C1478"/>
    <w:rsid w:val="003C389F"/>
    <w:rsid w:val="003C4674"/>
    <w:rsid w:val="003C4835"/>
    <w:rsid w:val="003D0616"/>
    <w:rsid w:val="003D1C93"/>
    <w:rsid w:val="003D2327"/>
    <w:rsid w:val="003D30F6"/>
    <w:rsid w:val="003D3D21"/>
    <w:rsid w:val="003D5686"/>
    <w:rsid w:val="003D6848"/>
    <w:rsid w:val="003E245A"/>
    <w:rsid w:val="003E2E37"/>
    <w:rsid w:val="003E4F36"/>
    <w:rsid w:val="003E6542"/>
    <w:rsid w:val="003F002F"/>
    <w:rsid w:val="003F0E66"/>
    <w:rsid w:val="003F7CBE"/>
    <w:rsid w:val="00400552"/>
    <w:rsid w:val="0040183B"/>
    <w:rsid w:val="0040541A"/>
    <w:rsid w:val="00414D02"/>
    <w:rsid w:val="00415917"/>
    <w:rsid w:val="00417EF5"/>
    <w:rsid w:val="004209F6"/>
    <w:rsid w:val="00422806"/>
    <w:rsid w:val="0042309D"/>
    <w:rsid w:val="00424138"/>
    <w:rsid w:val="00425DC3"/>
    <w:rsid w:val="0043126E"/>
    <w:rsid w:val="00431D70"/>
    <w:rsid w:val="004328F2"/>
    <w:rsid w:val="00434BC4"/>
    <w:rsid w:val="0043620A"/>
    <w:rsid w:val="00436DD0"/>
    <w:rsid w:val="0044034B"/>
    <w:rsid w:val="00440A59"/>
    <w:rsid w:val="00440B77"/>
    <w:rsid w:val="00440CDC"/>
    <w:rsid w:val="004411F8"/>
    <w:rsid w:val="004456DF"/>
    <w:rsid w:val="00445A63"/>
    <w:rsid w:val="00445E40"/>
    <w:rsid w:val="0044692B"/>
    <w:rsid w:val="00446A15"/>
    <w:rsid w:val="0045026A"/>
    <w:rsid w:val="00450E25"/>
    <w:rsid w:val="004518B2"/>
    <w:rsid w:val="004518F1"/>
    <w:rsid w:val="00451F9A"/>
    <w:rsid w:val="00455356"/>
    <w:rsid w:val="00456815"/>
    <w:rsid w:val="00457148"/>
    <w:rsid w:val="00460016"/>
    <w:rsid w:val="004605B9"/>
    <w:rsid w:val="00460799"/>
    <w:rsid w:val="00464DE9"/>
    <w:rsid w:val="004664F3"/>
    <w:rsid w:val="00466AB4"/>
    <w:rsid w:val="004703C9"/>
    <w:rsid w:val="00470E6F"/>
    <w:rsid w:val="0047222A"/>
    <w:rsid w:val="004732F4"/>
    <w:rsid w:val="00474422"/>
    <w:rsid w:val="00481A10"/>
    <w:rsid w:val="0048399A"/>
    <w:rsid w:val="00484F9C"/>
    <w:rsid w:val="00485B37"/>
    <w:rsid w:val="004868F3"/>
    <w:rsid w:val="004875B9"/>
    <w:rsid w:val="0049039F"/>
    <w:rsid w:val="004920B1"/>
    <w:rsid w:val="00493B71"/>
    <w:rsid w:val="00494821"/>
    <w:rsid w:val="004A7CA6"/>
    <w:rsid w:val="004B0E69"/>
    <w:rsid w:val="004B2381"/>
    <w:rsid w:val="004B62CE"/>
    <w:rsid w:val="004B6649"/>
    <w:rsid w:val="004B7131"/>
    <w:rsid w:val="004C1AE1"/>
    <w:rsid w:val="004C3B8E"/>
    <w:rsid w:val="004C479C"/>
    <w:rsid w:val="004C4C06"/>
    <w:rsid w:val="004C4FB6"/>
    <w:rsid w:val="004C5CD3"/>
    <w:rsid w:val="004C6E50"/>
    <w:rsid w:val="004D2C3A"/>
    <w:rsid w:val="004D4365"/>
    <w:rsid w:val="004D4B0B"/>
    <w:rsid w:val="004D7473"/>
    <w:rsid w:val="004E0591"/>
    <w:rsid w:val="004E09BA"/>
    <w:rsid w:val="004E25E7"/>
    <w:rsid w:val="004E3541"/>
    <w:rsid w:val="004E4B29"/>
    <w:rsid w:val="004E6875"/>
    <w:rsid w:val="004E6EFD"/>
    <w:rsid w:val="004F0049"/>
    <w:rsid w:val="004F0F8C"/>
    <w:rsid w:val="004F2F89"/>
    <w:rsid w:val="004F4178"/>
    <w:rsid w:val="004F42AF"/>
    <w:rsid w:val="004F4DD8"/>
    <w:rsid w:val="004F60EE"/>
    <w:rsid w:val="004F648B"/>
    <w:rsid w:val="005009FA"/>
    <w:rsid w:val="00507792"/>
    <w:rsid w:val="00511A88"/>
    <w:rsid w:val="005141D8"/>
    <w:rsid w:val="00515AC2"/>
    <w:rsid w:val="0052249B"/>
    <w:rsid w:val="0052311E"/>
    <w:rsid w:val="005251D3"/>
    <w:rsid w:val="005258FD"/>
    <w:rsid w:val="00525B97"/>
    <w:rsid w:val="0052799F"/>
    <w:rsid w:val="005279EE"/>
    <w:rsid w:val="00530D8D"/>
    <w:rsid w:val="00530EAF"/>
    <w:rsid w:val="00532C2A"/>
    <w:rsid w:val="00533885"/>
    <w:rsid w:val="00535F16"/>
    <w:rsid w:val="00537917"/>
    <w:rsid w:val="00537C77"/>
    <w:rsid w:val="00540A0B"/>
    <w:rsid w:val="00541D57"/>
    <w:rsid w:val="00542B4E"/>
    <w:rsid w:val="00544D58"/>
    <w:rsid w:val="00553A53"/>
    <w:rsid w:val="00555A12"/>
    <w:rsid w:val="0055623A"/>
    <w:rsid w:val="00557766"/>
    <w:rsid w:val="005627E1"/>
    <w:rsid w:val="00562AAB"/>
    <w:rsid w:val="00564260"/>
    <w:rsid w:val="00566254"/>
    <w:rsid w:val="0056729A"/>
    <w:rsid w:val="00572A55"/>
    <w:rsid w:val="0057793C"/>
    <w:rsid w:val="00584049"/>
    <w:rsid w:val="00590FFC"/>
    <w:rsid w:val="0059215A"/>
    <w:rsid w:val="00592F92"/>
    <w:rsid w:val="00594153"/>
    <w:rsid w:val="00595381"/>
    <w:rsid w:val="00595B31"/>
    <w:rsid w:val="005967F3"/>
    <w:rsid w:val="0059758A"/>
    <w:rsid w:val="005A00AB"/>
    <w:rsid w:val="005A05E9"/>
    <w:rsid w:val="005A0F5E"/>
    <w:rsid w:val="005A52A4"/>
    <w:rsid w:val="005A628C"/>
    <w:rsid w:val="005A73EC"/>
    <w:rsid w:val="005B0CBB"/>
    <w:rsid w:val="005B0DBE"/>
    <w:rsid w:val="005B116F"/>
    <w:rsid w:val="005B3217"/>
    <w:rsid w:val="005B6B3B"/>
    <w:rsid w:val="005C022D"/>
    <w:rsid w:val="005C0A3B"/>
    <w:rsid w:val="005C0A9E"/>
    <w:rsid w:val="005C1794"/>
    <w:rsid w:val="005C2586"/>
    <w:rsid w:val="005C2BFF"/>
    <w:rsid w:val="005C3F97"/>
    <w:rsid w:val="005D375E"/>
    <w:rsid w:val="005D685C"/>
    <w:rsid w:val="005D78A7"/>
    <w:rsid w:val="005E2C99"/>
    <w:rsid w:val="005E59EB"/>
    <w:rsid w:val="005E60B8"/>
    <w:rsid w:val="005E74BB"/>
    <w:rsid w:val="005F02AB"/>
    <w:rsid w:val="005F174E"/>
    <w:rsid w:val="005F2491"/>
    <w:rsid w:val="005F6407"/>
    <w:rsid w:val="005F7278"/>
    <w:rsid w:val="005F78AB"/>
    <w:rsid w:val="00600981"/>
    <w:rsid w:val="006018D5"/>
    <w:rsid w:val="00601F8E"/>
    <w:rsid w:val="00602816"/>
    <w:rsid w:val="00603B27"/>
    <w:rsid w:val="006055D7"/>
    <w:rsid w:val="006118DD"/>
    <w:rsid w:val="00611FBF"/>
    <w:rsid w:val="00612031"/>
    <w:rsid w:val="00612811"/>
    <w:rsid w:val="0061426E"/>
    <w:rsid w:val="00615B59"/>
    <w:rsid w:val="0061774A"/>
    <w:rsid w:val="00623DE6"/>
    <w:rsid w:val="00624E61"/>
    <w:rsid w:val="006256A5"/>
    <w:rsid w:val="00626ED3"/>
    <w:rsid w:val="00627D52"/>
    <w:rsid w:val="00631B51"/>
    <w:rsid w:val="00631D1A"/>
    <w:rsid w:val="00633949"/>
    <w:rsid w:val="00633F1F"/>
    <w:rsid w:val="00634862"/>
    <w:rsid w:val="0063595D"/>
    <w:rsid w:val="0063607A"/>
    <w:rsid w:val="00641E07"/>
    <w:rsid w:val="00643BCC"/>
    <w:rsid w:val="006440D3"/>
    <w:rsid w:val="006450BF"/>
    <w:rsid w:val="00645E02"/>
    <w:rsid w:val="00647056"/>
    <w:rsid w:val="00647E65"/>
    <w:rsid w:val="0065067E"/>
    <w:rsid w:val="00653273"/>
    <w:rsid w:val="00657594"/>
    <w:rsid w:val="00657CE0"/>
    <w:rsid w:val="006606D6"/>
    <w:rsid w:val="0066099F"/>
    <w:rsid w:val="00661A9C"/>
    <w:rsid w:val="006632A9"/>
    <w:rsid w:val="00663D59"/>
    <w:rsid w:val="00672BFC"/>
    <w:rsid w:val="00673476"/>
    <w:rsid w:val="00676C04"/>
    <w:rsid w:val="00681986"/>
    <w:rsid w:val="00682593"/>
    <w:rsid w:val="00683210"/>
    <w:rsid w:val="00683DE1"/>
    <w:rsid w:val="0068559A"/>
    <w:rsid w:val="00691783"/>
    <w:rsid w:val="00692222"/>
    <w:rsid w:val="00693DE8"/>
    <w:rsid w:val="00695962"/>
    <w:rsid w:val="006A0A7E"/>
    <w:rsid w:val="006A278F"/>
    <w:rsid w:val="006A67C3"/>
    <w:rsid w:val="006A763A"/>
    <w:rsid w:val="006A7773"/>
    <w:rsid w:val="006B41C0"/>
    <w:rsid w:val="006B6A72"/>
    <w:rsid w:val="006C4075"/>
    <w:rsid w:val="006D09C4"/>
    <w:rsid w:val="006D1646"/>
    <w:rsid w:val="006D2F11"/>
    <w:rsid w:val="006D3593"/>
    <w:rsid w:val="006D37F5"/>
    <w:rsid w:val="006D4A48"/>
    <w:rsid w:val="006D52D6"/>
    <w:rsid w:val="006D549D"/>
    <w:rsid w:val="006D7BD5"/>
    <w:rsid w:val="006E0844"/>
    <w:rsid w:val="006E1CD9"/>
    <w:rsid w:val="006E2701"/>
    <w:rsid w:val="006E2992"/>
    <w:rsid w:val="006E3155"/>
    <w:rsid w:val="006E4021"/>
    <w:rsid w:val="006E542A"/>
    <w:rsid w:val="006E5A36"/>
    <w:rsid w:val="006E6709"/>
    <w:rsid w:val="006F1614"/>
    <w:rsid w:val="006F177A"/>
    <w:rsid w:val="006F18A8"/>
    <w:rsid w:val="006F2464"/>
    <w:rsid w:val="006F2EAC"/>
    <w:rsid w:val="006F4C76"/>
    <w:rsid w:val="006F6406"/>
    <w:rsid w:val="006F6C4C"/>
    <w:rsid w:val="00700BD9"/>
    <w:rsid w:val="0070200D"/>
    <w:rsid w:val="007021C3"/>
    <w:rsid w:val="00702267"/>
    <w:rsid w:val="0070377D"/>
    <w:rsid w:val="00704CAD"/>
    <w:rsid w:val="00705739"/>
    <w:rsid w:val="0070616F"/>
    <w:rsid w:val="007135D0"/>
    <w:rsid w:val="007138D4"/>
    <w:rsid w:val="00715B4D"/>
    <w:rsid w:val="00715D95"/>
    <w:rsid w:val="00722AE5"/>
    <w:rsid w:val="00723AF2"/>
    <w:rsid w:val="00724A24"/>
    <w:rsid w:val="00724B1F"/>
    <w:rsid w:val="00726904"/>
    <w:rsid w:val="0072739E"/>
    <w:rsid w:val="0073023E"/>
    <w:rsid w:val="00730509"/>
    <w:rsid w:val="00731285"/>
    <w:rsid w:val="00732C32"/>
    <w:rsid w:val="00734E42"/>
    <w:rsid w:val="00735B56"/>
    <w:rsid w:val="00737A90"/>
    <w:rsid w:val="00741CBD"/>
    <w:rsid w:val="00741F87"/>
    <w:rsid w:val="00745ACE"/>
    <w:rsid w:val="00746C81"/>
    <w:rsid w:val="00747715"/>
    <w:rsid w:val="00751838"/>
    <w:rsid w:val="007526B9"/>
    <w:rsid w:val="00760F70"/>
    <w:rsid w:val="0076142C"/>
    <w:rsid w:val="00761AFB"/>
    <w:rsid w:val="00761FBC"/>
    <w:rsid w:val="00763A93"/>
    <w:rsid w:val="00764071"/>
    <w:rsid w:val="007641FC"/>
    <w:rsid w:val="00764D23"/>
    <w:rsid w:val="007651C8"/>
    <w:rsid w:val="007661E8"/>
    <w:rsid w:val="00766782"/>
    <w:rsid w:val="0076695D"/>
    <w:rsid w:val="00770DFD"/>
    <w:rsid w:val="00772586"/>
    <w:rsid w:val="00772A4D"/>
    <w:rsid w:val="00772FD1"/>
    <w:rsid w:val="00773682"/>
    <w:rsid w:val="007736C2"/>
    <w:rsid w:val="007741AE"/>
    <w:rsid w:val="007749F1"/>
    <w:rsid w:val="00775CCF"/>
    <w:rsid w:val="00777B30"/>
    <w:rsid w:val="00777D5B"/>
    <w:rsid w:val="00780206"/>
    <w:rsid w:val="00791D50"/>
    <w:rsid w:val="00791DCF"/>
    <w:rsid w:val="0079246D"/>
    <w:rsid w:val="00792F21"/>
    <w:rsid w:val="00793D80"/>
    <w:rsid w:val="00794611"/>
    <w:rsid w:val="00796AC3"/>
    <w:rsid w:val="0079702C"/>
    <w:rsid w:val="007A2499"/>
    <w:rsid w:val="007A583C"/>
    <w:rsid w:val="007A5E2B"/>
    <w:rsid w:val="007A6020"/>
    <w:rsid w:val="007A611B"/>
    <w:rsid w:val="007A70B3"/>
    <w:rsid w:val="007A7674"/>
    <w:rsid w:val="007B0E63"/>
    <w:rsid w:val="007B1BD4"/>
    <w:rsid w:val="007B25C8"/>
    <w:rsid w:val="007B4403"/>
    <w:rsid w:val="007B5419"/>
    <w:rsid w:val="007B5844"/>
    <w:rsid w:val="007B6857"/>
    <w:rsid w:val="007C183A"/>
    <w:rsid w:val="007C4B48"/>
    <w:rsid w:val="007D069B"/>
    <w:rsid w:val="007D187F"/>
    <w:rsid w:val="007D21CF"/>
    <w:rsid w:val="007D2EEC"/>
    <w:rsid w:val="007D375F"/>
    <w:rsid w:val="007D3AED"/>
    <w:rsid w:val="007D4B30"/>
    <w:rsid w:val="007D758A"/>
    <w:rsid w:val="007E193F"/>
    <w:rsid w:val="007E3743"/>
    <w:rsid w:val="007F1311"/>
    <w:rsid w:val="007F1A62"/>
    <w:rsid w:val="007F28DC"/>
    <w:rsid w:val="007F3A78"/>
    <w:rsid w:val="007F460D"/>
    <w:rsid w:val="00801A25"/>
    <w:rsid w:val="0080379F"/>
    <w:rsid w:val="00805B23"/>
    <w:rsid w:val="00806BF6"/>
    <w:rsid w:val="00807819"/>
    <w:rsid w:val="00807AF9"/>
    <w:rsid w:val="0081081D"/>
    <w:rsid w:val="00813F93"/>
    <w:rsid w:val="0081571E"/>
    <w:rsid w:val="0081648D"/>
    <w:rsid w:val="008174BB"/>
    <w:rsid w:val="008177C5"/>
    <w:rsid w:val="00820424"/>
    <w:rsid w:val="00820B36"/>
    <w:rsid w:val="0082122C"/>
    <w:rsid w:val="00821E5C"/>
    <w:rsid w:val="00824A52"/>
    <w:rsid w:val="00825FAD"/>
    <w:rsid w:val="0082668C"/>
    <w:rsid w:val="00827D1F"/>
    <w:rsid w:val="00830604"/>
    <w:rsid w:val="0083606B"/>
    <w:rsid w:val="00837994"/>
    <w:rsid w:val="008406C9"/>
    <w:rsid w:val="008424DE"/>
    <w:rsid w:val="00843CEE"/>
    <w:rsid w:val="0084404B"/>
    <w:rsid w:val="00844383"/>
    <w:rsid w:val="00845462"/>
    <w:rsid w:val="00845CC9"/>
    <w:rsid w:val="00850C0E"/>
    <w:rsid w:val="00850E6D"/>
    <w:rsid w:val="0085255A"/>
    <w:rsid w:val="0085375F"/>
    <w:rsid w:val="008538A1"/>
    <w:rsid w:val="00853C9C"/>
    <w:rsid w:val="00854054"/>
    <w:rsid w:val="008554D6"/>
    <w:rsid w:val="00855BAD"/>
    <w:rsid w:val="00856764"/>
    <w:rsid w:val="008604E3"/>
    <w:rsid w:val="008605EC"/>
    <w:rsid w:val="00860CB0"/>
    <w:rsid w:val="008617E1"/>
    <w:rsid w:val="00862198"/>
    <w:rsid w:val="00865A7C"/>
    <w:rsid w:val="0086625C"/>
    <w:rsid w:val="008710FD"/>
    <w:rsid w:val="008714B9"/>
    <w:rsid w:val="0087234F"/>
    <w:rsid w:val="008725E3"/>
    <w:rsid w:val="008743E3"/>
    <w:rsid w:val="00876A8D"/>
    <w:rsid w:val="00880B77"/>
    <w:rsid w:val="00882330"/>
    <w:rsid w:val="0088351B"/>
    <w:rsid w:val="00883910"/>
    <w:rsid w:val="00883BDA"/>
    <w:rsid w:val="00884D2D"/>
    <w:rsid w:val="00885618"/>
    <w:rsid w:val="00886924"/>
    <w:rsid w:val="00890BCE"/>
    <w:rsid w:val="00893BEB"/>
    <w:rsid w:val="00894186"/>
    <w:rsid w:val="00894994"/>
    <w:rsid w:val="00895D21"/>
    <w:rsid w:val="008968B9"/>
    <w:rsid w:val="008973D6"/>
    <w:rsid w:val="00897440"/>
    <w:rsid w:val="008A0072"/>
    <w:rsid w:val="008A0FA3"/>
    <w:rsid w:val="008A375D"/>
    <w:rsid w:val="008A4F87"/>
    <w:rsid w:val="008A5935"/>
    <w:rsid w:val="008A5BE9"/>
    <w:rsid w:val="008A5F0D"/>
    <w:rsid w:val="008B38AB"/>
    <w:rsid w:val="008B5A48"/>
    <w:rsid w:val="008B6702"/>
    <w:rsid w:val="008B7571"/>
    <w:rsid w:val="008C02BC"/>
    <w:rsid w:val="008C455C"/>
    <w:rsid w:val="008C7076"/>
    <w:rsid w:val="008C7405"/>
    <w:rsid w:val="008D16B3"/>
    <w:rsid w:val="008D228C"/>
    <w:rsid w:val="008D310E"/>
    <w:rsid w:val="008D3172"/>
    <w:rsid w:val="008E01EE"/>
    <w:rsid w:val="008E11FD"/>
    <w:rsid w:val="008E2015"/>
    <w:rsid w:val="008E302D"/>
    <w:rsid w:val="008E44C9"/>
    <w:rsid w:val="008E4FEA"/>
    <w:rsid w:val="008E6CF1"/>
    <w:rsid w:val="008E7C0C"/>
    <w:rsid w:val="008F1C7D"/>
    <w:rsid w:val="008F4BB7"/>
    <w:rsid w:val="008F5551"/>
    <w:rsid w:val="008F7029"/>
    <w:rsid w:val="008F72E6"/>
    <w:rsid w:val="00900A03"/>
    <w:rsid w:val="00902579"/>
    <w:rsid w:val="00903CEA"/>
    <w:rsid w:val="00905257"/>
    <w:rsid w:val="00906893"/>
    <w:rsid w:val="00912308"/>
    <w:rsid w:val="009134E2"/>
    <w:rsid w:val="009147F6"/>
    <w:rsid w:val="00916548"/>
    <w:rsid w:val="00920852"/>
    <w:rsid w:val="00923406"/>
    <w:rsid w:val="0092479F"/>
    <w:rsid w:val="00924A9A"/>
    <w:rsid w:val="00924C47"/>
    <w:rsid w:val="009276A7"/>
    <w:rsid w:val="0093417D"/>
    <w:rsid w:val="00934410"/>
    <w:rsid w:val="009364C4"/>
    <w:rsid w:val="00940FB7"/>
    <w:rsid w:val="00941137"/>
    <w:rsid w:val="009419A8"/>
    <w:rsid w:val="00943B59"/>
    <w:rsid w:val="00946790"/>
    <w:rsid w:val="00950F7E"/>
    <w:rsid w:val="009512EC"/>
    <w:rsid w:val="0095625B"/>
    <w:rsid w:val="0095679B"/>
    <w:rsid w:val="00957842"/>
    <w:rsid w:val="0096043A"/>
    <w:rsid w:val="009627B0"/>
    <w:rsid w:val="00962B62"/>
    <w:rsid w:val="00962EAC"/>
    <w:rsid w:val="009632C1"/>
    <w:rsid w:val="00966CAF"/>
    <w:rsid w:val="009711F3"/>
    <w:rsid w:val="009745FF"/>
    <w:rsid w:val="00981AD7"/>
    <w:rsid w:val="00983689"/>
    <w:rsid w:val="00985100"/>
    <w:rsid w:val="00986831"/>
    <w:rsid w:val="00986D46"/>
    <w:rsid w:val="0099345F"/>
    <w:rsid w:val="009955AF"/>
    <w:rsid w:val="009A04A0"/>
    <w:rsid w:val="009A1221"/>
    <w:rsid w:val="009A153D"/>
    <w:rsid w:val="009A2C45"/>
    <w:rsid w:val="009A2C5D"/>
    <w:rsid w:val="009A37EB"/>
    <w:rsid w:val="009A384F"/>
    <w:rsid w:val="009A47BB"/>
    <w:rsid w:val="009B063F"/>
    <w:rsid w:val="009B21E5"/>
    <w:rsid w:val="009B3DA0"/>
    <w:rsid w:val="009B5EDB"/>
    <w:rsid w:val="009B6BE1"/>
    <w:rsid w:val="009C11F8"/>
    <w:rsid w:val="009C2BC7"/>
    <w:rsid w:val="009C2F27"/>
    <w:rsid w:val="009C3BA8"/>
    <w:rsid w:val="009C6DF9"/>
    <w:rsid w:val="009D1C11"/>
    <w:rsid w:val="009D526A"/>
    <w:rsid w:val="009D7D40"/>
    <w:rsid w:val="009E027E"/>
    <w:rsid w:val="009E323E"/>
    <w:rsid w:val="009E4AA6"/>
    <w:rsid w:val="009E62A9"/>
    <w:rsid w:val="009E7200"/>
    <w:rsid w:val="009E7F67"/>
    <w:rsid w:val="009F05CE"/>
    <w:rsid w:val="009F3D9B"/>
    <w:rsid w:val="009F6685"/>
    <w:rsid w:val="009F7DEA"/>
    <w:rsid w:val="00A021FB"/>
    <w:rsid w:val="00A024F5"/>
    <w:rsid w:val="00A04625"/>
    <w:rsid w:val="00A06389"/>
    <w:rsid w:val="00A06689"/>
    <w:rsid w:val="00A070A9"/>
    <w:rsid w:val="00A072E7"/>
    <w:rsid w:val="00A11864"/>
    <w:rsid w:val="00A13188"/>
    <w:rsid w:val="00A14333"/>
    <w:rsid w:val="00A14E33"/>
    <w:rsid w:val="00A14E7A"/>
    <w:rsid w:val="00A15475"/>
    <w:rsid w:val="00A165AD"/>
    <w:rsid w:val="00A17921"/>
    <w:rsid w:val="00A21828"/>
    <w:rsid w:val="00A24297"/>
    <w:rsid w:val="00A342AE"/>
    <w:rsid w:val="00A35E29"/>
    <w:rsid w:val="00A36163"/>
    <w:rsid w:val="00A44173"/>
    <w:rsid w:val="00A446BE"/>
    <w:rsid w:val="00A4741C"/>
    <w:rsid w:val="00A508D7"/>
    <w:rsid w:val="00A51262"/>
    <w:rsid w:val="00A512FD"/>
    <w:rsid w:val="00A5686C"/>
    <w:rsid w:val="00A577CE"/>
    <w:rsid w:val="00A600EF"/>
    <w:rsid w:val="00A61AF3"/>
    <w:rsid w:val="00A628E6"/>
    <w:rsid w:val="00A62FBB"/>
    <w:rsid w:val="00A6453C"/>
    <w:rsid w:val="00A66470"/>
    <w:rsid w:val="00A714BB"/>
    <w:rsid w:val="00A743E1"/>
    <w:rsid w:val="00A8465D"/>
    <w:rsid w:val="00A8659D"/>
    <w:rsid w:val="00A86ACE"/>
    <w:rsid w:val="00A874CB"/>
    <w:rsid w:val="00A955DB"/>
    <w:rsid w:val="00A95828"/>
    <w:rsid w:val="00A96AE0"/>
    <w:rsid w:val="00AA0B50"/>
    <w:rsid w:val="00AA1679"/>
    <w:rsid w:val="00AA3807"/>
    <w:rsid w:val="00AA5350"/>
    <w:rsid w:val="00AA6141"/>
    <w:rsid w:val="00AA6B14"/>
    <w:rsid w:val="00AA7076"/>
    <w:rsid w:val="00AB0D9B"/>
    <w:rsid w:val="00AB6E17"/>
    <w:rsid w:val="00AB798F"/>
    <w:rsid w:val="00AB7D1C"/>
    <w:rsid w:val="00AC0D9A"/>
    <w:rsid w:val="00AC20C2"/>
    <w:rsid w:val="00AC2797"/>
    <w:rsid w:val="00AC531A"/>
    <w:rsid w:val="00AC683C"/>
    <w:rsid w:val="00AD08EF"/>
    <w:rsid w:val="00AD0FCF"/>
    <w:rsid w:val="00AD6AD9"/>
    <w:rsid w:val="00AE0DD5"/>
    <w:rsid w:val="00AE116A"/>
    <w:rsid w:val="00AE483D"/>
    <w:rsid w:val="00AE6ADB"/>
    <w:rsid w:val="00AE71EA"/>
    <w:rsid w:val="00AE72FE"/>
    <w:rsid w:val="00AF2DCD"/>
    <w:rsid w:val="00AF4326"/>
    <w:rsid w:val="00AF4E14"/>
    <w:rsid w:val="00AF6BE7"/>
    <w:rsid w:val="00B03C6B"/>
    <w:rsid w:val="00B041DD"/>
    <w:rsid w:val="00B06426"/>
    <w:rsid w:val="00B10808"/>
    <w:rsid w:val="00B11136"/>
    <w:rsid w:val="00B122D8"/>
    <w:rsid w:val="00B124A4"/>
    <w:rsid w:val="00B13C53"/>
    <w:rsid w:val="00B16249"/>
    <w:rsid w:val="00B17379"/>
    <w:rsid w:val="00B213E0"/>
    <w:rsid w:val="00B228CD"/>
    <w:rsid w:val="00B23238"/>
    <w:rsid w:val="00B25A56"/>
    <w:rsid w:val="00B33885"/>
    <w:rsid w:val="00B3569C"/>
    <w:rsid w:val="00B37C3E"/>
    <w:rsid w:val="00B41A87"/>
    <w:rsid w:val="00B448D8"/>
    <w:rsid w:val="00B5051D"/>
    <w:rsid w:val="00B5150B"/>
    <w:rsid w:val="00B528DA"/>
    <w:rsid w:val="00B52DB8"/>
    <w:rsid w:val="00B5321A"/>
    <w:rsid w:val="00B53C85"/>
    <w:rsid w:val="00B54295"/>
    <w:rsid w:val="00B5689F"/>
    <w:rsid w:val="00B609B9"/>
    <w:rsid w:val="00B61007"/>
    <w:rsid w:val="00B64AD2"/>
    <w:rsid w:val="00B668FC"/>
    <w:rsid w:val="00B66A04"/>
    <w:rsid w:val="00B66D8F"/>
    <w:rsid w:val="00B676CF"/>
    <w:rsid w:val="00B67811"/>
    <w:rsid w:val="00B70372"/>
    <w:rsid w:val="00B7068C"/>
    <w:rsid w:val="00B70A43"/>
    <w:rsid w:val="00B75AE3"/>
    <w:rsid w:val="00B76E96"/>
    <w:rsid w:val="00B809B0"/>
    <w:rsid w:val="00B80CE5"/>
    <w:rsid w:val="00B81C14"/>
    <w:rsid w:val="00B82A09"/>
    <w:rsid w:val="00B82AC1"/>
    <w:rsid w:val="00B830C2"/>
    <w:rsid w:val="00B85C25"/>
    <w:rsid w:val="00B86155"/>
    <w:rsid w:val="00B87354"/>
    <w:rsid w:val="00B91867"/>
    <w:rsid w:val="00B92422"/>
    <w:rsid w:val="00B929EC"/>
    <w:rsid w:val="00B92FD9"/>
    <w:rsid w:val="00B969EC"/>
    <w:rsid w:val="00BA0EB8"/>
    <w:rsid w:val="00BA4F98"/>
    <w:rsid w:val="00BB16EA"/>
    <w:rsid w:val="00BB1B0B"/>
    <w:rsid w:val="00BB217C"/>
    <w:rsid w:val="00BB5653"/>
    <w:rsid w:val="00BB78DB"/>
    <w:rsid w:val="00BC0230"/>
    <w:rsid w:val="00BC2B5E"/>
    <w:rsid w:val="00BC2D85"/>
    <w:rsid w:val="00BC4FC0"/>
    <w:rsid w:val="00BC56F3"/>
    <w:rsid w:val="00BC5F1A"/>
    <w:rsid w:val="00BC5F57"/>
    <w:rsid w:val="00BC64EE"/>
    <w:rsid w:val="00BD1701"/>
    <w:rsid w:val="00BD56F4"/>
    <w:rsid w:val="00BD60C1"/>
    <w:rsid w:val="00BD6C0E"/>
    <w:rsid w:val="00BE426F"/>
    <w:rsid w:val="00BE633C"/>
    <w:rsid w:val="00BE65A0"/>
    <w:rsid w:val="00BF0560"/>
    <w:rsid w:val="00BF06EA"/>
    <w:rsid w:val="00BF1BB6"/>
    <w:rsid w:val="00BF4F39"/>
    <w:rsid w:val="00BF563D"/>
    <w:rsid w:val="00BF6B8A"/>
    <w:rsid w:val="00C01F79"/>
    <w:rsid w:val="00C023A3"/>
    <w:rsid w:val="00C03471"/>
    <w:rsid w:val="00C0604D"/>
    <w:rsid w:val="00C07620"/>
    <w:rsid w:val="00C14CC6"/>
    <w:rsid w:val="00C230D8"/>
    <w:rsid w:val="00C23EDB"/>
    <w:rsid w:val="00C26B34"/>
    <w:rsid w:val="00C2793C"/>
    <w:rsid w:val="00C3305A"/>
    <w:rsid w:val="00C348A9"/>
    <w:rsid w:val="00C34F50"/>
    <w:rsid w:val="00C37A0A"/>
    <w:rsid w:val="00C473EE"/>
    <w:rsid w:val="00C47B23"/>
    <w:rsid w:val="00C524B4"/>
    <w:rsid w:val="00C5271E"/>
    <w:rsid w:val="00C548B0"/>
    <w:rsid w:val="00C56511"/>
    <w:rsid w:val="00C61F6B"/>
    <w:rsid w:val="00C65BAA"/>
    <w:rsid w:val="00C76692"/>
    <w:rsid w:val="00C76BA7"/>
    <w:rsid w:val="00C803D3"/>
    <w:rsid w:val="00C8105C"/>
    <w:rsid w:val="00C82442"/>
    <w:rsid w:val="00C8504C"/>
    <w:rsid w:val="00C86842"/>
    <w:rsid w:val="00C90946"/>
    <w:rsid w:val="00C90B86"/>
    <w:rsid w:val="00C92092"/>
    <w:rsid w:val="00C94199"/>
    <w:rsid w:val="00C962FE"/>
    <w:rsid w:val="00CA1C33"/>
    <w:rsid w:val="00CA3400"/>
    <w:rsid w:val="00CA544D"/>
    <w:rsid w:val="00CA7C98"/>
    <w:rsid w:val="00CB09AD"/>
    <w:rsid w:val="00CB135A"/>
    <w:rsid w:val="00CB3CD6"/>
    <w:rsid w:val="00CB3EBC"/>
    <w:rsid w:val="00CB44D8"/>
    <w:rsid w:val="00CB52D0"/>
    <w:rsid w:val="00CC08D4"/>
    <w:rsid w:val="00CC320A"/>
    <w:rsid w:val="00CC34CD"/>
    <w:rsid w:val="00CC4F1C"/>
    <w:rsid w:val="00CC5466"/>
    <w:rsid w:val="00CC5A36"/>
    <w:rsid w:val="00CD1965"/>
    <w:rsid w:val="00CD3CA4"/>
    <w:rsid w:val="00CD5FC5"/>
    <w:rsid w:val="00CE0448"/>
    <w:rsid w:val="00CE334F"/>
    <w:rsid w:val="00CE6423"/>
    <w:rsid w:val="00CF1359"/>
    <w:rsid w:val="00CF29A4"/>
    <w:rsid w:val="00CF2A55"/>
    <w:rsid w:val="00D005E8"/>
    <w:rsid w:val="00D0232A"/>
    <w:rsid w:val="00D0276E"/>
    <w:rsid w:val="00D03489"/>
    <w:rsid w:val="00D044B9"/>
    <w:rsid w:val="00D06AA3"/>
    <w:rsid w:val="00D070C1"/>
    <w:rsid w:val="00D107F5"/>
    <w:rsid w:val="00D2194F"/>
    <w:rsid w:val="00D238EF"/>
    <w:rsid w:val="00D267D7"/>
    <w:rsid w:val="00D27FD2"/>
    <w:rsid w:val="00D427FE"/>
    <w:rsid w:val="00D45EA9"/>
    <w:rsid w:val="00D50493"/>
    <w:rsid w:val="00D5229B"/>
    <w:rsid w:val="00D55A96"/>
    <w:rsid w:val="00D55EA3"/>
    <w:rsid w:val="00D55FFC"/>
    <w:rsid w:val="00D56389"/>
    <w:rsid w:val="00D632F1"/>
    <w:rsid w:val="00D6443D"/>
    <w:rsid w:val="00D66607"/>
    <w:rsid w:val="00D70F44"/>
    <w:rsid w:val="00D715F8"/>
    <w:rsid w:val="00D72D65"/>
    <w:rsid w:val="00D73015"/>
    <w:rsid w:val="00D76D25"/>
    <w:rsid w:val="00D775B8"/>
    <w:rsid w:val="00D77E84"/>
    <w:rsid w:val="00D77ECD"/>
    <w:rsid w:val="00D813DA"/>
    <w:rsid w:val="00D851FE"/>
    <w:rsid w:val="00D85688"/>
    <w:rsid w:val="00D86FCC"/>
    <w:rsid w:val="00D949D1"/>
    <w:rsid w:val="00D96034"/>
    <w:rsid w:val="00D96B2B"/>
    <w:rsid w:val="00D9739A"/>
    <w:rsid w:val="00DA0676"/>
    <w:rsid w:val="00DA40AB"/>
    <w:rsid w:val="00DA59FC"/>
    <w:rsid w:val="00DA7948"/>
    <w:rsid w:val="00DB4C53"/>
    <w:rsid w:val="00DB62B4"/>
    <w:rsid w:val="00DC252B"/>
    <w:rsid w:val="00DC3433"/>
    <w:rsid w:val="00DC5E1D"/>
    <w:rsid w:val="00DC6444"/>
    <w:rsid w:val="00DC66E4"/>
    <w:rsid w:val="00DD14ED"/>
    <w:rsid w:val="00DD32CD"/>
    <w:rsid w:val="00DD3926"/>
    <w:rsid w:val="00DD4261"/>
    <w:rsid w:val="00DD53D3"/>
    <w:rsid w:val="00DE06CE"/>
    <w:rsid w:val="00DE171D"/>
    <w:rsid w:val="00DE488F"/>
    <w:rsid w:val="00DE5468"/>
    <w:rsid w:val="00DE677E"/>
    <w:rsid w:val="00DF0733"/>
    <w:rsid w:val="00DF3625"/>
    <w:rsid w:val="00DF66B3"/>
    <w:rsid w:val="00DF6FB7"/>
    <w:rsid w:val="00E0048A"/>
    <w:rsid w:val="00E01DD3"/>
    <w:rsid w:val="00E03866"/>
    <w:rsid w:val="00E052A9"/>
    <w:rsid w:val="00E06A15"/>
    <w:rsid w:val="00E07047"/>
    <w:rsid w:val="00E07D73"/>
    <w:rsid w:val="00E1024E"/>
    <w:rsid w:val="00E103CC"/>
    <w:rsid w:val="00E10833"/>
    <w:rsid w:val="00E11249"/>
    <w:rsid w:val="00E12EDA"/>
    <w:rsid w:val="00E130AC"/>
    <w:rsid w:val="00E1359D"/>
    <w:rsid w:val="00E14C7F"/>
    <w:rsid w:val="00E15358"/>
    <w:rsid w:val="00E1558B"/>
    <w:rsid w:val="00E162E6"/>
    <w:rsid w:val="00E21745"/>
    <w:rsid w:val="00E21CCD"/>
    <w:rsid w:val="00E23060"/>
    <w:rsid w:val="00E24524"/>
    <w:rsid w:val="00E25836"/>
    <w:rsid w:val="00E25EDB"/>
    <w:rsid w:val="00E273D9"/>
    <w:rsid w:val="00E30C78"/>
    <w:rsid w:val="00E32A9B"/>
    <w:rsid w:val="00E37CFA"/>
    <w:rsid w:val="00E4272B"/>
    <w:rsid w:val="00E44A72"/>
    <w:rsid w:val="00E46237"/>
    <w:rsid w:val="00E46B45"/>
    <w:rsid w:val="00E54664"/>
    <w:rsid w:val="00E54E7A"/>
    <w:rsid w:val="00E57F89"/>
    <w:rsid w:val="00E60C93"/>
    <w:rsid w:val="00E612B7"/>
    <w:rsid w:val="00E63D46"/>
    <w:rsid w:val="00E64F38"/>
    <w:rsid w:val="00E6597F"/>
    <w:rsid w:val="00E70F68"/>
    <w:rsid w:val="00E73E48"/>
    <w:rsid w:val="00E74F1D"/>
    <w:rsid w:val="00E772D8"/>
    <w:rsid w:val="00E7765E"/>
    <w:rsid w:val="00E777C5"/>
    <w:rsid w:val="00E80A57"/>
    <w:rsid w:val="00E817AB"/>
    <w:rsid w:val="00E81CCF"/>
    <w:rsid w:val="00E824AA"/>
    <w:rsid w:val="00E82D33"/>
    <w:rsid w:val="00E8458A"/>
    <w:rsid w:val="00E85AE7"/>
    <w:rsid w:val="00E90C9A"/>
    <w:rsid w:val="00E92798"/>
    <w:rsid w:val="00E938D3"/>
    <w:rsid w:val="00E94AD8"/>
    <w:rsid w:val="00EA1E27"/>
    <w:rsid w:val="00EA744C"/>
    <w:rsid w:val="00EB1CB0"/>
    <w:rsid w:val="00EB470A"/>
    <w:rsid w:val="00EB4A8C"/>
    <w:rsid w:val="00EB4F27"/>
    <w:rsid w:val="00EB5DC2"/>
    <w:rsid w:val="00EC13F3"/>
    <w:rsid w:val="00EC4129"/>
    <w:rsid w:val="00EC43BE"/>
    <w:rsid w:val="00EC6394"/>
    <w:rsid w:val="00ED2207"/>
    <w:rsid w:val="00ED23C3"/>
    <w:rsid w:val="00ED2E5E"/>
    <w:rsid w:val="00ED5B8F"/>
    <w:rsid w:val="00ED7DCA"/>
    <w:rsid w:val="00EE0664"/>
    <w:rsid w:val="00EE14C4"/>
    <w:rsid w:val="00EE25FC"/>
    <w:rsid w:val="00EE4379"/>
    <w:rsid w:val="00EE6B7D"/>
    <w:rsid w:val="00EE745F"/>
    <w:rsid w:val="00EE7DA7"/>
    <w:rsid w:val="00EF0D26"/>
    <w:rsid w:val="00EF24D1"/>
    <w:rsid w:val="00EF2CA2"/>
    <w:rsid w:val="00EF345C"/>
    <w:rsid w:val="00EF34D3"/>
    <w:rsid w:val="00EF6447"/>
    <w:rsid w:val="00F01338"/>
    <w:rsid w:val="00F02572"/>
    <w:rsid w:val="00F0357D"/>
    <w:rsid w:val="00F03EE8"/>
    <w:rsid w:val="00F06DDC"/>
    <w:rsid w:val="00F07ED5"/>
    <w:rsid w:val="00F10951"/>
    <w:rsid w:val="00F11634"/>
    <w:rsid w:val="00F16041"/>
    <w:rsid w:val="00F162DF"/>
    <w:rsid w:val="00F16AFB"/>
    <w:rsid w:val="00F20F69"/>
    <w:rsid w:val="00F21B71"/>
    <w:rsid w:val="00F21BFC"/>
    <w:rsid w:val="00F23C3C"/>
    <w:rsid w:val="00F245DA"/>
    <w:rsid w:val="00F26309"/>
    <w:rsid w:val="00F264DD"/>
    <w:rsid w:val="00F2733E"/>
    <w:rsid w:val="00F332B2"/>
    <w:rsid w:val="00F342D4"/>
    <w:rsid w:val="00F34AC4"/>
    <w:rsid w:val="00F34F91"/>
    <w:rsid w:val="00F35050"/>
    <w:rsid w:val="00F42BE7"/>
    <w:rsid w:val="00F4539E"/>
    <w:rsid w:val="00F4585F"/>
    <w:rsid w:val="00F46BF1"/>
    <w:rsid w:val="00F50040"/>
    <w:rsid w:val="00F50B22"/>
    <w:rsid w:val="00F52674"/>
    <w:rsid w:val="00F527D4"/>
    <w:rsid w:val="00F55524"/>
    <w:rsid w:val="00F56E9E"/>
    <w:rsid w:val="00F57D08"/>
    <w:rsid w:val="00F60F9E"/>
    <w:rsid w:val="00F6219F"/>
    <w:rsid w:val="00F6232D"/>
    <w:rsid w:val="00F637DE"/>
    <w:rsid w:val="00F6487F"/>
    <w:rsid w:val="00F659AD"/>
    <w:rsid w:val="00F66B1B"/>
    <w:rsid w:val="00F721F8"/>
    <w:rsid w:val="00F72505"/>
    <w:rsid w:val="00F73C4D"/>
    <w:rsid w:val="00F74EF0"/>
    <w:rsid w:val="00F759FD"/>
    <w:rsid w:val="00F770B9"/>
    <w:rsid w:val="00F77538"/>
    <w:rsid w:val="00F81A02"/>
    <w:rsid w:val="00F848F1"/>
    <w:rsid w:val="00F850FE"/>
    <w:rsid w:val="00F8695A"/>
    <w:rsid w:val="00F903FB"/>
    <w:rsid w:val="00F90BE6"/>
    <w:rsid w:val="00F93957"/>
    <w:rsid w:val="00F94841"/>
    <w:rsid w:val="00F96718"/>
    <w:rsid w:val="00F96AAC"/>
    <w:rsid w:val="00FA0894"/>
    <w:rsid w:val="00FA0C98"/>
    <w:rsid w:val="00FA1F6E"/>
    <w:rsid w:val="00FA2CD7"/>
    <w:rsid w:val="00FA3642"/>
    <w:rsid w:val="00FA6647"/>
    <w:rsid w:val="00FA726B"/>
    <w:rsid w:val="00FB0A0E"/>
    <w:rsid w:val="00FB2340"/>
    <w:rsid w:val="00FB5CE0"/>
    <w:rsid w:val="00FB669D"/>
    <w:rsid w:val="00FB6CB2"/>
    <w:rsid w:val="00FB7118"/>
    <w:rsid w:val="00FC0205"/>
    <w:rsid w:val="00FC46B7"/>
    <w:rsid w:val="00FC4B2C"/>
    <w:rsid w:val="00FD19B6"/>
    <w:rsid w:val="00FD19F6"/>
    <w:rsid w:val="00FD3483"/>
    <w:rsid w:val="00FD578A"/>
    <w:rsid w:val="00FD5C67"/>
    <w:rsid w:val="00FE19E9"/>
    <w:rsid w:val="00FE1C8D"/>
    <w:rsid w:val="00FE2897"/>
    <w:rsid w:val="00FE5B33"/>
    <w:rsid w:val="00FE6420"/>
    <w:rsid w:val="00FE6E48"/>
    <w:rsid w:val="00FF2413"/>
    <w:rsid w:val="00FF2E1D"/>
    <w:rsid w:val="00FF40C4"/>
    <w:rsid w:val="00FF4DC6"/>
    <w:rsid w:val="00FF6020"/>
    <w:rsid w:val="01002832"/>
    <w:rsid w:val="0151582E"/>
    <w:rsid w:val="018C519F"/>
    <w:rsid w:val="024C0DD3"/>
    <w:rsid w:val="02D662BE"/>
    <w:rsid w:val="02F0095C"/>
    <w:rsid w:val="03AD58A1"/>
    <w:rsid w:val="04C42EA2"/>
    <w:rsid w:val="05672BE1"/>
    <w:rsid w:val="07916304"/>
    <w:rsid w:val="07A37044"/>
    <w:rsid w:val="08E23539"/>
    <w:rsid w:val="0A201949"/>
    <w:rsid w:val="0A2D14EA"/>
    <w:rsid w:val="0A71587A"/>
    <w:rsid w:val="0B163D2C"/>
    <w:rsid w:val="0BF24799"/>
    <w:rsid w:val="0C040028"/>
    <w:rsid w:val="0D222E5C"/>
    <w:rsid w:val="0D64051D"/>
    <w:rsid w:val="0DFF4B25"/>
    <w:rsid w:val="0E911D24"/>
    <w:rsid w:val="0E9F0171"/>
    <w:rsid w:val="0EE42FBA"/>
    <w:rsid w:val="0FB0057C"/>
    <w:rsid w:val="0FDF66DA"/>
    <w:rsid w:val="0FF7412C"/>
    <w:rsid w:val="10615A49"/>
    <w:rsid w:val="10D91A83"/>
    <w:rsid w:val="113E5D8A"/>
    <w:rsid w:val="11D0732A"/>
    <w:rsid w:val="126741BF"/>
    <w:rsid w:val="12906AB9"/>
    <w:rsid w:val="1499024C"/>
    <w:rsid w:val="1545589A"/>
    <w:rsid w:val="15D97AC8"/>
    <w:rsid w:val="17DE3219"/>
    <w:rsid w:val="17F01CF9"/>
    <w:rsid w:val="183D1725"/>
    <w:rsid w:val="189049B9"/>
    <w:rsid w:val="18B21538"/>
    <w:rsid w:val="19B47531"/>
    <w:rsid w:val="1A0E7548"/>
    <w:rsid w:val="1B492FD4"/>
    <w:rsid w:val="1B543E96"/>
    <w:rsid w:val="1B972C67"/>
    <w:rsid w:val="1BEF4498"/>
    <w:rsid w:val="1C5A015C"/>
    <w:rsid w:val="1C6D6618"/>
    <w:rsid w:val="1CD27605"/>
    <w:rsid w:val="1D5844D6"/>
    <w:rsid w:val="1D5B1BD3"/>
    <w:rsid w:val="1DB25842"/>
    <w:rsid w:val="1DB64EA9"/>
    <w:rsid w:val="1DCD0BC2"/>
    <w:rsid w:val="1E320A25"/>
    <w:rsid w:val="1E8615AD"/>
    <w:rsid w:val="1F2E4567"/>
    <w:rsid w:val="20AC2D10"/>
    <w:rsid w:val="20CE5828"/>
    <w:rsid w:val="20CF69FF"/>
    <w:rsid w:val="21C334FA"/>
    <w:rsid w:val="22552F34"/>
    <w:rsid w:val="22A60967"/>
    <w:rsid w:val="22F8223D"/>
    <w:rsid w:val="23BC14BC"/>
    <w:rsid w:val="24577437"/>
    <w:rsid w:val="246A53BC"/>
    <w:rsid w:val="24C8713B"/>
    <w:rsid w:val="25A246E2"/>
    <w:rsid w:val="260976EA"/>
    <w:rsid w:val="269B7AAF"/>
    <w:rsid w:val="26D0702D"/>
    <w:rsid w:val="27F5541C"/>
    <w:rsid w:val="280F3F39"/>
    <w:rsid w:val="296642DA"/>
    <w:rsid w:val="29AE5D4B"/>
    <w:rsid w:val="2A2E2822"/>
    <w:rsid w:val="2AA1705C"/>
    <w:rsid w:val="2AD417E1"/>
    <w:rsid w:val="2B457601"/>
    <w:rsid w:val="2C673F8F"/>
    <w:rsid w:val="2C6C129F"/>
    <w:rsid w:val="2D776454"/>
    <w:rsid w:val="2D947006"/>
    <w:rsid w:val="2DD52F4B"/>
    <w:rsid w:val="2E436043"/>
    <w:rsid w:val="2E61338C"/>
    <w:rsid w:val="2E797721"/>
    <w:rsid w:val="2E8C44DC"/>
    <w:rsid w:val="2F566C69"/>
    <w:rsid w:val="2FF87D20"/>
    <w:rsid w:val="30182170"/>
    <w:rsid w:val="301D1535"/>
    <w:rsid w:val="30735515"/>
    <w:rsid w:val="324F5BF1"/>
    <w:rsid w:val="34034EE6"/>
    <w:rsid w:val="34A51AF9"/>
    <w:rsid w:val="3532556B"/>
    <w:rsid w:val="353F61E8"/>
    <w:rsid w:val="35E850DC"/>
    <w:rsid w:val="35EB79DF"/>
    <w:rsid w:val="36041334"/>
    <w:rsid w:val="36BD4AD5"/>
    <w:rsid w:val="36C614F9"/>
    <w:rsid w:val="370E1BD7"/>
    <w:rsid w:val="380A1955"/>
    <w:rsid w:val="389E0383"/>
    <w:rsid w:val="39396CB4"/>
    <w:rsid w:val="3A6F50F3"/>
    <w:rsid w:val="3ADD023E"/>
    <w:rsid w:val="3B9E4D0E"/>
    <w:rsid w:val="3BB149FB"/>
    <w:rsid w:val="3C054379"/>
    <w:rsid w:val="3E3F4D6C"/>
    <w:rsid w:val="3F081602"/>
    <w:rsid w:val="3F1614DA"/>
    <w:rsid w:val="3F696545"/>
    <w:rsid w:val="3FB672B0"/>
    <w:rsid w:val="3FC306F2"/>
    <w:rsid w:val="3FE0432D"/>
    <w:rsid w:val="405279EC"/>
    <w:rsid w:val="41313092"/>
    <w:rsid w:val="4170499D"/>
    <w:rsid w:val="424A4A6E"/>
    <w:rsid w:val="42AB29D0"/>
    <w:rsid w:val="42D9578F"/>
    <w:rsid w:val="42E87780"/>
    <w:rsid w:val="44102D4B"/>
    <w:rsid w:val="44110F59"/>
    <w:rsid w:val="444F02BA"/>
    <w:rsid w:val="44EF3FD1"/>
    <w:rsid w:val="466435C2"/>
    <w:rsid w:val="467B090B"/>
    <w:rsid w:val="46FA1DAD"/>
    <w:rsid w:val="479B74B7"/>
    <w:rsid w:val="48504A3E"/>
    <w:rsid w:val="48945F96"/>
    <w:rsid w:val="494B6CBB"/>
    <w:rsid w:val="49B06B1E"/>
    <w:rsid w:val="4A253068"/>
    <w:rsid w:val="4A2F2139"/>
    <w:rsid w:val="4AFB4960"/>
    <w:rsid w:val="4B386DCB"/>
    <w:rsid w:val="4B5A7CCA"/>
    <w:rsid w:val="4BDB2578"/>
    <w:rsid w:val="4BE3142D"/>
    <w:rsid w:val="4D447CA9"/>
    <w:rsid w:val="4D6E52CC"/>
    <w:rsid w:val="4E577481"/>
    <w:rsid w:val="4E720846"/>
    <w:rsid w:val="4FC11A85"/>
    <w:rsid w:val="503C110B"/>
    <w:rsid w:val="505E7BDE"/>
    <w:rsid w:val="50836D3A"/>
    <w:rsid w:val="508D1829"/>
    <w:rsid w:val="50E023DF"/>
    <w:rsid w:val="510D2AA8"/>
    <w:rsid w:val="51FE4AA2"/>
    <w:rsid w:val="52922741"/>
    <w:rsid w:val="52DA04DA"/>
    <w:rsid w:val="53A45945"/>
    <w:rsid w:val="53BE75EE"/>
    <w:rsid w:val="54D97FCB"/>
    <w:rsid w:val="55516632"/>
    <w:rsid w:val="55BD4A9D"/>
    <w:rsid w:val="55D32512"/>
    <w:rsid w:val="55D71F4A"/>
    <w:rsid w:val="561C5C67"/>
    <w:rsid w:val="56711136"/>
    <w:rsid w:val="58A05D68"/>
    <w:rsid w:val="591F10CD"/>
    <w:rsid w:val="59CC781C"/>
    <w:rsid w:val="59F11964"/>
    <w:rsid w:val="5ADF1399"/>
    <w:rsid w:val="5AF26F96"/>
    <w:rsid w:val="5BA139FB"/>
    <w:rsid w:val="5D5E6B65"/>
    <w:rsid w:val="5DEB2CDC"/>
    <w:rsid w:val="5E6301AB"/>
    <w:rsid w:val="5EC16208"/>
    <w:rsid w:val="5F2C2601"/>
    <w:rsid w:val="5FD21144"/>
    <w:rsid w:val="6057503D"/>
    <w:rsid w:val="605E50CE"/>
    <w:rsid w:val="608169E5"/>
    <w:rsid w:val="60D938AF"/>
    <w:rsid w:val="60E9469A"/>
    <w:rsid w:val="61330309"/>
    <w:rsid w:val="62BA2508"/>
    <w:rsid w:val="62D81168"/>
    <w:rsid w:val="62D84CC4"/>
    <w:rsid w:val="63026109"/>
    <w:rsid w:val="6315416A"/>
    <w:rsid w:val="633F11E7"/>
    <w:rsid w:val="635F7193"/>
    <w:rsid w:val="63A948B2"/>
    <w:rsid w:val="63C139AA"/>
    <w:rsid w:val="63F316FD"/>
    <w:rsid w:val="64656A2B"/>
    <w:rsid w:val="666A3B93"/>
    <w:rsid w:val="67650AF0"/>
    <w:rsid w:val="68AB2E7A"/>
    <w:rsid w:val="69A049DA"/>
    <w:rsid w:val="69A2427D"/>
    <w:rsid w:val="6B39476E"/>
    <w:rsid w:val="6B621F16"/>
    <w:rsid w:val="6B9419A4"/>
    <w:rsid w:val="6C6972D4"/>
    <w:rsid w:val="6D1C60F5"/>
    <w:rsid w:val="6D433682"/>
    <w:rsid w:val="6DD93FE6"/>
    <w:rsid w:val="6E1E2DBD"/>
    <w:rsid w:val="6F0E7932"/>
    <w:rsid w:val="6F4433A9"/>
    <w:rsid w:val="702718C6"/>
    <w:rsid w:val="704E7252"/>
    <w:rsid w:val="70BC27CE"/>
    <w:rsid w:val="71844269"/>
    <w:rsid w:val="729E4018"/>
    <w:rsid w:val="72E04F19"/>
    <w:rsid w:val="7374237F"/>
    <w:rsid w:val="7386251A"/>
    <w:rsid w:val="73F2195D"/>
    <w:rsid w:val="74241413"/>
    <w:rsid w:val="7446602D"/>
    <w:rsid w:val="744E17E0"/>
    <w:rsid w:val="746740F9"/>
    <w:rsid w:val="74741194"/>
    <w:rsid w:val="74902720"/>
    <w:rsid w:val="74A975F5"/>
    <w:rsid w:val="74C94DB4"/>
    <w:rsid w:val="74CE5F27"/>
    <w:rsid w:val="74F70241"/>
    <w:rsid w:val="7524053F"/>
    <w:rsid w:val="7580193D"/>
    <w:rsid w:val="75CD2682"/>
    <w:rsid w:val="75DB1859"/>
    <w:rsid w:val="763C15B6"/>
    <w:rsid w:val="76BD44A5"/>
    <w:rsid w:val="77D47397"/>
    <w:rsid w:val="783F45AA"/>
    <w:rsid w:val="785072A6"/>
    <w:rsid w:val="78DF3BAF"/>
    <w:rsid w:val="79064112"/>
    <w:rsid w:val="79B502CC"/>
    <w:rsid w:val="7A290AB6"/>
    <w:rsid w:val="7A3E3E3C"/>
    <w:rsid w:val="7AC2650A"/>
    <w:rsid w:val="7B7C65DB"/>
    <w:rsid w:val="7BE81FC4"/>
    <w:rsid w:val="7C5A4544"/>
    <w:rsid w:val="7CB31F25"/>
    <w:rsid w:val="7DA20B57"/>
    <w:rsid w:val="7F806779"/>
    <w:rsid w:val="7FC71EF0"/>
    <w:rsid w:val="7FF32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5"/>
    <w:qFormat/>
    <w:uiPriority w:val="0"/>
    <w:pPr>
      <w:keepNext/>
      <w:keepLines/>
      <w:tabs>
        <w:tab w:val="left" w:pos="2580"/>
      </w:tabs>
      <w:spacing w:before="280" w:after="290" w:line="376" w:lineRule="auto"/>
      <w:ind w:left="2580" w:hanging="420"/>
      <w:outlineLvl w:val="4"/>
    </w:pPr>
    <w:rPr>
      <w:b/>
      <w:sz w:val="28"/>
    </w:rPr>
  </w:style>
  <w:style w:type="paragraph" w:styleId="9">
    <w:name w:val="heading 6"/>
    <w:basedOn w:val="1"/>
    <w:next w:val="8"/>
    <w:link w:val="66"/>
    <w:qFormat/>
    <w:uiPriority w:val="0"/>
    <w:pPr>
      <w:keepNext/>
      <w:keepLines/>
      <w:tabs>
        <w:tab w:val="left" w:pos="3000"/>
      </w:tabs>
      <w:spacing w:before="240" w:after="64" w:line="320" w:lineRule="auto"/>
      <w:ind w:left="3000" w:hanging="420"/>
      <w:outlineLvl w:val="5"/>
    </w:pPr>
    <w:rPr>
      <w:rFonts w:ascii="Arial" w:hAnsi="Arial" w:eastAsia="黑体"/>
      <w:b/>
      <w:sz w:val="24"/>
    </w:rPr>
  </w:style>
  <w:style w:type="paragraph" w:styleId="10">
    <w:name w:val="heading 7"/>
    <w:basedOn w:val="1"/>
    <w:next w:val="8"/>
    <w:link w:val="67"/>
    <w:qFormat/>
    <w:uiPriority w:val="0"/>
    <w:pPr>
      <w:keepNext/>
      <w:keepLines/>
      <w:tabs>
        <w:tab w:val="left" w:pos="3420"/>
      </w:tabs>
      <w:spacing w:before="240" w:after="64" w:line="320" w:lineRule="auto"/>
      <w:ind w:left="3420" w:hanging="420"/>
      <w:outlineLvl w:val="6"/>
    </w:pPr>
    <w:rPr>
      <w:b/>
      <w:sz w:val="24"/>
    </w:rPr>
  </w:style>
  <w:style w:type="paragraph" w:styleId="11">
    <w:name w:val="heading 8"/>
    <w:basedOn w:val="1"/>
    <w:next w:val="8"/>
    <w:link w:val="68"/>
    <w:qFormat/>
    <w:uiPriority w:val="0"/>
    <w:pPr>
      <w:keepNext/>
      <w:keepLines/>
      <w:tabs>
        <w:tab w:val="left" w:pos="3840"/>
      </w:tabs>
      <w:spacing w:before="240" w:after="64" w:line="320" w:lineRule="auto"/>
      <w:ind w:left="3840" w:hanging="420"/>
      <w:outlineLvl w:val="7"/>
    </w:pPr>
    <w:rPr>
      <w:rFonts w:ascii="Arial" w:hAnsi="Arial" w:eastAsia="黑体"/>
      <w:sz w:val="24"/>
    </w:rPr>
  </w:style>
  <w:style w:type="paragraph" w:styleId="12">
    <w:name w:val="heading 9"/>
    <w:basedOn w:val="1"/>
    <w:next w:val="8"/>
    <w:link w:val="69"/>
    <w:qFormat/>
    <w:uiPriority w:val="0"/>
    <w:pPr>
      <w:keepNext/>
      <w:keepLines/>
      <w:tabs>
        <w:tab w:val="left" w:pos="4260"/>
      </w:tabs>
      <w:spacing w:before="240" w:after="64" w:line="320" w:lineRule="auto"/>
      <w:ind w:left="4260" w:hanging="420"/>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1"/>
    <w:qFormat/>
    <w:uiPriority w:val="0"/>
    <w:pPr>
      <w:tabs>
        <w:tab w:val="center" w:pos="4153"/>
        <w:tab w:val="right" w:pos="8306"/>
      </w:tabs>
      <w:snapToGrid w:val="0"/>
      <w:jc w:val="left"/>
    </w:pPr>
    <w:rPr>
      <w:sz w:val="18"/>
      <w:szCs w:val="18"/>
    </w:rPr>
  </w:style>
  <w:style w:type="paragraph" w:styleId="8">
    <w:name w:val="Normal Indent"/>
    <w:basedOn w:val="1"/>
    <w:link w:val="64"/>
    <w:qFormat/>
    <w:uiPriority w:val="0"/>
    <w:pPr>
      <w:ind w:firstLine="420"/>
    </w:pPr>
    <w:rPr>
      <w:szCs w:val="20"/>
    </w:r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envelope address"/>
    <w:basedOn w:val="1"/>
    <w:qFormat/>
    <w:uiPriority w:val="0"/>
    <w:pPr>
      <w:framePr w:w="7920" w:h="1980" w:hRule="exact" w:hSpace="180" w:wrap="auto" w:vAnchor="margin" w:hAnchor="page" w:xAlign="center" w:yAlign="bottom"/>
      <w:snapToGrid w:val="0"/>
      <w:spacing w:line="360" w:lineRule="auto"/>
      <w:ind w:left="100" w:leftChars="1400"/>
    </w:pPr>
    <w:rPr>
      <w:rFonts w:ascii="Arial" w:hAnsi="Arial" w:cs="Arial"/>
      <w:sz w:val="24"/>
    </w:rPr>
  </w:style>
  <w:style w:type="paragraph" w:styleId="18">
    <w:name w:val="Document Map"/>
    <w:basedOn w:val="1"/>
    <w:link w:val="71"/>
    <w:qFormat/>
    <w:uiPriority w:val="0"/>
    <w:pPr>
      <w:shd w:val="clear" w:color="auto" w:fill="000080"/>
    </w:pPr>
  </w:style>
  <w:style w:type="paragraph" w:styleId="19">
    <w:name w:val="annotation text"/>
    <w:basedOn w:val="1"/>
    <w:link w:val="100"/>
    <w:qFormat/>
    <w:uiPriority w:val="0"/>
    <w:pPr>
      <w:jc w:val="left"/>
    </w:pPr>
  </w:style>
  <w:style w:type="paragraph" w:styleId="20">
    <w:name w:val="Body Text 3"/>
    <w:basedOn w:val="1"/>
    <w:qFormat/>
    <w:uiPriority w:val="0"/>
    <w:pPr>
      <w:spacing w:after="120"/>
    </w:pPr>
    <w:rPr>
      <w:sz w:val="16"/>
      <w:szCs w:val="16"/>
    </w:rPr>
  </w:style>
  <w:style w:type="paragraph" w:styleId="21">
    <w:name w:val="Body Text"/>
    <w:basedOn w:val="1"/>
    <w:link w:val="83"/>
    <w:qFormat/>
    <w:uiPriority w:val="99"/>
    <w:pPr>
      <w:spacing w:after="120"/>
    </w:pPr>
  </w:style>
  <w:style w:type="paragraph" w:styleId="22">
    <w:name w:val="Body Text Indent"/>
    <w:basedOn w:val="1"/>
    <w:link w:val="85"/>
    <w:qFormat/>
    <w:uiPriority w:val="0"/>
    <w:pPr>
      <w:spacing w:after="120"/>
      <w:ind w:left="420" w:leftChars="200"/>
    </w:pPr>
  </w:style>
  <w:style w:type="paragraph" w:styleId="23">
    <w:name w:val="List Number 3"/>
    <w:basedOn w:val="1"/>
    <w:qFormat/>
    <w:uiPriority w:val="0"/>
    <w:pPr>
      <w:tabs>
        <w:tab w:val="left" w:pos="900"/>
        <w:tab w:val="left" w:pos="1200"/>
      </w:tabs>
      <w:ind w:left="900" w:hanging="420"/>
    </w:pPr>
  </w:style>
  <w:style w:type="paragraph" w:styleId="24">
    <w:name w:val="List 2"/>
    <w:basedOn w:val="1"/>
    <w:qFormat/>
    <w:uiPriority w:val="0"/>
    <w:pPr>
      <w:ind w:left="100" w:leftChars="200" w:hanging="200" w:hangingChars="200"/>
    </w:pPr>
  </w:style>
  <w:style w:type="paragraph" w:styleId="2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6">
    <w:name w:val="toc 3"/>
    <w:basedOn w:val="1"/>
    <w:next w:val="1"/>
    <w:qFormat/>
    <w:uiPriority w:val="39"/>
    <w:pPr>
      <w:ind w:left="840" w:leftChars="400"/>
    </w:pPr>
  </w:style>
  <w:style w:type="paragraph" w:styleId="27">
    <w:name w:val="Plain Text"/>
    <w:basedOn w:val="1"/>
    <w:next w:val="1"/>
    <w:link w:val="84"/>
    <w:qFormat/>
    <w:uiPriority w:val="0"/>
    <w:rPr>
      <w:rFonts w:ascii="宋体" w:hAnsi="Courier New" w:cs="Courier New"/>
      <w:szCs w:val="21"/>
    </w:rPr>
  </w:style>
  <w:style w:type="paragraph" w:styleId="2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9">
    <w:name w:val="Date"/>
    <w:basedOn w:val="1"/>
    <w:next w:val="1"/>
    <w:link w:val="104"/>
    <w:qFormat/>
    <w:uiPriority w:val="0"/>
    <w:pPr>
      <w:ind w:left="100" w:leftChars="2500"/>
    </w:pPr>
    <w:rPr>
      <w:rFonts w:ascii="宋体" w:hAnsi="Courier New" w:cs="Courier New"/>
      <w:szCs w:val="21"/>
    </w:rPr>
  </w:style>
  <w:style w:type="paragraph" w:styleId="30">
    <w:name w:val="Body Text Indent 2"/>
    <w:basedOn w:val="1"/>
    <w:qFormat/>
    <w:uiPriority w:val="0"/>
    <w:pPr>
      <w:ind w:firstLine="630"/>
    </w:pPr>
    <w:rPr>
      <w:sz w:val="32"/>
      <w:szCs w:val="20"/>
    </w:rPr>
  </w:style>
  <w:style w:type="paragraph" w:styleId="31">
    <w:name w:val="endnote text"/>
    <w:basedOn w:val="1"/>
    <w:qFormat/>
    <w:uiPriority w:val="0"/>
    <w:pPr>
      <w:snapToGrid w:val="0"/>
      <w:jc w:val="left"/>
    </w:pPr>
  </w:style>
  <w:style w:type="paragraph" w:styleId="32">
    <w:name w:val="Balloon Text"/>
    <w:basedOn w:val="1"/>
    <w:qFormat/>
    <w:uiPriority w:val="0"/>
    <w:rPr>
      <w:sz w:val="18"/>
      <w:szCs w:val="18"/>
    </w:rPr>
  </w:style>
  <w:style w:type="paragraph" w:styleId="33">
    <w:name w:val="header"/>
    <w:basedOn w:val="1"/>
    <w:link w:val="11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6">
    <w:name w:val="List"/>
    <w:basedOn w:val="1"/>
    <w:qFormat/>
    <w:uiPriority w:val="0"/>
    <w:pPr>
      <w:ind w:left="200" w:hanging="200" w:hangingChars="200"/>
    </w:pPr>
  </w:style>
  <w:style w:type="paragraph" w:styleId="37">
    <w:name w:val="footnote text"/>
    <w:basedOn w:val="1"/>
    <w:qFormat/>
    <w:uiPriority w:val="0"/>
    <w:pPr>
      <w:snapToGrid w:val="0"/>
      <w:jc w:val="left"/>
    </w:pPr>
    <w:rPr>
      <w:sz w:val="18"/>
      <w:szCs w:val="18"/>
    </w:rPr>
  </w:style>
  <w:style w:type="paragraph" w:styleId="3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9">
    <w:name w:val="Body Text Indent 3"/>
    <w:basedOn w:val="1"/>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42">
    <w:name w:val="Body Text 2"/>
    <w:basedOn w:val="1"/>
    <w:qFormat/>
    <w:uiPriority w:val="0"/>
    <w:pPr>
      <w:spacing w:after="120" w:line="480" w:lineRule="auto"/>
    </w:pPr>
  </w:style>
  <w:style w:type="paragraph" w:styleId="43">
    <w:name w:val="Normal (Web)"/>
    <w:basedOn w:val="1"/>
    <w:link w:val="86"/>
    <w:qFormat/>
    <w:uiPriority w:val="0"/>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annotation subject"/>
    <w:basedOn w:val="19"/>
    <w:next w:val="19"/>
    <w:link w:val="101"/>
    <w:semiHidden/>
    <w:qFormat/>
    <w:uiPriority w:val="0"/>
    <w:rPr>
      <w:b/>
      <w:bCs/>
    </w:rPr>
  </w:style>
  <w:style w:type="paragraph" w:styleId="46">
    <w:name w:val="Body Text First Indent"/>
    <w:basedOn w:val="21"/>
    <w:link w:val="82"/>
    <w:qFormat/>
    <w:uiPriority w:val="0"/>
    <w:pPr>
      <w:ind w:firstLine="420" w:firstLineChars="100"/>
    </w:pPr>
  </w:style>
  <w:style w:type="paragraph" w:styleId="47">
    <w:name w:val="Body Text First Indent 2"/>
    <w:basedOn w:val="22"/>
    <w:link w:val="208"/>
    <w:qFormat/>
    <w:uiPriority w:val="0"/>
    <w:pPr>
      <w:ind w:firstLine="420" w:firstLineChars="200"/>
    </w:pPr>
  </w:style>
  <w:style w:type="table" w:styleId="49">
    <w:name w:val="Table Grid"/>
    <w:basedOn w:val="48"/>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character" w:styleId="59">
    <w:name w:val="HTML Sample"/>
    <w:basedOn w:val="50"/>
    <w:unhideWhenUsed/>
    <w:qFormat/>
    <w:uiPriority w:val="99"/>
    <w:rPr>
      <w:rFonts w:ascii="宋体" w:hAnsi="宋体" w:eastAsia="宋体" w:cs="宋体"/>
    </w:rPr>
  </w:style>
  <w:style w:type="character" w:customStyle="1" w:styleId="60">
    <w:name w:val="标题 1 Char"/>
    <w:link w:val="3"/>
    <w:qFormat/>
    <w:uiPriority w:val="0"/>
    <w:rPr>
      <w:rFonts w:eastAsia="宋体"/>
      <w:b/>
      <w:bCs/>
      <w:kern w:val="44"/>
      <w:sz w:val="44"/>
      <w:szCs w:val="44"/>
      <w:lang w:val="en-US" w:eastAsia="zh-CN" w:bidi="ar-SA"/>
    </w:rPr>
  </w:style>
  <w:style w:type="character" w:customStyle="1" w:styleId="61">
    <w:name w:val="标题 2 Char"/>
    <w:link w:val="4"/>
    <w:qFormat/>
    <w:uiPriority w:val="0"/>
    <w:rPr>
      <w:rFonts w:ascii="Arial" w:hAnsi="Arial" w:eastAsia="黑体"/>
      <w:b/>
      <w:bCs/>
      <w:kern w:val="2"/>
      <w:sz w:val="32"/>
      <w:szCs w:val="32"/>
      <w:lang w:val="en-US" w:eastAsia="zh-CN" w:bidi="ar-SA"/>
    </w:rPr>
  </w:style>
  <w:style w:type="character" w:customStyle="1" w:styleId="62">
    <w:name w:val="标题 3 Char"/>
    <w:link w:val="5"/>
    <w:qFormat/>
    <w:uiPriority w:val="0"/>
    <w:rPr>
      <w:rFonts w:eastAsia="宋体"/>
      <w:b/>
      <w:bCs/>
      <w:kern w:val="2"/>
      <w:sz w:val="32"/>
      <w:szCs w:val="32"/>
      <w:lang w:val="en-US" w:eastAsia="zh-CN" w:bidi="ar-SA"/>
    </w:rPr>
  </w:style>
  <w:style w:type="character" w:customStyle="1" w:styleId="63">
    <w:name w:val="标题 4 Char"/>
    <w:link w:val="6"/>
    <w:qFormat/>
    <w:uiPriority w:val="0"/>
    <w:rPr>
      <w:rFonts w:ascii="Arial" w:hAnsi="Arial" w:eastAsia="黑体"/>
      <w:b/>
      <w:bCs/>
      <w:kern w:val="2"/>
      <w:sz w:val="28"/>
      <w:szCs w:val="28"/>
      <w:lang w:val="en-US" w:eastAsia="zh-CN" w:bidi="ar-SA"/>
    </w:rPr>
  </w:style>
  <w:style w:type="character" w:customStyle="1" w:styleId="64">
    <w:name w:val="正文缩进 Char"/>
    <w:link w:val="8"/>
    <w:qFormat/>
    <w:uiPriority w:val="0"/>
    <w:rPr>
      <w:kern w:val="2"/>
      <w:sz w:val="21"/>
    </w:rPr>
  </w:style>
  <w:style w:type="character" w:customStyle="1" w:styleId="65">
    <w:name w:val="标题 5 Char"/>
    <w:link w:val="7"/>
    <w:qFormat/>
    <w:uiPriority w:val="0"/>
    <w:rPr>
      <w:b/>
      <w:kern w:val="2"/>
      <w:sz w:val="28"/>
      <w:szCs w:val="24"/>
    </w:rPr>
  </w:style>
  <w:style w:type="character" w:customStyle="1" w:styleId="66">
    <w:name w:val="标题 6 Char"/>
    <w:link w:val="9"/>
    <w:qFormat/>
    <w:uiPriority w:val="0"/>
    <w:rPr>
      <w:rFonts w:ascii="Arial" w:hAnsi="Arial" w:eastAsia="黑体"/>
      <w:b/>
      <w:kern w:val="2"/>
      <w:sz w:val="24"/>
      <w:szCs w:val="24"/>
    </w:rPr>
  </w:style>
  <w:style w:type="character" w:customStyle="1" w:styleId="67">
    <w:name w:val="标题 7 Char"/>
    <w:link w:val="10"/>
    <w:qFormat/>
    <w:uiPriority w:val="99"/>
    <w:rPr>
      <w:b/>
      <w:kern w:val="2"/>
      <w:sz w:val="24"/>
      <w:szCs w:val="24"/>
    </w:rPr>
  </w:style>
  <w:style w:type="character" w:customStyle="1" w:styleId="68">
    <w:name w:val="标题 8 Char"/>
    <w:link w:val="11"/>
    <w:qFormat/>
    <w:uiPriority w:val="0"/>
    <w:rPr>
      <w:rFonts w:ascii="Arial" w:hAnsi="Arial" w:eastAsia="黑体"/>
      <w:kern w:val="2"/>
      <w:sz w:val="24"/>
      <w:szCs w:val="24"/>
    </w:rPr>
  </w:style>
  <w:style w:type="character" w:customStyle="1" w:styleId="69">
    <w:name w:val="标题 9 Char"/>
    <w:link w:val="12"/>
    <w:qFormat/>
    <w:uiPriority w:val="0"/>
    <w:rPr>
      <w:rFonts w:ascii="Arial" w:hAnsi="Arial" w:eastAsia="黑体"/>
      <w:kern w:val="2"/>
      <w:sz w:val="21"/>
      <w:szCs w:val="24"/>
    </w:rPr>
  </w:style>
  <w:style w:type="character" w:customStyle="1" w:styleId="70">
    <w:name w:val="small"/>
    <w:basedOn w:val="50"/>
    <w:qFormat/>
    <w:uiPriority w:val="0"/>
  </w:style>
  <w:style w:type="character" w:customStyle="1" w:styleId="71">
    <w:name w:val="文档结构图 Char"/>
    <w:link w:val="18"/>
    <w:qFormat/>
    <w:uiPriority w:val="0"/>
    <w:rPr>
      <w:kern w:val="2"/>
      <w:sz w:val="21"/>
      <w:szCs w:val="24"/>
      <w:shd w:val="clear" w:color="auto" w:fill="000080"/>
    </w:rPr>
  </w:style>
  <w:style w:type="character" w:customStyle="1" w:styleId="72">
    <w:name w:val="style21"/>
    <w:qFormat/>
    <w:uiPriority w:val="0"/>
    <w:rPr>
      <w:sz w:val="15"/>
      <w:szCs w:val="15"/>
    </w:rPr>
  </w:style>
  <w:style w:type="character" w:customStyle="1" w:styleId="73">
    <w:name w:val="项目编号A Char"/>
    <w:link w:val="74"/>
    <w:qFormat/>
    <w:uiPriority w:val="0"/>
    <w:rPr>
      <w:rFonts w:ascii="Arial" w:hAnsi="Arial"/>
      <w:kern w:val="2"/>
      <w:sz w:val="24"/>
      <w:szCs w:val="24"/>
    </w:rPr>
  </w:style>
  <w:style w:type="paragraph" w:customStyle="1" w:styleId="74">
    <w:name w:val="项目编号A"/>
    <w:basedOn w:val="1"/>
    <w:link w:val="73"/>
    <w:qFormat/>
    <w:uiPriority w:val="0"/>
    <w:pPr>
      <w:tabs>
        <w:tab w:val="left" w:pos="959"/>
      </w:tabs>
      <w:spacing w:line="360" w:lineRule="auto"/>
      <w:ind w:left="959" w:hanging="420"/>
    </w:pPr>
    <w:rPr>
      <w:rFonts w:ascii="Arial" w:hAnsi="Arial"/>
      <w:sz w:val="24"/>
    </w:rPr>
  </w:style>
  <w:style w:type="character" w:customStyle="1" w:styleId="75">
    <w:name w:val="小四 段落 宋体 Char Char Char Char1"/>
    <w:link w:val="76"/>
    <w:qFormat/>
    <w:uiPriority w:val="0"/>
    <w:rPr>
      <w:kern w:val="2"/>
      <w:sz w:val="24"/>
      <w:szCs w:val="24"/>
    </w:rPr>
  </w:style>
  <w:style w:type="paragraph" w:customStyle="1" w:styleId="76">
    <w:name w:val="小四 段落 宋体 Char Char Char"/>
    <w:basedOn w:val="15"/>
    <w:link w:val="75"/>
    <w:qFormat/>
    <w:uiPriority w:val="0"/>
    <w:pPr>
      <w:widowControl w:val="0"/>
      <w:tabs>
        <w:tab w:val="clear" w:pos="454"/>
        <w:tab w:val="clear" w:pos="720"/>
        <w:tab w:val="clear" w:pos="840"/>
      </w:tabs>
      <w:spacing w:afterLines="0" w:line="360" w:lineRule="auto"/>
      <w:ind w:left="0" w:right="-33" w:firstLine="480" w:firstLineChars="200"/>
    </w:pPr>
    <w:rPr>
      <w:kern w:val="2"/>
      <w:szCs w:val="24"/>
    </w:rPr>
  </w:style>
  <w:style w:type="character" w:customStyle="1" w:styleId="77">
    <w:name w:val="span_param1"/>
    <w:basedOn w:val="50"/>
    <w:qFormat/>
    <w:uiPriority w:val="0"/>
  </w:style>
  <w:style w:type="character" w:customStyle="1" w:styleId="78">
    <w:name w:val="case31"/>
    <w:qFormat/>
    <w:uiPriority w:val="0"/>
    <w:rPr>
      <w:rFonts w:hint="default"/>
      <w:sz w:val="21"/>
      <w:szCs w:val="21"/>
    </w:rPr>
  </w:style>
  <w:style w:type="character" w:customStyle="1" w:styleId="79">
    <w:name w:val="ccc1"/>
    <w:qFormat/>
    <w:uiPriority w:val="0"/>
    <w:rPr>
      <w:rFonts w:hint="default" w:ascii="Arial" w:hAnsi="Arial" w:cs="Arial"/>
      <w:sz w:val="16"/>
      <w:szCs w:val="16"/>
    </w:rPr>
  </w:style>
  <w:style w:type="character" w:customStyle="1" w:styleId="80">
    <w:name w:val="方案文档 Char"/>
    <w:link w:val="81"/>
    <w:qFormat/>
    <w:uiPriority w:val="0"/>
    <w:rPr>
      <w:rFonts w:ascii="仿宋_GB2312" w:hAnsi="Arial" w:eastAsia="仿宋_GB2312"/>
      <w:b/>
      <w:color w:val="000000"/>
      <w:kern w:val="2"/>
      <w:sz w:val="24"/>
      <w:szCs w:val="24"/>
    </w:rPr>
  </w:style>
  <w:style w:type="paragraph" w:customStyle="1" w:styleId="81">
    <w:name w:val="方案文档"/>
    <w:basedOn w:val="1"/>
    <w:link w:val="80"/>
    <w:qFormat/>
    <w:uiPriority w:val="0"/>
    <w:pPr>
      <w:spacing w:before="120" w:after="120" w:line="400" w:lineRule="exact"/>
      <w:ind w:right="32" w:firstLine="472" w:firstLineChars="196"/>
    </w:pPr>
    <w:rPr>
      <w:rFonts w:ascii="仿宋_GB2312" w:hAnsi="Arial" w:eastAsia="仿宋_GB2312"/>
      <w:b/>
      <w:color w:val="000000"/>
      <w:sz w:val="24"/>
    </w:rPr>
  </w:style>
  <w:style w:type="character" w:customStyle="1" w:styleId="82">
    <w:name w:val="正文首行缩进 Char"/>
    <w:basedOn w:val="83"/>
    <w:link w:val="46"/>
    <w:qFormat/>
    <w:uiPriority w:val="0"/>
    <w:rPr>
      <w:kern w:val="2"/>
      <w:sz w:val="21"/>
      <w:szCs w:val="24"/>
    </w:rPr>
  </w:style>
  <w:style w:type="character" w:customStyle="1" w:styleId="83">
    <w:name w:val="正文文本 Char1"/>
    <w:link w:val="21"/>
    <w:qFormat/>
    <w:uiPriority w:val="99"/>
    <w:rPr>
      <w:kern w:val="2"/>
      <w:sz w:val="21"/>
      <w:szCs w:val="24"/>
    </w:rPr>
  </w:style>
  <w:style w:type="character" w:customStyle="1" w:styleId="84">
    <w:name w:val="纯文本 Char"/>
    <w:link w:val="27"/>
    <w:qFormat/>
    <w:uiPriority w:val="0"/>
    <w:rPr>
      <w:rFonts w:ascii="宋体" w:hAnsi="Courier New" w:eastAsia="宋体" w:cs="Courier New"/>
      <w:kern w:val="2"/>
      <w:sz w:val="21"/>
      <w:szCs w:val="21"/>
      <w:lang w:val="en-US" w:eastAsia="zh-CN" w:bidi="ar-SA"/>
    </w:rPr>
  </w:style>
  <w:style w:type="character" w:customStyle="1" w:styleId="85">
    <w:name w:val="正文文本缩进 Char"/>
    <w:link w:val="22"/>
    <w:qFormat/>
    <w:uiPriority w:val="0"/>
    <w:rPr>
      <w:kern w:val="2"/>
      <w:sz w:val="21"/>
      <w:szCs w:val="24"/>
    </w:rPr>
  </w:style>
  <w:style w:type="character" w:customStyle="1" w:styleId="86">
    <w:name w:val="普通(网站) Char"/>
    <w:link w:val="43"/>
    <w:qFormat/>
    <w:uiPriority w:val="0"/>
    <w:rPr>
      <w:rFonts w:ascii="宋体" w:hAnsi="宋体"/>
      <w:sz w:val="24"/>
      <w:szCs w:val="24"/>
    </w:rPr>
  </w:style>
  <w:style w:type="character" w:customStyle="1" w:styleId="87">
    <w:name w:val="huei12b1"/>
    <w:qFormat/>
    <w:uiPriority w:val="0"/>
    <w:rPr>
      <w:b/>
      <w:bCs/>
      <w:color w:val="333333"/>
      <w:sz w:val="16"/>
      <w:szCs w:val="16"/>
    </w:rPr>
  </w:style>
  <w:style w:type="character" w:customStyle="1" w:styleId="88">
    <w:name w:val="span_paramvalue"/>
    <w:basedOn w:val="50"/>
    <w:qFormat/>
    <w:uiPriority w:val="0"/>
  </w:style>
  <w:style w:type="character" w:customStyle="1" w:styleId="89">
    <w:name w:val="article11"/>
    <w:qFormat/>
    <w:uiPriority w:val="0"/>
    <w:rPr>
      <w:color w:val="000000"/>
      <w:sz w:val="23"/>
      <w:szCs w:val="23"/>
    </w:rPr>
  </w:style>
  <w:style w:type="character" w:customStyle="1" w:styleId="90">
    <w:name w:val="style13"/>
    <w:basedOn w:val="50"/>
    <w:qFormat/>
    <w:uiPriority w:val="0"/>
  </w:style>
  <w:style w:type="character" w:customStyle="1" w:styleId="91">
    <w:name w:val="项目符号A Char"/>
    <w:link w:val="92"/>
    <w:qFormat/>
    <w:uiPriority w:val="0"/>
    <w:rPr>
      <w:rFonts w:ascii="仿宋_GB2312" w:hAnsi="Arial" w:eastAsia="仿宋_GB2312"/>
      <w:spacing w:val="-4"/>
      <w:kern w:val="2"/>
      <w:sz w:val="24"/>
      <w:szCs w:val="24"/>
    </w:rPr>
  </w:style>
  <w:style w:type="paragraph" w:customStyle="1" w:styleId="92">
    <w:name w:val="项目符号A"/>
    <w:basedOn w:val="1"/>
    <w:link w:val="91"/>
    <w:qFormat/>
    <w:uiPriority w:val="0"/>
    <w:pPr>
      <w:tabs>
        <w:tab w:val="left" w:pos="1021"/>
      </w:tabs>
      <w:spacing w:line="400" w:lineRule="exact"/>
      <w:ind w:firstLine="465"/>
    </w:pPr>
    <w:rPr>
      <w:rFonts w:ascii="仿宋_GB2312" w:hAnsi="Arial" w:eastAsia="仿宋_GB2312"/>
      <w:spacing w:val="-4"/>
      <w:sz w:val="24"/>
    </w:rPr>
  </w:style>
  <w:style w:type="character" w:customStyle="1" w:styleId="93">
    <w:name w:val="表格正文 Char"/>
    <w:link w:val="94"/>
    <w:qFormat/>
    <w:uiPriority w:val="0"/>
    <w:rPr>
      <w:rFonts w:ascii="宋体" w:hAnsi="Arial"/>
      <w:sz w:val="24"/>
    </w:rPr>
  </w:style>
  <w:style w:type="paragraph" w:customStyle="1" w:styleId="94">
    <w:name w:val="表格正文"/>
    <w:basedOn w:val="1"/>
    <w:link w:val="93"/>
    <w:qFormat/>
    <w:uiPriority w:val="0"/>
    <w:pPr>
      <w:adjustRightInd w:val="0"/>
      <w:snapToGrid w:val="0"/>
      <w:spacing w:before="120" w:after="120"/>
      <w:ind w:right="46" w:rightChars="19"/>
      <w:jc w:val="left"/>
    </w:pPr>
    <w:rPr>
      <w:rFonts w:ascii="宋体" w:hAnsi="Arial"/>
      <w:kern w:val="0"/>
      <w:sz w:val="24"/>
      <w:szCs w:val="20"/>
    </w:rPr>
  </w:style>
  <w:style w:type="character" w:customStyle="1" w:styleId="95">
    <w:name w:val="标准文本 Char"/>
    <w:link w:val="96"/>
    <w:qFormat/>
    <w:uiPriority w:val="0"/>
    <w:rPr>
      <w:rFonts w:cs="宋体"/>
      <w:kern w:val="2"/>
      <w:sz w:val="24"/>
    </w:rPr>
  </w:style>
  <w:style w:type="paragraph" w:customStyle="1" w:styleId="96">
    <w:name w:val="标准文本"/>
    <w:basedOn w:val="1"/>
    <w:link w:val="95"/>
    <w:qFormat/>
    <w:uiPriority w:val="0"/>
    <w:pPr>
      <w:spacing w:line="360" w:lineRule="auto"/>
      <w:ind w:firstLine="480" w:firstLineChars="200"/>
    </w:pPr>
    <w:rPr>
      <w:sz w:val="24"/>
      <w:szCs w:val="20"/>
    </w:rPr>
  </w:style>
  <w:style w:type="character" w:customStyle="1" w:styleId="97">
    <w:name w:val="Plain Text Char"/>
    <w:qFormat/>
    <w:locked/>
    <w:uiPriority w:val="0"/>
    <w:rPr>
      <w:rFonts w:ascii="宋体" w:hAnsi="Courier New" w:eastAsia="宋体"/>
      <w:sz w:val="21"/>
    </w:rPr>
  </w:style>
  <w:style w:type="paragraph" w:customStyle="1" w:styleId="9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character" w:customStyle="1" w:styleId="100">
    <w:name w:val="批注文字 Char"/>
    <w:link w:val="19"/>
    <w:qFormat/>
    <w:uiPriority w:val="0"/>
    <w:rPr>
      <w:rFonts w:eastAsia="宋体"/>
      <w:kern w:val="2"/>
      <w:sz w:val="21"/>
      <w:szCs w:val="24"/>
      <w:lang w:val="en-US" w:eastAsia="zh-CN" w:bidi="ar-SA"/>
    </w:rPr>
  </w:style>
  <w:style w:type="character" w:customStyle="1" w:styleId="101">
    <w:name w:val="批注主题 Char"/>
    <w:link w:val="45"/>
    <w:semiHidden/>
    <w:qFormat/>
    <w:uiPriority w:val="0"/>
    <w:rPr>
      <w:rFonts w:eastAsia="宋体"/>
      <w:b/>
      <w:bCs/>
      <w:kern w:val="2"/>
      <w:sz w:val="21"/>
      <w:szCs w:val="24"/>
      <w:lang w:val="en-US" w:eastAsia="zh-CN" w:bidi="ar-SA"/>
    </w:rPr>
  </w:style>
  <w:style w:type="paragraph" w:customStyle="1" w:styleId="102">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4">
    <w:name w:val="日期 Char"/>
    <w:link w:val="29"/>
    <w:qFormat/>
    <w:uiPriority w:val="0"/>
    <w:rPr>
      <w:rFonts w:ascii="宋体" w:hAnsi="Courier New" w:eastAsia="宋体" w:cs="Courier New"/>
      <w:kern w:val="2"/>
      <w:sz w:val="21"/>
      <w:szCs w:val="21"/>
      <w:lang w:val="en-US" w:eastAsia="zh-CN" w:bidi="ar-SA"/>
    </w:rPr>
  </w:style>
  <w:style w:type="paragraph" w:customStyle="1" w:styleId="105">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font6"/>
    <w:basedOn w:val="1"/>
    <w:qFormat/>
    <w:uiPriority w:val="0"/>
    <w:pPr>
      <w:widowControl/>
      <w:spacing w:before="100" w:beforeAutospacing="1" w:after="100" w:afterAutospacing="1"/>
      <w:jc w:val="left"/>
    </w:pPr>
    <w:rPr>
      <w:color w:val="000000"/>
      <w:kern w:val="0"/>
      <w:szCs w:val="21"/>
    </w:rPr>
  </w:style>
  <w:style w:type="paragraph" w:customStyle="1" w:styleId="108">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09">
    <w:name w:val="Char"/>
    <w:basedOn w:val="1"/>
    <w:qFormat/>
    <w:uiPriority w:val="0"/>
    <w:rPr>
      <w:rFonts w:ascii="宋体" w:hAnsi="Courier New"/>
      <w:szCs w:val="20"/>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11">
    <w:name w:val="页脚 Char"/>
    <w:link w:val="2"/>
    <w:semiHidden/>
    <w:qFormat/>
    <w:uiPriority w:val="0"/>
    <w:rPr>
      <w:rFonts w:eastAsia="宋体"/>
      <w:kern w:val="2"/>
      <w:sz w:val="18"/>
      <w:szCs w:val="18"/>
      <w:lang w:val="en-US" w:eastAsia="zh-CN" w:bidi="ar-SA"/>
    </w:rPr>
  </w:style>
  <w:style w:type="paragraph" w:customStyle="1" w:styleId="112">
    <w:name w:val="表格"/>
    <w:basedOn w:val="1"/>
    <w:qFormat/>
    <w:uiPriority w:val="0"/>
    <w:pPr>
      <w:spacing w:line="400" w:lineRule="exact"/>
    </w:pPr>
    <w:rPr>
      <w:sz w:val="24"/>
    </w:rPr>
  </w:style>
  <w:style w:type="character" w:customStyle="1" w:styleId="113">
    <w:name w:val="页眉 Char"/>
    <w:link w:val="33"/>
    <w:qFormat/>
    <w:uiPriority w:val="0"/>
    <w:rPr>
      <w:rFonts w:eastAsia="宋体"/>
      <w:kern w:val="2"/>
      <w:sz w:val="18"/>
      <w:szCs w:val="18"/>
      <w:lang w:val="en-US" w:eastAsia="zh-CN" w:bidi="ar-SA"/>
    </w:rPr>
  </w:style>
  <w:style w:type="paragraph" w:customStyle="1" w:styleId="11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
    <w:name w:val="xl4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
    <w:name w:val="xl50"/>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20">
    <w:name w:val="xl4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21">
    <w:name w:val="xl4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122">
    <w:name w:val="Char1 Char Char Char"/>
    <w:basedOn w:val="1"/>
    <w:qFormat/>
    <w:uiPriority w:val="0"/>
    <w:pPr>
      <w:widowControl/>
      <w:jc w:val="left"/>
    </w:pPr>
    <w:rPr>
      <w:szCs w:val="20"/>
    </w:rPr>
  </w:style>
  <w:style w:type="paragraph" w:customStyle="1" w:styleId="123">
    <w:name w:val="xl24"/>
    <w:basedOn w:val="1"/>
    <w:qFormat/>
    <w:uiPriority w:val="0"/>
    <w:pPr>
      <w:widowControl/>
      <w:spacing w:before="100" w:beforeAutospacing="1" w:after="100" w:afterAutospacing="1"/>
      <w:jc w:val="center"/>
    </w:pPr>
    <w:rPr>
      <w:rFonts w:ascii="宋体" w:hAnsi="宋体" w:cs="宋体"/>
      <w:b/>
      <w:bCs/>
      <w:kern w:val="0"/>
      <w:sz w:val="26"/>
      <w:szCs w:val="26"/>
    </w:rPr>
  </w:style>
  <w:style w:type="paragraph" w:customStyle="1" w:styleId="12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
    <w:name w:val="正文段"/>
    <w:basedOn w:val="1"/>
    <w:qFormat/>
    <w:uiPriority w:val="0"/>
    <w:pPr>
      <w:widowControl/>
      <w:snapToGrid w:val="0"/>
      <w:spacing w:afterLines="50"/>
      <w:ind w:firstLine="200" w:firstLineChars="200"/>
    </w:pPr>
    <w:rPr>
      <w:kern w:val="0"/>
      <w:sz w:val="24"/>
      <w:szCs w:val="20"/>
    </w:rPr>
  </w:style>
  <w:style w:type="paragraph" w:customStyle="1" w:styleId="127">
    <w:name w:val="Char Char Char Char Char Char Char Char Char Char"/>
    <w:basedOn w:val="1"/>
    <w:qFormat/>
    <w:uiPriority w:val="0"/>
    <w:pPr>
      <w:adjustRightInd w:val="0"/>
      <w:spacing w:line="360" w:lineRule="auto"/>
    </w:pPr>
    <w:rPr>
      <w:rFonts w:ascii="Tahoma" w:hAnsi="Tahoma"/>
      <w:kern w:val="0"/>
      <w:sz w:val="24"/>
      <w:szCs w:val="20"/>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首行缩进:  2 字符"/>
    <w:basedOn w:val="1"/>
    <w:qFormat/>
    <w:uiPriority w:val="0"/>
    <w:pPr>
      <w:spacing w:line="400" w:lineRule="exact"/>
      <w:ind w:firstLine="200" w:firstLineChars="200"/>
    </w:pPr>
    <w:rPr>
      <w:rFonts w:cs="宋体"/>
      <w:sz w:val="24"/>
    </w:rPr>
  </w:style>
  <w:style w:type="paragraph" w:customStyle="1" w:styleId="130">
    <w:name w:val="Char1"/>
    <w:basedOn w:val="1"/>
    <w:qFormat/>
    <w:uiPriority w:val="0"/>
    <w:rPr>
      <w:szCs w:val="21"/>
    </w:rPr>
  </w:style>
  <w:style w:type="paragraph" w:customStyle="1" w:styleId="13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3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4">
    <w:name w:val="Char Char Char Char"/>
    <w:basedOn w:val="1"/>
    <w:qFormat/>
    <w:uiPriority w:val="0"/>
  </w:style>
  <w:style w:type="paragraph" w:customStyle="1" w:styleId="135">
    <w:name w:val="Char4"/>
    <w:basedOn w:val="1"/>
    <w:qFormat/>
    <w:uiPriority w:val="0"/>
  </w:style>
  <w:style w:type="paragraph" w:customStyle="1" w:styleId="136">
    <w:name w:val="xl2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3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7">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8">
    <w:name w:val="xl4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50">
    <w:name w:val="xl4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2">
    <w:name w:val="xl47"/>
    <w:basedOn w:val="1"/>
    <w:qFormat/>
    <w:uiPriority w:val="0"/>
    <w:pPr>
      <w:widowControl/>
      <w:pBdr>
        <w:top w:val="single" w:color="auto" w:sz="4" w:space="0"/>
      </w:pBdr>
      <w:spacing w:before="100" w:beforeAutospacing="1" w:after="100" w:afterAutospacing="1"/>
      <w:jc w:val="left"/>
    </w:pPr>
    <w:rPr>
      <w:rFonts w:ascii="宋体" w:hAnsi="宋体" w:cs="宋体"/>
      <w:kern w:val="0"/>
      <w:sz w:val="20"/>
      <w:szCs w:val="20"/>
    </w:rPr>
  </w:style>
  <w:style w:type="paragraph" w:customStyle="1" w:styleId="153">
    <w:name w:val="xl5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4">
    <w:name w:val="xl5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55">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6">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7">
    <w:name w:val="xl5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Char Char"/>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61">
    <w:name w:val="样式2"/>
    <w:basedOn w:val="4"/>
    <w:qFormat/>
    <w:uiPriority w:val="0"/>
    <w:pPr>
      <w:jc w:val="center"/>
    </w:pPr>
    <w:rPr>
      <w:rFonts w:eastAsia="华文中宋"/>
      <w:sz w:val="36"/>
      <w:szCs w:val="36"/>
    </w:rPr>
  </w:style>
  <w:style w:type="paragraph" w:customStyle="1" w:styleId="16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63">
    <w:name w:val="F2"/>
    <w:basedOn w:val="1"/>
    <w:qFormat/>
    <w:uiPriority w:val="0"/>
    <w:pPr>
      <w:autoSpaceDE w:val="0"/>
      <w:autoSpaceDN w:val="0"/>
      <w:adjustRightInd w:val="0"/>
      <w:ind w:firstLine="601"/>
      <w:textAlignment w:val="baseline"/>
    </w:pPr>
    <w:rPr>
      <w:kern w:val="0"/>
      <w:sz w:val="24"/>
      <w:szCs w:val="20"/>
    </w:rPr>
  </w:style>
  <w:style w:type="paragraph" w:customStyle="1" w:styleId="164">
    <w:name w:val="Char12"/>
    <w:basedOn w:val="1"/>
    <w:qFormat/>
    <w:uiPriority w:val="0"/>
    <w:rPr>
      <w:rFonts w:ascii="Tahoma" w:hAnsi="Tahoma"/>
      <w:sz w:val="24"/>
      <w:szCs w:val="20"/>
    </w:rPr>
  </w:style>
  <w:style w:type="paragraph" w:customStyle="1" w:styleId="165">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图1"/>
    <w:basedOn w:val="1"/>
    <w:next w:val="1"/>
    <w:qFormat/>
    <w:uiPriority w:val="0"/>
    <w:pPr>
      <w:tabs>
        <w:tab w:val="left" w:pos="425"/>
      </w:tabs>
      <w:spacing w:beforeLines="50" w:afterLines="100" w:line="360" w:lineRule="auto"/>
      <w:ind w:left="1105" w:hanging="748"/>
      <w:jc w:val="center"/>
    </w:pPr>
    <w:rPr>
      <w:kern w:val="0"/>
      <w:sz w:val="24"/>
    </w:rPr>
  </w:style>
  <w:style w:type="paragraph" w:customStyle="1" w:styleId="16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9">
    <w:name w:val="Char Char Char1 Char"/>
    <w:basedOn w:val="18"/>
    <w:qFormat/>
    <w:uiPriority w:val="0"/>
    <w:rPr>
      <w:rFonts w:ascii="Tahoma" w:hAnsi="Tahoma"/>
      <w:sz w:val="24"/>
    </w:rPr>
  </w:style>
  <w:style w:type="paragraph" w:customStyle="1" w:styleId="17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1">
    <w:name w:val="Char Char Char Char Char Char Char1 Char Char Char Char Char Char"/>
    <w:basedOn w:val="1"/>
    <w:qFormat/>
    <w:uiPriority w:val="0"/>
    <w:pPr>
      <w:adjustRightInd w:val="0"/>
      <w:spacing w:line="360" w:lineRule="auto"/>
    </w:pPr>
    <w:rPr>
      <w:kern w:val="0"/>
      <w:sz w:val="24"/>
      <w:szCs w:val="20"/>
    </w:rPr>
  </w:style>
  <w:style w:type="paragraph" w:customStyle="1" w:styleId="172">
    <w:name w:val="项目符号B"/>
    <w:basedOn w:val="1"/>
    <w:qFormat/>
    <w:uiPriority w:val="0"/>
    <w:pPr>
      <w:tabs>
        <w:tab w:val="left" w:pos="360"/>
      </w:tabs>
      <w:spacing w:line="360" w:lineRule="auto"/>
    </w:pPr>
    <w:rPr>
      <w:rFonts w:ascii="Arial" w:hAnsi="Arial"/>
      <w:sz w:val="24"/>
      <w:szCs w:val="20"/>
    </w:rPr>
  </w:style>
  <w:style w:type="paragraph" w:customStyle="1" w:styleId="173">
    <w:name w:val="表格标题"/>
    <w:basedOn w:val="1"/>
    <w:qFormat/>
    <w:uiPriority w:val="0"/>
    <w:pPr>
      <w:spacing w:line="240" w:lineRule="atLeast"/>
      <w:jc w:val="center"/>
    </w:pPr>
    <w:rPr>
      <w:rFonts w:eastAsia="楷体_GB2312"/>
      <w:b/>
      <w:bCs/>
      <w:sz w:val="24"/>
    </w:rPr>
  </w:style>
  <w:style w:type="paragraph" w:customStyle="1" w:styleId="174">
    <w:name w:val="庄制定的正文"/>
    <w:basedOn w:val="1"/>
    <w:qFormat/>
    <w:uiPriority w:val="0"/>
    <w:pPr>
      <w:spacing w:after="50" w:line="360" w:lineRule="auto"/>
      <w:ind w:firstLine="454"/>
    </w:pPr>
    <w:rPr>
      <w:rFonts w:ascii="宋体" w:hAnsi="宋体" w:cs="宋体"/>
      <w:kern w:val="44"/>
      <w:sz w:val="24"/>
      <w:szCs w:val="20"/>
    </w:rPr>
  </w:style>
  <w:style w:type="character" w:customStyle="1" w:styleId="175">
    <w:name w:val="普通文字 Char Char2"/>
    <w:qFormat/>
    <w:uiPriority w:val="0"/>
    <w:rPr>
      <w:rFonts w:ascii="宋体" w:hAnsi="Courier New" w:eastAsia="宋体" w:cs="Courier New"/>
      <w:kern w:val="2"/>
      <w:sz w:val="21"/>
      <w:szCs w:val="21"/>
      <w:lang w:val="en-US" w:eastAsia="zh-CN" w:bidi="ar-SA"/>
    </w:rPr>
  </w:style>
  <w:style w:type="character" w:customStyle="1" w:styleId="176">
    <w:name w:val="font81"/>
    <w:basedOn w:val="50"/>
    <w:qFormat/>
    <w:uiPriority w:val="0"/>
    <w:rPr>
      <w:rFonts w:ascii="宋体" w:hAnsi="宋体" w:eastAsia="宋体" w:cs="宋体"/>
      <w:color w:val="000000"/>
      <w:sz w:val="22"/>
      <w:szCs w:val="22"/>
      <w:u w:val="none"/>
    </w:rPr>
  </w:style>
  <w:style w:type="character" w:customStyle="1" w:styleId="177">
    <w:name w:val="font21"/>
    <w:basedOn w:val="50"/>
    <w:qFormat/>
    <w:uiPriority w:val="0"/>
    <w:rPr>
      <w:rFonts w:hint="eastAsia" w:ascii="宋体" w:hAnsi="宋体" w:eastAsia="宋体" w:cs="宋体"/>
      <w:color w:val="000000"/>
      <w:sz w:val="22"/>
      <w:szCs w:val="22"/>
      <w:u w:val="none"/>
    </w:rPr>
  </w:style>
  <w:style w:type="character" w:customStyle="1" w:styleId="178">
    <w:name w:val="font61"/>
    <w:basedOn w:val="50"/>
    <w:qFormat/>
    <w:uiPriority w:val="0"/>
    <w:rPr>
      <w:rFonts w:hint="default" w:ascii="Times New Roman" w:hAnsi="Times New Roman" w:cs="Times New Roman"/>
      <w:color w:val="000000"/>
      <w:sz w:val="22"/>
      <w:szCs w:val="22"/>
      <w:u w:val="none"/>
    </w:rPr>
  </w:style>
  <w:style w:type="character" w:customStyle="1" w:styleId="179">
    <w:name w:val="font71"/>
    <w:basedOn w:val="50"/>
    <w:qFormat/>
    <w:uiPriority w:val="0"/>
    <w:rPr>
      <w:rFonts w:hint="default" w:ascii="Times New Roman" w:hAnsi="Times New Roman" w:cs="Times New Roman"/>
      <w:color w:val="000000"/>
      <w:sz w:val="20"/>
      <w:szCs w:val="20"/>
      <w:u w:val="none"/>
    </w:rPr>
  </w:style>
  <w:style w:type="character" w:customStyle="1" w:styleId="180">
    <w:name w:val="font41"/>
    <w:basedOn w:val="50"/>
    <w:qFormat/>
    <w:uiPriority w:val="0"/>
    <w:rPr>
      <w:rFonts w:hint="eastAsia" w:ascii="宋体" w:hAnsi="宋体" w:eastAsia="宋体" w:cs="宋体"/>
      <w:color w:val="000000"/>
      <w:sz w:val="20"/>
      <w:szCs w:val="20"/>
      <w:u w:val="none"/>
    </w:rPr>
  </w:style>
  <w:style w:type="character" w:customStyle="1" w:styleId="181">
    <w:name w:val="font31"/>
    <w:basedOn w:val="50"/>
    <w:qFormat/>
    <w:uiPriority w:val="0"/>
    <w:rPr>
      <w:rFonts w:hint="default" w:ascii="华文仿宋" w:hAnsi="华文仿宋" w:eastAsia="华文仿宋" w:cs="华文仿宋"/>
      <w:color w:val="000000"/>
      <w:sz w:val="22"/>
      <w:szCs w:val="22"/>
      <w:u w:val="none"/>
    </w:rPr>
  </w:style>
  <w:style w:type="character" w:customStyle="1" w:styleId="182">
    <w:name w:val="Char Char15"/>
    <w:qFormat/>
    <w:uiPriority w:val="0"/>
    <w:rPr>
      <w:szCs w:val="24"/>
      <w:shd w:val="clear" w:color="auto" w:fill="000080"/>
    </w:rPr>
  </w:style>
  <w:style w:type="character" w:customStyle="1" w:styleId="183">
    <w:name w:val="Char Char8"/>
    <w:basedOn w:val="184"/>
    <w:qFormat/>
    <w:uiPriority w:val="0"/>
    <w:rPr>
      <w:kern w:val="2"/>
      <w:sz w:val="21"/>
      <w:szCs w:val="24"/>
    </w:rPr>
  </w:style>
  <w:style w:type="character" w:customStyle="1" w:styleId="184">
    <w:name w:val="正文文本 Char"/>
    <w:qFormat/>
    <w:uiPriority w:val="0"/>
    <w:rPr>
      <w:kern w:val="2"/>
      <w:sz w:val="21"/>
      <w:szCs w:val="24"/>
    </w:rPr>
  </w:style>
  <w:style w:type="character" w:customStyle="1" w:styleId="185">
    <w:name w:val="Char Char14"/>
    <w:qFormat/>
    <w:uiPriority w:val="0"/>
  </w:style>
  <w:style w:type="character" w:customStyle="1" w:styleId="186">
    <w:name w:val="Char Char13"/>
    <w:qFormat/>
    <w:uiPriority w:val="0"/>
    <w:rPr>
      <w:szCs w:val="24"/>
    </w:rPr>
  </w:style>
  <w:style w:type="paragraph" w:customStyle="1" w:styleId="187">
    <w:name w:val="Char1 Char Char Char1"/>
    <w:basedOn w:val="1"/>
    <w:qFormat/>
    <w:uiPriority w:val="0"/>
    <w:pPr>
      <w:widowControl/>
      <w:jc w:val="left"/>
    </w:pPr>
    <w:rPr>
      <w:szCs w:val="20"/>
    </w:rPr>
  </w:style>
  <w:style w:type="paragraph" w:customStyle="1" w:styleId="188">
    <w:name w:val="Char Char Char Char Char Char Char Char Char Char1"/>
    <w:basedOn w:val="1"/>
    <w:qFormat/>
    <w:uiPriority w:val="0"/>
    <w:pPr>
      <w:adjustRightInd w:val="0"/>
      <w:spacing w:line="360" w:lineRule="auto"/>
    </w:pPr>
    <w:rPr>
      <w:rFonts w:ascii="Tahoma" w:hAnsi="Tahoma"/>
      <w:kern w:val="0"/>
      <w:sz w:val="24"/>
      <w:szCs w:val="20"/>
    </w:rPr>
  </w:style>
  <w:style w:type="paragraph" w:customStyle="1" w:styleId="189">
    <w:name w:val="Char Char Char Char1"/>
    <w:basedOn w:val="1"/>
    <w:qFormat/>
    <w:uiPriority w:val="0"/>
  </w:style>
  <w:style w:type="paragraph" w:customStyle="1" w:styleId="190">
    <w:name w:val="Char3"/>
    <w:basedOn w:val="1"/>
    <w:qFormat/>
    <w:uiPriority w:val="0"/>
  </w:style>
  <w:style w:type="paragraph" w:customStyle="1" w:styleId="191">
    <w:name w:val="Char Char2"/>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92">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93">
    <w:name w:val="Char11"/>
    <w:basedOn w:val="1"/>
    <w:qFormat/>
    <w:uiPriority w:val="0"/>
    <w:rPr>
      <w:rFonts w:ascii="Tahoma" w:hAnsi="Tahoma"/>
      <w:sz w:val="24"/>
      <w:szCs w:val="20"/>
    </w:rPr>
  </w:style>
  <w:style w:type="paragraph" w:customStyle="1" w:styleId="194">
    <w:name w:val="Char Char Char Char Char Char Char 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19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96">
    <w:name w:val="Char Char Char Char Char Char Char1 Char Char Char Char Char Char1"/>
    <w:basedOn w:val="1"/>
    <w:qFormat/>
    <w:uiPriority w:val="0"/>
    <w:pPr>
      <w:adjustRightInd w:val="0"/>
      <w:spacing w:line="360" w:lineRule="auto"/>
    </w:pPr>
    <w:rPr>
      <w:kern w:val="0"/>
      <w:sz w:val="24"/>
      <w:szCs w:val="20"/>
    </w:rPr>
  </w:style>
  <w:style w:type="paragraph" w:styleId="197">
    <w:name w:val="List Paragraph"/>
    <w:basedOn w:val="1"/>
    <w:qFormat/>
    <w:uiPriority w:val="34"/>
    <w:pPr>
      <w:ind w:firstLine="420" w:firstLineChars="200"/>
    </w:pPr>
  </w:style>
  <w:style w:type="character" w:customStyle="1" w:styleId="198">
    <w:name w:val="普通文字 Char Char3"/>
    <w:qFormat/>
    <w:uiPriority w:val="0"/>
    <w:rPr>
      <w:rFonts w:ascii="宋体" w:hAnsi="Courier New"/>
      <w:kern w:val="2"/>
      <w:sz w:val="21"/>
    </w:rPr>
  </w:style>
  <w:style w:type="paragraph" w:customStyle="1" w:styleId="199">
    <w:name w:val="Table Paragraph"/>
    <w:basedOn w:val="1"/>
    <w:qFormat/>
    <w:uiPriority w:val="1"/>
    <w:pPr>
      <w:ind w:left="100" w:right="-10"/>
      <w:jc w:val="left"/>
    </w:pPr>
    <w:rPr>
      <w:rFonts w:ascii="宋体" w:hAnsi="宋体" w:cs="宋体"/>
      <w:kern w:val="0"/>
      <w:sz w:val="22"/>
      <w:szCs w:val="22"/>
      <w:lang w:eastAsia="en-US"/>
    </w:rPr>
  </w:style>
  <w:style w:type="paragraph" w:customStyle="1" w:styleId="200">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02">
    <w:name w:val="标题 51"/>
    <w:basedOn w:val="1"/>
    <w:qFormat/>
    <w:uiPriority w:val="1"/>
    <w:pPr>
      <w:ind w:left="112" w:right="115"/>
      <w:jc w:val="left"/>
      <w:outlineLvl w:val="5"/>
    </w:pPr>
    <w:rPr>
      <w:rFonts w:ascii="Microsoft JhengHei" w:hAnsi="Microsoft JhengHei" w:eastAsia="Microsoft JhengHei" w:cs="Microsoft JhengHei"/>
      <w:b/>
      <w:bCs/>
      <w:kern w:val="0"/>
      <w:szCs w:val="21"/>
      <w:lang w:eastAsia="en-US"/>
    </w:rPr>
  </w:style>
  <w:style w:type="character" w:customStyle="1" w:styleId="203">
    <w:name w:val="font161"/>
    <w:qFormat/>
    <w:uiPriority w:val="0"/>
    <w:rPr>
      <w:rFonts w:hint="eastAsia" w:ascii="宋体" w:hAnsi="宋体" w:eastAsia="宋体" w:cs="宋体"/>
      <w:color w:val="FF0000"/>
      <w:sz w:val="22"/>
      <w:szCs w:val="22"/>
      <w:u w:val="none"/>
    </w:rPr>
  </w:style>
  <w:style w:type="character" w:customStyle="1" w:styleId="204">
    <w:name w:val="纯文本 Char4"/>
    <w:qFormat/>
    <w:uiPriority w:val="99"/>
    <w:rPr>
      <w:rFonts w:ascii="宋体" w:eastAsia="宋体"/>
      <w:szCs w:val="21"/>
    </w:rPr>
  </w:style>
  <w:style w:type="character" w:customStyle="1" w:styleId="205">
    <w:name w:val="bookmark-item"/>
    <w:basedOn w:val="50"/>
    <w:qFormat/>
    <w:uiPriority w:val="0"/>
  </w:style>
  <w:style w:type="paragraph" w:customStyle="1" w:styleId="206">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8">
    <w:name w:val="正文首行缩进 2 Char"/>
    <w:basedOn w:val="85"/>
    <w:link w:val="47"/>
    <w:qFormat/>
    <w:uiPriority w:val="0"/>
    <w:rPr>
      <w:kern w:val="2"/>
      <w:sz w:val="21"/>
      <w:szCs w:val="24"/>
    </w:rPr>
  </w:style>
  <w:style w:type="character" w:customStyle="1" w:styleId="209">
    <w:name w:val="NormalCharacter"/>
    <w:qFormat/>
    <w:uiPriority w:val="0"/>
  </w:style>
  <w:style w:type="paragraph" w:customStyle="1" w:styleId="21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TOC1"/>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73</Pages>
  <Words>34200</Words>
  <Characters>36272</Characters>
  <Lines>392</Lines>
  <Paragraphs>110</Paragraphs>
  <TotalTime>1</TotalTime>
  <ScaleCrop>false</ScaleCrop>
  <LinksUpToDate>false</LinksUpToDate>
  <CharactersWithSpaces>36993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2025-05-23T06:42:00Z</dcterms:created>
  <dc:creator>L600-03R</dc:creator>
  <cp:lastModifiedBy>Min</cp:lastModifiedBy>
  <cp:lastPrinted>2025-08-28T09:18:00Z</cp:lastPrinted>
  <dcterms:modified xsi:type="dcterms:W3CDTF">2025-09-30T15:21:36Z</dcterms:modified>
  <dc:title>广西德元工程项目管理有限责任公司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172C6D95116744A882D67053A53E4038_13</vt:lpwstr>
  </property>
  <property fmtid="{D5CDD505-2E9C-101B-9397-08002B2CF9AE}" pid="4" name="KSOTemplateDocerSaveRecord">
    <vt:lpwstr>eyJoZGlkIjoiMjkwZWMzN2YxZmVhZDFiYjYwOWIxZjgzNzg3NmE1YjgiLCJ1c2VySWQiOiIyNjY0Njg2OTMifQ==</vt:lpwstr>
  </property>
</Properties>
</file>