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9E0DE8">
      <w:pPr>
        <w:pStyle w:val="19"/>
        <w:spacing w:line="320" w:lineRule="exact"/>
        <w:ind w:firstLine="5670"/>
        <w:jc w:val="right"/>
        <w:rPr>
          <w:rFonts w:hAnsi="宋体" w:cs="宋体"/>
          <w:color w:val="auto"/>
          <w:highlight w:val="none"/>
        </w:rPr>
      </w:pPr>
    </w:p>
    <w:p w14:paraId="27214F3C">
      <w:pPr>
        <w:jc w:val="center"/>
        <w:outlineLvl w:val="0"/>
        <w:rPr>
          <w:rFonts w:ascii="宋体" w:hAnsi="宋体" w:cs="宋体"/>
          <w:color w:val="auto"/>
          <w:sz w:val="52"/>
          <w:highlight w:val="none"/>
        </w:rPr>
      </w:pPr>
      <w:bookmarkStart w:id="0" w:name="_Toc4557"/>
      <w:bookmarkStart w:id="1" w:name="_Toc23012"/>
    </w:p>
    <w:p w14:paraId="03B86EBA">
      <w:pPr>
        <w:jc w:val="center"/>
        <w:outlineLvl w:val="0"/>
        <w:rPr>
          <w:rFonts w:ascii="宋体" w:hAnsi="宋体" w:cs="宋体"/>
          <w:color w:val="auto"/>
          <w:sz w:val="84"/>
          <w:highlight w:val="none"/>
        </w:rPr>
      </w:pPr>
      <w:bookmarkStart w:id="2" w:name="_Toc27043"/>
      <w:r>
        <w:rPr>
          <w:rFonts w:hint="eastAsia" w:ascii="宋体" w:hAnsi="宋体" w:cs="宋体"/>
          <w:color w:val="auto"/>
          <w:sz w:val="52"/>
          <w:highlight w:val="none"/>
        </w:rPr>
        <w:t>广西德元工程项目管理有限责任公司</w:t>
      </w:r>
      <w:r>
        <w:rPr>
          <w:rFonts w:hint="eastAsia" w:ascii="宋体" w:hAnsi="宋体" w:cs="宋体"/>
          <w:color w:val="auto"/>
          <w:sz w:val="52"/>
          <w:highlight w:val="none"/>
        </w:rPr>
        <w:cr/>
      </w:r>
      <w:bookmarkEnd w:id="0"/>
      <w:bookmarkEnd w:id="1"/>
      <w:bookmarkEnd w:id="2"/>
      <w:r>
        <w:rPr>
          <w:rFonts w:hint="eastAsia" w:ascii="宋体" w:hAnsi="宋体" w:cs="宋体"/>
          <w:color w:val="auto"/>
          <w:sz w:val="84"/>
          <w:highlight w:val="none"/>
        </w:rPr>
        <w:tab/>
      </w:r>
    </w:p>
    <w:p w14:paraId="529001CF">
      <w:pPr>
        <w:jc w:val="center"/>
        <w:outlineLvl w:val="0"/>
        <w:rPr>
          <w:rFonts w:ascii="宋体" w:hAnsi="宋体" w:cs="宋体"/>
          <w:color w:val="auto"/>
          <w:sz w:val="84"/>
          <w:highlight w:val="none"/>
        </w:rPr>
      </w:pPr>
    </w:p>
    <w:p w14:paraId="23975E5C">
      <w:pPr>
        <w:jc w:val="center"/>
        <w:rPr>
          <w:rFonts w:ascii="宋体" w:hAnsi="宋体" w:cs="宋体"/>
          <w:color w:val="auto"/>
          <w:sz w:val="72"/>
          <w:szCs w:val="72"/>
          <w:highlight w:val="none"/>
        </w:rPr>
      </w:pPr>
      <w:r>
        <w:rPr>
          <w:rFonts w:hint="eastAsia" w:ascii="宋体" w:hAnsi="宋体" w:cs="宋体"/>
          <w:color w:val="auto"/>
          <w:sz w:val="72"/>
          <w:szCs w:val="72"/>
          <w:highlight w:val="none"/>
        </w:rPr>
        <w:t>竞争性谈判文件</w:t>
      </w:r>
    </w:p>
    <w:p w14:paraId="75D1D6CD">
      <w:pPr>
        <w:pStyle w:val="19"/>
        <w:rPr>
          <w:rFonts w:hAnsi="宋体" w:cs="宋体"/>
          <w:b/>
          <w:color w:val="auto"/>
          <w:sz w:val="21"/>
          <w:szCs w:val="21"/>
          <w:highlight w:val="none"/>
        </w:rPr>
      </w:pPr>
    </w:p>
    <w:p w14:paraId="3BA46F94">
      <w:pPr>
        <w:pStyle w:val="19"/>
        <w:rPr>
          <w:rFonts w:hAnsi="宋体" w:cs="宋体"/>
          <w:b/>
          <w:color w:val="auto"/>
          <w:sz w:val="21"/>
          <w:szCs w:val="21"/>
          <w:highlight w:val="none"/>
        </w:rPr>
      </w:pPr>
    </w:p>
    <w:p w14:paraId="3BE49148">
      <w:pPr>
        <w:pStyle w:val="19"/>
        <w:rPr>
          <w:rFonts w:hAnsi="宋体" w:cs="宋体"/>
          <w:b/>
          <w:color w:val="auto"/>
          <w:sz w:val="21"/>
          <w:szCs w:val="21"/>
          <w:highlight w:val="none"/>
        </w:rPr>
      </w:pPr>
    </w:p>
    <w:p w14:paraId="37882E96">
      <w:pPr>
        <w:pStyle w:val="19"/>
        <w:rPr>
          <w:rFonts w:hAnsi="宋体" w:cs="宋体"/>
          <w:b/>
          <w:color w:val="auto"/>
          <w:sz w:val="21"/>
          <w:szCs w:val="21"/>
          <w:highlight w:val="none"/>
        </w:rPr>
      </w:pPr>
    </w:p>
    <w:p w14:paraId="6843CD9E">
      <w:pPr>
        <w:pStyle w:val="19"/>
        <w:rPr>
          <w:rFonts w:hAnsi="宋体" w:cs="宋体"/>
          <w:b/>
          <w:color w:val="auto"/>
          <w:sz w:val="21"/>
          <w:szCs w:val="21"/>
          <w:highlight w:val="none"/>
        </w:rPr>
      </w:pPr>
    </w:p>
    <w:p w14:paraId="4E1B3385">
      <w:pPr>
        <w:snapToGrid w:val="0"/>
        <w:spacing w:before="156" w:beforeLines="50" w:line="700" w:lineRule="exact"/>
        <w:ind w:firstLine="1606" w:firstLineChars="500"/>
        <w:rPr>
          <w:rFonts w:ascii="宋体" w:hAnsi="宋体" w:cs="宋体"/>
          <w:b/>
          <w:bCs/>
          <w:color w:val="auto"/>
          <w:sz w:val="32"/>
          <w:szCs w:val="32"/>
          <w:highlight w:val="none"/>
        </w:rPr>
      </w:pPr>
      <w:r>
        <w:rPr>
          <w:rFonts w:hint="eastAsia" w:ascii="宋体" w:hAnsi="宋体" w:cs="宋体"/>
          <w:b/>
          <w:bCs/>
          <w:color w:val="auto"/>
          <w:sz w:val="32"/>
          <w:szCs w:val="32"/>
          <w:highlight w:val="none"/>
        </w:rPr>
        <w:t>项目名称：智能机器人实训基地建设设备采购</w:t>
      </w:r>
    </w:p>
    <w:p w14:paraId="08521F0E">
      <w:pPr>
        <w:snapToGrid w:val="0"/>
        <w:spacing w:before="156" w:beforeLines="50" w:line="700" w:lineRule="exact"/>
        <w:ind w:firstLine="1606" w:firstLineChars="50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eastAsia="zh-CN"/>
        </w:rPr>
        <w:t>GXZC2025-J1-003524-GXDY</w:t>
      </w:r>
    </w:p>
    <w:p w14:paraId="544F748B">
      <w:pPr>
        <w:ind w:right="-1"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rPr>
        <w:t xml:space="preserve">  </w:t>
      </w:r>
    </w:p>
    <w:p w14:paraId="260775F8">
      <w:pPr>
        <w:ind w:right="-1"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rPr>
        <w:t xml:space="preserve"> </w:t>
      </w:r>
    </w:p>
    <w:p w14:paraId="67EC12E5">
      <w:pPr>
        <w:snapToGrid w:val="0"/>
        <w:spacing w:before="156" w:beforeLines="50" w:line="700" w:lineRule="exact"/>
        <w:ind w:firstLine="1606" w:firstLineChars="500"/>
        <w:rPr>
          <w:rFonts w:ascii="宋体" w:hAnsi="宋体" w:cs="宋体"/>
          <w:b/>
          <w:bCs/>
          <w:color w:val="auto"/>
          <w:sz w:val="32"/>
          <w:szCs w:val="32"/>
          <w:highlight w:val="none"/>
        </w:rPr>
      </w:pPr>
      <w:bookmarkStart w:id="3" w:name="_Toc29159"/>
      <w:bookmarkStart w:id="4" w:name="_Toc26432"/>
      <w:bookmarkStart w:id="5" w:name="_Toc19780"/>
      <w:r>
        <w:rPr>
          <w:rFonts w:hint="eastAsia" w:ascii="宋体" w:hAnsi="宋体" w:cs="宋体"/>
          <w:b/>
          <w:bCs/>
          <w:color w:val="auto"/>
          <w:sz w:val="32"/>
          <w:szCs w:val="32"/>
          <w:highlight w:val="none"/>
        </w:rPr>
        <w:t>采购人：</w:t>
      </w:r>
      <w:bookmarkEnd w:id="3"/>
      <w:bookmarkEnd w:id="4"/>
      <w:bookmarkEnd w:id="5"/>
      <w:r>
        <w:rPr>
          <w:rFonts w:hint="eastAsia" w:ascii="宋体" w:hAnsi="宋体" w:cs="宋体"/>
          <w:b/>
          <w:bCs/>
          <w:color w:val="auto"/>
          <w:sz w:val="32"/>
          <w:szCs w:val="32"/>
          <w:highlight w:val="none"/>
        </w:rPr>
        <w:t>广西机电技师学院</w:t>
      </w:r>
    </w:p>
    <w:p w14:paraId="6C9ADF0A">
      <w:pPr>
        <w:snapToGrid w:val="0"/>
        <w:spacing w:before="156" w:beforeLines="50" w:line="700" w:lineRule="exact"/>
        <w:ind w:firstLine="1606" w:firstLineChars="500"/>
        <w:rPr>
          <w:rFonts w:ascii="宋体" w:hAnsi="宋体" w:cs="宋体"/>
          <w:b/>
          <w:bCs/>
          <w:color w:val="auto"/>
          <w:sz w:val="32"/>
          <w:szCs w:val="32"/>
          <w:highlight w:val="none"/>
        </w:rPr>
      </w:pPr>
      <w:r>
        <w:rPr>
          <w:rFonts w:hint="eastAsia" w:ascii="宋体" w:hAnsi="宋体" w:cs="宋体"/>
          <w:b/>
          <w:bCs/>
          <w:color w:val="auto"/>
          <w:sz w:val="32"/>
          <w:szCs w:val="32"/>
          <w:highlight w:val="none"/>
        </w:rPr>
        <w:t>采购代理机构：广西德元工程项目管理有限责任公司</w:t>
      </w:r>
    </w:p>
    <w:p w14:paraId="17475243">
      <w:pPr>
        <w:jc w:val="center"/>
        <w:rPr>
          <w:rFonts w:ascii="宋体" w:hAnsi="宋体" w:cs="宋体"/>
          <w:b/>
          <w:color w:val="auto"/>
          <w:sz w:val="32"/>
          <w:szCs w:val="32"/>
          <w:highlight w:val="none"/>
        </w:rPr>
      </w:pPr>
    </w:p>
    <w:p w14:paraId="7CCA364F">
      <w:pPr>
        <w:jc w:val="center"/>
        <w:rPr>
          <w:rFonts w:ascii="宋体" w:hAnsi="宋体" w:cs="宋体"/>
          <w:b/>
          <w:color w:val="auto"/>
          <w:sz w:val="32"/>
          <w:szCs w:val="32"/>
          <w:highlight w:val="none"/>
        </w:rPr>
      </w:pPr>
      <w:r>
        <w:rPr>
          <w:rFonts w:hint="eastAsia" w:ascii="宋体" w:hAnsi="宋体" w:cs="宋体"/>
          <w:b/>
          <w:color w:val="auto"/>
          <w:sz w:val="32"/>
          <w:szCs w:val="32"/>
          <w:highlight w:val="none"/>
        </w:rPr>
        <w:t>2025年11月</w:t>
      </w:r>
    </w:p>
    <w:p w14:paraId="28D5E534">
      <w:pPr>
        <w:pStyle w:val="19"/>
        <w:snapToGrid w:val="0"/>
        <w:spacing w:line="360" w:lineRule="auto"/>
        <w:jc w:val="center"/>
        <w:rPr>
          <w:rFonts w:hAnsi="宋体" w:cs="宋体"/>
          <w:color w:val="auto"/>
          <w:sz w:val="44"/>
          <w:szCs w:val="24"/>
          <w:highlight w:val="none"/>
        </w:rPr>
      </w:pPr>
      <w:r>
        <w:rPr>
          <w:rFonts w:hint="eastAsia" w:hAnsi="宋体" w:cs="宋体"/>
          <w:color w:val="auto"/>
          <w:sz w:val="44"/>
          <w:szCs w:val="24"/>
          <w:highlight w:val="none"/>
        </w:rPr>
        <w:br w:type="page"/>
      </w:r>
      <w:r>
        <w:rPr>
          <w:rFonts w:hint="eastAsia" w:hAnsi="宋体" w:cs="宋体"/>
          <w:color w:val="auto"/>
          <w:sz w:val="44"/>
          <w:szCs w:val="24"/>
          <w:highlight w:val="none"/>
        </w:rPr>
        <w:t>目  录</w:t>
      </w:r>
    </w:p>
    <w:p w14:paraId="1EC4CE51">
      <w:pPr>
        <w:pStyle w:val="26"/>
        <w:tabs>
          <w:tab w:val="right" w:leader="dot" w:pos="9638"/>
        </w:tabs>
        <w:spacing w:after="0" w:line="700" w:lineRule="exact"/>
        <w:rPr>
          <w:color w:val="auto"/>
          <w:sz w:val="32"/>
          <w:szCs w:val="32"/>
          <w:highlight w:val="none"/>
        </w:rPr>
      </w:pPr>
      <w:r>
        <w:rPr>
          <w:rFonts w:hint="eastAsia" w:ascii="宋体" w:hAnsi="宋体" w:cs="宋体"/>
          <w:b/>
          <w:color w:val="auto"/>
          <w:sz w:val="32"/>
          <w:szCs w:val="32"/>
          <w:highlight w:val="none"/>
        </w:rPr>
        <w:fldChar w:fldCharType="begin"/>
      </w:r>
      <w:r>
        <w:rPr>
          <w:rFonts w:hint="eastAsia" w:ascii="宋体" w:hAnsi="宋体" w:cs="宋体"/>
          <w:b/>
          <w:color w:val="auto"/>
          <w:sz w:val="32"/>
          <w:szCs w:val="32"/>
          <w:highlight w:val="none"/>
        </w:rPr>
        <w:instrText xml:space="preserve"> TOC \o "1-3" \h \z \u </w:instrText>
      </w:r>
      <w:r>
        <w:rPr>
          <w:rFonts w:hint="eastAsia" w:ascii="宋体" w:hAnsi="宋体" w:cs="宋体"/>
          <w:b/>
          <w:color w:val="auto"/>
          <w:sz w:val="32"/>
          <w:szCs w:val="32"/>
          <w:highlight w:val="none"/>
        </w:rPr>
        <w:fldChar w:fldCharType="separate"/>
      </w:r>
      <w:r>
        <w:rPr>
          <w:color w:val="auto"/>
          <w:highlight w:val="none"/>
        </w:rPr>
        <w:fldChar w:fldCharType="begin"/>
      </w:r>
      <w:r>
        <w:rPr>
          <w:color w:val="auto"/>
          <w:highlight w:val="none"/>
        </w:rPr>
        <w:instrText xml:space="preserve"> HYPERLINK \l "_Toc23340" </w:instrText>
      </w:r>
      <w:r>
        <w:rPr>
          <w:color w:val="auto"/>
          <w:highlight w:val="none"/>
        </w:rPr>
        <w:fldChar w:fldCharType="separate"/>
      </w:r>
      <w:r>
        <w:rPr>
          <w:rFonts w:hint="eastAsia" w:ascii="宋体" w:hAnsi="宋体" w:cs="宋体"/>
          <w:color w:val="auto"/>
          <w:sz w:val="32"/>
          <w:szCs w:val="32"/>
          <w:highlight w:val="none"/>
        </w:rPr>
        <w:t>第一章 竞争性谈判公告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_Toc23340 \h </w:instrText>
      </w:r>
      <w:r>
        <w:rPr>
          <w:color w:val="auto"/>
          <w:sz w:val="32"/>
          <w:szCs w:val="32"/>
          <w:highlight w:val="none"/>
        </w:rPr>
        <w:fldChar w:fldCharType="separate"/>
      </w:r>
      <w:r>
        <w:rPr>
          <w:color w:val="auto"/>
          <w:sz w:val="32"/>
          <w:szCs w:val="32"/>
          <w:highlight w:val="none"/>
        </w:rPr>
        <w:t>3</w:t>
      </w:r>
      <w:r>
        <w:rPr>
          <w:color w:val="auto"/>
          <w:sz w:val="32"/>
          <w:szCs w:val="32"/>
          <w:highlight w:val="none"/>
        </w:rPr>
        <w:fldChar w:fldCharType="end"/>
      </w:r>
      <w:r>
        <w:rPr>
          <w:color w:val="auto"/>
          <w:sz w:val="32"/>
          <w:szCs w:val="32"/>
          <w:highlight w:val="none"/>
        </w:rPr>
        <w:fldChar w:fldCharType="end"/>
      </w:r>
    </w:p>
    <w:p w14:paraId="2F23C4A7">
      <w:pPr>
        <w:pStyle w:val="26"/>
        <w:tabs>
          <w:tab w:val="right" w:leader="dot" w:pos="9638"/>
        </w:tabs>
        <w:spacing w:after="0" w:line="700" w:lineRule="exact"/>
        <w:rPr>
          <w:color w:val="auto"/>
          <w:sz w:val="32"/>
          <w:szCs w:val="32"/>
          <w:highlight w:val="none"/>
        </w:rPr>
      </w:pPr>
      <w:r>
        <w:rPr>
          <w:color w:val="auto"/>
          <w:highlight w:val="none"/>
        </w:rPr>
        <w:fldChar w:fldCharType="begin"/>
      </w:r>
      <w:r>
        <w:rPr>
          <w:color w:val="auto"/>
          <w:highlight w:val="none"/>
        </w:rPr>
        <w:instrText xml:space="preserve"> HYPERLINK \l "_Toc10700" </w:instrText>
      </w:r>
      <w:r>
        <w:rPr>
          <w:color w:val="auto"/>
          <w:highlight w:val="none"/>
        </w:rPr>
        <w:fldChar w:fldCharType="separate"/>
      </w:r>
      <w:r>
        <w:rPr>
          <w:rFonts w:hint="eastAsia" w:ascii="宋体" w:hAnsi="宋体" w:cs="宋体"/>
          <w:bCs/>
          <w:color w:val="auto"/>
          <w:sz w:val="32"/>
          <w:szCs w:val="32"/>
          <w:highlight w:val="none"/>
        </w:rPr>
        <w:t>第二章 供应商须知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_Toc10700 \h </w:instrText>
      </w:r>
      <w:r>
        <w:rPr>
          <w:color w:val="auto"/>
          <w:sz w:val="32"/>
          <w:szCs w:val="32"/>
          <w:highlight w:val="none"/>
        </w:rPr>
        <w:fldChar w:fldCharType="separate"/>
      </w:r>
      <w:r>
        <w:rPr>
          <w:color w:val="auto"/>
          <w:sz w:val="32"/>
          <w:szCs w:val="32"/>
          <w:highlight w:val="none"/>
        </w:rPr>
        <w:t>5</w:t>
      </w:r>
      <w:r>
        <w:rPr>
          <w:color w:val="auto"/>
          <w:sz w:val="32"/>
          <w:szCs w:val="32"/>
          <w:highlight w:val="none"/>
        </w:rPr>
        <w:fldChar w:fldCharType="end"/>
      </w:r>
      <w:r>
        <w:rPr>
          <w:color w:val="auto"/>
          <w:sz w:val="32"/>
          <w:szCs w:val="32"/>
          <w:highlight w:val="none"/>
        </w:rPr>
        <w:fldChar w:fldCharType="end"/>
      </w:r>
    </w:p>
    <w:p w14:paraId="671F2AB6">
      <w:pPr>
        <w:pStyle w:val="26"/>
        <w:tabs>
          <w:tab w:val="right" w:leader="dot" w:pos="9638"/>
        </w:tabs>
        <w:spacing w:after="0" w:line="700" w:lineRule="exact"/>
        <w:rPr>
          <w:color w:val="auto"/>
          <w:sz w:val="32"/>
          <w:szCs w:val="32"/>
          <w:highlight w:val="none"/>
        </w:rPr>
      </w:pPr>
      <w:r>
        <w:rPr>
          <w:color w:val="auto"/>
          <w:highlight w:val="none"/>
        </w:rPr>
        <w:fldChar w:fldCharType="begin"/>
      </w:r>
      <w:r>
        <w:rPr>
          <w:color w:val="auto"/>
          <w:highlight w:val="none"/>
        </w:rPr>
        <w:instrText xml:space="preserve"> HYPERLINK \l "_Toc11442" </w:instrText>
      </w:r>
      <w:r>
        <w:rPr>
          <w:color w:val="auto"/>
          <w:highlight w:val="none"/>
        </w:rPr>
        <w:fldChar w:fldCharType="separate"/>
      </w:r>
      <w:r>
        <w:rPr>
          <w:rFonts w:hint="eastAsia" w:ascii="宋体" w:hAnsi="宋体" w:cs="宋体"/>
          <w:color w:val="auto"/>
          <w:sz w:val="32"/>
          <w:szCs w:val="32"/>
          <w:highlight w:val="none"/>
        </w:rPr>
        <w:t>第三章 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_Toc11442 \h </w:instrText>
      </w:r>
      <w:r>
        <w:rPr>
          <w:color w:val="auto"/>
          <w:sz w:val="32"/>
          <w:szCs w:val="32"/>
          <w:highlight w:val="none"/>
        </w:rPr>
        <w:fldChar w:fldCharType="separate"/>
      </w:r>
      <w:r>
        <w:rPr>
          <w:color w:val="auto"/>
          <w:sz w:val="32"/>
          <w:szCs w:val="32"/>
          <w:highlight w:val="none"/>
        </w:rPr>
        <w:t>26</w:t>
      </w:r>
      <w:r>
        <w:rPr>
          <w:color w:val="auto"/>
          <w:sz w:val="32"/>
          <w:szCs w:val="32"/>
          <w:highlight w:val="none"/>
        </w:rPr>
        <w:fldChar w:fldCharType="end"/>
      </w:r>
      <w:r>
        <w:rPr>
          <w:color w:val="auto"/>
          <w:sz w:val="32"/>
          <w:szCs w:val="32"/>
          <w:highlight w:val="none"/>
        </w:rPr>
        <w:fldChar w:fldCharType="end"/>
      </w:r>
    </w:p>
    <w:p w14:paraId="587B96E1">
      <w:pPr>
        <w:pStyle w:val="26"/>
        <w:tabs>
          <w:tab w:val="right" w:leader="dot" w:pos="9638"/>
        </w:tabs>
        <w:spacing w:after="0" w:line="700" w:lineRule="exact"/>
        <w:rPr>
          <w:color w:val="auto"/>
          <w:sz w:val="32"/>
          <w:szCs w:val="32"/>
          <w:highlight w:val="none"/>
        </w:rPr>
      </w:pPr>
      <w:r>
        <w:rPr>
          <w:color w:val="auto"/>
          <w:highlight w:val="none"/>
        </w:rPr>
        <w:fldChar w:fldCharType="begin"/>
      </w:r>
      <w:r>
        <w:rPr>
          <w:color w:val="auto"/>
          <w:highlight w:val="none"/>
        </w:rPr>
        <w:instrText xml:space="preserve"> HYPERLINK \l "_Toc19929" </w:instrText>
      </w:r>
      <w:r>
        <w:rPr>
          <w:color w:val="auto"/>
          <w:highlight w:val="none"/>
        </w:rPr>
        <w:fldChar w:fldCharType="separate"/>
      </w:r>
      <w:r>
        <w:rPr>
          <w:rFonts w:hint="eastAsia" w:ascii="宋体" w:hAnsi="宋体" w:cs="宋体"/>
          <w:color w:val="auto"/>
          <w:sz w:val="32"/>
          <w:szCs w:val="32"/>
          <w:highlight w:val="none"/>
        </w:rPr>
        <w:t>第四章 响应文件格式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_Toc19929 \h </w:instrText>
      </w:r>
      <w:r>
        <w:rPr>
          <w:color w:val="auto"/>
          <w:sz w:val="32"/>
          <w:szCs w:val="32"/>
          <w:highlight w:val="none"/>
        </w:rPr>
        <w:fldChar w:fldCharType="separate"/>
      </w:r>
      <w:r>
        <w:rPr>
          <w:color w:val="auto"/>
          <w:sz w:val="32"/>
          <w:szCs w:val="32"/>
          <w:highlight w:val="none"/>
        </w:rPr>
        <w:t>72</w:t>
      </w:r>
      <w:r>
        <w:rPr>
          <w:color w:val="auto"/>
          <w:sz w:val="32"/>
          <w:szCs w:val="32"/>
          <w:highlight w:val="none"/>
        </w:rPr>
        <w:fldChar w:fldCharType="end"/>
      </w:r>
      <w:r>
        <w:rPr>
          <w:color w:val="auto"/>
          <w:sz w:val="32"/>
          <w:szCs w:val="32"/>
          <w:highlight w:val="none"/>
        </w:rPr>
        <w:fldChar w:fldCharType="end"/>
      </w:r>
    </w:p>
    <w:p w14:paraId="44359F16">
      <w:pPr>
        <w:pStyle w:val="26"/>
        <w:tabs>
          <w:tab w:val="right" w:leader="dot" w:pos="9638"/>
        </w:tabs>
        <w:spacing w:after="0" w:line="700" w:lineRule="exact"/>
        <w:rPr>
          <w:color w:val="auto"/>
          <w:sz w:val="32"/>
          <w:szCs w:val="32"/>
          <w:highlight w:val="none"/>
        </w:rPr>
      </w:pPr>
      <w:r>
        <w:rPr>
          <w:color w:val="auto"/>
          <w:highlight w:val="none"/>
        </w:rPr>
        <w:fldChar w:fldCharType="begin"/>
      </w:r>
      <w:r>
        <w:rPr>
          <w:color w:val="auto"/>
          <w:highlight w:val="none"/>
        </w:rPr>
        <w:instrText xml:space="preserve"> HYPERLINK \l "_Toc23793" </w:instrText>
      </w:r>
      <w:r>
        <w:rPr>
          <w:color w:val="auto"/>
          <w:highlight w:val="none"/>
        </w:rPr>
        <w:fldChar w:fldCharType="separate"/>
      </w:r>
      <w:r>
        <w:rPr>
          <w:rFonts w:hint="eastAsia" w:ascii="宋体" w:hAnsi="宋体" w:cs="宋体"/>
          <w:color w:val="auto"/>
          <w:sz w:val="32"/>
          <w:szCs w:val="32"/>
          <w:highlight w:val="none"/>
        </w:rPr>
        <w:t>第五章 合同主要（基本条款）</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_Toc23793 \h </w:instrText>
      </w:r>
      <w:r>
        <w:rPr>
          <w:color w:val="auto"/>
          <w:sz w:val="32"/>
          <w:szCs w:val="32"/>
          <w:highlight w:val="none"/>
        </w:rPr>
        <w:fldChar w:fldCharType="separate"/>
      </w:r>
      <w:r>
        <w:rPr>
          <w:color w:val="auto"/>
          <w:sz w:val="32"/>
          <w:szCs w:val="32"/>
          <w:highlight w:val="none"/>
        </w:rPr>
        <w:t>97</w:t>
      </w:r>
      <w:r>
        <w:rPr>
          <w:color w:val="auto"/>
          <w:sz w:val="32"/>
          <w:szCs w:val="32"/>
          <w:highlight w:val="none"/>
        </w:rPr>
        <w:fldChar w:fldCharType="end"/>
      </w:r>
      <w:r>
        <w:rPr>
          <w:color w:val="auto"/>
          <w:sz w:val="32"/>
          <w:szCs w:val="32"/>
          <w:highlight w:val="none"/>
        </w:rPr>
        <w:fldChar w:fldCharType="end"/>
      </w:r>
    </w:p>
    <w:p w14:paraId="302ABFEF">
      <w:pPr>
        <w:pStyle w:val="26"/>
        <w:tabs>
          <w:tab w:val="right" w:leader="dot" w:pos="9638"/>
        </w:tabs>
        <w:spacing w:after="0" w:line="700" w:lineRule="exact"/>
        <w:rPr>
          <w:color w:val="auto"/>
          <w:sz w:val="32"/>
          <w:szCs w:val="32"/>
          <w:highlight w:val="none"/>
        </w:rPr>
      </w:pPr>
      <w:r>
        <w:rPr>
          <w:color w:val="auto"/>
          <w:highlight w:val="none"/>
        </w:rPr>
        <w:fldChar w:fldCharType="begin"/>
      </w:r>
      <w:r>
        <w:rPr>
          <w:color w:val="auto"/>
          <w:highlight w:val="none"/>
        </w:rPr>
        <w:instrText xml:space="preserve"> HYPERLINK \l "_Toc15663" </w:instrText>
      </w:r>
      <w:r>
        <w:rPr>
          <w:color w:val="auto"/>
          <w:highlight w:val="none"/>
        </w:rPr>
        <w:fldChar w:fldCharType="separate"/>
      </w:r>
      <w:r>
        <w:rPr>
          <w:rFonts w:hint="eastAsia" w:ascii="宋体" w:hAnsi="宋体" w:cs="宋体"/>
          <w:color w:val="auto"/>
          <w:sz w:val="32"/>
          <w:szCs w:val="32"/>
          <w:highlight w:val="none"/>
        </w:rPr>
        <w:t>第六章 评审办法</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_Toc15663 \h </w:instrText>
      </w:r>
      <w:r>
        <w:rPr>
          <w:color w:val="auto"/>
          <w:sz w:val="32"/>
          <w:szCs w:val="32"/>
          <w:highlight w:val="none"/>
        </w:rPr>
        <w:fldChar w:fldCharType="separate"/>
      </w:r>
      <w:r>
        <w:rPr>
          <w:color w:val="auto"/>
          <w:sz w:val="32"/>
          <w:szCs w:val="32"/>
          <w:highlight w:val="none"/>
        </w:rPr>
        <w:t>103</w:t>
      </w:r>
      <w:r>
        <w:rPr>
          <w:color w:val="auto"/>
          <w:sz w:val="32"/>
          <w:szCs w:val="32"/>
          <w:highlight w:val="none"/>
        </w:rPr>
        <w:fldChar w:fldCharType="end"/>
      </w:r>
      <w:r>
        <w:rPr>
          <w:color w:val="auto"/>
          <w:sz w:val="32"/>
          <w:szCs w:val="32"/>
          <w:highlight w:val="none"/>
        </w:rPr>
        <w:fldChar w:fldCharType="end"/>
      </w:r>
    </w:p>
    <w:p w14:paraId="27970478">
      <w:pPr>
        <w:spacing w:line="700" w:lineRule="exact"/>
        <w:rPr>
          <w:rFonts w:ascii="宋体" w:hAnsi="宋体" w:cs="宋体"/>
          <w:color w:val="auto"/>
          <w:sz w:val="28"/>
          <w:szCs w:val="28"/>
          <w:highlight w:val="none"/>
        </w:rPr>
      </w:pPr>
      <w:r>
        <w:rPr>
          <w:rFonts w:hint="eastAsia" w:ascii="宋体" w:hAnsi="宋体" w:cs="宋体"/>
          <w:color w:val="auto"/>
          <w:sz w:val="32"/>
          <w:szCs w:val="32"/>
          <w:highlight w:val="none"/>
        </w:rPr>
        <w:fldChar w:fldCharType="end"/>
      </w:r>
    </w:p>
    <w:p w14:paraId="4C6AE025">
      <w:pPr>
        <w:pStyle w:val="19"/>
        <w:snapToGrid w:val="0"/>
        <w:spacing w:line="360" w:lineRule="auto"/>
        <w:jc w:val="center"/>
        <w:rPr>
          <w:rFonts w:hAnsi="宋体" w:cs="宋体"/>
          <w:color w:val="auto"/>
          <w:sz w:val="44"/>
          <w:szCs w:val="24"/>
          <w:highlight w:val="none"/>
        </w:rPr>
      </w:pPr>
    </w:p>
    <w:p w14:paraId="5FF81EAB">
      <w:pPr>
        <w:ind w:left="-2"/>
        <w:jc w:val="left"/>
        <w:rPr>
          <w:rFonts w:ascii="宋体" w:hAnsi="宋体" w:cs="宋体"/>
          <w:color w:val="auto"/>
          <w:sz w:val="32"/>
          <w:highlight w:val="none"/>
        </w:rPr>
      </w:pPr>
    </w:p>
    <w:p w14:paraId="0BB752A0">
      <w:pPr>
        <w:jc w:val="center"/>
        <w:rPr>
          <w:rFonts w:ascii="宋体" w:hAnsi="宋体" w:cs="宋体"/>
          <w:b/>
          <w:color w:val="auto"/>
          <w:sz w:val="32"/>
          <w:highlight w:val="none"/>
        </w:rPr>
      </w:pPr>
    </w:p>
    <w:p w14:paraId="2292DB89">
      <w:pPr>
        <w:jc w:val="center"/>
        <w:rPr>
          <w:rFonts w:ascii="宋体" w:hAnsi="宋体" w:cs="宋体"/>
          <w:b/>
          <w:color w:val="auto"/>
          <w:sz w:val="32"/>
          <w:highlight w:val="none"/>
        </w:rPr>
      </w:pPr>
    </w:p>
    <w:p w14:paraId="6B0BA7F7">
      <w:pPr>
        <w:jc w:val="center"/>
        <w:rPr>
          <w:rFonts w:ascii="宋体" w:hAnsi="宋体" w:cs="宋体"/>
          <w:b/>
          <w:color w:val="auto"/>
          <w:sz w:val="32"/>
          <w:highlight w:val="none"/>
        </w:rPr>
      </w:pPr>
    </w:p>
    <w:p w14:paraId="0763C1B3">
      <w:pPr>
        <w:jc w:val="center"/>
        <w:rPr>
          <w:rFonts w:ascii="宋体" w:hAnsi="宋体" w:cs="宋体"/>
          <w:b/>
          <w:color w:val="auto"/>
          <w:sz w:val="32"/>
          <w:highlight w:val="none"/>
        </w:rPr>
      </w:pPr>
    </w:p>
    <w:p w14:paraId="778A1E18">
      <w:pPr>
        <w:jc w:val="center"/>
        <w:rPr>
          <w:rFonts w:ascii="宋体" w:hAnsi="宋体" w:cs="宋体"/>
          <w:b/>
          <w:color w:val="auto"/>
          <w:sz w:val="32"/>
          <w:highlight w:val="none"/>
        </w:rPr>
      </w:pPr>
    </w:p>
    <w:p w14:paraId="4EF888AB">
      <w:pPr>
        <w:jc w:val="center"/>
        <w:rPr>
          <w:rFonts w:ascii="宋体" w:hAnsi="宋体" w:cs="宋体"/>
          <w:b/>
          <w:color w:val="auto"/>
          <w:sz w:val="32"/>
          <w:highlight w:val="none"/>
        </w:rPr>
      </w:pPr>
    </w:p>
    <w:p w14:paraId="5AC90321">
      <w:pPr>
        <w:jc w:val="center"/>
        <w:rPr>
          <w:rFonts w:ascii="宋体" w:hAnsi="宋体" w:cs="宋体"/>
          <w:b/>
          <w:color w:val="auto"/>
          <w:sz w:val="32"/>
          <w:highlight w:val="none"/>
        </w:rPr>
      </w:pPr>
    </w:p>
    <w:p w14:paraId="4EEA6F2E">
      <w:pPr>
        <w:jc w:val="center"/>
        <w:rPr>
          <w:rFonts w:ascii="宋体" w:hAnsi="宋体" w:cs="宋体"/>
          <w:b/>
          <w:color w:val="auto"/>
          <w:sz w:val="32"/>
          <w:highlight w:val="none"/>
        </w:rPr>
      </w:pPr>
    </w:p>
    <w:p w14:paraId="7C91AAD1">
      <w:pPr>
        <w:jc w:val="center"/>
        <w:rPr>
          <w:rFonts w:ascii="宋体" w:hAnsi="宋体" w:cs="宋体"/>
          <w:b/>
          <w:color w:val="auto"/>
          <w:sz w:val="32"/>
          <w:highlight w:val="none"/>
        </w:rPr>
      </w:pPr>
    </w:p>
    <w:p w14:paraId="51833705">
      <w:pPr>
        <w:jc w:val="center"/>
        <w:rPr>
          <w:rFonts w:ascii="宋体" w:hAnsi="宋体" w:cs="宋体"/>
          <w:b/>
          <w:color w:val="auto"/>
          <w:sz w:val="32"/>
          <w:highlight w:val="none"/>
        </w:rPr>
      </w:pPr>
    </w:p>
    <w:p w14:paraId="1C52F316">
      <w:pPr>
        <w:jc w:val="center"/>
        <w:rPr>
          <w:rFonts w:ascii="宋体" w:hAnsi="宋体" w:cs="宋体"/>
          <w:b/>
          <w:color w:val="auto"/>
          <w:sz w:val="32"/>
          <w:highlight w:val="none"/>
        </w:rPr>
      </w:pPr>
    </w:p>
    <w:p w14:paraId="518EF646">
      <w:pPr>
        <w:pStyle w:val="3"/>
        <w:spacing w:line="360" w:lineRule="exact"/>
        <w:rPr>
          <w:rFonts w:ascii="宋体" w:hAnsi="宋体" w:cs="宋体"/>
          <w:color w:val="auto"/>
          <w:sz w:val="24"/>
          <w:highlight w:val="none"/>
        </w:rPr>
      </w:pPr>
      <w:bookmarkStart w:id="6" w:name="_Toc23340"/>
      <w:r>
        <w:rPr>
          <w:rFonts w:hint="eastAsia" w:ascii="宋体" w:hAnsi="宋体" w:cs="宋体"/>
          <w:color w:val="auto"/>
          <w:highlight w:val="none"/>
        </w:rPr>
        <w:t>第一章</w:t>
      </w:r>
      <w:r>
        <w:rPr>
          <w:rFonts w:hint="eastAsia" w:ascii="宋体" w:hAnsi="宋体" w:cs="宋体"/>
          <w:color w:val="auto"/>
          <w:szCs w:val="32"/>
          <w:highlight w:val="none"/>
        </w:rPr>
        <w:t>竞争性谈判公告</w:t>
      </w:r>
      <w:bookmarkEnd w:id="6"/>
    </w:p>
    <w:p w14:paraId="01AE8147">
      <w:pPr>
        <w:pStyle w:val="31"/>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项目概况                                                    </w:t>
      </w:r>
    </w:p>
    <w:p w14:paraId="30CFDD0C">
      <w:pPr>
        <w:pStyle w:val="31"/>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智能机器人实训基地建设设备采购项目的潜在供应商应在广西政府采购云平台（https://www.gcy.zfcg.gxzf.gov.cn/）获取采购文件，并于2025年11月24日 09:20（北京时间）前提交响应文件。                            </w:t>
      </w:r>
    </w:p>
    <w:p w14:paraId="68469E32">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38"/>
          <w:rFonts w:hint="eastAsia" w:ascii="宋体" w:hAnsi="宋体" w:eastAsia="宋体" w:cs="宋体"/>
          <w:i w:val="0"/>
          <w:iCs w:val="0"/>
          <w:caps w:val="0"/>
          <w:color w:val="000000"/>
          <w:spacing w:val="0"/>
          <w:sz w:val="21"/>
          <w:szCs w:val="21"/>
        </w:rPr>
        <w:t>一、项目基本情况</w:t>
      </w:r>
      <w:r>
        <w:rPr>
          <w:rFonts w:hint="eastAsia" w:ascii="宋体" w:hAnsi="宋体" w:eastAsia="宋体" w:cs="宋体"/>
          <w:i w:val="0"/>
          <w:iCs w:val="0"/>
          <w:caps w:val="0"/>
          <w:color w:val="000000"/>
          <w:spacing w:val="0"/>
          <w:sz w:val="21"/>
          <w:szCs w:val="21"/>
        </w:rPr>
        <w:t>                                            </w:t>
      </w:r>
    </w:p>
    <w:p w14:paraId="5258818B">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项目编号：GXZC2025-J1-003524-GXDY </w:t>
      </w:r>
    </w:p>
    <w:p w14:paraId="478B9CD1">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项目名称：智能机器人实训基地建设设备采购 </w:t>
      </w:r>
    </w:p>
    <w:p w14:paraId="2BCF5F8F">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采购方式：竞争性谈判 </w:t>
      </w:r>
    </w:p>
    <w:p w14:paraId="57B5D6F3">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预算总金额（元）：2905320 </w:t>
      </w:r>
    </w:p>
    <w:p w14:paraId="7ECDF92B">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采购需求：</w:t>
      </w:r>
    </w:p>
    <w:p w14:paraId="551CBF74">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标项名称:智能机器人实训基地建设设备采购</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数量:1</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预算金额（元）:2905320</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简要规格描述或项目基本概况介绍、用途：智能机器人实训基地建设设备采购一项，具体内容见竞争性谈判文件第三章《采购需求》。</w:t>
      </w:r>
    </w:p>
    <w:p w14:paraId="4C71DA90">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最高限价（如有）：2905320  </w:t>
      </w:r>
    </w:p>
    <w:p w14:paraId="771671E2">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合同履约期限：自合同签订之日起60天（日历天）内安装调试完毕，验收合格并交付使用。</w:t>
      </w:r>
    </w:p>
    <w:p w14:paraId="115C0376">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本项目（否）接受联合体投标</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备注：本项目为线上电子招标项目，有意向参与本项目的供应商应当做好参与全流程电子招投标交易的充分准备。</w:t>
      </w:r>
    </w:p>
    <w:p w14:paraId="154DEEAD">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Style w:val="38"/>
          <w:rFonts w:hint="eastAsia" w:ascii="宋体" w:hAnsi="宋体" w:eastAsia="宋体" w:cs="宋体"/>
          <w:i w:val="0"/>
          <w:iCs w:val="0"/>
          <w:caps w:val="0"/>
          <w:color w:val="000000"/>
          <w:spacing w:val="0"/>
          <w:sz w:val="21"/>
          <w:szCs w:val="21"/>
        </w:rPr>
        <w:t>二、申请人的资格要求：</w:t>
      </w:r>
    </w:p>
    <w:p w14:paraId="7890EAB7">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1.满足《中华人民共和国政府采购法》第二十二条规定；</w:t>
      </w:r>
    </w:p>
    <w:p w14:paraId="1010BF99">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落实政府采购政策需满足的资格要求：本项目专门面向中小微企业，供应商所提供产品的制造商须为《关于印发中小企业划型标准规定的通知》（工信部联企业〔2011〕300号）规定的工业行业的中小微企业，或者是《关于政府采购支持监狱企业发展有关问题的通知》(财库[2014]68号)规定的监狱企业，或者是《关于促进残疾人就业政府采购政策的通知》（财库〔2017〕141号）规定的残疾人福利性企业。 </w:t>
      </w:r>
    </w:p>
    <w:p w14:paraId="7D42211B">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3.本项目的特定资格要求：无 </w:t>
      </w:r>
    </w:p>
    <w:p w14:paraId="60E18082">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38"/>
          <w:rFonts w:hint="eastAsia" w:ascii="宋体" w:hAnsi="宋体" w:eastAsia="宋体" w:cs="宋体"/>
          <w:i w:val="0"/>
          <w:iCs w:val="0"/>
          <w:caps w:val="0"/>
          <w:color w:val="000000"/>
          <w:spacing w:val="0"/>
          <w:sz w:val="21"/>
          <w:szCs w:val="21"/>
        </w:rPr>
        <w:t>三、获取采购文件</w:t>
      </w:r>
    </w:p>
    <w:p w14:paraId="6977A547">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w:t>
      </w:r>
      <w:r>
        <w:rPr>
          <w:rFonts w:hint="eastAsia" w:ascii="宋体" w:hAnsi="宋体" w:eastAsia="宋体" w:cs="宋体"/>
          <w:i w:val="0"/>
          <w:iCs w:val="0"/>
          <w:caps w:val="0"/>
          <w:color w:val="000000"/>
          <w:spacing w:val="0"/>
          <w:sz w:val="21"/>
          <w:szCs w:val="21"/>
          <w:u w:val="none"/>
        </w:rPr>
        <w:t>时间：2025年11月17日至2025年11月20日，每天上午00:00至11:59，下午12:00至23:59（北京时间，法定节假日除外）</w:t>
      </w:r>
    </w:p>
    <w:p w14:paraId="0690322F">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地点（网址）：广西政府采购云平台（https://www.gcy.zfcg.gxzf.gov.cn/）  </w:t>
      </w:r>
    </w:p>
    <w:p w14:paraId="3C31AE7B">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方式：本项目为全流程电子化项目，不发放纸质文件，供应商可自行在“广西政府采购云平台（https://www.gcy.zfcg.gxzf.gov.cn/）”下载竞争性谈判文件，实名申请获取竞争性谈判文件，如在操作过程中遇到问题或者需要技术支持，请致电广西政府采购云平台客服热线：95763。供应商登陆“广西政府采购云平台”，应进行“申请获取竞争性谈判文件”操作，否则，有可能导致无法在线编制响应文件并参与竞标，其不利后果由供应商自行承担。  </w:t>
      </w:r>
    </w:p>
    <w:p w14:paraId="33174D69">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售价（元）：0 </w:t>
      </w:r>
    </w:p>
    <w:p w14:paraId="4F4EC74A">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38"/>
          <w:rFonts w:hint="eastAsia" w:ascii="宋体" w:hAnsi="宋体" w:eastAsia="宋体" w:cs="宋体"/>
          <w:i w:val="0"/>
          <w:iCs w:val="0"/>
          <w:caps w:val="0"/>
          <w:color w:val="000000"/>
          <w:spacing w:val="0"/>
          <w:sz w:val="21"/>
          <w:szCs w:val="21"/>
        </w:rPr>
        <w:t>四、响应文件提交</w:t>
      </w:r>
    </w:p>
    <w:p w14:paraId="51DB058E">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截止时间：2025年11月24日 09:20（北京时间）</w:t>
      </w:r>
    </w:p>
    <w:p w14:paraId="34716347">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地点（网址）：请登录广西政府采购云平台（https://www.gcy.zfcg.gxzf.gov.cn/）投标客户端投标 </w:t>
      </w:r>
    </w:p>
    <w:p w14:paraId="71692AD2">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38"/>
          <w:rFonts w:hint="eastAsia" w:ascii="宋体" w:hAnsi="宋体" w:eastAsia="宋体" w:cs="宋体"/>
          <w:i w:val="0"/>
          <w:iCs w:val="0"/>
          <w:caps w:val="0"/>
          <w:color w:val="000000"/>
          <w:spacing w:val="0"/>
          <w:sz w:val="21"/>
          <w:szCs w:val="21"/>
        </w:rPr>
        <w:t>五、响应文件开启</w:t>
      </w:r>
      <w:r>
        <w:rPr>
          <w:rFonts w:hint="eastAsia" w:ascii="宋体" w:hAnsi="宋体" w:eastAsia="宋体" w:cs="宋体"/>
          <w:i w:val="0"/>
          <w:iCs w:val="0"/>
          <w:caps w:val="0"/>
          <w:color w:val="000000"/>
          <w:spacing w:val="0"/>
          <w:sz w:val="21"/>
          <w:szCs w:val="21"/>
        </w:rPr>
        <w:t> </w:t>
      </w:r>
    </w:p>
    <w:p w14:paraId="1AC9245F">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开启时间：2025年11月24日 09:20（北京时间）</w:t>
      </w:r>
    </w:p>
    <w:p w14:paraId="6A7AB91E">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地点：广西政府采购云平台（https://www.gcy.zfcg.gxzf.gov.cn/） </w:t>
      </w:r>
    </w:p>
    <w:p w14:paraId="381EE83F">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38"/>
          <w:rFonts w:hint="eastAsia" w:ascii="宋体" w:hAnsi="宋体" w:eastAsia="宋体" w:cs="宋体"/>
          <w:i w:val="0"/>
          <w:iCs w:val="0"/>
          <w:caps w:val="0"/>
          <w:color w:val="000000"/>
          <w:spacing w:val="0"/>
          <w:sz w:val="21"/>
          <w:szCs w:val="21"/>
        </w:rPr>
        <w:t>六、公告期限</w:t>
      </w:r>
      <w:r>
        <w:rPr>
          <w:rFonts w:hint="eastAsia" w:ascii="宋体" w:hAnsi="宋体" w:eastAsia="宋体" w:cs="宋体"/>
          <w:i w:val="0"/>
          <w:iCs w:val="0"/>
          <w:caps w:val="0"/>
          <w:color w:val="000000"/>
          <w:spacing w:val="0"/>
          <w:sz w:val="21"/>
          <w:szCs w:val="21"/>
        </w:rPr>
        <w:t> </w:t>
      </w:r>
    </w:p>
    <w:p w14:paraId="43B7BFFB">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自本公告发布之日起3个工作日。</w:t>
      </w:r>
    </w:p>
    <w:p w14:paraId="045CB693">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38"/>
          <w:rFonts w:hint="eastAsia" w:ascii="宋体" w:hAnsi="宋体" w:eastAsia="宋体" w:cs="宋体"/>
          <w:i w:val="0"/>
          <w:iCs w:val="0"/>
          <w:caps w:val="0"/>
          <w:color w:val="000000"/>
          <w:spacing w:val="0"/>
          <w:sz w:val="21"/>
          <w:szCs w:val="21"/>
        </w:rPr>
        <w:t>七、其他补充事宜</w:t>
      </w:r>
      <w:r>
        <w:rPr>
          <w:rFonts w:hint="eastAsia" w:ascii="宋体" w:hAnsi="宋体" w:eastAsia="宋体" w:cs="宋体"/>
          <w:i w:val="0"/>
          <w:iCs w:val="0"/>
          <w:caps w:val="0"/>
          <w:color w:val="000000"/>
          <w:spacing w:val="0"/>
          <w:sz w:val="21"/>
          <w:szCs w:val="21"/>
        </w:rPr>
        <w:t> </w:t>
      </w:r>
    </w:p>
    <w:p w14:paraId="6E86539B">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firstLine="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1.本项目需要落实的政府采购政策：</w:t>
      </w:r>
    </w:p>
    <w:p w14:paraId="0EE7E79A">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（1）政府采购促进中小企业发展。</w:t>
      </w:r>
    </w:p>
    <w:p w14:paraId="1F396397">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（2）政府采购促进残疾人就业政策。</w:t>
      </w:r>
    </w:p>
    <w:p w14:paraId="743F66A8">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（3）政府采购支持监狱企业发展。</w:t>
      </w:r>
    </w:p>
    <w:p w14:paraId="429E9FB8">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（4）政府采购支持采用本国产品的政策。</w:t>
      </w:r>
    </w:p>
    <w:p w14:paraId="09DAD9CE">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（5）强制采购节能产品；优先采购节能产品、环境标志产品。</w:t>
      </w:r>
    </w:p>
    <w:p w14:paraId="79829FCA">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62D69CEE">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9DDCB38">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4.公告发布媒介：http://www.ccgp.gov.cn/（中国政府采购网）、http://zfcg.gxzf.gov.cn（广西壮族自治区政府采购网）</w:t>
      </w:r>
    </w:p>
    <w:p w14:paraId="10AF1E92">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5.“广西政府采购云平台”电子投标相关事宜：</w:t>
      </w:r>
    </w:p>
    <w:p w14:paraId="012DFB6D">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响应文件提交方式：本项目为全流程电子化项目，通过“广西政府采购云平台（https://www.gcy.zfcg.gxzf.gov.cn/）”实行在线电子投标，并按照本项目竞争性谈判文件和“广西政府采购云平台”的要求编制、加密后在投标截止时间前通过网络上传至“广西政府采购云平台”。</w:t>
      </w:r>
    </w:p>
    <w:p w14:paraId="00C7C9E6">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若对项目采购电子交易系统操作有疑问，可登陆广西政府采购云平台（https://www.gcy.zfcg.gxzf.gov.cn/），点击右侧咨询小采，获取采小蜜智能服务管家帮助，或拨打广西政府采购云平台服务热线95763获取热线服务帮助。</w:t>
      </w:r>
    </w:p>
    <w:p w14:paraId="3D27BFD9">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firstLine="420" w:firstLineChars="200"/>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6.政府采购行政监管及投诉受理部门：广西壮族自治区财政厅政府采购监督管理处，联系电话：0771-5331544。   </w:t>
      </w:r>
    </w:p>
    <w:p w14:paraId="0DE4F874">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firstLine="0"/>
        <w:jc w:val="both"/>
        <w:textAlignment w:val="auto"/>
        <w:rPr>
          <w:rFonts w:hint="eastAsia" w:ascii="宋体" w:hAnsi="宋体" w:eastAsia="宋体" w:cs="宋体"/>
          <w:i w:val="0"/>
          <w:iCs w:val="0"/>
          <w:caps w:val="0"/>
          <w:color w:val="000000"/>
          <w:spacing w:val="0"/>
          <w:sz w:val="21"/>
          <w:szCs w:val="21"/>
        </w:rPr>
      </w:pPr>
      <w:r>
        <w:rPr>
          <w:rStyle w:val="38"/>
          <w:rFonts w:hint="eastAsia" w:ascii="宋体" w:hAnsi="宋体" w:eastAsia="宋体" w:cs="宋体"/>
          <w:i w:val="0"/>
          <w:iCs w:val="0"/>
          <w:caps w:val="0"/>
          <w:color w:val="000000"/>
          <w:spacing w:val="0"/>
          <w:sz w:val="21"/>
          <w:szCs w:val="21"/>
        </w:rPr>
        <w:t>八、凡对本次招标提出询问，请按以下方式联系</w:t>
      </w:r>
    </w:p>
    <w:p w14:paraId="78246348">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1.采购人信息 </w:t>
      </w:r>
    </w:p>
    <w:p w14:paraId="07CA9DDD">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名    称：广西机电技师学院 </w:t>
      </w:r>
    </w:p>
    <w:p w14:paraId="3C491387">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地    址：广西柳州市鱼峰区屏山大道262号 </w:t>
      </w:r>
    </w:p>
    <w:p w14:paraId="0BE86866">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项目联系人：潘老师 </w:t>
      </w:r>
    </w:p>
    <w:p w14:paraId="37D6452D">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项目联系方式：0772-2685509 </w:t>
      </w:r>
    </w:p>
    <w:p w14:paraId="30572391">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2.采购代理机构信息</w:t>
      </w:r>
    </w:p>
    <w:p w14:paraId="16FC8999">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名    称：广西德元工程项目管理有限责任公司 </w:t>
      </w:r>
    </w:p>
    <w:p w14:paraId="1856FF89">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地    址：柳州市跃进路19号天元金都1-410室 </w:t>
      </w:r>
    </w:p>
    <w:p w14:paraId="40086E3D">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项目联系人（询问）：杨工 </w:t>
      </w:r>
    </w:p>
    <w:p w14:paraId="4DE06C7E">
      <w:pPr>
        <w:pStyle w:val="31"/>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项目联系方式（询问）：0772-2805114 </w:t>
      </w:r>
    </w:p>
    <w:p w14:paraId="6B0F8E4A">
      <w:pPr>
        <w:pStyle w:val="31"/>
        <w:keepNext w:val="0"/>
        <w:keepLines w:val="0"/>
        <w:pageBreakBefore w:val="0"/>
        <w:widowControl/>
        <w:kinsoku/>
        <w:wordWrap/>
        <w:overflowPunct/>
        <w:topLinePunct w:val="0"/>
        <w:autoSpaceDE/>
        <w:autoSpaceDN/>
        <w:bidi w:val="0"/>
        <w:adjustRightInd/>
        <w:snapToGrid/>
        <w:spacing w:beforeAutospacing="0" w:afterAutospacing="0" w:line="346" w:lineRule="exact"/>
        <w:ind w:firstLine="630"/>
        <w:textAlignment w:val="auto"/>
        <w:rPr>
          <w:rFonts w:hint="eastAsia" w:ascii="宋体" w:hAnsi="宋体" w:cs="宋体"/>
          <w:color w:val="auto"/>
          <w:sz w:val="21"/>
          <w:szCs w:val="21"/>
          <w:highlight w:val="none"/>
        </w:rPr>
      </w:pPr>
    </w:p>
    <w:p w14:paraId="1667D432">
      <w:pPr>
        <w:spacing w:line="360" w:lineRule="exact"/>
        <w:jc w:val="center"/>
        <w:outlineLvl w:val="0"/>
        <w:rPr>
          <w:rFonts w:ascii="宋体" w:hAnsi="宋体" w:cs="宋体"/>
          <w:b/>
          <w:bCs/>
          <w:color w:val="auto"/>
          <w:sz w:val="32"/>
          <w:szCs w:val="32"/>
          <w:highlight w:val="none"/>
        </w:rPr>
      </w:pPr>
    </w:p>
    <w:p w14:paraId="71048DD6">
      <w:pPr>
        <w:spacing w:line="360" w:lineRule="exact"/>
        <w:jc w:val="center"/>
        <w:outlineLvl w:val="0"/>
        <w:rPr>
          <w:rFonts w:ascii="宋体" w:hAnsi="宋体" w:cs="宋体"/>
          <w:b/>
          <w:bCs/>
          <w:color w:val="auto"/>
          <w:sz w:val="32"/>
          <w:szCs w:val="32"/>
          <w:highlight w:val="none"/>
        </w:rPr>
      </w:pPr>
      <w:bookmarkStart w:id="7" w:name="_Toc10700"/>
      <w:r>
        <w:rPr>
          <w:rFonts w:hint="eastAsia" w:ascii="宋体" w:hAnsi="宋体" w:cs="宋体"/>
          <w:b/>
          <w:bCs/>
          <w:color w:val="auto"/>
          <w:sz w:val="32"/>
          <w:szCs w:val="32"/>
          <w:highlight w:val="none"/>
        </w:rPr>
        <w:t>第二章 供应商须知</w:t>
      </w:r>
      <w:bookmarkEnd w:id="7"/>
    </w:p>
    <w:tbl>
      <w:tblPr>
        <w:tblStyle w:val="3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907"/>
      </w:tblGrid>
      <w:tr w14:paraId="7C9A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6" w:type="dxa"/>
            <w:vAlign w:val="center"/>
          </w:tcPr>
          <w:p w14:paraId="42946D1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8907" w:type="dxa"/>
            <w:vAlign w:val="center"/>
          </w:tcPr>
          <w:p w14:paraId="7ED3A62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内    容</w:t>
            </w:r>
          </w:p>
        </w:tc>
      </w:tr>
      <w:tr w14:paraId="691E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77A6ADD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8907" w:type="dxa"/>
            <w:vAlign w:val="center"/>
          </w:tcPr>
          <w:p w14:paraId="55C08D47">
            <w:pPr>
              <w:spacing w:line="360" w:lineRule="exact"/>
              <w:rPr>
                <w:rFonts w:ascii="宋体" w:hAnsi="宋体" w:cs="宋体"/>
                <w:color w:val="auto"/>
                <w:szCs w:val="21"/>
                <w:highlight w:val="none"/>
              </w:rPr>
            </w:pPr>
            <w:r>
              <w:rPr>
                <w:rFonts w:hint="eastAsia" w:ascii="宋体" w:hAnsi="宋体" w:cs="宋体"/>
                <w:color w:val="auto"/>
                <w:szCs w:val="21"/>
                <w:highlight w:val="none"/>
              </w:rPr>
              <w:t>项目名称：智能机器人实训基地建设设备采购</w:t>
            </w:r>
          </w:p>
        </w:tc>
      </w:tr>
      <w:tr w14:paraId="2B97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2AC37B3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8907" w:type="dxa"/>
            <w:vAlign w:val="center"/>
          </w:tcPr>
          <w:p w14:paraId="5B9529E4">
            <w:pPr>
              <w:spacing w:line="360" w:lineRule="exact"/>
              <w:rPr>
                <w:rFonts w:ascii="宋体" w:hAnsi="宋体" w:cs="宋体"/>
                <w:color w:val="auto"/>
                <w:szCs w:val="21"/>
                <w:highlight w:val="none"/>
              </w:rPr>
            </w:pPr>
            <w:r>
              <w:rPr>
                <w:rFonts w:hint="eastAsia" w:ascii="宋体" w:hAnsi="宋体" w:cs="宋体"/>
                <w:color w:val="auto"/>
                <w:szCs w:val="21"/>
                <w:highlight w:val="none"/>
              </w:rPr>
              <w:t>供应商资格要求：</w:t>
            </w:r>
          </w:p>
          <w:p w14:paraId="3D710C6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03C630B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color w:val="auto"/>
                <w:sz w:val="21"/>
                <w:szCs w:val="21"/>
                <w:highlight w:val="none"/>
              </w:rPr>
              <w:t>本项目专门面向中小微企业，</w:t>
            </w:r>
            <w:r>
              <w:rPr>
                <w:rFonts w:hint="eastAsia" w:ascii="宋体" w:hAnsi="宋体" w:cs="宋体"/>
                <w:color w:val="auto"/>
                <w:sz w:val="21"/>
                <w:szCs w:val="21"/>
                <w:highlight w:val="none"/>
                <w:lang w:val="en-US" w:eastAsia="zh-CN"/>
              </w:rPr>
              <w:t>供应商所提供产品的制造商</w:t>
            </w:r>
            <w:r>
              <w:rPr>
                <w:rFonts w:hint="eastAsia" w:ascii="宋体" w:hAnsi="宋体" w:cs="宋体"/>
                <w:color w:val="auto"/>
                <w:sz w:val="21"/>
                <w:szCs w:val="21"/>
                <w:highlight w:val="none"/>
              </w:rPr>
              <w:t>须为《关于印发中小企业划型标准规定的通知》（工信部联企业〔2011〕300号）规定的</w:t>
            </w:r>
            <w:r>
              <w:rPr>
                <w:rFonts w:hint="eastAsia" w:ascii="宋体" w:hAnsi="宋体" w:cs="宋体"/>
                <w:b/>
                <w:bCs/>
                <w:color w:val="auto"/>
                <w:sz w:val="21"/>
                <w:szCs w:val="21"/>
                <w:highlight w:val="none"/>
              </w:rPr>
              <w:t>工业</w:t>
            </w:r>
            <w:r>
              <w:rPr>
                <w:rFonts w:hint="eastAsia" w:ascii="宋体" w:hAnsi="宋体" w:cs="宋体"/>
                <w:b w:val="0"/>
                <w:bCs w:val="0"/>
                <w:color w:val="auto"/>
                <w:sz w:val="21"/>
                <w:szCs w:val="21"/>
                <w:highlight w:val="none"/>
                <w:lang w:val="en-US" w:eastAsia="zh-CN"/>
              </w:rPr>
              <w:t>行业</w:t>
            </w:r>
            <w:r>
              <w:rPr>
                <w:rFonts w:hint="eastAsia" w:ascii="宋体" w:hAnsi="宋体" w:cs="宋体"/>
                <w:color w:val="auto"/>
                <w:sz w:val="21"/>
                <w:szCs w:val="21"/>
                <w:highlight w:val="none"/>
              </w:rPr>
              <w:t>的中小微企业，或者是《关于政府采购支持监狱企业发展有关问题的通知》(财库[2014]68号)规定的监狱企业，或者是《关于促进残疾人就业政府采购政策的通知》（财库〔2017〕141号）规定的残疾人福利性企业</w:t>
            </w:r>
            <w:r>
              <w:rPr>
                <w:rFonts w:hint="eastAsia" w:ascii="宋体" w:hAnsi="宋体" w:cs="宋体"/>
                <w:color w:val="auto"/>
                <w:szCs w:val="21"/>
                <w:highlight w:val="none"/>
              </w:rPr>
              <w:t>；  </w:t>
            </w:r>
          </w:p>
          <w:p w14:paraId="38FCD9B9">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3.本项目的特定资格要求：无。 </w:t>
            </w:r>
          </w:p>
          <w:p w14:paraId="60496DBD">
            <w:pPr>
              <w:pStyle w:val="19"/>
              <w:spacing w:line="36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4.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6B6ECF72">
            <w:pPr>
              <w:pStyle w:val="19"/>
              <w:spacing w:line="36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3508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790A435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907" w:type="dxa"/>
            <w:vAlign w:val="center"/>
          </w:tcPr>
          <w:p w14:paraId="2B5CBB61">
            <w:pPr>
              <w:pStyle w:val="19"/>
              <w:spacing w:line="36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□本项目</w:t>
            </w:r>
            <w:r>
              <w:rPr>
                <w:rFonts w:hint="eastAsia" w:hAnsi="宋体" w:cs="宋体"/>
                <w:color w:val="auto"/>
                <w:kern w:val="2"/>
                <w:sz w:val="21"/>
                <w:szCs w:val="21"/>
                <w:highlight w:val="none"/>
              </w:rPr>
              <w:t>不收取竞标保</w:t>
            </w:r>
            <w:r>
              <w:rPr>
                <w:rFonts w:hint="eastAsia" w:hAnsi="宋体" w:cs="宋体"/>
                <w:color w:val="auto"/>
                <w:sz w:val="21"/>
                <w:szCs w:val="21"/>
                <w:highlight w:val="none"/>
              </w:rPr>
              <w:t xml:space="preserve">证金。 </w:t>
            </w:r>
          </w:p>
          <w:p w14:paraId="167A5F7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☑本项目收取竞标保证金，具体规定如下：</w:t>
            </w:r>
          </w:p>
          <w:p w14:paraId="56EE6579">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竞标保证金为：人民币壹万元整（￥10,000.00）。须足额交纳，不得少于规定金额交纳，否则响应无效。竞标保证金应在响应文件有效期内保持有效。</w:t>
            </w:r>
            <w:bookmarkStart w:id="38" w:name="_GoBack"/>
            <w:bookmarkEnd w:id="38"/>
          </w:p>
          <w:p w14:paraId="59A8278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竞标保证金的交纳方式：转账、电汇、网上银行、支票、汇票、本票或者银行、保险机构出具的保函，禁止采用现钞方式。采用转账、电汇、网上银行方式的，在首次提交响应文件截止时间前交至</w:t>
            </w:r>
            <w:r>
              <w:rPr>
                <w:rFonts w:hint="eastAsia" w:ascii="宋体" w:hAnsi="宋体" w:cs="宋体"/>
                <w:color w:val="auto"/>
                <w:szCs w:val="21"/>
                <w:highlight w:val="none"/>
                <w:u w:val="single"/>
              </w:rPr>
              <w:t>广西德元工程项目管理有限责任公司</w:t>
            </w:r>
            <w:r>
              <w:rPr>
                <w:rFonts w:hint="eastAsia" w:ascii="宋体" w:hAnsi="宋体" w:cs="宋体"/>
                <w:color w:val="auto"/>
                <w:szCs w:val="21"/>
                <w:highlight w:val="none"/>
              </w:rPr>
              <w:t>（收款单位名称），开户银行：</w:t>
            </w:r>
            <w:r>
              <w:rPr>
                <w:rFonts w:hint="eastAsia" w:ascii="宋体" w:hAnsi="宋体" w:cs="宋体"/>
                <w:color w:val="auto"/>
                <w:szCs w:val="21"/>
                <w:highlight w:val="none"/>
                <w:u w:val="single"/>
              </w:rPr>
              <w:t>柳州银行北站支行营业部</w:t>
            </w:r>
            <w:r>
              <w:rPr>
                <w:rFonts w:hint="eastAsia" w:ascii="宋体" w:hAnsi="宋体" w:cs="宋体"/>
                <w:color w:val="auto"/>
                <w:szCs w:val="21"/>
                <w:highlight w:val="none"/>
              </w:rPr>
              <w:t>，银行账号：</w:t>
            </w:r>
            <w:r>
              <w:rPr>
                <w:rFonts w:hint="eastAsia" w:ascii="宋体" w:hAnsi="宋体" w:cs="宋体"/>
                <w:color w:val="auto"/>
                <w:szCs w:val="21"/>
                <w:highlight w:val="none"/>
                <w:u w:val="single"/>
              </w:rPr>
              <w:t>707002011010900000108</w:t>
            </w:r>
            <w:r>
              <w:rPr>
                <w:rFonts w:hint="eastAsia" w:ascii="宋体" w:hAnsi="宋体" w:cs="宋体"/>
                <w:color w:val="auto"/>
                <w:szCs w:val="21"/>
                <w:highlight w:val="none"/>
              </w:rPr>
              <w:t>；采用支票、汇票、本票或者保函等方式的，在首次提交响应文件截止时间前，供应商应当递交单独密封的支票、汇票、本票或者保函原件，</w:t>
            </w:r>
            <w:r>
              <w:rPr>
                <w:rFonts w:hint="eastAsia" w:ascii="宋体" w:hAnsi="宋体" w:cs="宋体"/>
                <w:b/>
                <w:bCs/>
                <w:color w:val="auto"/>
                <w:szCs w:val="21"/>
                <w:highlight w:val="none"/>
              </w:rPr>
              <w:t>否则视为无效竞标保证金。</w:t>
            </w:r>
            <w:r>
              <w:rPr>
                <w:rFonts w:hint="eastAsia" w:ascii="宋体" w:hAnsi="宋体" w:eastAsia="宋体" w:cs="宋体"/>
                <w:color w:val="auto"/>
                <w:sz w:val="21"/>
                <w:szCs w:val="21"/>
                <w:highlight w:val="none"/>
              </w:rPr>
              <w:t>原件递交的形式是在线下开标现场</w:t>
            </w:r>
            <w:r>
              <w:rPr>
                <w:rFonts w:hint="eastAsia" w:ascii="宋体" w:hAnsi="宋体" w:eastAsia="宋体" w:cs="宋体"/>
                <w:b/>
                <w:bCs/>
                <w:color w:val="auto"/>
                <w:sz w:val="21"/>
                <w:szCs w:val="21"/>
                <w:highlight w:val="none"/>
              </w:rPr>
              <w:t>【广西柳州市龙湖路13号柳州市民服务中心北楼4楼柳州市公共资源交易服务中心开标区对应开标室（具体开标室根据电子屏幕显示的安排）】</w:t>
            </w:r>
            <w:r>
              <w:rPr>
                <w:rFonts w:hint="eastAsia" w:ascii="宋体" w:hAnsi="宋体" w:eastAsia="宋体" w:cs="宋体"/>
                <w:color w:val="auto"/>
                <w:sz w:val="21"/>
                <w:szCs w:val="21"/>
                <w:highlight w:val="none"/>
              </w:rPr>
              <w:t>递交密封好的原件（原件放入一个密封袋中，并在封口处加盖供应商公章或委托代理人签字，以示密封，在封套上标记“项目名称（项目编号）</w:t>
            </w: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sz w:val="21"/>
                <w:szCs w:val="21"/>
                <w:highlight w:val="none"/>
              </w:rPr>
              <w:t>保证金”字样）</w:t>
            </w:r>
            <w:r>
              <w:rPr>
                <w:rFonts w:hint="eastAsia" w:ascii="宋体" w:hAnsi="宋体" w:cs="宋体"/>
                <w:color w:val="auto"/>
                <w:szCs w:val="21"/>
                <w:highlight w:val="none"/>
              </w:rPr>
              <w:t>；若广西德元工程项目管理有限责任公司在保证金规定递交时间内没有收到上述原件的，</w:t>
            </w:r>
            <w:r>
              <w:rPr>
                <w:rFonts w:hint="eastAsia" w:ascii="宋体" w:hAnsi="宋体" w:cs="宋体"/>
                <w:b/>
                <w:color w:val="auto"/>
                <w:szCs w:val="21"/>
                <w:highlight w:val="none"/>
              </w:rPr>
              <w:t>其响应无效</w:t>
            </w:r>
            <w:r>
              <w:rPr>
                <w:rFonts w:hint="eastAsia" w:ascii="宋体" w:hAnsi="宋体" w:cs="宋体"/>
                <w:color w:val="auto"/>
                <w:szCs w:val="21"/>
                <w:highlight w:val="none"/>
              </w:rPr>
              <w:t>；因此供应商递交上述原件时应充分考虑到达时间，以免影响投标。</w:t>
            </w:r>
          </w:p>
        </w:tc>
      </w:tr>
      <w:tr w14:paraId="159B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07309EA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8907" w:type="dxa"/>
            <w:vAlign w:val="center"/>
          </w:tcPr>
          <w:p w14:paraId="3B41369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现场踏勘考察或答疑会：</w:t>
            </w:r>
          </w:p>
          <w:p w14:paraId="61C9F9C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□组织。集中考察时间：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，集中考察地点：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9EEBE7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Theme="majorEastAsia" w:hAnsiTheme="majorEastAsia" w:eastAsiaTheme="majorEastAsia" w:cstheme="majorEastAsia"/>
                <w:color w:val="auto"/>
                <w:szCs w:val="21"/>
                <w:highlight w:val="none"/>
              </w:rPr>
              <w:t>不组织</w:t>
            </w:r>
            <w:r>
              <w:rPr>
                <w:rFonts w:hint="eastAsia" w:ascii="宋体" w:hAnsi="宋体" w:cs="宋体"/>
                <w:color w:val="auto"/>
                <w:szCs w:val="21"/>
                <w:highlight w:val="none"/>
              </w:rPr>
              <w:t>。供应商自行考察现场。</w:t>
            </w:r>
          </w:p>
        </w:tc>
      </w:tr>
      <w:tr w14:paraId="4609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3D13929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8907" w:type="dxa"/>
            <w:vAlign w:val="center"/>
          </w:tcPr>
          <w:p w14:paraId="7F7F0D8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是否需要演示：</w:t>
            </w:r>
          </w:p>
          <w:p w14:paraId="17708591">
            <w:pPr>
              <w:spacing w:line="36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不需演示。</w:t>
            </w:r>
          </w:p>
          <w:p w14:paraId="70BDD0A6">
            <w:pPr>
              <w:spacing w:line="36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需要演示</w:t>
            </w:r>
          </w:p>
          <w:p w14:paraId="07E8C35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演示时间：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07B7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64818F8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8907" w:type="dxa"/>
            <w:vAlign w:val="center"/>
          </w:tcPr>
          <w:p w14:paraId="5FDA6789">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联合体竞标：</w:t>
            </w:r>
          </w:p>
          <w:p w14:paraId="2FBE932E">
            <w:pPr>
              <w:spacing w:line="36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接受联合体竞标。</w:t>
            </w:r>
          </w:p>
          <w:p w14:paraId="68F13496">
            <w:pPr>
              <w:spacing w:line="36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不接受联合体竞标</w:t>
            </w:r>
          </w:p>
        </w:tc>
      </w:tr>
      <w:tr w14:paraId="2AF5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4C7401D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8907" w:type="dxa"/>
            <w:vAlign w:val="center"/>
          </w:tcPr>
          <w:p w14:paraId="31FB074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是否允许分包：</w:t>
            </w:r>
          </w:p>
          <w:p w14:paraId="370BDD9E">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☑不允许分包</w:t>
            </w:r>
          </w:p>
          <w:p w14:paraId="4E09B7C2">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□允许分包</w:t>
            </w:r>
          </w:p>
          <w:p w14:paraId="08171D1C">
            <w:pPr>
              <w:spacing w:line="36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分包内容：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tc>
      </w:tr>
      <w:tr w14:paraId="2BC6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6" w:type="dxa"/>
            <w:vAlign w:val="center"/>
          </w:tcPr>
          <w:p w14:paraId="36DA307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8907" w:type="dxa"/>
            <w:vAlign w:val="center"/>
          </w:tcPr>
          <w:p w14:paraId="5E44C57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响应文件组成：资格文件、商务和技术文件、报价文件。</w:t>
            </w:r>
          </w:p>
        </w:tc>
      </w:tr>
      <w:tr w14:paraId="2B5E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5A60F1B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8907" w:type="dxa"/>
            <w:vAlign w:val="center"/>
          </w:tcPr>
          <w:p w14:paraId="7A5196A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bCs/>
                <w:color w:val="auto"/>
                <w:szCs w:val="21"/>
                <w:highlight w:val="none"/>
              </w:rPr>
              <w:t>：</w:t>
            </w:r>
            <w:r>
              <w:rPr>
                <w:rFonts w:hint="eastAsia" w:ascii="宋体" w:hAnsi="宋体" w:cs="宋体"/>
                <w:color w:val="auto"/>
                <w:szCs w:val="21"/>
                <w:highlight w:val="none"/>
              </w:rPr>
              <w:t>人民币贰佰玖拾万伍仟叁佰贰拾元整（￥2905320.00）</w:t>
            </w:r>
            <w:r>
              <w:rPr>
                <w:rFonts w:hint="eastAsia" w:ascii="宋体" w:hAnsi="宋体" w:cs="宋体"/>
                <w:bCs/>
                <w:color w:val="auto"/>
                <w:szCs w:val="21"/>
                <w:highlight w:val="none"/>
              </w:rPr>
              <w:t>，</w:t>
            </w:r>
            <w:r>
              <w:rPr>
                <w:rFonts w:hint="eastAsia" w:ascii="宋体" w:hAnsi="宋体" w:cs="宋体"/>
                <w:color w:val="auto"/>
                <w:szCs w:val="21"/>
                <w:highlight w:val="none"/>
              </w:rPr>
              <w:t>响应文件报价须小于等于最高限价，否则响应无效。</w:t>
            </w:r>
          </w:p>
        </w:tc>
      </w:tr>
      <w:tr w14:paraId="25FC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6D33844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8907" w:type="dxa"/>
            <w:vAlign w:val="center"/>
          </w:tcPr>
          <w:p w14:paraId="017FE9C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竞标报价及费用：1、本项目竞标应以人民币报价；2、不论竞标结果如何，供应商均应自行承担所有与竞标有关的全部费用；3、代理服务费以成交价为计费依据，参照国家发展计划委员会文件计价格（2002）1980号“国家计委关于印发《招标代理服务收费管理暂行办法》的通知”规定的货物类标准向成交人收取。成交供应商在领取成交通知书时，一次性向采购代理机构支付。</w:t>
            </w:r>
          </w:p>
        </w:tc>
      </w:tr>
      <w:tr w14:paraId="3761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4F192BB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8907" w:type="dxa"/>
            <w:vAlign w:val="center"/>
          </w:tcPr>
          <w:p w14:paraId="5020D23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提交响应文件截止时间：</w:t>
            </w:r>
            <w:r>
              <w:rPr>
                <w:rFonts w:hint="eastAsia" w:ascii="宋体" w:hAnsi="宋体" w:cs="宋体"/>
                <w:color w:val="auto"/>
                <w:szCs w:val="21"/>
                <w:highlight w:val="none"/>
                <w:lang w:eastAsia="zh-CN"/>
              </w:rPr>
              <w:t>2025年11月24日09时20分</w:t>
            </w:r>
            <w:r>
              <w:rPr>
                <w:rFonts w:hint="eastAsia" w:ascii="宋体" w:hAnsi="宋体" w:cs="宋体"/>
                <w:color w:val="auto"/>
                <w:szCs w:val="21"/>
                <w:highlight w:val="none"/>
              </w:rPr>
              <w:t>（北京时间）</w:t>
            </w:r>
          </w:p>
          <w:p w14:paraId="7C5A9569">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投标地点（网址）：登录广西政府采购云平台（https://www.gcy.zfcg.gxzf.gov.cn/）在线提交。</w:t>
            </w:r>
          </w:p>
          <w:p w14:paraId="696ED7BF">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开标时间：</w:t>
            </w:r>
            <w:r>
              <w:rPr>
                <w:rFonts w:hint="eastAsia" w:ascii="宋体" w:hAnsi="宋体" w:cs="宋体"/>
                <w:color w:val="auto"/>
                <w:szCs w:val="21"/>
                <w:highlight w:val="none"/>
                <w:lang w:eastAsia="zh-CN"/>
              </w:rPr>
              <w:t>2025年11月24日09时20分</w:t>
            </w:r>
          </w:p>
          <w:p w14:paraId="12B2093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开标地点：广西政府采购云平台（https://www.gcy.zfcg.gxzf.gov.cn/）。</w:t>
            </w:r>
          </w:p>
          <w:p w14:paraId="783F52C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CA 证书在线解密：供应商投标时，需携带制作响应文件时用来加密的有效数字证书（CA 认证）登录广西政府采购云平台电子开标大厅现场按规定时间对加密的响应文件进行解密，否则后果自负。</w:t>
            </w:r>
          </w:p>
          <w:p w14:paraId="2B3A04F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当在首次响应文件提交截止时间前完成电子响应文件的上传、递交，响应文件提交截止时间前可以补充、修改或者撤回响应文件。补充或者修改响应文件的，应当先行撤回原文件，补充、修改后重新上传、递交。投标截止时间前未完成上传、递交的，视为撤回响应文件。响应文件提交截止时间以后上传递交的响应文件的，广西政府采购云平台将予以拒收。</w:t>
            </w:r>
          </w:p>
        </w:tc>
      </w:tr>
      <w:tr w14:paraId="101B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1516BD4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8907" w:type="dxa"/>
            <w:vAlign w:val="center"/>
          </w:tcPr>
          <w:p w14:paraId="23C04AF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首次响应文件开启时间及地点</w:t>
            </w:r>
          </w:p>
          <w:p w14:paraId="5F14076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2025年11月24日09时20分</w:t>
            </w:r>
            <w:r>
              <w:rPr>
                <w:rFonts w:hint="eastAsia" w:ascii="宋体" w:hAnsi="宋体" w:cs="宋体"/>
                <w:color w:val="auto"/>
                <w:szCs w:val="21"/>
                <w:highlight w:val="none"/>
              </w:rPr>
              <w:t>（北京时间）开标后</w:t>
            </w:r>
          </w:p>
          <w:p w14:paraId="21339DB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地点：广西政府采购云平台（https://www.gcy.zfcg.gxzf.gov.cn/）</w:t>
            </w:r>
          </w:p>
          <w:p w14:paraId="30232D52">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谈判时间及地点</w:t>
            </w:r>
          </w:p>
          <w:p w14:paraId="098F3D5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谈判时间：</w:t>
            </w:r>
            <w:r>
              <w:rPr>
                <w:rFonts w:hint="eastAsia" w:ascii="宋体" w:hAnsi="宋体" w:cs="宋体"/>
                <w:color w:val="auto"/>
                <w:szCs w:val="21"/>
                <w:highlight w:val="none"/>
                <w:lang w:eastAsia="zh-CN"/>
              </w:rPr>
              <w:t>2025年11月24日09时20分</w:t>
            </w:r>
            <w:r>
              <w:rPr>
                <w:rFonts w:hint="eastAsia" w:ascii="宋体" w:hAnsi="宋体" w:cs="宋体"/>
                <w:color w:val="auto"/>
                <w:szCs w:val="21"/>
                <w:highlight w:val="none"/>
              </w:rPr>
              <w:t>截标后为与供应商谈判时间，具体时间由采购代理机构另行通知。</w:t>
            </w:r>
          </w:p>
          <w:p w14:paraId="3D57009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地点：广西政府采购云平台（https://www.gcy.zfcg.gxzf.gov.cn/）</w:t>
            </w:r>
          </w:p>
        </w:tc>
      </w:tr>
      <w:tr w14:paraId="5D77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2E13BCC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8907" w:type="dxa"/>
            <w:vAlign w:val="center"/>
          </w:tcPr>
          <w:p w14:paraId="7A12B79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谈判的顺序：</w:t>
            </w:r>
          </w:p>
          <w:p w14:paraId="7A68581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系统自动提取的顺序。</w:t>
            </w:r>
          </w:p>
          <w:p w14:paraId="1289C603">
            <w:pPr>
              <w:spacing w:line="36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参与谈判前，谈判小组如有要求，供应商法定代表人或者委托代理人必须通过电脑摄像头向谈判小组出示本人有效证件原件[有效证件可以是身份证（含临时身份证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w:t>
            </w:r>
          </w:p>
        </w:tc>
      </w:tr>
      <w:tr w14:paraId="0D0C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6FACCEC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w:t>
            </w:r>
          </w:p>
        </w:tc>
        <w:tc>
          <w:tcPr>
            <w:tcW w:w="8907" w:type="dxa"/>
            <w:vAlign w:val="center"/>
          </w:tcPr>
          <w:p w14:paraId="51422EF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发布媒体：http://www.ccgp.gov.cn/（中国政府采购网）、http://zfcg.gxzf.gov.cn（广西壮族自治区政府采购网）。</w:t>
            </w:r>
          </w:p>
        </w:tc>
      </w:tr>
      <w:tr w14:paraId="7078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439067F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8907" w:type="dxa"/>
            <w:vAlign w:val="center"/>
          </w:tcPr>
          <w:p w14:paraId="09DD030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成交公告及成交通知书：成交供应商确定后，采购代理机构或采购人须在“信用中国”网站（www.creditchina.gov.cn）和中国政府采购网（http://www.ccgp.gov.cn/）查询成交供应商主体信用记录，如其未被列入失信被执行人、重大税收违法案件当事人名单、政府采购严重违法失信行为记录名单，则采购代理机构在中国政府采购网、广西政府采购网发布成交公告同时向成交供应商发出成交通知书；如其被列入失信被执行人、重大税收违法案件当事人名单、政府采购严重违法失信行为记录名单，则取消其中标资格，并确定排名第二的中标候选人为中标人。排名第二的中标候选人因前款规定的同样原因被取消中标资格的，采购人可以确定排名第三的中标候选人为中标人。以上信息查询记录及相关证据与竞争性谈判文件一并保存。</w:t>
            </w:r>
          </w:p>
        </w:tc>
      </w:tr>
      <w:tr w14:paraId="3481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26" w:type="dxa"/>
            <w:vAlign w:val="center"/>
          </w:tcPr>
          <w:p w14:paraId="4740E87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8907" w:type="dxa"/>
            <w:vAlign w:val="center"/>
          </w:tcPr>
          <w:p w14:paraId="3A7AE76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签订合同时间：成交通知书发出之日起二十五日内。</w:t>
            </w:r>
          </w:p>
        </w:tc>
      </w:tr>
      <w:tr w14:paraId="059B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5AA4347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8907" w:type="dxa"/>
            <w:vAlign w:val="center"/>
          </w:tcPr>
          <w:p w14:paraId="18DA6BC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供应商应在响应文件中注明投标内容中涉及商业秘密的部分，未注明的视为响应文件中不涉及商业秘密。</w:t>
            </w:r>
          </w:p>
        </w:tc>
      </w:tr>
      <w:tr w14:paraId="3511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Align w:val="center"/>
          </w:tcPr>
          <w:p w14:paraId="648F936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8907" w:type="dxa"/>
            <w:vAlign w:val="center"/>
          </w:tcPr>
          <w:p w14:paraId="30111227">
            <w:pPr>
              <w:autoSpaceDE w:val="0"/>
              <w:autoSpaceDN w:val="0"/>
              <w:spacing w:line="360" w:lineRule="exact"/>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履约保证金：</w:t>
            </w:r>
          </w:p>
          <w:p w14:paraId="33FDE4BC">
            <w:pPr>
              <w:spacing w:line="36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不需要提交。</w:t>
            </w:r>
          </w:p>
          <w:p w14:paraId="54398327">
            <w:pPr>
              <w:spacing w:line="36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需要提交：</w:t>
            </w:r>
          </w:p>
          <w:p w14:paraId="4941575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1．履约保证金金额：合同价款的5%，若成交人是中小企业，则履约保证金按合同价款的2%收取。</w:t>
            </w:r>
          </w:p>
          <w:p w14:paraId="3CB7318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2．履约保证金提交时间及方式：合同签订前 5日内，成交人必须以银行转账、支票、汇票、本票或者金融机构、担保机构出具的保险、保函（含电子保函）等非现金方式向采购人提交履约保证金。</w:t>
            </w:r>
          </w:p>
          <w:p w14:paraId="008F7F7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3．履约保证金退付条件及时间:自项目验收合格之日起至质保期满无质量问题，采购人收到退付履约保证金申请后15个工作日内退还(无息)。</w:t>
            </w:r>
          </w:p>
          <w:p w14:paraId="3142182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4．下列情况因履约保证金不能退还或另行处理，所产生的后果由成交人负责：</w:t>
            </w:r>
          </w:p>
          <w:p w14:paraId="5DC6B2F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履行合同约定权利义务期间，成交人不按合同履行质量保证义务的，采购人有权对采购标的进行更换、维修维保，所需费用从成交人提交的履约保证金中扣除，履约保证金不足以抵扣更换、维修维保费用的，不足部分由成交人承担。同时，采购人保留起诉成交人的权利。</w:t>
            </w:r>
          </w:p>
          <w:p w14:paraId="3672FA1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成交人未履行完合同约定权利义务事项前，成交人变更单位名称、联系方式等不及时告知采购人并提供相关变更材料，造成采购人无法通知成交人的，视成交人自动放弃领回履约保证金权利，采购人有权对履约保证金进行另外处置。</w:t>
            </w:r>
          </w:p>
          <w:p w14:paraId="4B68662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（3）其他因成交人原因导致履约保证金无法按时退回的情形。</w:t>
            </w:r>
          </w:p>
          <w:p w14:paraId="7CAB1C4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备注：</w:t>
            </w:r>
          </w:p>
          <w:p w14:paraId="7808810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1、成交人必须在签订合同前，按照规定提交方式，足额缴纳履约保证金。</w:t>
            </w:r>
          </w:p>
          <w:p w14:paraId="2CE2E7D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2、成交人未按规定缴纳履约保证金的，暂缓签订合同，责任由成交人承担。</w:t>
            </w:r>
          </w:p>
        </w:tc>
      </w:tr>
      <w:tr w14:paraId="29F1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6" w:type="dxa"/>
            <w:vAlign w:val="center"/>
          </w:tcPr>
          <w:p w14:paraId="37B7E45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8907" w:type="dxa"/>
            <w:vAlign w:val="center"/>
          </w:tcPr>
          <w:p w14:paraId="565462C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响应文件有效期：提交首次响应文件截止之日起60天内。</w:t>
            </w:r>
          </w:p>
        </w:tc>
      </w:tr>
      <w:tr w14:paraId="2D94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6" w:type="dxa"/>
            <w:vAlign w:val="center"/>
          </w:tcPr>
          <w:p w14:paraId="6846063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20</w:t>
            </w:r>
          </w:p>
        </w:tc>
        <w:tc>
          <w:tcPr>
            <w:tcW w:w="8907" w:type="dxa"/>
            <w:vAlign w:val="center"/>
          </w:tcPr>
          <w:p w14:paraId="08B62390">
            <w:pPr>
              <w:autoSpaceDE w:val="0"/>
              <w:autoSpaceDN w:val="0"/>
              <w:spacing w:line="360" w:lineRule="exact"/>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采购资金来源：</w:t>
            </w:r>
            <w:r>
              <w:rPr>
                <w:rFonts w:hint="eastAsia" w:ascii="宋体" w:hAnsi="宋体" w:cs="宋体"/>
                <w:b/>
                <w:color w:val="auto"/>
                <w:szCs w:val="21"/>
                <w:highlight w:val="none"/>
              </w:rPr>
              <w:t>√</w:t>
            </w:r>
            <w:r>
              <w:rPr>
                <w:rFonts w:hint="eastAsia" w:ascii="宋体" w:hAnsi="宋体" w:cs="宋体"/>
                <w:color w:val="auto"/>
                <w:szCs w:val="21"/>
                <w:highlight w:val="none"/>
              </w:rPr>
              <w:t>预算资金、预算外资金、其他资金</w:t>
            </w:r>
          </w:p>
        </w:tc>
      </w:tr>
      <w:tr w14:paraId="0E9B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6" w:type="dxa"/>
            <w:vAlign w:val="center"/>
          </w:tcPr>
          <w:p w14:paraId="502DFF6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8907" w:type="dxa"/>
            <w:vAlign w:val="center"/>
          </w:tcPr>
          <w:p w14:paraId="62194F05">
            <w:pPr>
              <w:autoSpaceDE w:val="0"/>
              <w:autoSpaceDN w:val="0"/>
              <w:spacing w:line="360" w:lineRule="exact"/>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付款方式：国库集中支付或采购专户支付、</w:t>
            </w:r>
            <w:r>
              <w:rPr>
                <w:rFonts w:hint="eastAsia" w:ascii="宋体" w:hAnsi="宋体" w:cs="宋体"/>
                <w:b/>
                <w:color w:val="auto"/>
                <w:szCs w:val="21"/>
                <w:highlight w:val="none"/>
              </w:rPr>
              <w:t>√</w:t>
            </w:r>
            <w:r>
              <w:rPr>
                <w:rFonts w:hint="eastAsia" w:ascii="宋体" w:hAnsi="宋体" w:cs="宋体"/>
                <w:color w:val="auto"/>
                <w:szCs w:val="21"/>
                <w:highlight w:val="none"/>
              </w:rPr>
              <w:t>采购人自行支付</w:t>
            </w:r>
          </w:p>
        </w:tc>
      </w:tr>
      <w:tr w14:paraId="35DA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6" w:type="dxa"/>
            <w:vAlign w:val="center"/>
          </w:tcPr>
          <w:p w14:paraId="4F562C5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8907" w:type="dxa"/>
            <w:vAlign w:val="center"/>
          </w:tcPr>
          <w:p w14:paraId="31F4C34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解释：本竞争性谈判文件的解释权属于采购单位。</w:t>
            </w:r>
          </w:p>
        </w:tc>
      </w:tr>
      <w:tr w14:paraId="5560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7AC31A6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23</w:t>
            </w:r>
          </w:p>
        </w:tc>
        <w:tc>
          <w:tcPr>
            <w:tcW w:w="8907" w:type="dxa"/>
            <w:vAlign w:val="center"/>
          </w:tcPr>
          <w:p w14:paraId="5AF59C8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注意事项：</w:t>
            </w:r>
          </w:p>
          <w:p w14:paraId="20F1AA4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https://www.gcy.zfcg.gxzf.gov.cn/）实行在线电子竞标，供应商应按照本项目竞争性谈判文件和广西政府采购云平台的要求编制、加密后在提交响应文件截止时间前通过网络上传至广西政府采购云平台，</w:t>
            </w:r>
            <w:r>
              <w:rPr>
                <w:rFonts w:hint="eastAsia" w:ascii="宋体" w:hAnsi="宋体" w:cs="宋体"/>
                <w:b/>
                <w:bCs/>
                <w:color w:val="auto"/>
                <w:szCs w:val="21"/>
                <w:highlight w:val="none"/>
              </w:rPr>
              <w:t>供应商在广西政府采购云平台提交电子响应文件时，请填写参加远程采购活动经办人联系方式。</w:t>
            </w:r>
            <w:r>
              <w:rPr>
                <w:rFonts w:hint="eastAsia" w:ascii="宋体" w:hAnsi="宋体" w:cs="宋体"/>
                <w:color w:val="auto"/>
                <w:szCs w:val="21"/>
                <w:highlight w:val="none"/>
              </w:rPr>
              <w:t>供应商登录广西政府采购云平台，依次进入“服务中心-项目采购-操作流程-电子招投标-政府采购项目电子交易管理操作指南-供应商”查看电子竞标具体操作流程。</w:t>
            </w:r>
          </w:p>
          <w:p w14:paraId="6C091D3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2ADC8362">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54F69FE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D549BF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（4）供应商需要在具备有摄像头及语音功能且互联网网络状况良好的电脑登录广西政府采购云平台远程开标大厅参与本次谈判，否则后果自负。</w:t>
            </w:r>
          </w:p>
          <w:p w14:paraId="7BF16579">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本项目为电子标项目，不要求参与竞标的供应商到达现场，但竞标供应商应派法定代表人或委托代理人在线准时出席电子标评审，随时关注项目谈判进度，在谈判过程中对谈判小组发出的谈判内容于规定的时间内进行确认回复。</w:t>
            </w:r>
          </w:p>
          <w:p w14:paraId="26904724">
            <w:pPr>
              <w:autoSpaceDE w:val="0"/>
              <w:autoSpaceDN w:val="0"/>
              <w:spacing w:line="360" w:lineRule="exact"/>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6）若对项目采购电子交易系统操作有疑问，可登陆广西政府采购云平台（https://www.gcy.zfcg.gxzf.gov.cn/），点击右侧咨询小采，获取采小蜜智能服务管家帮助，或拨打广西政府采购云平台服务热线95763获取热线服务帮助。</w:t>
            </w:r>
          </w:p>
        </w:tc>
      </w:tr>
      <w:tr w14:paraId="13C8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26" w:type="dxa"/>
            <w:vAlign w:val="center"/>
          </w:tcPr>
          <w:p w14:paraId="6350464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8907" w:type="dxa"/>
            <w:vAlign w:val="center"/>
          </w:tcPr>
          <w:p w14:paraId="753F9C61">
            <w:pPr>
              <w:pStyle w:val="31"/>
              <w:widowControl/>
              <w:spacing w:beforeAutospacing="0" w:afterAutospacing="0"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电子响应文件的制作、加密：</w:t>
            </w:r>
          </w:p>
          <w:p w14:paraId="6B11DB87">
            <w:pPr>
              <w:pStyle w:val="31"/>
              <w:widowControl/>
              <w:spacing w:beforeAutospacing="0" w:afterAutospacing="0"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1、供应商制作电子响应文件前，应登陆“广西政府采购云平台”进行“申请获取竞争性谈判文件”操作，否则，有可能导致无法在线编制响应文件并参与竞标，其不利后果由供应商自行承担。</w:t>
            </w:r>
          </w:p>
          <w:p w14:paraId="3EEDFCC1">
            <w:pPr>
              <w:pStyle w:val="31"/>
              <w:widowControl/>
              <w:spacing w:beforeAutospacing="0" w:afterAutospacing="0"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供应商下载或获取竞争性谈判文件后，登录“广西政府采购云平台电子投标客户端”，按照本竞争性谈判文件规定的响应文件格式、顺序以及“广西政府采购云平台”的要求，通过“广西政府采购云平台电子投标客户端”编制电子响应文件。</w:t>
            </w:r>
          </w:p>
          <w:p w14:paraId="0128386D">
            <w:pPr>
              <w:pStyle w:val="31"/>
              <w:widowControl/>
              <w:spacing w:beforeAutospacing="0" w:afterAutospacing="0"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供应商应按“广西政府采购云平台电子投标客户端”载明的“标书关联”功能进行电子响应文件的关联定位，以便评标小组在评审时点击相应评审项可直接定位到该评审内容；如供应商的电子响应文件未能关联定位相应内容，或者关联定位的内容与该评审项不符，导致评标小组无法查询并做出对供应商不利的评审，相关后果由供应商自行承担。</w:t>
            </w:r>
          </w:p>
          <w:p w14:paraId="238DB5FD">
            <w:pPr>
              <w:pStyle w:val="31"/>
              <w:widowControl/>
              <w:spacing w:beforeAutospacing="0" w:afterAutospacing="0"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电子响应文件不得涂改，若有修改错漏处，须由法定代表人（负责人、自然人）或授权委托代理人通过“广西政府采购云平台电子投标客户端”采用广西政府采购云平台个人CA证书签章，没有办理广西政府采购云平台个人CA证书签章的，在响应文件中响应位置手写签字后扫描或者拍照做成 PDF 的格式上传。因响应文件字迹潦草、表达不清、内容不完整、编排混乱导致响应文件被误读、漏读，或者在按竞争性谈判文件规定的部位查找不到相关内容的，其不利后果由供应商自行承担。</w:t>
            </w:r>
          </w:p>
          <w:p w14:paraId="7D7078B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5、供应商编制、生成电子响应文件后应当加密响应文件。供应商未按规定编制并加密的响应文件，“广西政府采购云平台”将予以拒收。</w:t>
            </w:r>
          </w:p>
        </w:tc>
      </w:tr>
      <w:tr w14:paraId="3A6C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7FD2EA4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25</w:t>
            </w:r>
          </w:p>
        </w:tc>
        <w:tc>
          <w:tcPr>
            <w:tcW w:w="8907" w:type="dxa"/>
            <w:vAlign w:val="center"/>
          </w:tcPr>
          <w:p w14:paraId="43BE261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供应商公章及签字：</w:t>
            </w:r>
          </w:p>
          <w:p w14:paraId="3EDF755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1、本竞争性谈判文件中描述供应商的“公章”是指供应商通过指定电子化政府采购平台办理数字证书（CA认证证书）获得的以法定主体行为名称制作的电子印章。</w:t>
            </w:r>
          </w:p>
          <w:p w14:paraId="74ED9FD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2、本竞争性谈判文件中要求供应商对其电子响应文件的相关内容加盖公章的，均指采用CA证书签章。</w:t>
            </w:r>
          </w:p>
          <w:p w14:paraId="5FD1E79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竞争性谈判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14:paraId="0D64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5780F05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26</w:t>
            </w:r>
          </w:p>
        </w:tc>
        <w:tc>
          <w:tcPr>
            <w:tcW w:w="8907" w:type="dxa"/>
            <w:vAlign w:val="center"/>
          </w:tcPr>
          <w:p w14:paraId="209558E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响应文件的解密：</w:t>
            </w:r>
          </w:p>
          <w:p w14:paraId="1CB460F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将在“竞争性谈判公告”规定的时间通过电子交易平台组织响应文件开启，采购机构依托电子交易平台发起开始解密指令，供应商的法定代表人或其委托代理人须携带加密时所用的CA锁按平台提示和竞争性谈判文件的规定登录到“广西政府采购云平台”电子开标大厅签到并在发起解密指令之时起30分钟内完成对电子响应文件在线解密。发起解密指令之时起5分钟内供应商还未进行解密的，代理机构通知供应商，供应商没预留联系方式或预留联系方式无效，非代理机构原因导致代理机构无法联系到供应商进行解密的，视为响应文件无效。(解密异常情况处理：详见本章30.电子交易活动的中止。)</w:t>
            </w:r>
          </w:p>
        </w:tc>
      </w:tr>
    </w:tbl>
    <w:p w14:paraId="49DC6987">
      <w:pPr>
        <w:spacing w:line="360" w:lineRule="exact"/>
        <w:rPr>
          <w:rFonts w:ascii="宋体" w:hAnsi="宋体" w:cs="宋体"/>
          <w:b/>
          <w:color w:val="auto"/>
          <w:szCs w:val="21"/>
          <w:highlight w:val="none"/>
        </w:rPr>
      </w:pPr>
    </w:p>
    <w:p w14:paraId="04E37C99">
      <w:pPr>
        <w:pStyle w:val="19"/>
        <w:spacing w:line="360" w:lineRule="exact"/>
        <w:jc w:val="center"/>
        <w:rPr>
          <w:rFonts w:hAnsi="宋体" w:cs="宋体"/>
          <w:b/>
          <w:color w:val="auto"/>
          <w:sz w:val="21"/>
          <w:szCs w:val="21"/>
          <w:highlight w:val="none"/>
        </w:rPr>
      </w:pPr>
      <w:r>
        <w:rPr>
          <w:rFonts w:hint="eastAsia" w:hAnsi="宋体" w:cs="宋体"/>
          <w:b/>
          <w:color w:val="auto"/>
          <w:sz w:val="32"/>
          <w:highlight w:val="none"/>
        </w:rPr>
        <w:br w:type="page"/>
      </w:r>
      <w:r>
        <w:rPr>
          <w:rFonts w:hint="eastAsia" w:hAnsi="宋体" w:cs="宋体"/>
          <w:b/>
          <w:color w:val="auto"/>
          <w:sz w:val="30"/>
          <w:szCs w:val="30"/>
          <w:highlight w:val="none"/>
        </w:rPr>
        <w:t>供应商须知正文</w:t>
      </w:r>
    </w:p>
    <w:p w14:paraId="1365C6D7">
      <w:pPr>
        <w:pStyle w:val="19"/>
        <w:spacing w:line="360" w:lineRule="exact"/>
        <w:ind w:firstLine="422" w:firstLineChars="200"/>
        <w:rPr>
          <w:rFonts w:hAnsi="宋体" w:cs="宋体"/>
          <w:b/>
          <w:color w:val="auto"/>
          <w:sz w:val="21"/>
          <w:szCs w:val="21"/>
          <w:highlight w:val="none"/>
        </w:rPr>
      </w:pPr>
      <w:r>
        <w:rPr>
          <w:rFonts w:hint="eastAsia" w:hAnsi="宋体" w:cs="宋体"/>
          <w:b/>
          <w:color w:val="auto"/>
          <w:sz w:val="21"/>
          <w:szCs w:val="21"/>
          <w:highlight w:val="none"/>
        </w:rPr>
        <w:t>一、总　则</w:t>
      </w:r>
    </w:p>
    <w:p w14:paraId="33213B66">
      <w:pPr>
        <w:spacing w:line="360" w:lineRule="exact"/>
        <w:ind w:firstLine="422" w:firstLineChars="200"/>
        <w:rPr>
          <w:rFonts w:ascii="宋体" w:hAnsi="宋体" w:cs="宋体"/>
          <w:bCs/>
          <w:color w:val="auto"/>
          <w:szCs w:val="21"/>
          <w:highlight w:val="none"/>
        </w:rPr>
      </w:pPr>
      <w:r>
        <w:rPr>
          <w:rFonts w:hint="eastAsia" w:ascii="宋体" w:hAnsi="宋体" w:cs="宋体"/>
          <w:b/>
          <w:bCs/>
          <w:color w:val="auto"/>
          <w:szCs w:val="21"/>
          <w:highlight w:val="none"/>
        </w:rPr>
        <w:t>1. 适用范围</w:t>
      </w:r>
      <w:r>
        <w:rPr>
          <w:rFonts w:hint="eastAsia" w:ascii="宋体" w:hAnsi="宋体" w:cs="宋体"/>
          <w:bCs/>
          <w:color w:val="auto"/>
          <w:szCs w:val="21"/>
          <w:highlight w:val="none"/>
        </w:rPr>
        <w:t>：本竞争性谈判文件（以下简称谈判文件）适用于本项目的所有采购程序和环节（法律、法规另有规定的，从其规定）。</w:t>
      </w:r>
    </w:p>
    <w:p w14:paraId="1E4FE9AB">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 定义</w:t>
      </w:r>
    </w:p>
    <w:p w14:paraId="6DF21EC1">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2.1“采购人”：</w:t>
      </w:r>
      <w:r>
        <w:rPr>
          <w:rFonts w:hint="eastAsia" w:ascii="宋体" w:hAnsi="宋体" w:cs="宋体"/>
          <w:color w:val="auto"/>
          <w:szCs w:val="21"/>
          <w:highlight w:val="none"/>
        </w:rPr>
        <w:t>详见竞争性谈判公告</w:t>
      </w:r>
      <w:r>
        <w:rPr>
          <w:rFonts w:hint="eastAsia" w:ascii="宋体" w:hAnsi="宋体" w:cs="宋体"/>
          <w:bCs/>
          <w:color w:val="auto"/>
          <w:szCs w:val="21"/>
          <w:highlight w:val="none"/>
        </w:rPr>
        <w:t>。</w:t>
      </w:r>
    </w:p>
    <w:p w14:paraId="29072A30">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2.2“采购代理机构”是指：广西德元工程项目管理有限责任公司。</w:t>
      </w:r>
    </w:p>
    <w:p w14:paraId="3DE14C5B">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2.3“供应商”是指响应本谈判文件要求，参加谈判的法人、其他组织或者自然人。如果该供应商在本次谈判中成交，即为“成交供应商”。</w:t>
      </w:r>
      <w:r>
        <w:rPr>
          <w:rFonts w:hint="eastAsia" w:ascii="宋体" w:hAnsi="宋体" w:cs="宋体"/>
          <w:color w:val="auto"/>
          <w:szCs w:val="21"/>
          <w:highlight w:val="none"/>
        </w:rPr>
        <w:t>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14:paraId="631266D8">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2.4“货物”是指各种形态和种类的物品，包括原材料、燃料、设备、产品等。</w:t>
      </w:r>
    </w:p>
    <w:p w14:paraId="411DBBC5">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2.5“服务”是指除货物和工程以外的其他政府采购对象。</w:t>
      </w:r>
    </w:p>
    <w:p w14:paraId="1D79645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2.6“书面形式”包括是指合同书、信件和数据电文（包括电报、电传、传真、电子数据交换和电子邮件）等可以有形地表现所载内容的形式。</w:t>
      </w:r>
    </w:p>
    <w:p w14:paraId="5C72832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2.7“响应文件”是指：供应商根据本谈判文件要求，编制包含报价、技术和服务等所有内容的文件。</w:t>
      </w:r>
    </w:p>
    <w:p w14:paraId="3F0B335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2.8“▲”系指实质性要求条款。</w:t>
      </w:r>
    </w:p>
    <w:p w14:paraId="31E28F2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2.9“签字/签名”是指：指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3FA4057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2.10“公章”是指供应商通过指定电子化政府采购平台办理数字证书（CA认证证书）获得的以法定主体行为名称制作的电子印章。本谈判文件中要求供应商对其电子响应文件的相关内容加盖公章的，均指采用CA证书签章。</w:t>
      </w:r>
    </w:p>
    <w:p w14:paraId="50734C56">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2.11本谈判文件所称的“以上”“以下”“以内”“届满”，包括本数；所称的“不满”“超过”“以外”，不包括本数；如谈判文件另有特殊规定的从其规定。 </w:t>
      </w:r>
    </w:p>
    <w:p w14:paraId="22D4C3C9">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 供应商资格</w:t>
      </w:r>
    </w:p>
    <w:p w14:paraId="7DC3F7A0">
      <w:pPr>
        <w:spacing w:line="36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3.1供应商资格：详见供应商须知前附表。</w:t>
      </w:r>
    </w:p>
    <w:p w14:paraId="1B48664E">
      <w:pPr>
        <w:spacing w:line="360" w:lineRule="exact"/>
        <w:ind w:firstLine="420" w:firstLineChars="200"/>
        <w:rPr>
          <w:rFonts w:ascii="宋体" w:hAnsi="宋体" w:cs="宋体"/>
          <w:b/>
          <w:bCs/>
          <w:color w:val="auto"/>
          <w:szCs w:val="21"/>
          <w:highlight w:val="none"/>
        </w:rPr>
      </w:pPr>
      <w:r>
        <w:rPr>
          <w:rFonts w:hint="eastAsia" w:ascii="宋体" w:hAnsi="宋体" w:cs="宋体"/>
          <w:bCs/>
          <w:color w:val="auto"/>
          <w:szCs w:val="21"/>
          <w:highlight w:val="none"/>
        </w:rPr>
        <w:t>4.</w:t>
      </w:r>
      <w:r>
        <w:rPr>
          <w:rFonts w:hint="eastAsia" w:ascii="宋体" w:hAnsi="宋体" w:cs="宋体"/>
          <w:b/>
          <w:bCs/>
          <w:color w:val="auto"/>
          <w:szCs w:val="21"/>
          <w:highlight w:val="none"/>
        </w:rPr>
        <w:t>谈判费用</w:t>
      </w:r>
    </w:p>
    <w:p w14:paraId="6EF5F288">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4.1供应商应自行承担所有与编写和提交响应文件有关的费用，不论谈判结果如何，采购人和采购代理机构在任何情况下无义务和责任承担此类费用。</w:t>
      </w:r>
    </w:p>
    <w:p w14:paraId="761489BE">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5. 联合体竞标</w:t>
      </w:r>
    </w:p>
    <w:p w14:paraId="38B850B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7F0134B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5.2联合体要求（联合体竞标时应满足下列要求）：</w:t>
      </w:r>
    </w:p>
    <w:p w14:paraId="61E7288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（1）两个以上供应商可以组成一个竞标联合体，以一个供应商的身份共同参加投标，联合体供应商的名称应统一按“XXX公司与XXX公司的联合体”的规则填写。</w:t>
      </w:r>
    </w:p>
    <w:p w14:paraId="11C9A15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（2）以联合体形式参加投标的，联合体各方均应当符合“具有独立承担民事责任的能力”的条件。 本项目有特殊要求规定供应商特定条件的，联合体各方中至少应当有一方符合谈判文件规定的特定条件。</w:t>
      </w:r>
    </w:p>
    <w:p w14:paraId="35DED05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联合体竞标的，须提供《联合体投标协议书》（格式后附），协议书必须明确主体方（或者牵头方）并明确约定联合体各方承担的工作和相应的责任（各方承担责任与义务的分工必须符合采购需求，否则，联合体投标无效），并将联合投标协议放入响应文件。联合体各方必须共同与采购人签订采购合同，就采购合同约定的事项对采购人承担连带责任。</w:t>
      </w:r>
    </w:p>
    <w:p w14:paraId="082A79D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（4）以联合体形式参加政府采购活动的，联合体各方不得再单独参加或者与其他供应商另外组成联合体参加同一合同项下的政府采购活动，否则与之相关的响应文件作废。</w:t>
      </w:r>
    </w:p>
    <w:p w14:paraId="7073867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（5）联合体中有同类资质的供应商按照联合体分工承担相同工作的，应当按照资质等级较低的供应商确定资质等级。</w:t>
      </w:r>
    </w:p>
    <w:p w14:paraId="0D89046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（6）联合体投标业绩、履约能力按照联合体各方其中较高的一方认定并计算（谈判文件另有规定的除外）。</w:t>
      </w:r>
    </w:p>
    <w:p w14:paraId="281083C9">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（7）联合体各方均应按照谈判文件的规定提交资格证明文件。</w:t>
      </w:r>
    </w:p>
    <w:p w14:paraId="18837E5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48953709">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6. 分包与转包 </w:t>
      </w:r>
    </w:p>
    <w:p w14:paraId="17660089">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供应商根据谈判文件的规定和采购项目的实际情况，拟在中标后将中标项目的非主体、非关键性工作分包的，应当在响应文件中载明分包承担主体，分包承担主体应当具备相应资质条件且不得再次分包。</w:t>
      </w:r>
    </w:p>
    <w:p w14:paraId="0F3FB1D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278F566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6.3本项目不允许转包。</w:t>
      </w:r>
    </w:p>
    <w:p w14:paraId="796966CD">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7. 特别说明</w:t>
      </w:r>
    </w:p>
    <w:p w14:paraId="3880887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7.1出现下列情形之一的，在评审过程中，按一家供应商计算，评审后得分最高的同品牌供应商获得中标人推荐资格；评审得分相同的，以报价最低的供应商获得中标人推荐资格；评审得分及投标报价相同的，以技术得分最高的供应商获得中标人推荐资格；其他同品牌供应商不作为中标候选人：</w:t>
      </w:r>
    </w:p>
    <w:p w14:paraId="3DDBAC3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（1）提供相同品牌产品且通过资格审查、符合性审查的不同供应商参加单一产品的同一合同项下的政府采购活动的。</w:t>
      </w:r>
    </w:p>
    <w:p w14:paraId="704D865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（2）非单一产品采购项目中，多家供应商提供的核心产品品牌相同的，视为提供相同品牌产品。核心产品的名称应当在谈判文件中载明。</w:t>
      </w:r>
    </w:p>
    <w:p w14:paraId="6631E45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7.2供应商投标所使用的资格、信誉、荣誉、业绩与企业认证必须为本供应商所拥有。</w:t>
      </w:r>
    </w:p>
    <w:p w14:paraId="0F3E52D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2B9ECC6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7.4供应商在投标活动中提供任何虚假材料，其投标无效，并报监管部门查处；中标后发现的，成交供应商须依照《中华人民共和国消费者权益保护法》规定赔偿采购人，且民事赔偿并不免除违法供应商的行政与刑事责任。</w:t>
      </w:r>
    </w:p>
    <w:p w14:paraId="0DAC228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3AC9B26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E762F6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0860DE6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3F2E69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5298DA8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011CF432">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F6B53D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7.6有下列情形之一的视为供应商相互串通投标，其投标无效：</w:t>
      </w:r>
    </w:p>
    <w:p w14:paraId="2AAA3429">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53A6B33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（2）不同供应商委托同一单位或者个人办理投标事宜；</w:t>
      </w:r>
    </w:p>
    <w:p w14:paraId="6B6BA10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（3）不同供应商的响应文件载明的项目管理成员或者联系人员为同一人；</w:t>
      </w:r>
    </w:p>
    <w:p w14:paraId="4640A88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（4）不同供应商的响应文件异常一致或投标报价呈规律性差异；</w:t>
      </w:r>
    </w:p>
    <w:p w14:paraId="058DE67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85DAE2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保证金从同一单位或者个人账户转出。</w:t>
      </w:r>
    </w:p>
    <w:p w14:paraId="35C5646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p>
    <w:p w14:paraId="1380A33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（1）供应商直接或者间接从采购人或者采购代理机构处获得其他供应商的相关信息并修改其响应文件或者响应文件：</w:t>
      </w:r>
    </w:p>
    <w:p w14:paraId="4DDA81E2">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（2）供应商按照采购人或者采购代理机构的授意撤换、修改响应文件或者响应文件；</w:t>
      </w:r>
    </w:p>
    <w:p w14:paraId="1A0091B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F7738B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1AF2FA9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731D598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2DCD2F5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7E6F40C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7.8关联供应商不得参加同一合同项下政府采购活动，否则响应文件将被视为无效：</w:t>
      </w:r>
    </w:p>
    <w:p w14:paraId="29BB6E8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（1）单位负责人为同一人或者存在直接控股、管理关系的不同的供应商，不得参加同一合同项下的政府采购活动；</w:t>
      </w:r>
    </w:p>
    <w:p w14:paraId="486A7E8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（2）生产厂商授权给供应商后自己不得参加同一合同项下的政府采购活动；生产厂商对同一品牌同一型号的货物，仅能委托一个代理商参加投标。</w:t>
      </w:r>
    </w:p>
    <w:p w14:paraId="5ED4F189">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C0D84A9">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8.质疑和投诉</w:t>
      </w:r>
    </w:p>
    <w:p w14:paraId="2AAB5812">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8.1供应商认为竞争性谈判文件、招标过程或中标结果使自己的合法权益受到损害的，应当在知道或者应知其权益受到损害之日起七个工作日内，以书面形式向采购人、采购代理机构提出质疑。供应商对招标采购单位的质疑答复不满意或者招标采购单位未在规定时间内作出答复的，可以在答复期满后十五个工作日内向同级采购监管部门投诉。</w:t>
      </w:r>
    </w:p>
    <w:p w14:paraId="1F914D7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8.2质疑、投诉应当采用书面形式，质疑书、投诉书均应明确阐述竞争性谈判文件、招标过程或中标结果中使自己合法权益受到损害的实质性内容，提供相关事实、依据和证据及其来源或线索，便于有关单位调查、答复和处理。</w:t>
      </w:r>
    </w:p>
    <w:p w14:paraId="03D70AC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8.3质疑和投诉书面要求</w:t>
      </w:r>
    </w:p>
    <w:p w14:paraId="77A8833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质疑人或投诉人提供的书面材料（如材料中有外文资料须同时附上中文译本）至少包括以下内容：</w:t>
      </w:r>
    </w:p>
    <w:p w14:paraId="47EC34D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（1）质疑人或投诉人的姓名或者名称、地址、邮编、联系人及联系电话；</w:t>
      </w:r>
    </w:p>
    <w:p w14:paraId="39FF837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（2）质疑项目的名称、编号；</w:t>
      </w:r>
    </w:p>
    <w:p w14:paraId="20C55B0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197C57C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（4）事实依据；</w:t>
      </w:r>
    </w:p>
    <w:p w14:paraId="110F7F5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（5）必要的法律依据；</w:t>
      </w:r>
    </w:p>
    <w:p w14:paraId="403C91D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（6）质疑人或投诉人的签章及质疑或投诉时间；</w:t>
      </w:r>
    </w:p>
    <w:p w14:paraId="7B38FDD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（7）质疑或投诉的书面材料须提供法定代表人签名和加盖单位公章的原件。</w:t>
      </w:r>
    </w:p>
    <w:p w14:paraId="0E007B2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（8）质疑人须一次性提出针对同一采购程序环节的质疑。</w:t>
      </w:r>
    </w:p>
    <w:p w14:paraId="56184F19">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198714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未持有有效授权委托书的代理人提交的质疑函或不在法定质疑期内提交的质疑函，将不予受理。</w:t>
      </w:r>
    </w:p>
    <w:p w14:paraId="66FD4180">
      <w:pPr>
        <w:spacing w:line="36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8.4接受质疑函的联系方式等详见谈判公告中采购人、采购代理机构的联系方式。</w:t>
      </w:r>
    </w:p>
    <w:p w14:paraId="57DE1DF8">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二、谈判文件</w:t>
      </w:r>
    </w:p>
    <w:p w14:paraId="161D812C">
      <w:pPr>
        <w:spacing w:line="360" w:lineRule="exact"/>
        <w:ind w:left="420" w:leftChars="200"/>
        <w:rPr>
          <w:rFonts w:ascii="宋体" w:hAnsi="宋体" w:cs="宋体"/>
          <w:b/>
          <w:color w:val="auto"/>
          <w:szCs w:val="21"/>
          <w:highlight w:val="none"/>
        </w:rPr>
      </w:pPr>
      <w:r>
        <w:rPr>
          <w:rFonts w:hint="eastAsia" w:ascii="宋体" w:hAnsi="宋体" w:cs="宋体"/>
          <w:b/>
          <w:color w:val="auto"/>
          <w:szCs w:val="21"/>
          <w:highlight w:val="none"/>
        </w:rPr>
        <w:t>9.竞争性谈判文件的组成</w:t>
      </w:r>
    </w:p>
    <w:p w14:paraId="70C7576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（1）谈判公告；</w:t>
      </w:r>
    </w:p>
    <w:p w14:paraId="6E03027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（2）供应商须知；</w:t>
      </w:r>
    </w:p>
    <w:p w14:paraId="27EACF0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（3）采购需求；</w:t>
      </w:r>
    </w:p>
    <w:p w14:paraId="2A43457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（4）评审办法和定标标准；</w:t>
      </w:r>
    </w:p>
    <w:p w14:paraId="4775A5C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（5）响应文件格式；</w:t>
      </w:r>
    </w:p>
    <w:p w14:paraId="2383323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（6）合同主要条款；</w:t>
      </w:r>
    </w:p>
    <w:p w14:paraId="2271399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（7）其他资料。</w:t>
      </w:r>
    </w:p>
    <w:p w14:paraId="61433AF1">
      <w:pPr>
        <w:spacing w:line="360" w:lineRule="exact"/>
        <w:ind w:left="420" w:leftChars="200"/>
        <w:rPr>
          <w:rFonts w:ascii="宋体" w:hAnsi="宋体" w:cs="宋体"/>
          <w:b/>
          <w:color w:val="auto"/>
          <w:szCs w:val="21"/>
          <w:highlight w:val="none"/>
        </w:rPr>
      </w:pPr>
      <w:r>
        <w:rPr>
          <w:rFonts w:hint="eastAsia" w:ascii="宋体" w:hAnsi="宋体" w:cs="宋体"/>
          <w:b/>
          <w:color w:val="auto"/>
          <w:szCs w:val="21"/>
          <w:highlight w:val="none"/>
        </w:rPr>
        <w:t>10. 供应商的风险</w:t>
      </w:r>
    </w:p>
    <w:p w14:paraId="32C7007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10.1供应商没有按照谈判文件要求提供全部资料，或者供应商没有对谈判文件在各方面作出实质性响应是供应商的风险，并可能导致其投标被拒绝。</w:t>
      </w:r>
    </w:p>
    <w:p w14:paraId="6C5092E8">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11.谈判文件的澄清或修改</w:t>
      </w:r>
    </w:p>
    <w:p w14:paraId="6BE63C2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11.1供应商应认真</w:t>
      </w:r>
      <w:r>
        <w:rPr>
          <w:rFonts w:hint="eastAsia" w:ascii="宋体" w:hAnsi="宋体" w:cs="宋体"/>
          <w:bCs/>
          <w:color w:val="auto"/>
          <w:szCs w:val="21"/>
          <w:highlight w:val="none"/>
        </w:rPr>
        <w:t>阅读本谈判文件，发现</w:t>
      </w:r>
      <w:r>
        <w:rPr>
          <w:rFonts w:hint="eastAsia" w:ascii="宋体" w:hAnsi="宋体" w:cs="宋体"/>
          <w:color w:val="auto"/>
          <w:szCs w:val="21"/>
          <w:highlight w:val="none"/>
        </w:rPr>
        <w:t>谈判文件表述不清晰、存在歧视性、排他性或者其他违法内容的，应以书面形式要求招标采购单位作出书面解释、澄清，否则，由此产生的后果由供应商负责。</w:t>
      </w:r>
    </w:p>
    <w:p w14:paraId="38AD72A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11.2任何要求澄清谈判文件的供应商，均应在首次响应文件递交截止日期前的正常工作时间以书面形式通知采购人或采购代理机构，采购人或采购代理机构将以书面形式予以答复。</w:t>
      </w:r>
    </w:p>
    <w:p w14:paraId="4EF1BB6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11.3采购人或采购代理机构对已发出的谈判文件进行必要澄清或者修改的，澄清和修改对供应商编制响应文件造成实质影响的，在谈判文件要求提交竞争性谈判响应文件截止时间三个工作日前（不足三个工作日顺延），并将以书面形式通知（在“供应商须知前附表”规定的发布媒体上发布更正公告）所有谈判文件收受人。该澄清或者修改的内容为性谈判文件的组成部分。</w:t>
      </w:r>
    </w:p>
    <w:p w14:paraId="3D2C779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11.4采购人可视具体情况，延长响应文件递交截止时间和开标时间，并在“供应商须知前附表”规定的发布媒体上发布变更公告。</w:t>
      </w:r>
    </w:p>
    <w:p w14:paraId="073D51C2">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12.现场考察或答疑会</w:t>
      </w:r>
    </w:p>
    <w:p w14:paraId="1B93DD09">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12.1采购人可以视采购项目的具体情况，按须知前附表的规定组织供应商进行现场考察或召开谈判前答疑会，但不得单独或分别组织只有一个供应商参加的现场考察和答疑会。</w:t>
      </w:r>
    </w:p>
    <w:p w14:paraId="58132AA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12.2供应商考察现场或参加答疑会发生的费用自理。</w:t>
      </w:r>
    </w:p>
    <w:p w14:paraId="770D9B50">
      <w:pPr>
        <w:spacing w:line="36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12.3供应商自行负责在考察现场或参加答疑会中所发生的人员伤亡和财产损失。</w:t>
      </w:r>
    </w:p>
    <w:p w14:paraId="31A02231">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三、响应文件的编制</w:t>
      </w:r>
    </w:p>
    <w:p w14:paraId="769B2D14">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13. </w:t>
      </w:r>
      <w:r>
        <w:rPr>
          <w:rFonts w:hint="eastAsia" w:ascii="宋体" w:hAnsi="宋体" w:cs="宋体"/>
          <w:b/>
          <w:color w:val="auto"/>
          <w:szCs w:val="21"/>
          <w:highlight w:val="none"/>
        </w:rPr>
        <w:t>响应文件的组成</w:t>
      </w:r>
    </w:p>
    <w:p w14:paraId="5F6FEB7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响应文件由资格证明文件、商务和技术文件、报价文件组成。</w:t>
      </w:r>
    </w:p>
    <w:p w14:paraId="171AFD1D">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13.1资格证明文件（以下文件标注“▲”的必须提供，否则投标无效，其他可根据实际情况提供）</w:t>
      </w:r>
    </w:p>
    <w:p w14:paraId="425D518E">
      <w:pPr>
        <w:pStyle w:val="19"/>
        <w:spacing w:line="360" w:lineRule="exact"/>
        <w:ind w:firstLine="405"/>
        <w:rPr>
          <w:rFonts w:hAnsi="宋体" w:cs="宋体"/>
          <w:b/>
          <w:color w:val="auto"/>
          <w:sz w:val="21"/>
          <w:szCs w:val="21"/>
          <w:highlight w:val="none"/>
        </w:rPr>
      </w:pPr>
      <w:r>
        <w:rPr>
          <w:rFonts w:hint="eastAsia" w:hAnsi="宋体" w:cs="宋体"/>
          <w:b/>
          <w:color w:val="auto"/>
          <w:sz w:val="21"/>
          <w:szCs w:val="21"/>
          <w:highlight w:val="none"/>
        </w:rPr>
        <w:t>▲注：以下各项属于均要加盖供应商电子公章。联合体投标时，第2-6项资格证明文件联合体各方均必须分别提供，联合体各方分别盖章和签字，否则响应文件按无效响应处理。</w:t>
      </w:r>
    </w:p>
    <w:p w14:paraId="4FB0F383">
      <w:pPr>
        <w:spacing w:line="360" w:lineRule="exact"/>
        <w:ind w:firstLine="413" w:firstLineChars="196"/>
        <w:jc w:val="left"/>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（1）谈判声明书(按第四章要求格式填写)；</w:t>
      </w:r>
    </w:p>
    <w:p w14:paraId="3361404C">
      <w:pPr>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▲（2）投标供应商合法的主体资格证明（如营业执照、事业单位法人证书、执业许可证、个体工商户营业执照、自然人身份证等）复印件</w:t>
      </w:r>
      <w:r>
        <w:rPr>
          <w:rFonts w:hint="eastAsia" w:ascii="宋体" w:hAnsi="宋体" w:cs="宋体"/>
          <w:bCs/>
          <w:color w:val="auto"/>
          <w:szCs w:val="21"/>
          <w:highlight w:val="none"/>
        </w:rPr>
        <w:t>；</w:t>
      </w:r>
    </w:p>
    <w:p w14:paraId="3E505EC8">
      <w:pPr>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▲（3）政府采购供应商资格信用承诺函(按第四章要求格式填写)；</w:t>
      </w:r>
    </w:p>
    <w:p w14:paraId="1973FC95">
      <w:pPr>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 xml:space="preserve">▲（4）参加政府采购活动前三年内在经营活动中没有重大违法记录和不良信用记录的书面声明书（格式自拟）； </w:t>
      </w:r>
    </w:p>
    <w:p w14:paraId="0284EAA5">
      <w:pPr>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▲（5）供应商如为分支机构投标的，须提供其总公司“营业执照”副本复印件和总公司对供应商参与本项目投标的授权书原件；</w:t>
      </w:r>
    </w:p>
    <w:p w14:paraId="01080DF3">
      <w:pPr>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▲（6）供应商直接控股、管理关系信息表(按第四章要求格式填写)；</w:t>
      </w:r>
    </w:p>
    <w:p w14:paraId="35ACD820">
      <w:pPr>
        <w:spacing w:line="36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rPr>
        <w:t>中小企业声明函或</w:t>
      </w:r>
      <w:r>
        <w:rPr>
          <w:rFonts w:hint="eastAsia" w:ascii="宋体" w:hAnsi="宋体" w:eastAsia="宋体" w:cs="宋体"/>
          <w:bCs/>
          <w:color w:val="auto"/>
          <w:szCs w:val="21"/>
          <w:highlight w:val="none"/>
        </w:rPr>
        <w:t>残疾人福利性单位声明函或属于监狱企业的证明文件（由省级以上监狱管</w:t>
      </w:r>
      <w:r>
        <w:rPr>
          <w:rFonts w:hint="eastAsia" w:ascii="宋体" w:hAnsi="宋体" w:eastAsia="宋体" w:cs="宋体"/>
          <w:bCs/>
          <w:color w:val="auto"/>
          <w:sz w:val="21"/>
          <w:szCs w:val="21"/>
          <w:highlight w:val="none"/>
        </w:rPr>
        <w:t>理局、戒毒管理局（含新疆生产建设兵团）出具）（</w:t>
      </w:r>
      <w:r>
        <w:rPr>
          <w:rFonts w:hint="eastAsia" w:ascii="宋体" w:hAnsi="宋体" w:eastAsia="宋体" w:cs="宋体"/>
          <w:color w:val="auto"/>
          <w:sz w:val="21"/>
          <w:szCs w:val="21"/>
          <w:highlight w:val="none"/>
        </w:rPr>
        <w:t>按第四章要求的格式提供</w:t>
      </w:r>
      <w:r>
        <w:rPr>
          <w:rFonts w:hint="eastAsia" w:ascii="宋体" w:hAnsi="宋体" w:eastAsia="宋体" w:cs="宋体"/>
          <w:bCs/>
          <w:color w:val="auto"/>
          <w:sz w:val="21"/>
          <w:szCs w:val="21"/>
          <w:highlight w:val="none"/>
        </w:rPr>
        <w:t>）；</w:t>
      </w:r>
    </w:p>
    <w:p w14:paraId="16D40B24">
      <w:pPr>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）联合体协议书；（联合体投标时必须提供，否则投标无效）</w:t>
      </w:r>
    </w:p>
    <w:p w14:paraId="0B845EFB">
      <w:pPr>
        <w:spacing w:line="360" w:lineRule="exact"/>
        <w:ind w:firstLine="411" w:firstLineChars="196"/>
        <w:jc w:val="left"/>
        <w:rPr>
          <w:rFonts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）特定资格条件</w:t>
      </w:r>
      <w:r>
        <w:rPr>
          <w:rFonts w:hint="eastAsia" w:ascii="宋体" w:hAnsi="宋体" w:cs="宋体"/>
          <w:bCs/>
          <w:color w:val="auto"/>
          <w:szCs w:val="21"/>
          <w:highlight w:val="none"/>
        </w:rPr>
        <w:t>：无</w:t>
      </w:r>
    </w:p>
    <w:p w14:paraId="6838BCCA">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13.2商务和技术文件（以下文件标注“▲”的必须提供，“第三章《采购需求》”要求“必须提供”的必须提供，其他可根据实际情况提供，第（1）、（2）项由法定代表人签名，否则其投标无效）</w:t>
      </w:r>
    </w:p>
    <w:p w14:paraId="0DDDF143">
      <w:pPr>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▲注：以下标注“▲”均要加盖供应商单位电子公章，否则其投标无效。</w:t>
      </w:r>
    </w:p>
    <w:p w14:paraId="35E626A4">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▲（1）法定代表人身份证明书(按第四章要求格式填写)； </w:t>
      </w:r>
    </w:p>
    <w:p w14:paraId="55A45E65">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▲（2）法定代表人授权委托书及被授权委托人身份证复印件(委托代理时，按第四章要求格式填写)；</w:t>
      </w:r>
    </w:p>
    <w:p w14:paraId="7E0E67E1">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▲（3）竞标保证金缴纳证明材料复印件（按第四章要求格式填写）；</w:t>
      </w:r>
    </w:p>
    <w:p w14:paraId="2388191B">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（4）供应商情况介绍（格式自拟）；</w:t>
      </w:r>
    </w:p>
    <w:p w14:paraId="44C1C914">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▲（5）商务响应表(按第四章要求格式填写)；</w:t>
      </w:r>
    </w:p>
    <w:p w14:paraId="3681DF86">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▲（6）技术响应表(按第四章要求格式填写，</w:t>
      </w:r>
      <w:r>
        <w:rPr>
          <w:rFonts w:hint="eastAsia" w:ascii="宋体" w:hAnsi="宋体" w:cs="宋体"/>
          <w:b/>
          <w:bCs/>
          <w:color w:val="auto"/>
          <w:szCs w:val="21"/>
          <w:highlight w:val="none"/>
        </w:rPr>
        <w:t>附“第三章采购需求”中要求提供的相关材料</w:t>
      </w:r>
      <w:r>
        <w:rPr>
          <w:rFonts w:hint="eastAsia" w:ascii="宋体" w:hAnsi="宋体" w:cs="宋体"/>
          <w:color w:val="auto"/>
          <w:szCs w:val="21"/>
          <w:highlight w:val="none"/>
        </w:rPr>
        <w:t>)；</w:t>
      </w:r>
    </w:p>
    <w:p w14:paraId="309A276E">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▲（7）设备配置清单；(按第四章要求格式填写)； </w:t>
      </w:r>
    </w:p>
    <w:p w14:paraId="273E968F">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▲（8）项目实施方案；(按第四章要求格式填写)；</w:t>
      </w:r>
    </w:p>
    <w:p w14:paraId="4C26080F">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▲（9）售后服务方案及承诺书(按第四章要求格式填写)；</w:t>
      </w:r>
    </w:p>
    <w:p w14:paraId="7DC97D88">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（10）选配件、专用耗材、售后服务优惠表(按第四章要求格式填写)；</w:t>
      </w:r>
    </w:p>
    <w:p w14:paraId="68AC62A0">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▲（11）代理服务费承诺书(按第四章要求格式填写)；</w:t>
      </w:r>
    </w:p>
    <w:p w14:paraId="377ADABD">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（12）供应商同类项目业绩一览表(按第四章要求格式填写)；</w:t>
      </w:r>
    </w:p>
    <w:p w14:paraId="3729B6A5">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（13）供应商对本项目的合理化建议和改进措施（格式自拟）；</w:t>
      </w:r>
    </w:p>
    <w:p w14:paraId="794D01CF">
      <w:pPr>
        <w:snapToGrid w:val="0"/>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（14）供应商认为需要提供的其他证明材料。（供应商根据“第三章 采购需求”及“第六章 评标方法及评标标准”提供有关证明材料）。</w:t>
      </w:r>
    </w:p>
    <w:p w14:paraId="52723AE4">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13.3报价文件（以下文件标注“▲”的必须提供，要求“必须提供”的必须提供，其他可根据实际情况提供）</w:t>
      </w:r>
    </w:p>
    <w:p w14:paraId="56D61FBA">
      <w:pPr>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▲注：以下标注“▲”均要加盖供应商单位电子公章</w:t>
      </w:r>
      <w:r>
        <w:rPr>
          <w:rFonts w:hint="eastAsia" w:ascii="宋体" w:hAnsi="宋体" w:cs="宋体"/>
          <w:b/>
          <w:bCs/>
          <w:color w:val="auto"/>
          <w:szCs w:val="21"/>
          <w:highlight w:val="none"/>
        </w:rPr>
        <w:t>或</w:t>
      </w:r>
      <w:r>
        <w:rPr>
          <w:rFonts w:hint="eastAsia" w:ascii="宋体" w:hAnsi="宋体" w:cs="宋体"/>
          <w:b/>
          <w:color w:val="auto"/>
          <w:szCs w:val="21"/>
          <w:highlight w:val="none"/>
        </w:rPr>
        <w:t>自然人加盖手指指印，否则其投标无效。</w:t>
      </w:r>
    </w:p>
    <w:p w14:paraId="75D4C278">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▲（1）竞标函（按第四章要求格式填写）；</w:t>
      </w:r>
    </w:p>
    <w:p w14:paraId="27405420">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▲（2）报价表 (按第四章要求格式填写) ； </w:t>
      </w:r>
    </w:p>
    <w:p w14:paraId="64BB289E">
      <w:pPr>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）供应商针对报价需要说明的其他文件和说明（如有，格式自拟） </w:t>
      </w:r>
    </w:p>
    <w:p w14:paraId="6F8FD7CD">
      <w:pPr>
        <w:spacing w:line="36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注：若谈判文件中有专门标注的某关联点，并要求供应商在电子投标系统中作出响应的，如供应商未对关联点进行响应或者在响应文件其它内容进行描述，造成电子评审不能查询的责任由供应商自行承担。</w:t>
      </w:r>
    </w:p>
    <w:p w14:paraId="283D4CB5">
      <w:pPr>
        <w:pStyle w:val="19"/>
        <w:spacing w:line="360" w:lineRule="exact"/>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14. 响应文件的语言及计量</w:t>
      </w:r>
    </w:p>
    <w:p w14:paraId="2A60F88B">
      <w:pPr>
        <w:pStyle w:val="19"/>
        <w:spacing w:line="360" w:lineRule="exact"/>
        <w:ind w:firstLine="420" w:firstLineChars="200"/>
        <w:rPr>
          <w:rFonts w:hAnsi="宋体" w:cs="宋体"/>
          <w:bCs/>
          <w:color w:val="auto"/>
          <w:sz w:val="21"/>
          <w:szCs w:val="21"/>
          <w:highlight w:val="none"/>
        </w:rPr>
      </w:pPr>
      <w:r>
        <w:rPr>
          <w:rFonts w:hint="eastAsia" w:hAnsi="宋体" w:cs="宋体"/>
          <w:bCs/>
          <w:color w:val="auto"/>
          <w:sz w:val="21"/>
          <w:szCs w:val="21"/>
          <w:highlight w:val="none"/>
        </w:rPr>
        <w:t>14.1响应文件以及竞标方与招标方就有关竞标事宜的所有来往函电，均应以中文汉语书写。除签名、盖章、专用名称等特殊情形外，以中文汉语以外的文字表述的响应文件视同未提供。</w:t>
      </w:r>
    </w:p>
    <w:p w14:paraId="6086FCA7">
      <w:pPr>
        <w:pStyle w:val="19"/>
        <w:spacing w:line="360" w:lineRule="exact"/>
        <w:ind w:firstLine="420" w:firstLineChars="200"/>
        <w:rPr>
          <w:rFonts w:hAnsi="宋体" w:cs="宋体"/>
          <w:bCs/>
          <w:color w:val="auto"/>
          <w:sz w:val="21"/>
          <w:szCs w:val="21"/>
          <w:highlight w:val="none"/>
        </w:rPr>
      </w:pPr>
      <w:r>
        <w:rPr>
          <w:rFonts w:hint="eastAsia" w:hAnsi="宋体" w:cs="宋体"/>
          <w:bCs/>
          <w:color w:val="auto"/>
          <w:sz w:val="21"/>
          <w:szCs w:val="21"/>
          <w:highlight w:val="none"/>
        </w:rPr>
        <w:t>14.2竞标计量单位，谈判文件已有明确规定的，使用谈判文件规定的计量单位；谈判文件没有规定的，应采用中华人民共和国法定计量单位（货币单位：人民币元），否则视同未响应。</w:t>
      </w:r>
    </w:p>
    <w:p w14:paraId="48D0B4C7">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15、响应文件报价要求</w:t>
      </w:r>
    </w:p>
    <w:p w14:paraId="57F0A8F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15.1本项目最高限价详见须知前附表。响应文件报价须小于等于最高限价，否则响应无效。</w:t>
      </w:r>
    </w:p>
    <w:p w14:paraId="1E91AC1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15.2对于本谈判文件中未列明，而供应商认为必需的费用也需列入总报价。在合同实施时，采购人将不予支付成交供应商没有列入的项目费用，并认为此项目的费用已包括在总报价中。</w:t>
      </w:r>
    </w:p>
    <w:p w14:paraId="044F49B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15.3成交供应商负责本项目所需服务的全部工作，包括货款、标准附件、备品备件、专用工具、包装、运输、装卸、保险、税金、货到就位以及安装、安装所需辅材、调试、检验、验收等所需的一切使本项目完成验收的费用及供货商对采购人承诺培训、售前、售后质量保证等相关费用等在内的一切可能发生的费用。对于本谈判采购文件中未列明，而供应商认为必需的费用也需列入报价。</w:t>
      </w:r>
    </w:p>
    <w:p w14:paraId="16DD4EC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15.4供应商应就第三章《采购需求》中的全部服务内容作完整唯一报价。</w:t>
      </w:r>
    </w:p>
    <w:p w14:paraId="1A5D4FB8">
      <w:pPr>
        <w:spacing w:line="360" w:lineRule="exact"/>
        <w:ind w:left="420"/>
        <w:rPr>
          <w:rFonts w:ascii="宋体" w:hAnsi="宋体" w:cs="宋体"/>
          <w:color w:val="auto"/>
          <w:szCs w:val="21"/>
          <w:highlight w:val="none"/>
        </w:rPr>
      </w:pPr>
      <w:r>
        <w:rPr>
          <w:rFonts w:hint="eastAsia" w:ascii="宋体" w:hAnsi="宋体" w:cs="宋体"/>
          <w:color w:val="auto"/>
          <w:szCs w:val="21"/>
          <w:highlight w:val="none"/>
        </w:rPr>
        <w:t>15.5响应文件只允许有一个报价，有选择的或有条件的报价将不予接受（谈判文件另有规定的除外）。</w:t>
      </w:r>
    </w:p>
    <w:p w14:paraId="054AEA5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15.6供应商应在响应文件报价表上标明单价和总价。响应文件的大写金额和小写金额不一致的，以大写金额为准；总价金额与按单价汇总金额不一致的，以单价金额计算结果为准；单价金额小数点有明显错位的，应以总价为准，并修改单价。对不同文字文本竞争性谈判响应文件的解释发生异议的，以中文文本为准。除上述原因以外，如果因供应商原因引起的报价失误，并在谈判时被接受，其后果由供应商自负。</w:t>
      </w:r>
    </w:p>
    <w:p w14:paraId="6DEA1727">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16、响应文件有效期</w:t>
      </w:r>
    </w:p>
    <w:p w14:paraId="5F220410">
      <w:pPr>
        <w:spacing w:line="36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16.1响应文件有效期：详见供应商须知前附表。有效期不足的响应文件将被拒绝。</w:t>
      </w:r>
    </w:p>
    <w:p w14:paraId="36168BA8">
      <w:pPr>
        <w:pStyle w:val="19"/>
        <w:spacing w:line="360" w:lineRule="exact"/>
        <w:ind w:firstLine="420" w:firstLineChars="200"/>
        <w:jc w:val="left"/>
        <w:rPr>
          <w:rFonts w:hAnsi="宋体" w:cs="宋体"/>
          <w:color w:val="auto"/>
          <w:kern w:val="2"/>
          <w:sz w:val="21"/>
          <w:szCs w:val="21"/>
          <w:highlight w:val="none"/>
        </w:rPr>
      </w:pPr>
      <w:r>
        <w:rPr>
          <w:rFonts w:hint="eastAsia" w:hAnsi="宋体" w:cs="宋体"/>
          <w:color w:val="auto"/>
          <w:kern w:val="2"/>
          <w:sz w:val="21"/>
          <w:szCs w:val="21"/>
          <w:highlight w:val="none"/>
        </w:rPr>
        <w:t>16.2在特殊情况下，采购人可与供应商协商延长响应文件的有效期，这种要求和答复均以书面形式进行。</w:t>
      </w:r>
    </w:p>
    <w:p w14:paraId="604117F1">
      <w:pPr>
        <w:pStyle w:val="19"/>
        <w:spacing w:line="360" w:lineRule="exact"/>
        <w:ind w:firstLine="420" w:firstLineChars="200"/>
        <w:jc w:val="left"/>
        <w:rPr>
          <w:rFonts w:hAnsi="宋体" w:cs="宋体"/>
          <w:color w:val="auto"/>
          <w:kern w:val="2"/>
          <w:sz w:val="21"/>
          <w:szCs w:val="21"/>
          <w:highlight w:val="none"/>
        </w:rPr>
      </w:pPr>
      <w:r>
        <w:rPr>
          <w:rFonts w:hint="eastAsia" w:hAnsi="宋体" w:cs="宋体"/>
          <w:color w:val="auto"/>
          <w:kern w:val="2"/>
          <w:sz w:val="21"/>
          <w:szCs w:val="21"/>
          <w:highlight w:val="none"/>
        </w:rPr>
        <w:t xml:space="preserve">16.3供应商可拒绝接受延长有效期要求而不会导致竞标保证金被没收。同意延长有效期的供应商需要相应延长竞标保证金的有效期，但不能修改响应文件其它内容。 </w:t>
      </w:r>
    </w:p>
    <w:p w14:paraId="63E3E15C">
      <w:pPr>
        <w:pStyle w:val="19"/>
        <w:spacing w:line="360" w:lineRule="exact"/>
        <w:ind w:firstLine="420" w:firstLineChars="200"/>
        <w:jc w:val="left"/>
        <w:rPr>
          <w:rFonts w:hAnsi="宋体" w:cs="宋体"/>
          <w:color w:val="auto"/>
          <w:kern w:val="2"/>
          <w:sz w:val="21"/>
          <w:szCs w:val="21"/>
          <w:highlight w:val="none"/>
        </w:rPr>
      </w:pPr>
      <w:r>
        <w:rPr>
          <w:rFonts w:hint="eastAsia" w:hAnsi="宋体" w:cs="宋体"/>
          <w:color w:val="auto"/>
          <w:kern w:val="2"/>
          <w:sz w:val="21"/>
          <w:szCs w:val="21"/>
          <w:highlight w:val="none"/>
        </w:rPr>
        <w:t>16.4供应商的响应文件自开标之日起至合同履行完毕止均应保持有效。</w:t>
      </w:r>
    </w:p>
    <w:p w14:paraId="2DCED842">
      <w:pPr>
        <w:pStyle w:val="19"/>
        <w:spacing w:line="360" w:lineRule="exact"/>
        <w:ind w:firstLine="422" w:firstLineChars="200"/>
        <w:jc w:val="left"/>
        <w:rPr>
          <w:rFonts w:hAnsi="宋体" w:cs="宋体"/>
          <w:color w:val="auto"/>
          <w:kern w:val="2"/>
          <w:sz w:val="21"/>
          <w:szCs w:val="21"/>
          <w:highlight w:val="none"/>
        </w:rPr>
      </w:pPr>
      <w:r>
        <w:rPr>
          <w:rFonts w:hint="eastAsia" w:hAnsi="宋体" w:cs="宋体"/>
          <w:b/>
          <w:color w:val="auto"/>
          <w:sz w:val="21"/>
          <w:szCs w:val="21"/>
          <w:highlight w:val="none"/>
        </w:rPr>
        <w:t>17、竞标保证金</w:t>
      </w:r>
    </w:p>
    <w:p w14:paraId="42D987E7">
      <w:pPr>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17.1竞标保证金金额：详见供应商须知前附表。竞标保证金应在响应文件有效期内保持有效。</w:t>
      </w:r>
    </w:p>
    <w:p w14:paraId="1344CC9C">
      <w:pPr>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17.2供应商须按规定于竞标截止前足额提交竞标保证金，</w:t>
      </w:r>
      <w:r>
        <w:rPr>
          <w:rFonts w:hint="eastAsia" w:ascii="宋体" w:hAnsi="宋体" w:cs="宋体"/>
          <w:b/>
          <w:color w:val="auto"/>
          <w:kern w:val="0"/>
          <w:szCs w:val="21"/>
          <w:highlight w:val="none"/>
        </w:rPr>
        <w:t>否则，其响应无效。</w:t>
      </w:r>
    </w:p>
    <w:p w14:paraId="5E52BD88">
      <w:pPr>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17.3竞标保证金交纳形式：</w:t>
      </w:r>
      <w:r>
        <w:rPr>
          <w:rFonts w:hint="eastAsia" w:ascii="宋体" w:hAnsi="宋体" w:cs="宋体"/>
          <w:color w:val="auto"/>
          <w:szCs w:val="21"/>
          <w:highlight w:val="none"/>
        </w:rPr>
        <w:t>转账、电汇、网上银行、支票、汇票、本票或者银行、保险机构出具的保函，禁止采用现钞方式。</w:t>
      </w:r>
    </w:p>
    <w:p w14:paraId="2416D3E2">
      <w:pPr>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采用转账、电汇、网上银行方式的，在首次提交响应文件截止时间前交至广西德元工程项目管理有限责任公司（收款单位名称），开户银行：柳州银行北站支行营业部，银行账号：707002011010900000108</w:t>
      </w:r>
      <w:r>
        <w:rPr>
          <w:rFonts w:hint="eastAsia" w:ascii="宋体" w:hAnsi="宋体" w:cs="宋体"/>
          <w:color w:val="auto"/>
          <w:kern w:val="0"/>
          <w:szCs w:val="21"/>
          <w:highlight w:val="none"/>
        </w:rPr>
        <w:t>。</w:t>
      </w:r>
    </w:p>
    <w:p w14:paraId="1BCA3E3F">
      <w:pPr>
        <w:pStyle w:val="19"/>
        <w:spacing w:line="36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采用转账、电汇、网上银行方式的，由供应商按上条中明确的全称、帐号、开户行，在保证金规定递交时间内转入（汇入）广西德元工程项目管理有限责任公司保证金专户上，并将银行转账底单的复印件作为竞标保证金提交凭证，放置于响应文件中，</w:t>
      </w:r>
      <w:r>
        <w:rPr>
          <w:rFonts w:hint="eastAsia" w:hAnsi="宋体" w:cs="宋体"/>
          <w:b/>
          <w:color w:val="auto"/>
          <w:sz w:val="21"/>
          <w:szCs w:val="21"/>
          <w:highlight w:val="none"/>
        </w:rPr>
        <w:t>否则其响应无效</w:t>
      </w:r>
      <w:r>
        <w:rPr>
          <w:rFonts w:hint="eastAsia" w:hAnsi="宋体" w:cs="宋体"/>
          <w:color w:val="auto"/>
          <w:sz w:val="21"/>
          <w:szCs w:val="21"/>
          <w:highlight w:val="none"/>
        </w:rPr>
        <w:t>。若广西德元工程项目管理有限责任公司保证金专户在保证金规定递交时间内没有收到供应商足额交纳的竞标保证金，</w:t>
      </w:r>
      <w:r>
        <w:rPr>
          <w:rFonts w:hint="eastAsia" w:hAnsi="宋体" w:cs="宋体"/>
          <w:b/>
          <w:color w:val="auto"/>
          <w:sz w:val="21"/>
          <w:szCs w:val="21"/>
          <w:highlight w:val="none"/>
        </w:rPr>
        <w:t>其响应无效</w:t>
      </w:r>
      <w:r>
        <w:rPr>
          <w:rFonts w:hint="eastAsia" w:hAnsi="宋体" w:cs="宋体"/>
          <w:color w:val="auto"/>
          <w:sz w:val="21"/>
          <w:szCs w:val="21"/>
          <w:highlight w:val="none"/>
        </w:rPr>
        <w:t>；因此供应商在缴纳竞标保证金时应充分考虑保证金到达本公司保证金专户上的时间，以免影响竞标。办理竞标保证金手续时，请务必在银行进帐单的用途或空白栏上注明招标项目名称或采购编号</w:t>
      </w:r>
      <w:r>
        <w:rPr>
          <w:rFonts w:hint="eastAsia" w:hAnsi="宋体" w:cs="宋体"/>
          <w:b/>
          <w:color w:val="auto"/>
          <w:sz w:val="21"/>
          <w:szCs w:val="21"/>
          <w:highlight w:val="none"/>
        </w:rPr>
        <w:t>，如遇受字符限制的情况，项目名称可简写。</w:t>
      </w:r>
    </w:p>
    <w:p w14:paraId="580CBFEC">
      <w:pPr>
        <w:pStyle w:val="19"/>
        <w:spacing w:line="360" w:lineRule="exact"/>
        <w:ind w:firstLine="0" w:firstLineChars="0"/>
        <w:rPr>
          <w:rFonts w:hint="eastAsia" w:hAnsi="宋体" w:cs="宋体"/>
          <w:color w:val="auto"/>
          <w:sz w:val="21"/>
          <w:szCs w:val="21"/>
          <w:highlight w:val="none"/>
        </w:rPr>
      </w:pPr>
      <w:r>
        <w:rPr>
          <w:rFonts w:hint="eastAsia" w:hAnsi="宋体" w:cs="宋体"/>
          <w:color w:val="auto"/>
          <w:sz w:val="21"/>
          <w:szCs w:val="21"/>
          <w:highlight w:val="none"/>
        </w:rPr>
        <w:t>采用支票、汇票、本票或银行、保险机构出具的保函交纳方式的，供应商应将支票、汇票、本票或银行、保险机构出具的保函的复印件作为竞标保证金提交凭证，放置于响应文件中</w:t>
      </w:r>
      <w:r>
        <w:rPr>
          <w:rFonts w:hint="eastAsia" w:hAnsi="宋体" w:cs="宋体"/>
          <w:b/>
          <w:color w:val="auto"/>
          <w:sz w:val="21"/>
          <w:szCs w:val="21"/>
          <w:highlight w:val="none"/>
        </w:rPr>
        <w:t>，否则其响应无效</w:t>
      </w:r>
      <w:r>
        <w:rPr>
          <w:rFonts w:hint="eastAsia" w:hAnsi="宋体" w:cs="宋体"/>
          <w:color w:val="auto"/>
          <w:sz w:val="21"/>
          <w:szCs w:val="21"/>
          <w:highlight w:val="none"/>
        </w:rPr>
        <w:t>。并于首次提交响应文件截止时间前，递交支票、汇票、本票或银行、保险机构出具的保函原件；</w:t>
      </w:r>
      <w:r>
        <w:rPr>
          <w:rFonts w:hint="eastAsia" w:ascii="宋体" w:hAnsi="宋体" w:eastAsia="宋体" w:cs="宋体"/>
          <w:color w:val="auto"/>
          <w:sz w:val="21"/>
          <w:szCs w:val="21"/>
          <w:highlight w:val="none"/>
        </w:rPr>
        <w:t>原件递交的形式是在线下开标现场</w:t>
      </w:r>
      <w:r>
        <w:rPr>
          <w:rFonts w:hint="eastAsia" w:ascii="宋体" w:hAnsi="宋体" w:eastAsia="宋体" w:cs="宋体"/>
          <w:b/>
          <w:bCs/>
          <w:color w:val="auto"/>
          <w:sz w:val="21"/>
          <w:szCs w:val="21"/>
          <w:highlight w:val="none"/>
        </w:rPr>
        <w:t>【广西柳州市龙湖路13号柳州市民服务中心北楼4楼柳州市公共资源交易服务中心开标区对应开标室（具体开标室根据电子屏幕显示的安排）】</w:t>
      </w:r>
      <w:r>
        <w:rPr>
          <w:rFonts w:hint="eastAsia" w:ascii="宋体" w:hAnsi="宋体" w:eastAsia="宋体" w:cs="宋体"/>
          <w:color w:val="auto"/>
          <w:sz w:val="21"/>
          <w:szCs w:val="21"/>
          <w:highlight w:val="none"/>
        </w:rPr>
        <w:t>递交密封好的原件（原件放入一个密封袋中，并在封口处加盖供应商公章或委托代理人签字，以示密封，在封套上标记“项目名称（项目编号）</w:t>
      </w: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sz w:val="21"/>
          <w:szCs w:val="21"/>
          <w:highlight w:val="none"/>
        </w:rPr>
        <w:t>保证金”字样）</w:t>
      </w:r>
      <w:r>
        <w:rPr>
          <w:rFonts w:hint="eastAsia" w:ascii="宋体" w:hAnsi="宋体" w:cs="宋体"/>
          <w:color w:val="auto"/>
          <w:szCs w:val="21"/>
          <w:highlight w:val="none"/>
        </w:rPr>
        <w:t>；若广西德元工程项目管理有限责任公司在保证金规定递交时间内没有收到上述原件的，</w:t>
      </w:r>
      <w:r>
        <w:rPr>
          <w:rFonts w:hint="eastAsia" w:ascii="宋体" w:hAnsi="宋体" w:cs="宋体"/>
          <w:b/>
          <w:color w:val="auto"/>
          <w:szCs w:val="21"/>
          <w:highlight w:val="none"/>
        </w:rPr>
        <w:t>其响应无效</w:t>
      </w:r>
      <w:r>
        <w:rPr>
          <w:rFonts w:hint="eastAsia" w:ascii="宋体" w:hAnsi="宋体" w:cs="宋体"/>
          <w:color w:val="auto"/>
          <w:szCs w:val="21"/>
          <w:highlight w:val="none"/>
        </w:rPr>
        <w:t>；因此供应商递交上述原件时应充分考虑到达时间，以免影响投标。</w:t>
      </w:r>
    </w:p>
    <w:p w14:paraId="4A8EC6F0">
      <w:pPr>
        <w:pStyle w:val="19"/>
        <w:spacing w:line="36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17.4</w:t>
      </w:r>
      <w:r>
        <w:rPr>
          <w:rFonts w:hint="eastAsia" w:hAnsi="宋体" w:cs="宋体"/>
          <w:b/>
          <w:color w:val="auto"/>
          <w:spacing w:val="-2"/>
          <w:sz w:val="21"/>
          <w:szCs w:val="21"/>
          <w:highlight w:val="none"/>
        </w:rPr>
        <w:t>首次提交响应文件截止时间后提交的，或未足额交纳的，或保函额度不足的，视为无效竞标保证金</w:t>
      </w:r>
      <w:r>
        <w:rPr>
          <w:rFonts w:hint="eastAsia" w:hAnsi="宋体" w:cs="宋体"/>
          <w:b/>
          <w:color w:val="auto"/>
          <w:sz w:val="21"/>
          <w:szCs w:val="21"/>
          <w:highlight w:val="none"/>
        </w:rPr>
        <w:t>。</w:t>
      </w:r>
    </w:p>
    <w:p w14:paraId="5423FA21">
      <w:pPr>
        <w:pStyle w:val="19"/>
        <w:spacing w:line="36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17.5</w:t>
      </w:r>
      <w:r>
        <w:rPr>
          <w:rFonts w:hint="eastAsia" w:hAnsi="宋体" w:cs="宋体"/>
          <w:b/>
          <w:color w:val="auto"/>
          <w:sz w:val="21"/>
          <w:szCs w:val="21"/>
          <w:highlight w:val="none"/>
        </w:rPr>
        <w:t>供应商采用现钞方式或从个人账户（个体工商户及自然人竞标除外）转出的竞标保证金，视为无效竞标保证金。</w:t>
      </w:r>
    </w:p>
    <w:p w14:paraId="10A7528D">
      <w:pPr>
        <w:pStyle w:val="19"/>
        <w:spacing w:line="36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17.6</w:t>
      </w:r>
      <w:r>
        <w:rPr>
          <w:rFonts w:hint="eastAsia" w:hAnsi="宋体" w:cs="宋体"/>
          <w:b/>
          <w:color w:val="auto"/>
          <w:sz w:val="21"/>
          <w:szCs w:val="21"/>
          <w:highlight w:val="none"/>
        </w:rPr>
        <w:t>支票、汇票、本票出现背书情形，或者有条件支付的，或者支票、汇票、本票无效的，视为无效竞标保证金。</w:t>
      </w:r>
    </w:p>
    <w:p w14:paraId="2CBA2A85">
      <w:pPr>
        <w:pStyle w:val="19"/>
        <w:spacing w:line="36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17.7</w:t>
      </w:r>
      <w:r>
        <w:rPr>
          <w:rFonts w:hint="eastAsia" w:hAnsi="宋体" w:cs="宋体"/>
          <w:b/>
          <w:color w:val="auto"/>
          <w:sz w:val="21"/>
          <w:szCs w:val="21"/>
          <w:highlight w:val="none"/>
        </w:rPr>
        <w:t>保函有效期低于响应文件有效期的，视为无效竞标保证金。</w:t>
      </w:r>
    </w:p>
    <w:p w14:paraId="0FB7201E">
      <w:pPr>
        <w:pStyle w:val="19"/>
        <w:spacing w:line="360" w:lineRule="exact"/>
        <w:ind w:firstLine="420" w:firstLineChars="200"/>
        <w:rPr>
          <w:rFonts w:hAnsi="宋体" w:cs="宋体"/>
          <w:b/>
          <w:color w:val="auto"/>
          <w:kern w:val="2"/>
          <w:sz w:val="21"/>
          <w:szCs w:val="21"/>
          <w:highlight w:val="none"/>
        </w:rPr>
      </w:pPr>
      <w:r>
        <w:rPr>
          <w:rFonts w:hint="eastAsia" w:hAnsi="宋体" w:cs="宋体"/>
          <w:color w:val="auto"/>
          <w:sz w:val="21"/>
          <w:szCs w:val="21"/>
          <w:highlight w:val="none"/>
        </w:rPr>
        <w:t>17.8</w:t>
      </w:r>
      <w:r>
        <w:rPr>
          <w:rFonts w:hint="eastAsia" w:hAnsi="宋体" w:cs="宋体"/>
          <w:b/>
          <w:color w:val="auto"/>
          <w:sz w:val="21"/>
          <w:szCs w:val="21"/>
          <w:highlight w:val="none"/>
        </w:rPr>
        <w:t>竞标保证金采用金融机构、担保机构出具的保函为有条件保函的，视为无效竞标保证金。</w:t>
      </w:r>
    </w:p>
    <w:p w14:paraId="47CAC574">
      <w:pPr>
        <w:pStyle w:val="19"/>
        <w:spacing w:line="36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17.9竞标保证金的退还</w:t>
      </w:r>
    </w:p>
    <w:p w14:paraId="543BD61D">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（1）未成交人的竞标保证金自成交通知书发出之日起4个工作日内退还，退还方式如下：</w:t>
      </w:r>
    </w:p>
    <w:p w14:paraId="4E478374">
      <w:pPr>
        <w:spacing w:line="36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①采用银行转账方式的，以转账方式退回到供应商银行账户。</w:t>
      </w:r>
    </w:p>
    <w:p w14:paraId="5D855FFB">
      <w:pPr>
        <w:spacing w:line="36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 xml:space="preserve">②采用支票、汇票或本票方式的，以转账方式退回到供应商银行账户或由供应商代表持相关授权证明材料至采购人或采购代理机构办理支票、汇票或本票原件退还手续。 </w:t>
      </w:r>
    </w:p>
    <w:p w14:paraId="02A6DFA4">
      <w:pPr>
        <w:spacing w:line="36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 xml:space="preserve">③采用银行、保险机构出具的保函方式的，由供应商代表持相关授权证明材料在采购结果公告公布之日起五个工作日内至采购人或采购代理机构办理保函原件退还手续，供应商逾期领取所造成的后果由供应商自行承担。 </w:t>
      </w:r>
    </w:p>
    <w:p w14:paraId="7D2DC232">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（2）成交人应在合同签订之日起2个工作日内向采购代理机构提供</w:t>
      </w:r>
      <w:r>
        <w:rPr>
          <w:rFonts w:hint="eastAsia" w:ascii="宋体" w:hAnsi="宋体" w:cs="宋体"/>
          <w:color w:val="auto"/>
          <w:szCs w:val="21"/>
          <w:highlight w:val="none"/>
          <w:u w:val="single"/>
        </w:rPr>
        <w:t xml:space="preserve"> 壹 </w:t>
      </w:r>
      <w:r>
        <w:rPr>
          <w:rFonts w:hint="eastAsia" w:ascii="宋体" w:hAnsi="宋体" w:cs="宋体"/>
          <w:color w:val="auto"/>
          <w:szCs w:val="21"/>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4个工作日退还成交人的</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保证金。对无法在上述要求期限内将合同送达采购代理机构的成交人，采购代理机构须凭成交人出具加盖公章的情况说明才能退还其</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保证金。</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保证金退还方式同未成交人的</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保证金的退还方式。</w:t>
      </w:r>
    </w:p>
    <w:p w14:paraId="25FEC136">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（3）竞标保证金不计息。</w:t>
      </w:r>
    </w:p>
    <w:p w14:paraId="6AC65D99">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17.10供应商有下列情形之一的，竞标保证金将不予退还：</w:t>
      </w:r>
    </w:p>
    <w:p w14:paraId="65A5F3D7">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（1）供应商在响应文件有效期内撤回响应文件的；</w:t>
      </w:r>
    </w:p>
    <w:p w14:paraId="3E65EDB5">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0E735EBE">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（3）供应商在竞标过程中弄虚作假，提供虚假材料的；</w:t>
      </w:r>
    </w:p>
    <w:p w14:paraId="4DA2ED8A">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（4）成交人无正当理由不与采购人签订合同的；</w:t>
      </w:r>
    </w:p>
    <w:p w14:paraId="0637B55C">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（5）将成交项目转让给他人或者在响应文件中未说明且未经招标采购单位同意，将成交项目分包给他人的；</w:t>
      </w:r>
    </w:p>
    <w:p w14:paraId="5CAAB322">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（6）拒绝履行合同义务的；</w:t>
      </w:r>
    </w:p>
    <w:p w14:paraId="5EC113AC">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（7）其他严重扰乱招竞标程序的；</w:t>
      </w:r>
    </w:p>
    <w:p w14:paraId="33E32398">
      <w:pPr>
        <w:spacing w:line="36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18、</w:t>
      </w:r>
      <w:bookmarkStart w:id="8" w:name="_Toc254970542"/>
      <w:bookmarkStart w:id="9" w:name="_Toc254970683"/>
      <w:r>
        <w:rPr>
          <w:rFonts w:hint="eastAsia" w:ascii="宋体" w:hAnsi="宋体" w:cs="宋体"/>
          <w:b/>
          <w:color w:val="auto"/>
          <w:szCs w:val="21"/>
          <w:highlight w:val="none"/>
        </w:rPr>
        <w:t>响应文件的</w:t>
      </w:r>
      <w:bookmarkEnd w:id="8"/>
      <w:bookmarkEnd w:id="9"/>
      <w:r>
        <w:rPr>
          <w:rFonts w:hint="eastAsia" w:ascii="宋体" w:hAnsi="宋体" w:cs="宋体"/>
          <w:b/>
          <w:color w:val="auto"/>
          <w:szCs w:val="21"/>
          <w:highlight w:val="none"/>
        </w:rPr>
        <w:t>编制</w:t>
      </w:r>
    </w:p>
    <w:p w14:paraId="187A14E3">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18.1供应商应按本性谈判文件规定的格式和顺序编制、装订响应文件并标注页码，响应文件内容不完整、编排混乱导致响应文件被误读、漏读或者查找不到相关内容的，所引起的后果由供应商负责。</w:t>
      </w:r>
    </w:p>
    <w:p w14:paraId="2341B983">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18.2响应文件应按资格证明、报价分别编制，商务技术文件合并编制，本谈判只接受电子版响应文件。</w:t>
      </w:r>
    </w:p>
    <w:p w14:paraId="281F9EF5">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18.3 响应文件电子版要求：按照本谈判文件“第四章 响应文件格式”编写（第四章未附格式的，由供应商自行拟定），并在规定加盖公章处加盖电子公章，否则响应文件按无效响应处理。</w:t>
      </w:r>
      <w:r>
        <w:rPr>
          <w:rFonts w:hint="eastAsia" w:ascii="宋体" w:hAnsi="宋体" w:cs="宋体"/>
          <w:color w:val="auto"/>
          <w:kern w:val="0"/>
          <w:szCs w:val="21"/>
          <w:highlight w:val="none"/>
        </w:rPr>
        <w:t>骑缝盖</w:t>
      </w:r>
      <w:r>
        <w:rPr>
          <w:rFonts w:hint="eastAsia" w:ascii="宋体" w:hAnsi="宋体" w:cs="宋体"/>
          <w:color w:val="auto"/>
          <w:szCs w:val="21"/>
          <w:highlight w:val="none"/>
        </w:rPr>
        <w:t>公章不视为在规定位置盖章。</w:t>
      </w:r>
    </w:p>
    <w:p w14:paraId="75226DA7">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74A5FABB">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18.5</w:t>
      </w:r>
      <w:r>
        <w:rPr>
          <w:rFonts w:hint="eastAsia" w:ascii="宋体" w:hAnsi="宋体" w:cs="宋体"/>
          <w:color w:val="auto"/>
          <w:kern w:val="0"/>
          <w:szCs w:val="21"/>
          <w:highlight w:val="none"/>
        </w:rPr>
        <w:t>响应文件应避免涂改、行间插字或者删除，否则其响应文件按无效响应处理。</w:t>
      </w:r>
    </w:p>
    <w:p w14:paraId="347D4F61">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18.6供应商进行电子交易应安装客户端软件—“广西政府采购云平台客户端”，并按照谈判文件和电子交易平台的要求编制并加密响应文件。供应商未按规定加密的响应文件，电子交易平台将拒收并提示。</w:t>
      </w:r>
    </w:p>
    <w:p w14:paraId="3019C12C">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18.7使用“广西政府采购云平台客户端”需要提前申领CA数字证书，申领流程见该项目采购公告附件。</w:t>
      </w:r>
    </w:p>
    <w:p w14:paraId="4392A5CC">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18.8为确保网上操作合法、有效和安全，供应商应当在响应文件提交截止时间前完成在“政府采购云平台”的身份认证，确保在电子交易过程中能够对相关数据电文进行加密和使用电子签名。</w:t>
      </w:r>
    </w:p>
    <w:p w14:paraId="284CF6B6">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19.响应文件的递交</w:t>
      </w:r>
    </w:p>
    <w:p w14:paraId="4CA3F6A4">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供应商必须在“供应商须知前附表”规定的响应文件接收时间和地点提交电子版响应文件。电子响应文件应在制作完成后，在提交截止时间前通过有效数字证书（CA认证锁）进行电子签章、加密，然后通过网络将加密的电子响应文件递交至“广西政府采购云平台”。</w:t>
      </w:r>
    </w:p>
    <w:p w14:paraId="7D7EA349">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19.2未在规定时间内提交或者未按照谈判文件要求密封或者标记的电子响应文件，“广西政府采购云平台”将拒收。</w:t>
      </w:r>
    </w:p>
    <w:p w14:paraId="611D7E38">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19.3电子版响应文件提交方式见“谈判公告”中“四、提交响应文件截止时间、开标时间和地点”。</w:t>
      </w:r>
    </w:p>
    <w:p w14:paraId="41C56609">
      <w:pPr>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20.响应文件的补充、修改、撤回与退回</w:t>
      </w:r>
    </w:p>
    <w:p w14:paraId="048BAC2E">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20.1供应商应当在首次提交响应文件截止时间前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广西政府采购云平台”将拒收。</w:t>
      </w:r>
    </w:p>
    <w:p w14:paraId="1F73C6D6">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20.2 “广西政府采购云平台”收到响应文件，将妥善保存并即时向供应商发出确认回执通知。在提交响应文件截止时间前，除供应商补充、修改或者撤回响应文件外，任何单位和个人不得解密或提取响应文件。</w:t>
      </w:r>
    </w:p>
    <w:p w14:paraId="52ED6E4E">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20.3在提交响应文件截止时间止提交电子版响应文件的供应商不足3家时，电子版响应文件由代理机构在“广西政府采购云平台”操作退回，除此之外采购人和采购代理机构对已提交的响应文件概不退回。</w:t>
      </w:r>
    </w:p>
    <w:p w14:paraId="53F90E6F">
      <w:pPr>
        <w:spacing w:line="36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四、评审及谈判</w:t>
      </w:r>
    </w:p>
    <w:p w14:paraId="7B901EA9">
      <w:pPr>
        <w:pStyle w:val="19"/>
        <w:spacing w:line="360" w:lineRule="exact"/>
        <w:ind w:firstLine="422" w:firstLineChars="200"/>
        <w:rPr>
          <w:rFonts w:hAnsi="宋体" w:cs="宋体"/>
          <w:b/>
          <w:bCs/>
          <w:color w:val="auto"/>
          <w:kern w:val="2"/>
          <w:sz w:val="21"/>
          <w:szCs w:val="21"/>
          <w:highlight w:val="none"/>
        </w:rPr>
      </w:pPr>
      <w:r>
        <w:rPr>
          <w:rFonts w:hint="eastAsia" w:hAnsi="宋体" w:cs="宋体"/>
          <w:b/>
          <w:bCs/>
          <w:color w:val="auto"/>
          <w:kern w:val="2"/>
          <w:sz w:val="21"/>
          <w:szCs w:val="21"/>
          <w:highlight w:val="none"/>
        </w:rPr>
        <w:t>21.谈判小组</w:t>
      </w:r>
    </w:p>
    <w:p w14:paraId="092D8549">
      <w:pPr>
        <w:spacing w:line="36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21.1竞争性谈判小组由采购人代表和评审专家共三人以上的单数组成。其中评审专家人数不少于谈判小组成员总数的2/3。</w:t>
      </w:r>
      <w:r>
        <w:rPr>
          <w:rFonts w:hint="eastAsia" w:ascii="宋体" w:hAnsi="宋体" w:cs="宋体"/>
          <w:color w:val="auto"/>
          <w:szCs w:val="21"/>
          <w:highlight w:val="none"/>
        </w:rPr>
        <w:t>采购人不得以评审专家身份参加本部门或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13286D1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46F0E377">
      <w:pPr>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22.首次响应文件的开启</w:t>
      </w:r>
    </w:p>
    <w:p w14:paraId="62C8DBCE">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22.1首次响应文件由谈判小组或者采购代理机构在“供应商须知前附表”规定的时间开启。</w:t>
      </w:r>
    </w:p>
    <w:p w14:paraId="5CABBFFA">
      <w:pPr>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23. 响应文件解密</w:t>
      </w:r>
    </w:p>
    <w:p w14:paraId="58CC8D0A">
      <w:pPr>
        <w:spacing w:line="36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23.1采购代理机构将在“供应商须知前附表”规定的时间通过电子交易平台组织响应文件开启采购机构依托电子交易平台发起开始解密指令，供应商的法定代表人或其委托代理人须携带加密时所用的CA锁按平台提示和谈判文件的规定登录到“广西政府采购云平台”电子开标大厅签到并在发起解密指令之时起30分钟内完成对电子响应文件在线解密。发起解密指令之时起5分钟内供应商还未进行解密的，代理机构通知供应商，</w:t>
      </w:r>
      <w:r>
        <w:rPr>
          <w:rFonts w:hint="eastAsia" w:ascii="宋体" w:hAnsi="宋体" w:cs="宋体"/>
          <w:bCs/>
          <w:color w:val="auto"/>
          <w:szCs w:val="21"/>
          <w:highlight w:val="none"/>
        </w:rPr>
        <w:t>通知后，</w:t>
      </w:r>
      <w:r>
        <w:rPr>
          <w:rFonts w:hint="eastAsia" w:ascii="宋体" w:hAnsi="宋体" w:cs="宋体"/>
          <w:color w:val="auto"/>
          <w:szCs w:val="21"/>
          <w:highlight w:val="none"/>
        </w:rPr>
        <w:t>响应</w:t>
      </w:r>
      <w:r>
        <w:rPr>
          <w:rFonts w:hint="eastAsia" w:ascii="宋体" w:hAnsi="宋体" w:cs="宋体"/>
          <w:bCs/>
          <w:color w:val="auto"/>
          <w:szCs w:val="21"/>
          <w:highlight w:val="none"/>
        </w:rPr>
        <w:t>文件仍未按时解密，或者</w:t>
      </w:r>
      <w:r>
        <w:rPr>
          <w:rFonts w:hint="eastAsia" w:ascii="宋体" w:hAnsi="宋体" w:cs="宋体"/>
          <w:color w:val="auto"/>
          <w:szCs w:val="21"/>
          <w:highlight w:val="none"/>
        </w:rPr>
        <w:t>供应商</w:t>
      </w:r>
      <w:r>
        <w:rPr>
          <w:rFonts w:hint="eastAsia" w:ascii="宋体" w:hAnsi="宋体" w:cs="宋体"/>
          <w:bCs/>
          <w:color w:val="auto"/>
          <w:szCs w:val="21"/>
          <w:highlight w:val="none"/>
        </w:rPr>
        <w:t>没预留联系方式或预留联系方式无效，</w:t>
      </w:r>
      <w:r>
        <w:rPr>
          <w:rFonts w:hint="eastAsia" w:ascii="宋体" w:hAnsi="宋体" w:cs="宋体"/>
          <w:color w:val="auto"/>
          <w:szCs w:val="21"/>
          <w:highlight w:val="none"/>
        </w:rPr>
        <w:t>非代理机构原因导致代理机构无法联系到供应商进行解密的</w:t>
      </w:r>
      <w:r>
        <w:rPr>
          <w:rFonts w:hint="eastAsia" w:ascii="宋体" w:hAnsi="宋体" w:cs="宋体"/>
          <w:bCs/>
          <w:color w:val="auto"/>
          <w:szCs w:val="21"/>
          <w:highlight w:val="none"/>
        </w:rPr>
        <w:t>，</w:t>
      </w:r>
      <w:r>
        <w:rPr>
          <w:rFonts w:hint="eastAsia" w:ascii="宋体" w:hAnsi="宋体" w:cs="宋体"/>
          <w:color w:val="auto"/>
          <w:szCs w:val="21"/>
          <w:highlight w:val="none"/>
        </w:rPr>
        <w:t>视为响应文件无效</w:t>
      </w:r>
      <w:r>
        <w:rPr>
          <w:rFonts w:hint="eastAsia" w:ascii="宋体" w:hAnsi="宋体" w:cs="宋体"/>
          <w:bCs/>
          <w:color w:val="auto"/>
          <w:szCs w:val="21"/>
          <w:highlight w:val="none"/>
        </w:rPr>
        <w:t>。</w:t>
      </w:r>
      <w:r>
        <w:rPr>
          <w:rFonts w:hint="eastAsia" w:ascii="宋体" w:hAnsi="宋体" w:cs="宋体"/>
          <w:color w:val="auto"/>
          <w:szCs w:val="21"/>
          <w:highlight w:val="none"/>
        </w:rPr>
        <w:t>（解密异常情况处理：详见本章30.电子交易活动的中止。）</w:t>
      </w:r>
    </w:p>
    <w:p w14:paraId="147E528F">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23.2如供应商成功解密响应文件，但未在“广西政府采购云平台”电子开标大厅参加谈判的，视同认可谈判过程和结果，由此产生的后果由供应商自行负责。参与谈判的供应商不足3家的，不得谈判。</w:t>
      </w:r>
    </w:p>
    <w:p w14:paraId="57F07535">
      <w:pPr>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24.评审程序</w:t>
      </w:r>
    </w:p>
    <w:p w14:paraId="36B8A104">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24.1谈判小组按照“第六章 评审方法和评审标准”规定的方法、评审因素、标准和程序对响应文件进行评审。</w:t>
      </w:r>
    </w:p>
    <w:p w14:paraId="41533AE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24.2</w:t>
      </w:r>
      <w:r>
        <w:rPr>
          <w:rFonts w:hint="eastAsia" w:ascii="宋体" w:hAnsi="宋体" w:cs="宋体"/>
          <w:bCs/>
          <w:color w:val="auto"/>
          <w:szCs w:val="21"/>
          <w:highlight w:val="none"/>
        </w:rPr>
        <w:t>资格审查</w:t>
      </w:r>
    </w:p>
    <w:p w14:paraId="03F5AB34">
      <w:pPr>
        <w:spacing w:line="36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响应文件开启后，谈判小组依法对供应商的资格文件进行审查</w:t>
      </w:r>
      <w:r>
        <w:rPr>
          <w:rFonts w:hint="eastAsia" w:ascii="宋体" w:hAnsi="宋体" w:cs="宋体"/>
          <w:color w:val="auto"/>
          <w:spacing w:val="-2"/>
          <w:szCs w:val="21"/>
          <w:highlight w:val="none"/>
        </w:rPr>
        <w:t>。</w:t>
      </w:r>
      <w:r>
        <w:rPr>
          <w:rFonts w:hint="eastAsia" w:ascii="宋体" w:hAnsi="宋体" w:cs="宋体"/>
          <w:b/>
          <w:bCs/>
          <w:color w:val="auto"/>
          <w:szCs w:val="21"/>
          <w:highlight w:val="none"/>
        </w:rPr>
        <w:t>在资格审查时，如发现下列情形之一的，响应文件将被视为无效：</w:t>
      </w:r>
    </w:p>
    <w:p w14:paraId="5CD4E474">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（1）不具备谈判文件中规定的资格要求的；（注：其中信用查询由谈判小组于资格审查时</w:t>
      </w:r>
      <w:r>
        <w:rPr>
          <w:rFonts w:hint="eastAsia" w:ascii="宋体" w:hAnsi="宋体" w:cs="宋体"/>
          <w:color w:val="auto"/>
          <w:szCs w:val="21"/>
          <w:highlight w:val="none"/>
        </w:rPr>
        <w:t>在“信用中国”网站和“中国政府采购网”</w:t>
      </w:r>
      <w:r>
        <w:rPr>
          <w:rFonts w:hint="eastAsia" w:ascii="宋体" w:hAnsi="宋体" w:cs="宋体"/>
          <w:bCs/>
          <w:color w:val="auto"/>
          <w:szCs w:val="21"/>
          <w:highlight w:val="none"/>
        </w:rPr>
        <w:t>对供应商进行信用查询，联合体成员存在不良信用记录的视同联合体存在不良信用记录。）</w:t>
      </w:r>
    </w:p>
    <w:p w14:paraId="22398BE0">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（2）未提供谈判文件中“13.响应文件的组成13.1资格证明文件”要求必须提供的资料的；</w:t>
      </w:r>
    </w:p>
    <w:p w14:paraId="6D8DAA2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（3）法律、法规和谈判文件规定的其他无效情形。</w:t>
      </w:r>
    </w:p>
    <w:p w14:paraId="78D566E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通过资格审查的合格供应商不足3家的，不得进入符合性审查环节，采购人或者采购代理机构应当重新开展采购活动。</w:t>
      </w:r>
    </w:p>
    <w:p w14:paraId="5D061C73">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24.3符合性审查</w:t>
      </w:r>
    </w:p>
    <w:p w14:paraId="1B9BF31A">
      <w:pPr>
        <w:widowControl/>
        <w:spacing w:line="360" w:lineRule="exact"/>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谈判小组依法对供应商的符合性进行审查</w:t>
      </w:r>
      <w:r>
        <w:rPr>
          <w:rFonts w:hint="eastAsia" w:ascii="宋体" w:hAnsi="宋体" w:cs="宋体"/>
          <w:color w:val="auto"/>
          <w:spacing w:val="-2"/>
          <w:szCs w:val="21"/>
          <w:highlight w:val="none"/>
        </w:rPr>
        <w:t>。</w:t>
      </w:r>
      <w:r>
        <w:rPr>
          <w:rFonts w:hint="eastAsia" w:ascii="宋体" w:hAnsi="宋体" w:cs="宋体"/>
          <w:b/>
          <w:bCs/>
          <w:color w:val="auto"/>
          <w:szCs w:val="21"/>
          <w:highlight w:val="none"/>
        </w:rPr>
        <w:t>在符合性审查时，如发现下列情形之一的，响应文件将被视为无效：</w:t>
      </w:r>
    </w:p>
    <w:p w14:paraId="54A50E1F">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未按照谈判文件的规定交纳</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保证金的</w:t>
      </w:r>
      <w:r>
        <w:rPr>
          <w:rFonts w:hint="eastAsia" w:ascii="宋体" w:hAnsi="宋体" w:cs="宋体"/>
          <w:bCs/>
          <w:color w:val="auto"/>
          <w:szCs w:val="21"/>
          <w:highlight w:val="none"/>
        </w:rPr>
        <w:t>；</w:t>
      </w:r>
    </w:p>
    <w:p w14:paraId="4488F075">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（2）响应文件未按谈判文件要求签署、盖章的；</w:t>
      </w:r>
    </w:p>
    <w:p w14:paraId="60EBB98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（3）投标代表人未能出具身份证明或与法定代表人授权委托人身份不符的；</w:t>
      </w:r>
    </w:p>
    <w:p w14:paraId="7BD946F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（4）响应文件的实质性内容未使用中文表述、意思表述不明确、前后矛盾或者使用计量单位不符合谈判文件要求的（经谈判小组认定并允许其当场更正的笔误除外）</w:t>
      </w:r>
    </w:p>
    <w:p w14:paraId="737BE84A">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（5）响应文件有效期、服务期或交货期、质保期等商务条款不能满足谈判文件要求的；</w:t>
      </w:r>
    </w:p>
    <w:p w14:paraId="17C32BCE">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（6）未实质性响应谈判文件要求或者响应文件有采购人不能接受的附加条件的。</w:t>
      </w:r>
    </w:p>
    <w:p w14:paraId="31720A69">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（7）未提供谈判文件中“13.响应文件的组成13.2商务和技术文件”要求必须提供的资料的；</w:t>
      </w:r>
    </w:p>
    <w:p w14:paraId="5B490D45">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（8）未提供或未如实提供投标货物的技术参数，或者响应文件标明的响应或偏离与事实不符或虚假投标的；</w:t>
      </w:r>
    </w:p>
    <w:p w14:paraId="18F49EE6">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（9）与谈判文件中标注“▲”的技术参数及其性能（配置）要求或条款发生负偏离的；</w:t>
      </w:r>
    </w:p>
    <w:p w14:paraId="1F7CFDA7">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（10）允许偏离的</w:t>
      </w:r>
      <w:r>
        <w:rPr>
          <w:rFonts w:hint="eastAsia" w:ascii="宋体" w:hAnsi="宋体" w:cs="宋体"/>
          <w:bCs/>
          <w:color w:val="auto"/>
          <w:szCs w:val="21"/>
          <w:highlight w:val="none"/>
        </w:rPr>
        <w:t>技术参数及其性能（配置）发生负偏离</w:t>
      </w:r>
      <w:r>
        <w:rPr>
          <w:rFonts w:hint="eastAsia" w:ascii="宋体" w:hAnsi="宋体" w:cs="宋体"/>
          <w:color w:val="auto"/>
          <w:szCs w:val="21"/>
          <w:highlight w:val="none"/>
        </w:rPr>
        <w:t>达</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项（含3项）以上的；</w:t>
      </w:r>
    </w:p>
    <w:p w14:paraId="29FEEE33">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（11）技术方案不明确，存在一个或一个以上备选（替代）竞标方案的。</w:t>
      </w:r>
    </w:p>
    <w:p w14:paraId="6AB8A546">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（12）未提供谈判文件中“13.响应文件的组成13.3报价文件”要求必须提供的资料的；</w:t>
      </w:r>
    </w:p>
    <w:p w14:paraId="23631778">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（13）报价超过谈判文件中规定的预算金额或者最高限价的；</w:t>
      </w:r>
    </w:p>
    <w:p w14:paraId="7BF45707">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（14）未采用人民币报价或者未按照谈判文件标明的币种报价的；</w:t>
      </w:r>
    </w:p>
    <w:p w14:paraId="202D69D1">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（15）竞标报价具有选择性，或者云平台中开标记录表的报价与响应文件承诺的优惠（折扣）价格不一致的；</w:t>
      </w:r>
    </w:p>
    <w:p w14:paraId="315FA740">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（16）法律、法规和谈判文件规定的其他无效情形。</w:t>
      </w:r>
    </w:p>
    <w:p w14:paraId="75371A2E">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76FECB98">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通过符合性审查的合格供应商不足3家的，不得进入谈判环节，应当重新开展采购活动。</w:t>
      </w:r>
    </w:p>
    <w:p w14:paraId="03E6EC5F">
      <w:pPr>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25.谈判程序</w:t>
      </w:r>
    </w:p>
    <w:p w14:paraId="4DD0B01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25.1谈判小组按照“供应商须知前附表”确定的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color w:val="auto"/>
          <w:szCs w:val="21"/>
          <w:highlight w:val="none"/>
        </w:rPr>
        <w:t>其响应文件按无效响应处理。</w:t>
      </w:r>
    </w:p>
    <w:p w14:paraId="2066FC1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5260864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25.3对谈判文件作出的实质性变动是谈判文件的有效组成部分，由谈判小组及时以电子澄清函形式同时通知所有参加谈判的供应商。</w:t>
      </w:r>
    </w:p>
    <w:p w14:paraId="1C0A339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19E60E92">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25.5谈判中，谈判的任何一方不得透露与谈判有关的其他供应商的技术资料、价格和其他信息。</w:t>
      </w:r>
    </w:p>
    <w:p w14:paraId="228FF63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25.6谈判小组应对谈判过程和重要谈判内容进行记录，作为评标报告一部分，谈判小组在记录上签字确认。</w:t>
      </w:r>
    </w:p>
    <w:p w14:paraId="746BA12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25.7谈判过程中重新提交的响应文件，供应商可以在开启前补充、修改。</w:t>
      </w:r>
    </w:p>
    <w:p w14:paraId="605889B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25.8对谈判过程提交的响应文件进行有效性、完整性和响应程度审查，通过审查的合格供应商不足3家的，采购人或者采购代理机构应当重新开展采购活动。</w:t>
      </w:r>
    </w:p>
    <w:p w14:paraId="315E79D5">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26.最后报价</w:t>
      </w:r>
    </w:p>
    <w:p w14:paraId="0C9D168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26.1谈判文件能够详细列明采购标的的技术、服务要求的，谈判结束后，由谈判小组要求所有继续参加谈判的供应商在规定时间内密封提交最后报价，提交最后报价的供应商不得少于3家，否则必须重新采购。</w:t>
      </w:r>
      <w:r>
        <w:rPr>
          <w:rFonts w:hint="eastAsia" w:ascii="宋体" w:hAnsi="宋体" w:cs="宋体"/>
          <w:color w:val="auto"/>
          <w:kern w:val="0"/>
          <w:szCs w:val="21"/>
          <w:highlight w:val="none"/>
        </w:rPr>
        <w:t>继续参加谈判的供应商</w:t>
      </w:r>
      <w:r>
        <w:rPr>
          <w:rFonts w:hint="eastAsia" w:ascii="宋体" w:hAnsi="宋体" w:cs="宋体"/>
          <w:color w:val="auto"/>
          <w:szCs w:val="21"/>
          <w:highlight w:val="none"/>
        </w:rPr>
        <w:t>作最后报价</w:t>
      </w:r>
      <w:r>
        <w:rPr>
          <w:rFonts w:hint="eastAsia" w:ascii="宋体" w:hAnsi="宋体" w:cs="宋体"/>
          <w:b/>
          <w:color w:val="auto"/>
          <w:szCs w:val="21"/>
          <w:highlight w:val="none"/>
        </w:rPr>
        <w:t>并附相应的最后报价明细表（如有要求，报价明细表按第四章要求格式填写），最后报价和相应的最后报价明细表须由其法定代表人或授权代表签字或者加盖电子公章</w:t>
      </w:r>
      <w:r>
        <w:rPr>
          <w:rFonts w:hint="eastAsia" w:ascii="宋体" w:hAnsi="宋体" w:cs="宋体"/>
          <w:b/>
          <w:color w:val="auto"/>
          <w:kern w:val="0"/>
          <w:szCs w:val="21"/>
          <w:highlight w:val="none"/>
        </w:rPr>
        <w:t>后递交</w:t>
      </w:r>
      <w:r>
        <w:rPr>
          <w:rFonts w:hint="eastAsia" w:ascii="宋体" w:hAnsi="宋体" w:cs="宋体"/>
          <w:b/>
          <w:color w:val="auto"/>
          <w:szCs w:val="21"/>
          <w:highlight w:val="none"/>
        </w:rPr>
        <w:t>。</w:t>
      </w:r>
    </w:p>
    <w:p w14:paraId="7A9FA1C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26.2谈判文件不能详细列明采购标的的技术、服务要求，需经谈判由供应商提供最后解决方案的，谈判结束后，由谈判小组按照少数服从多数的原则投票推荐3家以上供应商的者解决方案，并要求其在规定时间内密封提交最后报价。</w:t>
      </w:r>
    </w:p>
    <w:p w14:paraId="17E407A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26.3 最后报价是供应商响应文件的有效组成部分。</w:t>
      </w:r>
    </w:p>
    <w:p w14:paraId="0549F2D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26.4已经提交响应文件的供应商，在提交最后报价之前，可以根据谈判情况退出谈判，退出谈判的供应商的响应文件按无效响应处理。</w:t>
      </w:r>
    </w:p>
    <w:p w14:paraId="33551D4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26.5供应商未在规定时间内提交最后报价的，视同</w:t>
      </w:r>
      <w:r>
        <w:rPr>
          <w:rFonts w:hint="eastAsia" w:ascii="宋体" w:hAnsi="宋体" w:cs="宋体"/>
          <w:b/>
          <w:color w:val="auto"/>
          <w:kern w:val="0"/>
          <w:szCs w:val="21"/>
          <w:highlight w:val="none"/>
        </w:rPr>
        <w:t>放弃报价权利退出谈判</w:t>
      </w:r>
      <w:r>
        <w:rPr>
          <w:rFonts w:hint="eastAsia" w:ascii="宋体" w:hAnsi="宋体" w:cs="宋体"/>
          <w:color w:val="auto"/>
          <w:szCs w:val="21"/>
          <w:highlight w:val="none"/>
        </w:rPr>
        <w:t>。</w:t>
      </w:r>
    </w:p>
    <w:p w14:paraId="779E7A5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26.6谈判小组收齐项目或某一分标最后报价后统一开启，谈判小组对最后报价进行有效性、完整性和响应程度的审查。</w:t>
      </w:r>
    </w:p>
    <w:p w14:paraId="2BAA1DE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26.7最终响应文件的报价出现前后不一致的，按照本章第29.1条的规定修正。</w:t>
      </w:r>
    </w:p>
    <w:p w14:paraId="2278169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26.8修正后的最终报价出现下列情形的，按无效响应处理：</w:t>
      </w:r>
    </w:p>
    <w:p w14:paraId="40C4B08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47E8F2F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44E88D7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67BA2AF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26.9经供应商确认修正后的最后报价作为评审及签订合同的依据。</w:t>
      </w:r>
    </w:p>
    <w:p w14:paraId="209A432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26.10供应商出现最后报价按无效响应处理或者响应文件按无效处理时，谈判小组应当告知有关供应商。</w:t>
      </w:r>
    </w:p>
    <w:p w14:paraId="0C74CD2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26.11最后报价结束后，谈判小组不得再与供应商进行任何形式的商谈。</w:t>
      </w:r>
    </w:p>
    <w:p w14:paraId="39687DE8">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27. 最后报价政府采购政策性扣除</w:t>
      </w:r>
    </w:p>
    <w:p w14:paraId="26ACA90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27.1评审价为供应商的最后报价进行政策性扣除后的价格，评审价只是作为评审时使用。最终成交供应商的成交金额等于最后报价（如有修正，以确认修正后的最后报价为准）。如价格未进行政策性扣除，则评审价=最后报价。</w:t>
      </w:r>
    </w:p>
    <w:p w14:paraId="7166341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27.2谈判小组从质量和服务均能满足竞争性谈判文件实质性响应要求的供应商中，按照最后评审价由低到高的顺序提出3名以上成交候选人；</w:t>
      </w:r>
      <w:r>
        <w:rPr>
          <w:rFonts w:hint="eastAsia" w:ascii="宋体" w:hAnsi="宋体" w:cs="宋体"/>
          <w:color w:val="auto"/>
          <w:highlight w:val="none"/>
        </w:rPr>
        <w:t>最后评审报价相同时，依次最后竞标报价低优先、</w:t>
      </w:r>
      <w:r>
        <w:rPr>
          <w:rFonts w:hint="eastAsia" w:ascii="宋体" w:hAnsi="宋体" w:cs="宋体"/>
          <w:color w:val="auto"/>
          <w:szCs w:val="21"/>
          <w:highlight w:val="none"/>
        </w:rPr>
        <w:t>依次按节能环保产品累计金额高的优先、</w:t>
      </w:r>
      <w:r>
        <w:rPr>
          <w:rFonts w:hint="eastAsia" w:ascii="宋体" w:hAnsi="宋体" w:cs="宋体"/>
          <w:color w:val="auto"/>
          <w:highlight w:val="none"/>
        </w:rPr>
        <w:t>环境标志产品优先、关键技术指标高优先、质量保证期长优先、</w:t>
      </w:r>
      <w:r>
        <w:rPr>
          <w:rFonts w:hint="eastAsia" w:ascii="宋体" w:hAnsi="宋体" w:cs="宋体"/>
          <w:bCs/>
          <w:color w:val="auto"/>
          <w:highlight w:val="none"/>
        </w:rPr>
        <w:t>交货期</w:t>
      </w:r>
      <w:r>
        <w:rPr>
          <w:rFonts w:hint="eastAsia" w:ascii="宋体" w:hAnsi="宋体" w:cs="宋体"/>
          <w:color w:val="auto"/>
          <w:highlight w:val="none"/>
        </w:rPr>
        <w:t>短优先、故障处理时间短优先的顺序排列</w:t>
      </w:r>
      <w:r>
        <w:rPr>
          <w:rFonts w:hint="eastAsia" w:ascii="宋体" w:hAnsi="宋体" w:cs="宋体"/>
          <w:color w:val="auto"/>
          <w:szCs w:val="21"/>
          <w:highlight w:val="none"/>
        </w:rPr>
        <w:t>成交候选人，并编写评审报告。最后报价是供应商竞争性谈判响应文件的有效组成部分。</w:t>
      </w:r>
    </w:p>
    <w:p w14:paraId="50DF4C9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27.3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75EC8320">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28.澄清问题的形式</w:t>
      </w:r>
    </w:p>
    <w:p w14:paraId="5EEA2BF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28.1对于响应文件中含义不明确、同类问题表述不一致或者有明显文字和计算错误的内容，谈判小组应在“广西政府采购云平台”发布电子澄清函，要求供应商在规定时间内作出必要的澄清、说明或者补正。供应商在“广西政府采购云平台”接收到电子澄清函后根据澄清函内容上传PDF格式回函，电子澄清答复函使用CA证书加盖单位公章后在线上传至谈判小组。供应商的澄清、说明或者补正不得超出响应文件的范围或者改变响应文件的实质性内容。供应商未在规定时间内进行澄清、说明或者补正的，按无效竞标处理。</w:t>
      </w:r>
    </w:p>
    <w:p w14:paraId="2582046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28.2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2CA7A412">
      <w:pPr>
        <w:widowControl/>
        <w:tabs>
          <w:tab w:val="left" w:pos="540"/>
        </w:tabs>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29.错误修正</w:t>
      </w:r>
    </w:p>
    <w:p w14:paraId="06163760">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29.1竞争性谈判响应文件如果出现计算或表达上的错误，修正错误的原则如下：</w:t>
      </w:r>
    </w:p>
    <w:p w14:paraId="31CBBC9F">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（1）响应文件中开标一览表（报价表）内容与响应文件中相应内容不一致的，以开标一览表（报价表）为准；</w:t>
      </w:r>
    </w:p>
    <w:p w14:paraId="6A7CFB09">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4A900A2A">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（3）单价金额小数点或者百分比有明显错位的，以开标一览表的总价为准，并修改单价；</w:t>
      </w:r>
    </w:p>
    <w:p w14:paraId="18F0B6A0">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62074768">
      <w:pPr>
        <w:widowControl/>
        <w:tabs>
          <w:tab w:val="left" w:pos="540"/>
        </w:tabs>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同时出现两种以上不一致的，按照前款规定的顺序修正。修正后的报价经供应商确认并加盖公章或者由法定代表人或其授权的代表签字后产生约束力，供应商不确认的，其竞标无效。</w:t>
      </w:r>
    </w:p>
    <w:p w14:paraId="4ADA86B0">
      <w:pPr>
        <w:widowControl/>
        <w:tabs>
          <w:tab w:val="left" w:pos="540"/>
        </w:tabs>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29.2经供应商确认修正后的首次及最后报价若超过采购预算金额，供应商的响应文件作无效处理。</w:t>
      </w:r>
    </w:p>
    <w:p w14:paraId="30FED16F">
      <w:pPr>
        <w:widowControl/>
        <w:tabs>
          <w:tab w:val="left" w:pos="540"/>
        </w:tabs>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29.3经供应商确认修正后的最后报价作为评审及签订合同的依据。</w:t>
      </w:r>
    </w:p>
    <w:p w14:paraId="6A62339D">
      <w:pPr>
        <w:widowControl/>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30.电子交易活动的中止</w:t>
      </w:r>
    </w:p>
    <w:p w14:paraId="5DBBC874">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30.1采购过程中出现以下情形，导致电子交易平台无法正常运行，或者无法保证电子交易的公平、公正和安全时，采购机构可中止电子交易活动：</w:t>
      </w:r>
    </w:p>
    <w:p w14:paraId="549DFAAA">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（1）电子交易平台发生故障而无法登录访问的；</w:t>
      </w:r>
    </w:p>
    <w:p w14:paraId="621DDBE6">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64B148CA">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1586DB6B">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（4）病毒发作导致不能进行正常操作的；</w:t>
      </w:r>
    </w:p>
    <w:p w14:paraId="439E050E">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3FAEAAC7">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2235B22">
      <w:pPr>
        <w:widowControl/>
        <w:tabs>
          <w:tab w:val="left" w:pos="540"/>
        </w:tabs>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31.评委表决</w:t>
      </w:r>
    </w:p>
    <w:p w14:paraId="0E8ADC54">
      <w:pPr>
        <w:widowControl/>
        <w:tabs>
          <w:tab w:val="left" w:pos="540"/>
        </w:tabs>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31.1在评标过程中出现法律法规和谈判文件均没有明确规定的情形时，由谈判小组现场协商解决，协商不一致的，由全体评委投票表决，以得票率二分之一以上专家的意见为准。</w:t>
      </w:r>
    </w:p>
    <w:p w14:paraId="12DDE2A0">
      <w:pPr>
        <w:widowControl/>
        <w:tabs>
          <w:tab w:val="left" w:pos="540"/>
        </w:tabs>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32.评审过程的监控</w:t>
      </w:r>
    </w:p>
    <w:p w14:paraId="33BC1F58">
      <w:pPr>
        <w:widowControl/>
        <w:tabs>
          <w:tab w:val="left" w:pos="540"/>
        </w:tabs>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32.1本项目电子评标过程实行网上留痕、全程录音、录像监控，供应商在评审过程中所进行的试图影响评审结果的不公正活动，可能导致其竞争性谈判被拒绝。</w:t>
      </w:r>
    </w:p>
    <w:p w14:paraId="11E6C1DA">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五、成交及合同</w:t>
      </w:r>
    </w:p>
    <w:p w14:paraId="218D2829">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33.确定成交供应商</w:t>
      </w:r>
    </w:p>
    <w:p w14:paraId="034FAD1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33.1 </w:t>
      </w:r>
      <w:r>
        <w:rPr>
          <w:rFonts w:hint="eastAsia" w:ascii="宋体" w:hAnsi="宋体" w:cs="宋体"/>
          <w:color w:val="auto"/>
          <w:kern w:val="0"/>
          <w:szCs w:val="21"/>
          <w:highlight w:val="none"/>
        </w:rPr>
        <w:t>根据以下原则确定成交供应商：响应文件满足谈判文件全部实质性要求，且评审报价最低的供应商为成交供应商。</w:t>
      </w:r>
    </w:p>
    <w:p w14:paraId="4E107C9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33.2采购代理机构将在评标结束后两个工作日内将评标报告送采购人，采购人在五个工作日内按照评标报告中推荐的成交候选人顺序确定成交人。采购人也可以事先授权谈判小组直接确定成交人。</w:t>
      </w:r>
    </w:p>
    <w:p w14:paraId="278F34D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33.3成交供应商确定后二个工作日内，采购代理机构或采购人</w:t>
      </w:r>
      <w:r>
        <w:rPr>
          <w:rFonts w:hint="eastAsia" w:ascii="宋体" w:hAnsi="宋体" w:cs="宋体"/>
          <w:color w:val="auto"/>
          <w:kern w:val="0"/>
          <w:szCs w:val="21"/>
          <w:highlight w:val="none"/>
        </w:rPr>
        <w:t>应当对成交人信用进行核实</w:t>
      </w:r>
      <w:r>
        <w:rPr>
          <w:rFonts w:hint="eastAsia" w:ascii="宋体" w:hAnsi="宋体" w:cs="宋体"/>
          <w:color w:val="auto"/>
          <w:szCs w:val="21"/>
          <w:highlight w:val="none"/>
        </w:rPr>
        <w:t>，如其未被列入失信被执行人、重大税收违法案件当事人名单、政府采购严重违法失信行为记录名单，则采购代理机构在公告发布媒体中标公告；如其被列入失信被执行人、重大税收违法案件当事人名单、政府采购严重违法失信行为记录名单，则取消其中标资格，</w:t>
      </w:r>
      <w:r>
        <w:rPr>
          <w:rFonts w:hint="eastAsia" w:ascii="宋体" w:hAnsi="宋体" w:cs="宋体"/>
          <w:color w:val="auto"/>
          <w:spacing w:val="-3"/>
          <w:szCs w:val="21"/>
          <w:highlight w:val="none"/>
        </w:rPr>
        <w:t>并确定排名第二的中标候选人为中标人。排名第二的中标候选人因前款规定的同样原因被取消中标资格的，采购人可以确定排名第三的中标候选人为中标人，其余以此类推，采购人也可以终止采购。以上信息查询记录</w:t>
      </w:r>
      <w:r>
        <w:rPr>
          <w:rFonts w:hint="eastAsia" w:ascii="宋体" w:hAnsi="宋体" w:cs="宋体"/>
          <w:color w:val="auto"/>
          <w:szCs w:val="21"/>
          <w:highlight w:val="none"/>
        </w:rPr>
        <w:t>及相关证据与谈判文件一并保存。</w:t>
      </w:r>
    </w:p>
    <w:p w14:paraId="731637B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33.4在发布成交公告的同时，采购代理机构向成交供应商</w:t>
      </w:r>
      <w:r>
        <w:rPr>
          <w:rFonts w:hint="eastAsia" w:ascii="宋体" w:hAnsi="宋体" w:cs="宋体"/>
          <w:color w:val="auto"/>
          <w:kern w:val="0"/>
          <w:szCs w:val="21"/>
          <w:highlight w:val="none"/>
        </w:rPr>
        <w:t>通过“广西政府采购云平台”发出电子</w:t>
      </w:r>
      <w:r>
        <w:rPr>
          <w:rFonts w:hint="eastAsia" w:ascii="宋体" w:hAnsi="宋体" w:cs="宋体"/>
          <w:color w:val="auto"/>
          <w:szCs w:val="21"/>
          <w:highlight w:val="none"/>
        </w:rPr>
        <w:t>成交通知书。</w:t>
      </w:r>
    </w:p>
    <w:p w14:paraId="3D12FDD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33.5供应商认为竞争性谈判文件、招标过程和成交结果使自己的权益受到损害的，可以在知道或者应知其权益受到损害之日起七个工作日内，以书面形式向招标采购单位提出质疑，并及时索要书面回执。</w:t>
      </w:r>
    </w:p>
    <w:p w14:paraId="42F08E9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33.6采购代理机构应当按照有关规定就采购人委托授权范围内的事项在收到供应商的书面质疑后七个工作日内做出答复，但答复的内容不得涉及商业秘密。</w:t>
      </w:r>
    </w:p>
    <w:p w14:paraId="2DCBD798">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34.签订合同</w:t>
      </w:r>
    </w:p>
    <w:p w14:paraId="0B5CB38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34.1成交供应商应在成交通知书发出之日起二十五日内，按谈判文件确定的合同文本及采购标的、规格型号、采购金额、采购数量、技术和服务要求等事项与采购人签订政府采购合同。如成交供应商为联合体的，由联合体成员各方法定代表人或其授权代表与采购人代表签订合同。</w:t>
      </w:r>
      <w:r>
        <w:rPr>
          <w:rFonts w:hint="eastAsia" w:ascii="宋体" w:hAnsi="宋体" w:cs="宋体"/>
          <w:color w:val="auto"/>
          <w:kern w:val="0"/>
          <w:szCs w:val="21"/>
          <w:highlight w:val="none"/>
        </w:rPr>
        <w:t>电子采购合同需要供应商通过有效CA证书进行电子签名与签章。</w:t>
      </w:r>
    </w:p>
    <w:p w14:paraId="4B99B4A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34.2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2C1E564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34.3如成交人不按成交通知书的规定签订合同，则按成交人违约处理，采购代理机构将没收成交人投标的全部竞标保证金并上缴同级财政国库。</w:t>
      </w:r>
    </w:p>
    <w:p w14:paraId="4B3739E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34.4成交人拒绝签订政府采购合同或者因不可抗力或自身原因不能履行采购合同的，采购人可以按照评审报告推荐的成交候选人名单排序，确定下一候选人为成交供应商，也可以重新开展采购活动。拒绝签订政府采购合同的成交供应商不得参加对该项目重新开展的采购活动。</w:t>
      </w:r>
    </w:p>
    <w:p w14:paraId="0180F3D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34.5政府采购合同公告：采购人或者受托采购代理机构应当自政府采购合同签订之日起2个工作日内，将政府采购合同在“广西政府采购网（http://zfcg.gxzf.gov.cn）”上发布公告，但政府采购合同中涉及国家秘密、商业秘密的内容除外。因此请各供应商应在响应文件中注明投标内容中涉及商业秘密的部分，未注明的视为响应文件中不涉及商业秘密。</w:t>
      </w:r>
    </w:p>
    <w:p w14:paraId="74996D55">
      <w:pPr>
        <w:pStyle w:val="19"/>
        <w:spacing w:line="360" w:lineRule="exact"/>
        <w:ind w:firstLine="310" w:firstLineChars="147"/>
        <w:rPr>
          <w:rFonts w:hAnsi="宋体" w:cs="宋体"/>
          <w:b/>
          <w:color w:val="auto"/>
          <w:sz w:val="21"/>
          <w:szCs w:val="21"/>
          <w:highlight w:val="none"/>
        </w:rPr>
      </w:pPr>
      <w:r>
        <w:rPr>
          <w:rFonts w:hint="eastAsia" w:hAnsi="宋体" w:cs="宋体"/>
          <w:b/>
          <w:color w:val="auto"/>
          <w:sz w:val="21"/>
          <w:szCs w:val="21"/>
          <w:highlight w:val="none"/>
        </w:rPr>
        <w:t>34.6履约保证金</w:t>
      </w:r>
    </w:p>
    <w:p w14:paraId="48D91C8E">
      <w:pPr>
        <w:spacing w:line="360" w:lineRule="exact"/>
        <w:ind w:firstLine="283" w:firstLineChars="135"/>
        <w:jc w:val="left"/>
        <w:rPr>
          <w:rFonts w:ascii="宋体" w:hAnsi="宋体" w:cs="宋体"/>
          <w:color w:val="auto"/>
          <w:kern w:val="0"/>
          <w:szCs w:val="21"/>
          <w:highlight w:val="none"/>
        </w:rPr>
      </w:pPr>
      <w:r>
        <w:rPr>
          <w:rFonts w:hint="eastAsia" w:ascii="宋体" w:hAnsi="宋体" w:cs="宋体"/>
          <w:color w:val="auto"/>
          <w:kern w:val="0"/>
          <w:szCs w:val="21"/>
          <w:highlight w:val="none"/>
        </w:rPr>
        <w:t>34.6.1履约保证金金额：详见供应商须知前附</w:t>
      </w:r>
      <w:r>
        <w:rPr>
          <w:rFonts w:hint="eastAsia" w:ascii="宋体" w:hAnsi="宋体" w:cs="宋体"/>
          <w:color w:val="auto"/>
          <w:szCs w:val="21"/>
          <w:highlight w:val="none"/>
        </w:rPr>
        <w:t>表</w:t>
      </w:r>
      <w:r>
        <w:rPr>
          <w:rFonts w:hint="eastAsia" w:ascii="宋体" w:hAnsi="宋体" w:cs="宋体"/>
          <w:color w:val="auto"/>
          <w:kern w:val="0"/>
          <w:szCs w:val="21"/>
          <w:highlight w:val="none"/>
        </w:rPr>
        <w:t>。</w:t>
      </w:r>
    </w:p>
    <w:p w14:paraId="3C0E2637">
      <w:pPr>
        <w:spacing w:line="360" w:lineRule="exact"/>
        <w:ind w:firstLine="283" w:firstLineChars="135"/>
        <w:jc w:val="left"/>
        <w:rPr>
          <w:rFonts w:ascii="宋体" w:hAnsi="宋体" w:cs="宋体"/>
          <w:color w:val="auto"/>
          <w:kern w:val="0"/>
          <w:szCs w:val="21"/>
          <w:highlight w:val="none"/>
        </w:rPr>
      </w:pPr>
      <w:r>
        <w:rPr>
          <w:rFonts w:hint="eastAsia" w:ascii="宋体" w:hAnsi="宋体" w:cs="宋体"/>
          <w:color w:val="auto"/>
          <w:kern w:val="0"/>
          <w:szCs w:val="21"/>
          <w:highlight w:val="none"/>
        </w:rPr>
        <w:t>34.6.2履约保证金递交时间：详见供应商须知前附</w:t>
      </w:r>
      <w:r>
        <w:rPr>
          <w:rFonts w:hint="eastAsia" w:ascii="宋体" w:hAnsi="宋体" w:cs="宋体"/>
          <w:color w:val="auto"/>
          <w:szCs w:val="21"/>
          <w:highlight w:val="none"/>
        </w:rPr>
        <w:t>表，未在规定时间内足额缴纳履约保证金的，不予签订合同</w:t>
      </w:r>
      <w:r>
        <w:rPr>
          <w:rFonts w:hint="eastAsia" w:ascii="宋体" w:hAnsi="宋体" w:cs="宋体"/>
          <w:color w:val="auto"/>
          <w:kern w:val="0"/>
          <w:szCs w:val="21"/>
          <w:highlight w:val="none"/>
        </w:rPr>
        <w:t>。</w:t>
      </w:r>
    </w:p>
    <w:p w14:paraId="0A86A3C7">
      <w:pPr>
        <w:pStyle w:val="19"/>
        <w:spacing w:line="360" w:lineRule="exact"/>
        <w:ind w:firstLine="283" w:firstLineChars="135"/>
        <w:rPr>
          <w:rFonts w:hAnsi="宋体" w:cs="宋体"/>
          <w:color w:val="auto"/>
          <w:sz w:val="21"/>
          <w:szCs w:val="21"/>
          <w:highlight w:val="none"/>
        </w:rPr>
      </w:pPr>
      <w:r>
        <w:rPr>
          <w:rFonts w:hint="eastAsia" w:hAnsi="宋体" w:cs="宋体"/>
          <w:color w:val="auto"/>
          <w:sz w:val="21"/>
          <w:szCs w:val="21"/>
          <w:highlight w:val="none"/>
        </w:rPr>
        <w:t>34.6.3在履约保证金退还日期前，若成交供应商的开户名称、开户银行、帐号有变动的，请以书面形式通知保证金收取单位，否则由此产生的后果由成交供应商自负。</w:t>
      </w:r>
    </w:p>
    <w:p w14:paraId="2C3D7164">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六、验收</w:t>
      </w:r>
    </w:p>
    <w:p w14:paraId="36629DC7">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35.验收</w:t>
      </w:r>
    </w:p>
    <w:p w14:paraId="64A8D26A">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35.1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4108C62">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35.2采购人可以邀请参加本项目的其他供应商或者第三方机构参与验收。参与验收的供应商或者第三方机构的意见作为验收书的参考资料一并存档。</w:t>
      </w:r>
    </w:p>
    <w:p w14:paraId="59FE55AD">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35.3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3FEA4E0">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35.4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74E09EC">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35.5项目验收完毕，成交供应商将壹份《广西壮族自治区政府采购项目合同验收书》（格式详见附件）送采购代理机构存档。</w:t>
      </w:r>
    </w:p>
    <w:p w14:paraId="679551AC">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七、其他事项</w:t>
      </w:r>
    </w:p>
    <w:p w14:paraId="2036FC0B">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36. 需要补充的其他内容</w:t>
      </w:r>
    </w:p>
    <w:p w14:paraId="786A5DB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36.1本谈判文件解释规则详见“供应商须知前附表”。</w:t>
      </w:r>
    </w:p>
    <w:p w14:paraId="4ED1F722">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37.2其他事项详见“供应商须知前附表”。</w:t>
      </w:r>
    </w:p>
    <w:p w14:paraId="16309B19">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37. 成交服务费</w:t>
      </w:r>
    </w:p>
    <w:p w14:paraId="35AB497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37.1成交服务费：代理服务费以成交价为计费依据，参照国家发展计划委员会文件计价格（2002）1980号“国家计委关于印发《招标代理服务收费管理暂行办法》的通知”规定的货物类标准向成交人收取。成交供应商在领取成交通知书时，一次性向采购代理机构支付。</w:t>
      </w:r>
    </w:p>
    <w:p w14:paraId="7D314C62">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37.2成交服务费收费标准：</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2700"/>
      </w:tblGrid>
      <w:tr w14:paraId="42F6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448" w:type="dxa"/>
            <w:tcBorders>
              <w:top w:val="single" w:color="auto" w:sz="4" w:space="0"/>
              <w:left w:val="single" w:color="auto" w:sz="4" w:space="0"/>
              <w:bottom w:val="single" w:color="auto" w:sz="4" w:space="0"/>
              <w:right w:val="single" w:color="auto" w:sz="4" w:space="0"/>
            </w:tcBorders>
            <w:vAlign w:val="center"/>
          </w:tcPr>
          <w:p w14:paraId="412F9EFE">
            <w:pPr>
              <w:spacing w:line="360" w:lineRule="exact"/>
              <w:ind w:firstLine="420" w:firstLineChars="200"/>
              <w:jc w:val="center"/>
              <w:rPr>
                <w:rFonts w:ascii="宋体" w:hAnsi="宋体" w:cs="宋体"/>
                <w:b/>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-6350</wp:posOffset>
                      </wp:positionV>
                      <wp:extent cx="1016000" cy="895985"/>
                      <wp:effectExtent l="3175" t="3810" r="9525" b="14605"/>
                      <wp:wrapNone/>
                      <wp:docPr id="3" name="直线 20"/>
                      <wp:cNvGraphicFramePr/>
                      <a:graphic xmlns:a="http://schemas.openxmlformats.org/drawingml/2006/main">
                        <a:graphicData uri="http://schemas.microsoft.com/office/word/2010/wordprocessingShape">
                          <wps:wsp>
                            <wps:cNvCnPr/>
                            <wps:spPr>
                              <a:xfrm flipH="1" flipV="1">
                                <a:off x="0" y="0"/>
                                <a:ext cx="1016000" cy="89598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0" o:spid="_x0000_s1026" o:spt="20" style="position:absolute;left:0pt;flip:x y;margin-left:36pt;margin-top:-0.5pt;height:70.55pt;width:80pt;z-index:251661312;mso-width-relative:page;mso-height-relative:page;" filled="f" stroked="t" coordsize="21600,21600" o:gfxdata="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3Ekz&#10;wNIAAAAJAQAADwAAAAAAAAABACAAAAAiAAAAZHJzL2Rvd25yZXYueG1sUEsBAhQAFAAAAAgAh07i&#10;QOmVD4rvAQAA6QMAAA4AAAAAAAAAAQAgAAAAIQEAAGRycy9lMm9Eb2MueG1sUEsFBgAAAAAGAAYA&#10;WQEAAIIFAAAAAA==&#10;">
                      <v:fill on="f" focussize="0,0"/>
                      <v:stroke color="#000000" joinstyle="round"/>
                      <v:imagedata o:title=""/>
                      <o:lock v:ext="edit" aspectratio="f"/>
                    </v:line>
                  </w:pict>
                </mc:Fallback>
              </mc:AlternateContent>
            </w:r>
            <w:r>
              <w:rPr>
                <w:rFonts w:hint="eastAsia" w:ascii="宋体" w:hAnsi="宋体" w:cs="宋体"/>
                <w:b/>
                <w:color w:val="auto"/>
                <w:szCs w:val="21"/>
                <w:highlight w:val="none"/>
              </w:rPr>
              <w:t>费率</w:t>
            </w:r>
            <w:r>
              <w:rPr>
                <w:rFonts w:hint="eastAsia" w:ascii="宋体" w:hAnsi="宋体" w:cs="宋体"/>
                <w:color w:val="auto"/>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1" name="直线 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kdN+1QAAAAkBAAAPAAAAAAAA&#10;AAEAIAAAACIAAABkcnMvZG93bnJldi54bWxQSwECFAAUAAAACACHTuJAulov8dwBAADMAwAADgAA&#10;AAAAAAABACAAAAAkAQAAZHJzL2Uyb0RvYy54bWxQSwUGAAAAAAYABgBZAQAAcgUAAAAA&#10;">
                      <v:fill on="f" focussize="0,0"/>
                      <v:stroke color="#000000" joinstyle="round"/>
                      <v:imagedata o:title=""/>
                      <o:lock v:ext="edit" aspectratio="f"/>
                    </v:line>
                  </w:pict>
                </mc:Fallback>
              </mc:AlternateContent>
            </w:r>
            <w:r>
              <w:rPr>
                <w:rFonts w:hint="eastAsia" w:ascii="宋体" w:hAnsi="宋体" w:cs="宋体"/>
                <w:b/>
                <w:color w:val="auto"/>
                <w:szCs w:val="21"/>
                <w:highlight w:val="none"/>
              </w:rPr>
              <w:t xml:space="preserve">    服务类型</w:t>
            </w:r>
          </w:p>
          <w:p w14:paraId="625DB64A">
            <w:pPr>
              <w:spacing w:line="360" w:lineRule="exact"/>
              <w:ind w:firstLine="420" w:firstLineChars="200"/>
              <w:jc w:val="center"/>
              <w:rPr>
                <w:rFonts w:ascii="宋体" w:hAnsi="宋体" w:cs="宋体"/>
                <w:b/>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74930</wp:posOffset>
                      </wp:positionV>
                      <wp:extent cx="1555115" cy="553720"/>
                      <wp:effectExtent l="1905" t="4445" r="5080" b="13335"/>
                      <wp:wrapNone/>
                      <wp:docPr id="2" name="直线 19"/>
                      <wp:cNvGraphicFramePr/>
                      <a:graphic xmlns:a="http://schemas.openxmlformats.org/drawingml/2006/main">
                        <a:graphicData uri="http://schemas.microsoft.com/office/word/2010/wordprocessingShape">
                          <wps:wsp>
                            <wps:cNvCnPr/>
                            <wps:spPr>
                              <a:xfrm flipH="1" flipV="1">
                                <a:off x="0" y="0"/>
                                <a:ext cx="1555115" cy="5537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9" o:spid="_x0000_s1026" o:spt="20" style="position:absolute;left:0pt;flip:x y;margin-left:-9pt;margin-top:5.9pt;height:43.6pt;width:122.45pt;z-index:251660288;mso-width-relative:page;mso-height-relative:page;" filled="f" stroked="t" coordsize="21600,21600" o:gfxdata="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TXcOLUAAAACQEAAA8AAAAAAAAAAQAgAAAAIgAAAGRycy9kb3ducmV2LnhtbFBLAQIUABQAAAAI&#10;AIdO4kCP0WNm8QEAAOkDAAAOAAAAAAAAAAEAIAAAACMBAABkcnMvZTJvRG9jLnhtbFBLBQYAAAAA&#10;BgAGAFkBAACGBQAAAAA=&#10;">
                      <v:fill on="f" focussize="0,0"/>
                      <v:stroke color="#000000" joinstyle="round"/>
                      <v:imagedata o:title=""/>
                      <o:lock v:ext="edit" aspectratio="f"/>
                    </v:line>
                  </w:pict>
                </mc:Fallback>
              </mc:AlternateContent>
            </w:r>
          </w:p>
          <w:p w14:paraId="7FF2FAA0">
            <w:pPr>
              <w:spacing w:line="360" w:lineRule="exact"/>
              <w:ind w:firstLine="422" w:firstLineChars="200"/>
              <w:rPr>
                <w:rFonts w:ascii="宋体" w:hAnsi="宋体" w:cs="宋体"/>
                <w:b/>
                <w:color w:val="auto"/>
                <w:szCs w:val="21"/>
                <w:highlight w:val="none"/>
              </w:rPr>
            </w:pPr>
          </w:p>
          <w:p w14:paraId="1DC5EFE4">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成交金额（万元）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79CC7DDF">
            <w:pPr>
              <w:spacing w:line="360" w:lineRule="exact"/>
              <w:ind w:firstLine="422" w:firstLineChars="200"/>
              <w:jc w:val="center"/>
              <w:rPr>
                <w:rFonts w:ascii="宋体" w:hAnsi="宋体" w:cs="宋体"/>
                <w:b/>
                <w:color w:val="auto"/>
                <w:szCs w:val="21"/>
                <w:highlight w:val="none"/>
              </w:rPr>
            </w:pPr>
            <w:r>
              <w:rPr>
                <w:rFonts w:hint="eastAsia" w:ascii="宋体" w:hAnsi="宋体" w:cs="宋体"/>
                <w:b/>
                <w:color w:val="auto"/>
                <w:szCs w:val="21"/>
                <w:highlight w:val="none"/>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23FB26DB">
            <w:pPr>
              <w:spacing w:line="360" w:lineRule="exact"/>
              <w:ind w:firstLine="422" w:firstLineChars="200"/>
              <w:jc w:val="center"/>
              <w:rPr>
                <w:rFonts w:ascii="宋体" w:hAnsi="宋体" w:cs="宋体"/>
                <w:b/>
                <w:color w:val="auto"/>
                <w:szCs w:val="21"/>
                <w:highlight w:val="none"/>
              </w:rPr>
            </w:pPr>
            <w:r>
              <w:rPr>
                <w:rFonts w:hint="eastAsia" w:ascii="宋体" w:hAnsi="宋体" w:cs="宋体"/>
                <w:b/>
                <w:color w:val="auto"/>
                <w:szCs w:val="21"/>
                <w:highlight w:val="none"/>
              </w:rPr>
              <w:t>服务招标</w:t>
            </w:r>
          </w:p>
        </w:tc>
        <w:tc>
          <w:tcPr>
            <w:tcW w:w="2700" w:type="dxa"/>
            <w:tcBorders>
              <w:top w:val="single" w:color="auto" w:sz="4" w:space="0"/>
              <w:left w:val="single" w:color="auto" w:sz="4" w:space="0"/>
              <w:bottom w:val="single" w:color="auto" w:sz="4" w:space="0"/>
              <w:right w:val="single" w:color="auto" w:sz="4" w:space="0"/>
            </w:tcBorders>
            <w:vAlign w:val="center"/>
          </w:tcPr>
          <w:p w14:paraId="5931ADD5">
            <w:pPr>
              <w:spacing w:line="360" w:lineRule="exact"/>
              <w:ind w:firstLine="422" w:firstLineChars="200"/>
              <w:jc w:val="center"/>
              <w:rPr>
                <w:rFonts w:ascii="宋体" w:hAnsi="宋体" w:cs="宋体"/>
                <w:b/>
                <w:color w:val="auto"/>
                <w:szCs w:val="21"/>
                <w:highlight w:val="none"/>
              </w:rPr>
            </w:pPr>
            <w:r>
              <w:rPr>
                <w:rFonts w:hint="eastAsia" w:ascii="宋体" w:hAnsi="宋体" w:cs="宋体"/>
                <w:b/>
                <w:color w:val="auto"/>
                <w:szCs w:val="21"/>
                <w:highlight w:val="none"/>
              </w:rPr>
              <w:t>工程招标</w:t>
            </w:r>
          </w:p>
        </w:tc>
      </w:tr>
      <w:tr w14:paraId="7EAF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23A320D2">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100以下</w:t>
            </w:r>
          </w:p>
        </w:tc>
        <w:tc>
          <w:tcPr>
            <w:tcW w:w="1980" w:type="dxa"/>
            <w:tcBorders>
              <w:top w:val="single" w:color="auto" w:sz="4" w:space="0"/>
              <w:left w:val="single" w:color="auto" w:sz="4" w:space="0"/>
              <w:bottom w:val="single" w:color="auto" w:sz="4" w:space="0"/>
              <w:right w:val="single" w:color="auto" w:sz="4" w:space="0"/>
            </w:tcBorders>
            <w:vAlign w:val="center"/>
          </w:tcPr>
          <w:p w14:paraId="13C49DFC">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1.5%</w:t>
            </w:r>
          </w:p>
        </w:tc>
        <w:tc>
          <w:tcPr>
            <w:tcW w:w="1980" w:type="dxa"/>
            <w:tcBorders>
              <w:top w:val="single" w:color="auto" w:sz="4" w:space="0"/>
              <w:left w:val="single" w:color="auto" w:sz="4" w:space="0"/>
              <w:bottom w:val="single" w:color="auto" w:sz="4" w:space="0"/>
              <w:right w:val="single" w:color="auto" w:sz="4" w:space="0"/>
            </w:tcBorders>
            <w:vAlign w:val="center"/>
          </w:tcPr>
          <w:p w14:paraId="0A852D2D">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1.5%</w:t>
            </w:r>
          </w:p>
        </w:tc>
        <w:tc>
          <w:tcPr>
            <w:tcW w:w="2700" w:type="dxa"/>
            <w:tcBorders>
              <w:top w:val="single" w:color="auto" w:sz="4" w:space="0"/>
              <w:left w:val="single" w:color="auto" w:sz="4" w:space="0"/>
              <w:bottom w:val="single" w:color="auto" w:sz="4" w:space="0"/>
              <w:right w:val="single" w:color="auto" w:sz="4" w:space="0"/>
            </w:tcBorders>
            <w:vAlign w:val="center"/>
          </w:tcPr>
          <w:p w14:paraId="6E277458">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1.0%</w:t>
            </w:r>
          </w:p>
        </w:tc>
      </w:tr>
      <w:tr w14:paraId="2851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62729AD2">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100-500</w:t>
            </w:r>
          </w:p>
        </w:tc>
        <w:tc>
          <w:tcPr>
            <w:tcW w:w="1980" w:type="dxa"/>
            <w:tcBorders>
              <w:top w:val="single" w:color="auto" w:sz="4" w:space="0"/>
              <w:left w:val="single" w:color="auto" w:sz="4" w:space="0"/>
              <w:bottom w:val="single" w:color="auto" w:sz="4" w:space="0"/>
              <w:right w:val="single" w:color="auto" w:sz="4" w:space="0"/>
            </w:tcBorders>
            <w:vAlign w:val="center"/>
          </w:tcPr>
          <w:p w14:paraId="58D4B525">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1.1%</w:t>
            </w:r>
          </w:p>
        </w:tc>
        <w:tc>
          <w:tcPr>
            <w:tcW w:w="1980" w:type="dxa"/>
            <w:tcBorders>
              <w:top w:val="single" w:color="auto" w:sz="4" w:space="0"/>
              <w:left w:val="single" w:color="auto" w:sz="4" w:space="0"/>
              <w:bottom w:val="single" w:color="auto" w:sz="4" w:space="0"/>
              <w:right w:val="single" w:color="auto" w:sz="4" w:space="0"/>
            </w:tcBorders>
            <w:vAlign w:val="center"/>
          </w:tcPr>
          <w:p w14:paraId="5F3479EA">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0.8%</w:t>
            </w:r>
          </w:p>
        </w:tc>
        <w:tc>
          <w:tcPr>
            <w:tcW w:w="2700" w:type="dxa"/>
            <w:tcBorders>
              <w:top w:val="single" w:color="auto" w:sz="4" w:space="0"/>
              <w:left w:val="single" w:color="auto" w:sz="4" w:space="0"/>
              <w:bottom w:val="single" w:color="auto" w:sz="4" w:space="0"/>
              <w:right w:val="single" w:color="auto" w:sz="4" w:space="0"/>
            </w:tcBorders>
            <w:vAlign w:val="center"/>
          </w:tcPr>
          <w:p w14:paraId="113F3D60">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0.7%</w:t>
            </w:r>
          </w:p>
        </w:tc>
      </w:tr>
      <w:tr w14:paraId="35E9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69ED62DF">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500-1000</w:t>
            </w:r>
          </w:p>
        </w:tc>
        <w:tc>
          <w:tcPr>
            <w:tcW w:w="1980" w:type="dxa"/>
            <w:tcBorders>
              <w:top w:val="single" w:color="auto" w:sz="4" w:space="0"/>
              <w:left w:val="single" w:color="auto" w:sz="4" w:space="0"/>
              <w:bottom w:val="single" w:color="auto" w:sz="4" w:space="0"/>
              <w:right w:val="single" w:color="auto" w:sz="4" w:space="0"/>
            </w:tcBorders>
            <w:vAlign w:val="center"/>
          </w:tcPr>
          <w:p w14:paraId="0ECBA6F8">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0.8%</w:t>
            </w:r>
          </w:p>
        </w:tc>
        <w:tc>
          <w:tcPr>
            <w:tcW w:w="1980" w:type="dxa"/>
            <w:tcBorders>
              <w:top w:val="single" w:color="auto" w:sz="4" w:space="0"/>
              <w:left w:val="single" w:color="auto" w:sz="4" w:space="0"/>
              <w:bottom w:val="single" w:color="auto" w:sz="4" w:space="0"/>
              <w:right w:val="single" w:color="auto" w:sz="4" w:space="0"/>
            </w:tcBorders>
            <w:vAlign w:val="center"/>
          </w:tcPr>
          <w:p w14:paraId="03BF2051">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0.45%</w:t>
            </w:r>
          </w:p>
        </w:tc>
        <w:tc>
          <w:tcPr>
            <w:tcW w:w="2700" w:type="dxa"/>
            <w:tcBorders>
              <w:top w:val="single" w:color="auto" w:sz="4" w:space="0"/>
              <w:left w:val="single" w:color="auto" w:sz="4" w:space="0"/>
              <w:bottom w:val="single" w:color="auto" w:sz="4" w:space="0"/>
              <w:right w:val="single" w:color="auto" w:sz="4" w:space="0"/>
            </w:tcBorders>
            <w:vAlign w:val="center"/>
          </w:tcPr>
          <w:p w14:paraId="1F6B46FF">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0.55%</w:t>
            </w:r>
          </w:p>
        </w:tc>
      </w:tr>
      <w:tr w14:paraId="6554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117BBF4D">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1000-5000</w:t>
            </w:r>
          </w:p>
        </w:tc>
        <w:tc>
          <w:tcPr>
            <w:tcW w:w="1980" w:type="dxa"/>
            <w:tcBorders>
              <w:top w:val="single" w:color="auto" w:sz="4" w:space="0"/>
              <w:left w:val="single" w:color="auto" w:sz="4" w:space="0"/>
              <w:bottom w:val="single" w:color="auto" w:sz="4" w:space="0"/>
              <w:right w:val="single" w:color="auto" w:sz="4" w:space="0"/>
            </w:tcBorders>
            <w:vAlign w:val="center"/>
          </w:tcPr>
          <w:p w14:paraId="619DA5DE">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0.5%</w:t>
            </w:r>
          </w:p>
        </w:tc>
        <w:tc>
          <w:tcPr>
            <w:tcW w:w="1980" w:type="dxa"/>
            <w:tcBorders>
              <w:top w:val="single" w:color="auto" w:sz="4" w:space="0"/>
              <w:left w:val="single" w:color="auto" w:sz="4" w:space="0"/>
              <w:bottom w:val="single" w:color="auto" w:sz="4" w:space="0"/>
              <w:right w:val="single" w:color="auto" w:sz="4" w:space="0"/>
            </w:tcBorders>
            <w:vAlign w:val="center"/>
          </w:tcPr>
          <w:p w14:paraId="3144B17C">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0.25%</w:t>
            </w:r>
          </w:p>
        </w:tc>
        <w:tc>
          <w:tcPr>
            <w:tcW w:w="2700" w:type="dxa"/>
            <w:tcBorders>
              <w:top w:val="single" w:color="auto" w:sz="4" w:space="0"/>
              <w:left w:val="single" w:color="auto" w:sz="4" w:space="0"/>
              <w:bottom w:val="single" w:color="auto" w:sz="4" w:space="0"/>
              <w:right w:val="single" w:color="auto" w:sz="4" w:space="0"/>
            </w:tcBorders>
            <w:vAlign w:val="center"/>
          </w:tcPr>
          <w:p w14:paraId="41E1B317">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0.35%</w:t>
            </w:r>
          </w:p>
        </w:tc>
      </w:tr>
      <w:tr w14:paraId="0948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1E1A6912">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5000-10000</w:t>
            </w:r>
          </w:p>
        </w:tc>
        <w:tc>
          <w:tcPr>
            <w:tcW w:w="1980" w:type="dxa"/>
            <w:tcBorders>
              <w:top w:val="single" w:color="auto" w:sz="4" w:space="0"/>
              <w:left w:val="single" w:color="auto" w:sz="4" w:space="0"/>
              <w:bottom w:val="single" w:color="auto" w:sz="4" w:space="0"/>
              <w:right w:val="single" w:color="auto" w:sz="4" w:space="0"/>
            </w:tcBorders>
            <w:vAlign w:val="center"/>
          </w:tcPr>
          <w:p w14:paraId="6CE3D0B5">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0.25%</w:t>
            </w:r>
          </w:p>
        </w:tc>
        <w:tc>
          <w:tcPr>
            <w:tcW w:w="1980" w:type="dxa"/>
            <w:tcBorders>
              <w:top w:val="single" w:color="auto" w:sz="4" w:space="0"/>
              <w:left w:val="single" w:color="auto" w:sz="4" w:space="0"/>
              <w:bottom w:val="single" w:color="auto" w:sz="4" w:space="0"/>
              <w:right w:val="single" w:color="auto" w:sz="4" w:space="0"/>
            </w:tcBorders>
            <w:vAlign w:val="center"/>
          </w:tcPr>
          <w:p w14:paraId="275F0AC0">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0.1%</w:t>
            </w:r>
          </w:p>
        </w:tc>
        <w:tc>
          <w:tcPr>
            <w:tcW w:w="2700" w:type="dxa"/>
            <w:tcBorders>
              <w:top w:val="single" w:color="auto" w:sz="4" w:space="0"/>
              <w:left w:val="single" w:color="auto" w:sz="4" w:space="0"/>
              <w:bottom w:val="single" w:color="auto" w:sz="4" w:space="0"/>
              <w:right w:val="single" w:color="auto" w:sz="4" w:space="0"/>
            </w:tcBorders>
            <w:vAlign w:val="center"/>
          </w:tcPr>
          <w:p w14:paraId="6AA85D45">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0.2%</w:t>
            </w:r>
          </w:p>
        </w:tc>
      </w:tr>
      <w:tr w14:paraId="7775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41021ED8">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10000-100000</w:t>
            </w:r>
          </w:p>
        </w:tc>
        <w:tc>
          <w:tcPr>
            <w:tcW w:w="1980" w:type="dxa"/>
            <w:tcBorders>
              <w:top w:val="single" w:color="auto" w:sz="4" w:space="0"/>
              <w:left w:val="single" w:color="auto" w:sz="4" w:space="0"/>
              <w:bottom w:val="single" w:color="auto" w:sz="4" w:space="0"/>
              <w:right w:val="single" w:color="auto" w:sz="4" w:space="0"/>
            </w:tcBorders>
            <w:vAlign w:val="center"/>
          </w:tcPr>
          <w:p w14:paraId="4AA40604">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0.05%</w:t>
            </w:r>
          </w:p>
        </w:tc>
        <w:tc>
          <w:tcPr>
            <w:tcW w:w="1980" w:type="dxa"/>
            <w:tcBorders>
              <w:top w:val="single" w:color="auto" w:sz="4" w:space="0"/>
              <w:left w:val="single" w:color="auto" w:sz="4" w:space="0"/>
              <w:bottom w:val="single" w:color="auto" w:sz="4" w:space="0"/>
              <w:right w:val="single" w:color="auto" w:sz="4" w:space="0"/>
            </w:tcBorders>
            <w:vAlign w:val="center"/>
          </w:tcPr>
          <w:p w14:paraId="11CECD93">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0.05%</w:t>
            </w:r>
          </w:p>
        </w:tc>
        <w:tc>
          <w:tcPr>
            <w:tcW w:w="2700" w:type="dxa"/>
            <w:tcBorders>
              <w:top w:val="single" w:color="auto" w:sz="4" w:space="0"/>
              <w:left w:val="single" w:color="auto" w:sz="4" w:space="0"/>
              <w:bottom w:val="single" w:color="auto" w:sz="4" w:space="0"/>
              <w:right w:val="single" w:color="auto" w:sz="4" w:space="0"/>
            </w:tcBorders>
            <w:vAlign w:val="center"/>
          </w:tcPr>
          <w:p w14:paraId="6767B03A">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0.05%</w:t>
            </w:r>
          </w:p>
        </w:tc>
      </w:tr>
      <w:tr w14:paraId="1B55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3B398375">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100000以上</w:t>
            </w:r>
          </w:p>
        </w:tc>
        <w:tc>
          <w:tcPr>
            <w:tcW w:w="1980" w:type="dxa"/>
            <w:tcBorders>
              <w:top w:val="single" w:color="auto" w:sz="4" w:space="0"/>
              <w:left w:val="single" w:color="auto" w:sz="4" w:space="0"/>
              <w:bottom w:val="single" w:color="auto" w:sz="4" w:space="0"/>
              <w:right w:val="single" w:color="auto" w:sz="4" w:space="0"/>
            </w:tcBorders>
            <w:vAlign w:val="center"/>
          </w:tcPr>
          <w:p w14:paraId="70DC9752">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0.01%</w:t>
            </w:r>
          </w:p>
        </w:tc>
        <w:tc>
          <w:tcPr>
            <w:tcW w:w="1980" w:type="dxa"/>
            <w:tcBorders>
              <w:top w:val="single" w:color="auto" w:sz="4" w:space="0"/>
              <w:left w:val="single" w:color="auto" w:sz="4" w:space="0"/>
              <w:bottom w:val="single" w:color="auto" w:sz="4" w:space="0"/>
              <w:right w:val="single" w:color="auto" w:sz="4" w:space="0"/>
            </w:tcBorders>
            <w:vAlign w:val="center"/>
          </w:tcPr>
          <w:p w14:paraId="6340115A">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0.01%</w:t>
            </w:r>
          </w:p>
        </w:tc>
        <w:tc>
          <w:tcPr>
            <w:tcW w:w="2700" w:type="dxa"/>
            <w:tcBorders>
              <w:top w:val="single" w:color="auto" w:sz="4" w:space="0"/>
              <w:left w:val="single" w:color="auto" w:sz="4" w:space="0"/>
              <w:bottom w:val="single" w:color="auto" w:sz="4" w:space="0"/>
              <w:right w:val="single" w:color="auto" w:sz="4" w:space="0"/>
            </w:tcBorders>
            <w:vAlign w:val="center"/>
          </w:tcPr>
          <w:p w14:paraId="7A615467">
            <w:pPr>
              <w:pStyle w:val="19"/>
              <w:spacing w:line="360" w:lineRule="exact"/>
              <w:ind w:firstLine="420" w:firstLineChars="200"/>
              <w:jc w:val="center"/>
              <w:rPr>
                <w:rFonts w:hAnsi="宋体" w:cs="宋体"/>
                <w:color w:val="auto"/>
                <w:kern w:val="2"/>
                <w:sz w:val="21"/>
                <w:szCs w:val="21"/>
                <w:highlight w:val="none"/>
              </w:rPr>
            </w:pPr>
            <w:r>
              <w:rPr>
                <w:rFonts w:hint="eastAsia" w:hAnsi="宋体" w:cs="宋体"/>
                <w:color w:val="auto"/>
                <w:kern w:val="2"/>
                <w:sz w:val="21"/>
                <w:szCs w:val="21"/>
                <w:highlight w:val="none"/>
              </w:rPr>
              <w:t>0.01%</w:t>
            </w:r>
          </w:p>
        </w:tc>
      </w:tr>
    </w:tbl>
    <w:p w14:paraId="57F4EBFE">
      <w:pPr>
        <w:pStyle w:val="19"/>
        <w:spacing w:line="360" w:lineRule="exact"/>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注：招标代理服务费收费按差额定率累进法计算。</w:t>
      </w:r>
    </w:p>
    <w:p w14:paraId="4D969FAB">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38.供应商信用查询相关规定</w:t>
      </w:r>
    </w:p>
    <w:p w14:paraId="0D7DFFB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38.1信用查询渠道：“信用中国”网站（www.creditchina.gov.cn）、中国政府采购网（www.ccgp.gov.cn）；</w:t>
      </w:r>
    </w:p>
    <w:p w14:paraId="5649652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38.2信用查询截止时点：资格审查时。</w:t>
      </w:r>
    </w:p>
    <w:p w14:paraId="746EDB9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38.3信用信息查询记录：“列入失信被执行人”、“ 重大税收违法案件当事人名单”、“政府采购严重违法失信行为记录名单”。</w:t>
      </w:r>
    </w:p>
    <w:p w14:paraId="2618F28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38.4信用信息的使用规则：如供应商被列入“列入失信被执行人”、 “ 重大税收违法案件当事人名单”、“政府采购严重违法失信行为记录名单”等名单内的，将按照信用信息使用规则处理。</w:t>
      </w:r>
    </w:p>
    <w:p w14:paraId="41B4FE87">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39.关于中小企业的相关规定</w:t>
      </w:r>
    </w:p>
    <w:p w14:paraId="63DDA36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39.1根据《政府采购促进中小企业发展管理办法》（财库[2020]46号），本谈判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54A4F8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39.2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14:paraId="3B69117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39.3在货物采购项目中，供应商提供的货物既有中小企业制造货物，也有大型企业制造货物的，不享受中小企业扶持政策。</w:t>
      </w:r>
    </w:p>
    <w:p w14:paraId="72A4B472">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39.4以联合体形式参加政府采购活动，联合体各方均为中小企业的，联合体视同中小企业。其中，联合体各方均为小微企业的，联合体视同小微企业。</w:t>
      </w:r>
    </w:p>
    <w:p w14:paraId="360EB972">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66B15D1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39.5享受中小企业扶持政策获得政府采购合同的，小微企业不得将合同分包给大中型企业，中型企业不得将合同分包给大型企业。</w:t>
      </w:r>
    </w:p>
    <w:p w14:paraId="372DDEA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39.6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4C50A5F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39.7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14:paraId="5700FB06">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39.8对于专门面向中小企业采购的采购项目或者采购包，通过发布公告方式邀请供应商后，符合资格条件的中小企业数量不足 3 家的，应当中止采购活动，视同非专门面向中小企业采购的采购项目或者采购包，按照《政府采购促进中小企业发展管理办法》（财库[2020]46号）第九条有关规定重新组织采购活动。</w:t>
      </w:r>
      <w:r>
        <w:rPr>
          <w:rFonts w:hint="eastAsia" w:ascii="宋体" w:hAnsi="宋体" w:cs="宋体"/>
          <w:color w:val="auto"/>
          <w:kern w:val="0"/>
          <w:szCs w:val="21"/>
          <w:highlight w:val="none"/>
        </w:rPr>
        <w:t xml:space="preserve"> </w:t>
      </w:r>
    </w:p>
    <w:p w14:paraId="23D66D6A">
      <w:pPr>
        <w:spacing w:line="360" w:lineRule="exact"/>
        <w:ind w:firstLine="420" w:firstLineChars="200"/>
        <w:rPr>
          <w:rFonts w:ascii="宋体" w:hAnsi="宋体" w:cs="宋体"/>
          <w:color w:val="auto"/>
          <w:szCs w:val="21"/>
          <w:highlight w:val="none"/>
        </w:rPr>
      </w:pPr>
    </w:p>
    <w:p w14:paraId="6549B591">
      <w:pPr>
        <w:spacing w:line="360" w:lineRule="exact"/>
        <w:ind w:firstLine="420" w:firstLineChars="200"/>
        <w:rPr>
          <w:rFonts w:ascii="宋体" w:hAnsi="宋体" w:cs="宋体"/>
          <w:color w:val="auto"/>
          <w:szCs w:val="21"/>
          <w:highlight w:val="none"/>
        </w:rPr>
      </w:pPr>
    </w:p>
    <w:p w14:paraId="48DD6CE6">
      <w:pPr>
        <w:spacing w:line="360" w:lineRule="exact"/>
        <w:ind w:firstLine="420" w:firstLineChars="200"/>
        <w:rPr>
          <w:rFonts w:ascii="宋体" w:hAnsi="宋体" w:cs="宋体"/>
          <w:color w:val="auto"/>
          <w:szCs w:val="21"/>
          <w:highlight w:val="none"/>
        </w:rPr>
      </w:pPr>
    </w:p>
    <w:p w14:paraId="421A12CD">
      <w:pPr>
        <w:spacing w:line="360" w:lineRule="exact"/>
        <w:ind w:firstLine="420" w:firstLineChars="200"/>
        <w:rPr>
          <w:rFonts w:ascii="宋体" w:hAnsi="宋体" w:cs="宋体"/>
          <w:color w:val="auto"/>
          <w:szCs w:val="21"/>
          <w:highlight w:val="none"/>
        </w:rPr>
      </w:pPr>
    </w:p>
    <w:p w14:paraId="6EA56168">
      <w:pPr>
        <w:pStyle w:val="2"/>
        <w:rPr>
          <w:rFonts w:ascii="宋体" w:hAnsi="宋体" w:cs="宋体"/>
          <w:color w:val="auto"/>
          <w:szCs w:val="21"/>
          <w:highlight w:val="none"/>
        </w:rPr>
      </w:pPr>
    </w:p>
    <w:p w14:paraId="02393564">
      <w:pPr>
        <w:pStyle w:val="2"/>
        <w:rPr>
          <w:rFonts w:ascii="宋体" w:hAnsi="宋体" w:cs="宋体"/>
          <w:color w:val="auto"/>
          <w:szCs w:val="21"/>
          <w:highlight w:val="none"/>
        </w:rPr>
      </w:pPr>
    </w:p>
    <w:p w14:paraId="7586F341">
      <w:pPr>
        <w:pStyle w:val="2"/>
        <w:rPr>
          <w:rFonts w:ascii="宋体" w:hAnsi="宋体" w:cs="宋体"/>
          <w:color w:val="auto"/>
          <w:szCs w:val="21"/>
          <w:highlight w:val="none"/>
        </w:rPr>
      </w:pPr>
    </w:p>
    <w:p w14:paraId="00C4B0CE">
      <w:pPr>
        <w:pStyle w:val="2"/>
        <w:rPr>
          <w:rFonts w:ascii="宋体" w:hAnsi="宋体" w:cs="宋体"/>
          <w:color w:val="auto"/>
          <w:szCs w:val="21"/>
          <w:highlight w:val="none"/>
        </w:rPr>
      </w:pPr>
    </w:p>
    <w:p w14:paraId="7C830DCE">
      <w:pPr>
        <w:spacing w:line="360" w:lineRule="exact"/>
        <w:ind w:firstLine="420" w:firstLineChars="200"/>
        <w:rPr>
          <w:rFonts w:ascii="宋体" w:hAnsi="宋体" w:cs="宋体"/>
          <w:color w:val="auto"/>
          <w:szCs w:val="21"/>
          <w:highlight w:val="none"/>
        </w:rPr>
      </w:pPr>
    </w:p>
    <w:p w14:paraId="6F0FEB2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附件1：</w:t>
      </w:r>
    </w:p>
    <w:p w14:paraId="087C3F61">
      <w:pPr>
        <w:widowControl/>
        <w:shd w:val="clear" w:color="auto" w:fill="FFFFFF"/>
        <w:spacing w:line="360" w:lineRule="exact"/>
        <w:jc w:val="center"/>
        <w:rPr>
          <w:rFonts w:ascii="宋体" w:hAnsi="宋体" w:cs="宋体"/>
          <w:color w:val="auto"/>
          <w:kern w:val="0"/>
          <w:szCs w:val="21"/>
          <w:highlight w:val="none"/>
        </w:rPr>
      </w:pPr>
      <w:r>
        <w:rPr>
          <w:rFonts w:hint="eastAsia" w:ascii="宋体" w:hAnsi="宋体" w:cs="宋体"/>
          <w:b/>
          <w:bCs/>
          <w:color w:val="auto"/>
          <w:kern w:val="0"/>
          <w:szCs w:val="21"/>
          <w:highlight w:val="none"/>
        </w:rPr>
        <w:t>广西壮族自治区政府采购项目</w:t>
      </w:r>
      <w:r>
        <w:rPr>
          <w:rFonts w:hint="eastAsia" w:ascii="宋体" w:hAnsi="宋体" w:cs="宋体"/>
          <w:b/>
          <w:color w:val="auto"/>
          <w:kern w:val="0"/>
          <w:szCs w:val="21"/>
          <w:highlight w:val="none"/>
        </w:rPr>
        <w:t>合同验收书（格式）</w:t>
      </w:r>
    </w:p>
    <w:p w14:paraId="4A8E5F08">
      <w:pPr>
        <w:widowControl/>
        <w:shd w:val="clear" w:color="auto" w:fill="FFFFFF"/>
        <w:spacing w:line="3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）提供的货物（或工程、服务）进行了验收，验收情况如下：</w:t>
      </w:r>
    </w:p>
    <w:tbl>
      <w:tblPr>
        <w:tblStyle w:val="35"/>
        <w:tblW w:w="0" w:type="auto"/>
        <w:jc w:val="center"/>
        <w:tblLayout w:type="fixed"/>
        <w:tblCellMar>
          <w:top w:w="0" w:type="dxa"/>
          <w:left w:w="0" w:type="dxa"/>
          <w:bottom w:w="0" w:type="dxa"/>
          <w:right w:w="0" w:type="dxa"/>
        </w:tblCellMar>
      </w:tblPr>
      <w:tblGrid>
        <w:gridCol w:w="1037"/>
        <w:gridCol w:w="2163"/>
        <w:gridCol w:w="891"/>
        <w:gridCol w:w="2648"/>
        <w:gridCol w:w="219"/>
        <w:gridCol w:w="843"/>
        <w:gridCol w:w="1656"/>
      </w:tblGrid>
      <w:tr w14:paraId="5D653E8A">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14:paraId="466C6045">
            <w:pPr>
              <w:widowControl/>
              <w:spacing w:line="360" w:lineRule="exac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14:paraId="75BAFB9E">
            <w:pPr>
              <w:widowControl/>
              <w:spacing w:line="360" w:lineRule="exac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2717349B">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14:paraId="28B8B135">
            <w:pPr>
              <w:widowControl/>
              <w:spacing w:line="360" w:lineRule="exac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14:paraId="6F8F7C56">
            <w:pPr>
              <w:widowControl/>
              <w:spacing w:line="360" w:lineRule="exac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14:paraId="29F2A54A">
            <w:pPr>
              <w:widowControl/>
              <w:spacing w:line="360" w:lineRule="exac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14:paraId="4E4B2D27">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14:paraId="17DEA494">
            <w:pPr>
              <w:widowControl/>
              <w:spacing w:line="360" w:lineRule="exac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1F6B3981">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3EF0EFAA">
            <w:pPr>
              <w:widowControl/>
              <w:spacing w:line="360" w:lineRule="exact"/>
              <w:ind w:firstLine="5"/>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52406442">
            <w:pPr>
              <w:widowControl/>
              <w:spacing w:line="3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7D071DC2">
            <w:pPr>
              <w:widowControl/>
              <w:spacing w:line="3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4FA0E556">
            <w:pPr>
              <w:widowControl/>
              <w:spacing w:line="3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47447CB7">
            <w:pPr>
              <w:widowControl/>
              <w:spacing w:line="3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C66E93F">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0DB25247">
            <w:pPr>
              <w:widowControl/>
              <w:spacing w:line="3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28274A2E">
            <w:pPr>
              <w:widowControl/>
              <w:spacing w:line="3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1570C52E">
            <w:pPr>
              <w:widowControl/>
              <w:spacing w:line="3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5EF45040">
            <w:pPr>
              <w:widowControl/>
              <w:spacing w:line="3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4E48D782">
            <w:pPr>
              <w:widowControl/>
              <w:spacing w:line="3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6979678E">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7087D14B">
            <w:pPr>
              <w:widowControl/>
              <w:spacing w:line="3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79AAF3A1">
            <w:pPr>
              <w:widowControl/>
              <w:spacing w:line="3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42E9D841">
            <w:pPr>
              <w:widowControl/>
              <w:spacing w:line="3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753CE7CD">
            <w:pPr>
              <w:widowControl/>
              <w:spacing w:line="3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627CD869">
            <w:pPr>
              <w:widowControl/>
              <w:spacing w:line="3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6D810AFA">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14:paraId="2AA3789E">
            <w:pPr>
              <w:widowControl/>
              <w:spacing w:line="360" w:lineRule="exac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14:paraId="77351164">
            <w:pPr>
              <w:widowControl/>
              <w:spacing w:line="3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4D5F2547">
            <w:pPr>
              <w:widowControl/>
              <w:spacing w:line="3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73B7832">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14:paraId="479D9B9C">
            <w:pPr>
              <w:widowControl/>
              <w:spacing w:line="360" w:lineRule="exac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06AEE609">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14:paraId="2C191B9F">
            <w:pPr>
              <w:widowControl/>
              <w:spacing w:line="360" w:lineRule="exac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14:paraId="0EB81362">
            <w:pPr>
              <w:widowControl/>
              <w:spacing w:line="3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594856DC">
            <w:pPr>
              <w:widowControl/>
              <w:spacing w:line="360" w:lineRule="exac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14:paraId="25D8D4F6">
            <w:pPr>
              <w:widowControl/>
              <w:spacing w:line="3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17E4CD0">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14:paraId="65EBCA25">
            <w:pPr>
              <w:widowControl/>
              <w:spacing w:line="3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054" w:type="dxa"/>
            <w:gridSpan w:val="2"/>
            <w:tcBorders>
              <w:top w:val="nil"/>
              <w:left w:val="nil"/>
              <w:bottom w:val="single" w:color="auto" w:sz="8" w:space="0"/>
              <w:right w:val="single" w:color="auto" w:sz="8" w:space="0"/>
            </w:tcBorders>
            <w:vAlign w:val="center"/>
          </w:tcPr>
          <w:p w14:paraId="4ED31E9D">
            <w:pPr>
              <w:widowControl/>
              <w:spacing w:line="3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126078D1">
            <w:pPr>
              <w:widowControl/>
              <w:spacing w:line="3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499" w:type="dxa"/>
            <w:gridSpan w:val="2"/>
            <w:tcBorders>
              <w:top w:val="nil"/>
              <w:left w:val="nil"/>
              <w:bottom w:val="single" w:color="auto" w:sz="8" w:space="0"/>
              <w:right w:val="single" w:color="auto" w:sz="8" w:space="0"/>
            </w:tcBorders>
            <w:vAlign w:val="center"/>
          </w:tcPr>
          <w:p w14:paraId="7482A7F8">
            <w:pPr>
              <w:widowControl/>
              <w:spacing w:line="36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1C992470">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F0044D">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6D2D80EA">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竞争性谈判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4860AEA6">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B9EF5B8">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14:paraId="2F873355">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验收结论性意见：</w:t>
            </w:r>
          </w:p>
          <w:p w14:paraId="1C5415FD">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D5B8C88">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14:paraId="0A83D9B6">
            <w:pPr>
              <w:widowControl/>
              <w:spacing w:line="360" w:lineRule="exact"/>
              <w:jc w:val="left"/>
              <w:rPr>
                <w:rFonts w:ascii="宋体" w:hAnsi="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14:paraId="648379E1">
            <w:pPr>
              <w:widowControl/>
              <w:spacing w:line="360" w:lineRule="exact"/>
              <w:ind w:firstLine="96"/>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0F7AB360">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签字：</w:t>
            </w:r>
          </w:p>
        </w:tc>
      </w:tr>
      <w:tr w14:paraId="21488313">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6181A3">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5D4C5FF5">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0247AD7C">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19BEF6C0">
            <w:pPr>
              <w:widowControl/>
              <w:spacing w:line="360" w:lineRule="exac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1672AE6F">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4A920F">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14:paraId="74323F59">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14:paraId="1E3E05AC">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14:paraId="2D60EBD4">
            <w:pPr>
              <w:widowControl/>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6EF746F3">
      <w:pPr>
        <w:tabs>
          <w:tab w:val="left" w:pos="2835"/>
        </w:tabs>
        <w:spacing w:line="360" w:lineRule="exact"/>
        <w:rPr>
          <w:rFonts w:ascii="宋体" w:hAnsi="宋体" w:cs="宋体"/>
          <w:color w:val="auto"/>
          <w:szCs w:val="21"/>
          <w:highlight w:val="none"/>
        </w:rPr>
      </w:pPr>
    </w:p>
    <w:p w14:paraId="3E51D66B">
      <w:pPr>
        <w:pStyle w:val="3"/>
        <w:rPr>
          <w:rFonts w:ascii="宋体" w:hAnsi="宋体" w:cs="宋体"/>
          <w:color w:val="auto"/>
          <w:highlight w:val="none"/>
        </w:rPr>
      </w:pPr>
      <w:r>
        <w:rPr>
          <w:rFonts w:hint="eastAsia" w:ascii="宋体" w:hAnsi="宋体" w:cs="宋体"/>
          <w:color w:val="auto"/>
          <w:highlight w:val="none"/>
        </w:rPr>
        <w:br w:type="page"/>
      </w:r>
      <w:bookmarkStart w:id="10" w:name="_Toc11442"/>
      <w:r>
        <w:rPr>
          <w:rFonts w:hint="eastAsia" w:ascii="宋体" w:hAnsi="宋体" w:cs="宋体"/>
          <w:color w:val="auto"/>
          <w:highlight w:val="none"/>
        </w:rPr>
        <w:t>第三章  采购需求</w:t>
      </w:r>
      <w:bookmarkEnd w:id="10"/>
      <w:bookmarkStart w:id="11" w:name="_Toc83636396"/>
      <w:bookmarkStart w:id="12" w:name="_Toc37670349"/>
      <w:bookmarkStart w:id="13" w:name="_Toc78604590"/>
      <w:bookmarkStart w:id="14" w:name="_Toc49329249"/>
    </w:p>
    <w:bookmarkEnd w:id="11"/>
    <w:bookmarkEnd w:id="12"/>
    <w:bookmarkEnd w:id="13"/>
    <w:bookmarkEnd w:id="14"/>
    <w:p w14:paraId="34A9B2BF">
      <w:pPr>
        <w:widowControl/>
        <w:spacing w:line="360" w:lineRule="exact"/>
        <w:ind w:firstLine="422" w:firstLineChars="200"/>
        <w:outlineLvl w:val="0"/>
        <w:rPr>
          <w:rFonts w:ascii="宋体" w:hAnsi="宋体" w:cs="宋体"/>
          <w:b/>
          <w:color w:val="auto"/>
          <w:szCs w:val="21"/>
          <w:highlight w:val="none"/>
        </w:rPr>
      </w:pPr>
      <w:bookmarkStart w:id="15" w:name="_Toc24360"/>
      <w:r>
        <w:rPr>
          <w:rFonts w:hint="eastAsia" w:ascii="宋体" w:hAnsi="宋体" w:cs="宋体"/>
          <w:b/>
          <w:color w:val="auto"/>
          <w:szCs w:val="21"/>
          <w:highlight w:val="none"/>
        </w:rPr>
        <w:t>说明：</w:t>
      </w:r>
      <w:bookmarkEnd w:id="15"/>
    </w:p>
    <w:p w14:paraId="305A59C5">
      <w:pPr>
        <w:spacing w:line="360" w:lineRule="exact"/>
        <w:ind w:firstLine="420" w:firstLineChars="200"/>
        <w:rPr>
          <w:rFonts w:ascii="宋体" w:hAnsi="宋体" w:cs="宋体"/>
          <w:color w:val="auto"/>
          <w:highlight w:val="none"/>
        </w:rPr>
      </w:pPr>
      <w:bookmarkStart w:id="16" w:name="_Toc519523657"/>
      <w:bookmarkStart w:id="17" w:name="_Toc511133381"/>
      <w:r>
        <w:rPr>
          <w:rFonts w:hint="eastAsia" w:ascii="宋体" w:hAnsi="宋体" w:cs="宋体"/>
          <w:color w:val="auto"/>
          <w:highlight w:val="none"/>
        </w:rPr>
        <w:t>1.本章中如提及品牌型号，仅起参考作用。供应商可选用其他品牌型号替代，但这些替代的品牌型号要实质上参照或相当于或优于参考品牌型号及其技术参数性能（配置）要求。</w:t>
      </w:r>
    </w:p>
    <w:p w14:paraId="1DC8167A">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2.供应商必须自行为其投标产品侵权其他供应商或专利人的专利成果承担相应法律责任；同时，具有产品专利的供应商应在其投标时需提供与其自有产品专利相关的有效证明材料，否则，不能就其产品的专利在本项目投标过程中被侵权问题提出异议。</w:t>
      </w:r>
      <w:bookmarkEnd w:id="16"/>
      <w:bookmarkEnd w:id="17"/>
    </w:p>
    <w:p w14:paraId="79332766">
      <w:pPr>
        <w:spacing w:line="360" w:lineRule="exact"/>
        <w:ind w:firstLine="420" w:firstLineChars="200"/>
        <w:rPr>
          <w:rFonts w:ascii="宋体" w:hAnsi="宋体" w:cs="宋体"/>
          <w:bCs/>
          <w:color w:val="auto"/>
          <w:szCs w:val="21"/>
          <w:highlight w:val="none"/>
        </w:rPr>
      </w:pPr>
      <w:r>
        <w:rPr>
          <w:rFonts w:hint="eastAsia" w:ascii="宋体" w:hAnsi="宋体" w:cs="宋体"/>
          <w:bCs/>
          <w:color w:val="auto"/>
          <w:highlight w:val="none"/>
        </w:rPr>
        <w:t>▲3.本项目包括以下货物，根据财办库（2008）248号文件有关规定，本项目不允许进口产品（即通过中国海关报关验放</w:t>
      </w:r>
      <w:r>
        <w:rPr>
          <w:rFonts w:hint="eastAsia" w:ascii="宋体" w:hAnsi="宋体" w:cs="宋体"/>
          <w:bCs/>
          <w:color w:val="auto"/>
          <w:szCs w:val="21"/>
          <w:highlight w:val="none"/>
        </w:rPr>
        <w:t>进入中国境内且产自关境外的产品）参加投标，如有此类产品参与投标的做无效标处理。</w:t>
      </w:r>
    </w:p>
    <w:p w14:paraId="0895B7BE">
      <w:pPr>
        <w:widowControl/>
        <w:spacing w:line="360" w:lineRule="exact"/>
        <w:ind w:firstLine="422" w:firstLineChars="200"/>
        <w:jc w:val="left"/>
        <w:rPr>
          <w:rFonts w:ascii="宋体" w:hAnsi="宋体" w:cs="宋体"/>
          <w:b/>
          <w:color w:val="auto"/>
          <w:kern w:val="0"/>
          <w:sz w:val="24"/>
          <w:highlight w:val="none"/>
        </w:rPr>
      </w:pPr>
      <w:r>
        <w:rPr>
          <w:rFonts w:hint="eastAsia" w:ascii="宋体" w:hAnsi="宋体" w:cs="宋体"/>
          <w:b/>
          <w:color w:val="auto"/>
          <w:highlight w:val="none"/>
        </w:rPr>
        <w:t xml:space="preserve">▲4.根据《财政部发展改革委生态环境部市场监管总局关于调整优化节能产品、环境标志产品政府采购执行机制的通知》（财库〔2019〕9号）和《关于印发节能产品政府采购品目清单的通知》（财库〔2019〕19号）的规定，采购需求中的货物属于节能产品政府采购品目清单内标注“★”的（详见本章后附的节能产品政府采购品目清单，专业定制除外），供应商的投标货物必须使用政府强制采购的节能产品，供应商必须在响应文件（商务及技术文件）中提供所投标产品的节能产品认证证书复印件（或扫描件）（加盖供应商电子签章），否则按无效投标处理。如本项目包含的货物属于品目清单内非标注“★”的产品时，应优先采购，具体详见“第四章 评标方法及评标标准”。 </w:t>
      </w:r>
    </w:p>
    <w:p w14:paraId="7B097E4A">
      <w:pPr>
        <w:spacing w:line="360" w:lineRule="exact"/>
        <w:ind w:firstLine="422" w:firstLineChars="200"/>
        <w:rPr>
          <w:rFonts w:ascii="宋体" w:hAnsi="宋体" w:cs="宋体"/>
          <w:b/>
          <w:color w:val="auto"/>
          <w:highlight w:val="none"/>
        </w:rPr>
      </w:pPr>
      <w:r>
        <w:rPr>
          <w:rFonts w:hint="eastAsia" w:ascii="宋体" w:hAnsi="宋体" w:cs="宋体"/>
          <w:b/>
          <w:color w:val="auto"/>
          <w:highlight w:val="none"/>
        </w:rPr>
        <w:t>▲5.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投标产品，并在响应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如属于《网络关键设备和网络安全专用产品目录》中“二、网络安全专用产品”内“产品类别”中的所描述的产品，但不属于所列“产品描述”情形的，应提供相应的说明及证明材料。</w:t>
      </w:r>
    </w:p>
    <w:p w14:paraId="3C3AEE25">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6.供应商必须对投标时需提供的证明材料和资质文件真实性负责，如出现虚假应标情况，供应商除了应接受有关部门的处罚外，还应依据《中华人民共和国民法典》的相关条款来进行赔偿。</w:t>
      </w:r>
    </w:p>
    <w:p w14:paraId="6B2EAA98">
      <w:pPr>
        <w:spacing w:line="360" w:lineRule="exact"/>
        <w:ind w:firstLine="422" w:firstLineChars="200"/>
        <w:rPr>
          <w:rFonts w:ascii="宋体" w:hAnsi="宋体" w:cs="宋体"/>
          <w:b/>
          <w:color w:val="auto"/>
          <w:szCs w:val="21"/>
          <w:highlight w:val="none"/>
        </w:rPr>
      </w:pPr>
      <w:r>
        <w:rPr>
          <w:rFonts w:hint="eastAsia" w:ascii="宋体" w:hAnsi="宋体" w:cs="宋体"/>
          <w:b/>
          <w:color w:val="auto"/>
          <w:highlight w:val="none"/>
        </w:rPr>
        <w:t>▲7.</w:t>
      </w:r>
      <w:r>
        <w:rPr>
          <w:rFonts w:hint="eastAsia" w:ascii="宋体" w:hAnsi="宋体" w:cs="宋体"/>
          <w:b/>
          <w:color w:val="auto"/>
          <w:szCs w:val="21"/>
          <w:highlight w:val="none"/>
        </w:rPr>
        <w:t>本一览表中</w:t>
      </w:r>
      <w:r>
        <w:rPr>
          <w:rFonts w:hint="eastAsia" w:ascii="宋体" w:hAnsi="宋体" w:cs="宋体"/>
          <w:b/>
          <w:color w:val="auto"/>
          <w:highlight w:val="none"/>
        </w:rPr>
        <w:t>标注“▲”的</w:t>
      </w:r>
      <w:r>
        <w:rPr>
          <w:rFonts w:hint="eastAsia" w:asciiTheme="majorEastAsia" w:hAnsiTheme="majorEastAsia" w:eastAsiaTheme="majorEastAsia" w:cstheme="majorEastAsia"/>
          <w:b/>
          <w:color w:val="auto"/>
          <w:szCs w:val="21"/>
          <w:highlight w:val="none"/>
        </w:rPr>
        <w:t>技术参数及其性能（配置）要求或</w:t>
      </w:r>
      <w:r>
        <w:rPr>
          <w:rFonts w:hint="eastAsia" w:ascii="宋体" w:hAnsi="宋体" w:cs="宋体"/>
          <w:b/>
          <w:color w:val="auto"/>
          <w:highlight w:val="none"/>
        </w:rPr>
        <w:t>条款系指实质性条款或实质性要求，必须满足，如存在负偏离将导致投标被否决。</w:t>
      </w:r>
      <w:r>
        <w:rPr>
          <w:rFonts w:hint="eastAsia" w:ascii="宋体" w:hAnsi="宋体" w:cs="宋体"/>
          <w:b/>
          <w:color w:val="auto"/>
          <w:szCs w:val="21"/>
          <w:highlight w:val="none"/>
        </w:rPr>
        <w:t>本一览表中未</w:t>
      </w:r>
      <w:r>
        <w:rPr>
          <w:rFonts w:hint="eastAsia" w:ascii="宋体" w:hAnsi="宋体" w:cs="宋体"/>
          <w:b/>
          <w:color w:val="auto"/>
          <w:highlight w:val="none"/>
        </w:rPr>
        <w:t>标注</w:t>
      </w:r>
      <w:r>
        <w:rPr>
          <w:rFonts w:hint="eastAsia" w:ascii="宋体" w:hAnsi="宋体" w:cs="宋体"/>
          <w:b/>
          <w:color w:val="auto"/>
          <w:szCs w:val="21"/>
          <w:highlight w:val="none"/>
        </w:rPr>
        <w:t>“▲”的</w:t>
      </w:r>
      <w:r>
        <w:rPr>
          <w:rFonts w:hint="eastAsia" w:asciiTheme="majorEastAsia" w:hAnsiTheme="majorEastAsia" w:eastAsiaTheme="majorEastAsia" w:cstheme="majorEastAsia"/>
          <w:b/>
          <w:color w:val="auto"/>
          <w:szCs w:val="21"/>
          <w:highlight w:val="none"/>
        </w:rPr>
        <w:t>技术参数及其性能（配置）要求</w:t>
      </w:r>
      <w:r>
        <w:rPr>
          <w:rFonts w:hint="eastAsia" w:ascii="宋体" w:hAnsi="宋体" w:cs="宋体"/>
          <w:b/>
          <w:color w:val="auto"/>
          <w:szCs w:val="21"/>
          <w:highlight w:val="none"/>
        </w:rPr>
        <w:t>为可负偏离的项目，但偏离超过</w:t>
      </w:r>
      <w:r>
        <w:rPr>
          <w:rFonts w:hint="eastAsia" w:ascii="宋体" w:hAnsi="宋体" w:cs="宋体"/>
          <w:b/>
          <w:color w:val="auto"/>
          <w:szCs w:val="21"/>
          <w:highlight w:val="none"/>
          <w:u w:val="single"/>
        </w:rPr>
        <w:t xml:space="preserve"> 3 </w:t>
      </w:r>
      <w:r>
        <w:rPr>
          <w:rFonts w:hint="eastAsia" w:ascii="宋体" w:hAnsi="宋体" w:cs="宋体"/>
          <w:b/>
          <w:color w:val="auto"/>
          <w:szCs w:val="21"/>
          <w:highlight w:val="none"/>
        </w:rPr>
        <w:t>项（含</w:t>
      </w:r>
      <w:r>
        <w:rPr>
          <w:rFonts w:hint="eastAsia" w:ascii="宋体" w:hAnsi="宋体" w:cs="宋体"/>
          <w:b/>
          <w:color w:val="auto"/>
          <w:szCs w:val="21"/>
          <w:highlight w:val="none"/>
          <w:u w:val="single"/>
        </w:rPr>
        <w:t xml:space="preserve"> 3 </w:t>
      </w:r>
      <w:r>
        <w:rPr>
          <w:rFonts w:hint="eastAsia" w:ascii="宋体" w:hAnsi="宋体" w:cs="宋体"/>
          <w:b/>
          <w:color w:val="auto"/>
          <w:szCs w:val="21"/>
          <w:highlight w:val="none"/>
        </w:rPr>
        <w:t>项）以上的响应文件将被视为无效。</w:t>
      </w:r>
    </w:p>
    <w:p w14:paraId="4F416F21">
      <w:pPr>
        <w:spacing w:line="360" w:lineRule="exact"/>
        <w:ind w:firstLine="422" w:firstLineChars="200"/>
        <w:rPr>
          <w:rFonts w:ascii="宋体" w:hAnsi="宋体" w:cs="宋体"/>
          <w:b/>
          <w:color w:val="auto"/>
          <w:highlight w:val="none"/>
        </w:rPr>
      </w:pPr>
      <w:r>
        <w:rPr>
          <w:rFonts w:hint="eastAsia" w:ascii="宋体" w:hAnsi="宋体" w:cs="宋体"/>
          <w:b/>
          <w:color w:val="auto"/>
          <w:highlight w:val="none"/>
        </w:rPr>
        <w:t>8.本项目所属行业：</w:t>
      </w:r>
      <w:r>
        <w:rPr>
          <w:rFonts w:hint="eastAsia" w:ascii="宋体" w:hAnsi="宋体" w:cs="宋体"/>
          <w:b/>
          <w:color w:val="auto"/>
          <w:highlight w:val="none"/>
          <w:u w:val="single"/>
        </w:rPr>
        <w:t xml:space="preserve"> 工业  </w:t>
      </w:r>
      <w:r>
        <w:rPr>
          <w:rFonts w:hint="eastAsia" w:ascii="宋体" w:hAnsi="宋体" w:cs="宋体"/>
          <w:b/>
          <w:color w:val="auto"/>
          <w:highlight w:val="none"/>
        </w:rPr>
        <w:t>，划分依据：《关于印发中小企业划型标准规定的通知》（工信部联企业[2011]300号）。</w:t>
      </w:r>
    </w:p>
    <w:p w14:paraId="16A4E6A6">
      <w:pPr>
        <w:spacing w:line="360" w:lineRule="exact"/>
        <w:ind w:firstLine="422" w:firstLineChars="200"/>
        <w:rPr>
          <w:rFonts w:ascii="宋体" w:hAnsi="宋体" w:cs="宋体"/>
          <w:b/>
          <w:color w:val="auto"/>
          <w:highlight w:val="none"/>
        </w:rPr>
      </w:pPr>
      <w:r>
        <w:rPr>
          <w:rFonts w:hint="eastAsia" w:ascii="宋体" w:hAnsi="宋体" w:cs="宋体"/>
          <w:b/>
          <w:color w:val="auto"/>
          <w:highlight w:val="none"/>
        </w:rPr>
        <w:t>9.</w:t>
      </w:r>
      <w:r>
        <w:rPr>
          <w:rFonts w:hint="eastAsia" w:ascii="宋体" w:hAnsi="宋体" w:cs="宋体"/>
          <w:b/>
          <w:bCs/>
          <w:color w:val="auto"/>
          <w:kern w:val="0"/>
          <w:szCs w:val="21"/>
          <w:highlight w:val="none"/>
        </w:rPr>
        <w:t>以下货物中标识有</w:t>
      </w:r>
      <w:r>
        <w:rPr>
          <w:rFonts w:hint="eastAsia"/>
          <w:b/>
          <w:bCs/>
          <w:color w:val="auto"/>
          <w:highlight w:val="none"/>
        </w:rPr>
        <w:t>◆</w:t>
      </w:r>
      <w:r>
        <w:rPr>
          <w:rFonts w:hint="eastAsia" w:ascii="宋体" w:hAnsi="宋体" w:cs="宋体"/>
          <w:b/>
          <w:bCs/>
          <w:color w:val="auto"/>
          <w:szCs w:val="21"/>
          <w:highlight w:val="none"/>
        </w:rPr>
        <w:t>的为核心产品。</w:t>
      </w:r>
    </w:p>
    <w:tbl>
      <w:tblPr>
        <w:tblStyle w:val="35"/>
        <w:tblW w:w="5000" w:type="pct"/>
        <w:tblInd w:w="99" w:type="dxa"/>
        <w:tblLayout w:type="fixed"/>
        <w:tblCellMar>
          <w:top w:w="0" w:type="dxa"/>
          <w:left w:w="108" w:type="dxa"/>
          <w:bottom w:w="0" w:type="dxa"/>
          <w:right w:w="108" w:type="dxa"/>
        </w:tblCellMar>
      </w:tblPr>
      <w:tblGrid>
        <w:gridCol w:w="584"/>
        <w:gridCol w:w="876"/>
        <w:gridCol w:w="965"/>
        <w:gridCol w:w="7429"/>
      </w:tblGrid>
      <w:tr w14:paraId="4CDBCF46">
        <w:tblPrEx>
          <w:tblCellMar>
            <w:top w:w="0" w:type="dxa"/>
            <w:left w:w="108" w:type="dxa"/>
            <w:bottom w:w="0" w:type="dxa"/>
            <w:right w:w="108" w:type="dxa"/>
          </w:tblCellMar>
        </w:tblPrEx>
        <w:trPr>
          <w:trHeight w:val="420" w:hRule="atLeast"/>
        </w:trPr>
        <w:tc>
          <w:tcPr>
            <w:tcW w:w="98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4F68A0">
            <w:pPr>
              <w:widowControl/>
              <w:spacing w:line="360" w:lineRule="exact"/>
              <w:jc w:val="left"/>
              <w:textAlignment w:val="center"/>
              <w:rPr>
                <w:rFonts w:ascii="宋体" w:hAnsi="宋体" w:cs="宋体"/>
                <w:b/>
                <w:bCs/>
                <w:color w:val="auto"/>
                <w:szCs w:val="21"/>
                <w:highlight w:val="none"/>
              </w:rPr>
            </w:pPr>
            <w:r>
              <w:rPr>
                <w:rFonts w:hint="eastAsia"/>
                <w:b/>
                <w:bCs/>
                <w:color w:val="auto"/>
                <w:highlight w:val="none"/>
              </w:rPr>
              <w:t>一、技术要求</w:t>
            </w:r>
          </w:p>
        </w:tc>
      </w:tr>
      <w:tr w14:paraId="00218050">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88C3">
            <w:pPr>
              <w:widowControl/>
              <w:spacing w:line="360" w:lineRule="exact"/>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序号</w:t>
            </w:r>
          </w:p>
        </w:tc>
        <w:tc>
          <w:tcPr>
            <w:tcW w:w="876" w:type="dxa"/>
            <w:tcBorders>
              <w:top w:val="single" w:color="000000" w:sz="4" w:space="0"/>
              <w:left w:val="nil"/>
              <w:bottom w:val="single" w:color="000000" w:sz="4" w:space="0"/>
              <w:right w:val="single" w:color="000000" w:sz="4" w:space="0"/>
            </w:tcBorders>
            <w:shd w:val="clear" w:color="auto" w:fill="auto"/>
            <w:vAlign w:val="center"/>
          </w:tcPr>
          <w:p w14:paraId="002CCE87">
            <w:pPr>
              <w:widowControl/>
              <w:spacing w:line="360" w:lineRule="exact"/>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采购标的名称</w:t>
            </w:r>
          </w:p>
        </w:tc>
        <w:tc>
          <w:tcPr>
            <w:tcW w:w="965" w:type="dxa"/>
            <w:tcBorders>
              <w:top w:val="single" w:color="000000" w:sz="4" w:space="0"/>
              <w:left w:val="nil"/>
              <w:bottom w:val="single" w:color="000000" w:sz="4" w:space="0"/>
              <w:right w:val="single" w:color="000000" w:sz="4" w:space="0"/>
            </w:tcBorders>
            <w:shd w:val="clear" w:color="auto" w:fill="auto"/>
            <w:vAlign w:val="center"/>
          </w:tcPr>
          <w:p w14:paraId="2505C22A">
            <w:pPr>
              <w:widowControl/>
              <w:spacing w:line="360" w:lineRule="exact"/>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数量及单位</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2A75">
            <w:pPr>
              <w:widowControl/>
              <w:spacing w:line="360" w:lineRule="exact"/>
              <w:jc w:val="center"/>
              <w:textAlignment w:val="center"/>
              <w:rPr>
                <w:rFonts w:ascii="宋体" w:hAnsi="宋体" w:cs="宋体"/>
                <w:b/>
                <w:bCs/>
                <w:color w:val="auto"/>
                <w:kern w:val="0"/>
                <w:szCs w:val="21"/>
                <w:highlight w:val="none"/>
                <w:lang w:bidi="ar"/>
              </w:rPr>
            </w:pPr>
            <w:r>
              <w:rPr>
                <w:rFonts w:hint="eastAsia" w:asciiTheme="majorEastAsia" w:hAnsiTheme="majorEastAsia" w:eastAsiaTheme="majorEastAsia" w:cstheme="majorEastAsia"/>
                <w:b/>
                <w:color w:val="auto"/>
                <w:szCs w:val="21"/>
                <w:highlight w:val="none"/>
              </w:rPr>
              <w:t>技术参数及其性能（配置）要求</w:t>
            </w:r>
          </w:p>
        </w:tc>
      </w:tr>
      <w:tr w14:paraId="2A65658C">
        <w:tblPrEx>
          <w:tblCellMar>
            <w:top w:w="0" w:type="dxa"/>
            <w:left w:w="108" w:type="dxa"/>
            <w:bottom w:w="0" w:type="dxa"/>
            <w:right w:w="108" w:type="dxa"/>
          </w:tblCellMar>
        </w:tblPrEx>
        <w:trPr>
          <w:trHeight w:val="420" w:hRule="atLeast"/>
        </w:trPr>
        <w:tc>
          <w:tcPr>
            <w:tcW w:w="98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0F9AEE">
            <w:pPr>
              <w:widowControl/>
              <w:spacing w:line="360" w:lineRule="exact"/>
              <w:jc w:val="left"/>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（一）商业机器人产业应用实训室</w:t>
            </w:r>
          </w:p>
        </w:tc>
      </w:tr>
      <w:tr w14:paraId="3DC45801">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5B82">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A0D5">
            <w:pPr>
              <w:widowControl/>
              <w:spacing w:line="360" w:lineRule="exact"/>
              <w:jc w:val="center"/>
              <w:textAlignment w:val="center"/>
              <w:rPr>
                <w:rFonts w:ascii="宋体" w:hAnsi="宋体" w:cs="宋体"/>
                <w:color w:val="auto"/>
                <w:szCs w:val="21"/>
                <w:highlight w:val="none"/>
              </w:rPr>
            </w:pPr>
            <w:r>
              <w:rPr>
                <w:rFonts w:hint="eastAsia"/>
                <w:b/>
                <w:bCs/>
                <w:color w:val="auto"/>
                <w:highlight w:val="none"/>
              </w:rPr>
              <w:t>◆</w:t>
            </w:r>
            <w:r>
              <w:rPr>
                <w:rFonts w:hint="eastAsia" w:ascii="宋体" w:hAnsi="宋体" w:cs="宋体"/>
                <w:b/>
                <w:bCs/>
                <w:color w:val="auto"/>
                <w:kern w:val="0"/>
                <w:szCs w:val="21"/>
                <w:highlight w:val="none"/>
                <w:lang w:bidi="ar"/>
              </w:rPr>
              <w:t>通用双足人形机器人</w:t>
            </w:r>
          </w:p>
        </w:tc>
        <w:tc>
          <w:tcPr>
            <w:tcW w:w="965" w:type="dxa"/>
            <w:tcBorders>
              <w:top w:val="single" w:color="000000" w:sz="4" w:space="0"/>
              <w:left w:val="nil"/>
              <w:bottom w:val="single" w:color="000000" w:sz="4" w:space="0"/>
              <w:right w:val="single" w:color="000000" w:sz="4" w:space="0"/>
            </w:tcBorders>
            <w:shd w:val="clear" w:color="auto" w:fill="auto"/>
            <w:vAlign w:val="center"/>
          </w:tcPr>
          <w:p w14:paraId="0D17235C">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2A72">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一、功能描述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1、灵活运动: 具备≥20个关节自由度，支持前进、后退、转向、快走、奔跑等多种步态及复杂全身动作。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2、语音交互: 集成AI语音套件，包含麦克风阵列和扬声器，能够进行语音对话和交互，支持接入语言大模型进行智能对话研究。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3、视觉感知: 配备多个深度相机，能够获取环境的视觉信息，支持接入视觉大模型进行场景理解与分析研究。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4、科研开发: 开放全身控制及传感器接口，提供算力支持，支持ROS生态，适用于人机交互、智能感知等领域的算法研究与开发。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5、持久作业: 采用双电池设计并具备良好散热能力，可支持长时间连续运动和站立演示。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6、互动能力: 能够完成跳舞、招手示意、语音对话等互动，并能在平地和斜坡上稳定行走。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二、规格参数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1、身高：≥170cm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2、重量：40~80kg</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3、主体结构材质：铝合金+工程塑料</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▲4、整机自由度:≥21个，其中肩关节≥3*2，肘关节≥1*2，髋关节≥3*2，膝关节≥1*2，踝关节≥2*2，腰≥1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▲5、腿部设计：大运动范围，髋pitch范围-160°~120°；膝pitch范围0°~120°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6、电池设计：采用双电池设计，支持自主站立更换电池，电池电压：≥40V，电池容量：≥30Ah+3Ah；电池续航≥3h</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7、线束设计：全身关节采用中空走线的形式，线缆不外露。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8、内部通信网络：全身Can/EtherCat 总线通讯；腿部控制速率：≥1KHz；手臂控制速率：≥400Hz；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9、外部通讯能力：支持WIFI6，Ethernet，Bluetooth</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▲10、关节模组：具备一体化关节电机，集成电机、减速器和编码器于紧凑单元中，最大峰值扭矩≥300Nm。</w:t>
            </w:r>
            <w:r>
              <w:rPr>
                <w:rFonts w:hint="eastAsia" w:ascii="宋体" w:hAnsi="宋体" w:cs="宋体"/>
                <w:b/>
                <w:bCs/>
                <w:color w:val="auto"/>
                <w:kern w:val="0"/>
                <w:szCs w:val="21"/>
                <w:highlight w:val="none"/>
                <w:lang w:bidi="ar"/>
              </w:rPr>
              <w:t>（投标时需提供相应内容的产品说明书或者彩页等证明文件，并加盖供应商公章）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▲11、多模态语音套件：MIC阵列：线性MIC≥4；扬声器≥1；声卡≥1；≥720P RGB单目相机≥1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▲12、RGBD相机：要求头部、腰部、背部各配置1个深度相机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13、IMU：具备高精度IMU；</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▲14、算力：具备≥10核、≥12线程CPU，内存≥16GB，硬盘≥256G；系统环境：支持Ubuntu22.04；搭载NVIDIA Jetson AGX Orin算力板，总算力≥275TOPS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▲15、运动能力：能够在多种复杂地形上平稳行走，稳健上下坡，具备拟人化的奔跑能力。</w:t>
            </w:r>
            <w:r>
              <w:rPr>
                <w:rFonts w:hint="eastAsia" w:ascii="宋体" w:hAnsi="宋体" w:cs="宋体"/>
                <w:b/>
                <w:bCs/>
                <w:color w:val="auto"/>
                <w:kern w:val="0"/>
                <w:szCs w:val="21"/>
                <w:highlight w:val="none"/>
                <w:lang w:bidi="ar"/>
              </w:rPr>
              <w:t>（投标时需提供相应内容的产品说明书或者彩页等证明文件，并加盖供应商公章）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▲16、提供SDK及开发文档，支持电机接口、传感器接口开放，电机接口支持电机的力位混合控制、速度控制和位置控制3种控制模式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17、提供URDF文件及说明文档，支持在主流仿真平台中进行仿真训练</w:t>
            </w:r>
          </w:p>
        </w:tc>
      </w:tr>
      <w:tr w14:paraId="5D1A371E">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39BF">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4AEE">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探索移动复合机器人</w:t>
            </w:r>
          </w:p>
        </w:tc>
        <w:tc>
          <w:tcPr>
            <w:tcW w:w="965" w:type="dxa"/>
            <w:tcBorders>
              <w:top w:val="single" w:color="000000" w:sz="4" w:space="0"/>
              <w:left w:val="nil"/>
              <w:bottom w:val="single" w:color="000000" w:sz="4" w:space="0"/>
              <w:right w:val="single" w:color="000000" w:sz="4" w:space="0"/>
            </w:tcBorders>
            <w:shd w:val="clear" w:color="auto" w:fill="auto"/>
            <w:vAlign w:val="center"/>
          </w:tcPr>
          <w:p w14:paraId="1A3D4522">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4套</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CF12">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一、功能描述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1、机身框架由优质铝合金压铸成型，开发套件模块材质采用冷轧板折弯焊接成型，表面喷粉处理，结实耐用；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▲2、配置独立减震悬挂、四个减震万向轮+独立越障轮，运行更平稳；</w:t>
            </w:r>
            <w:r>
              <w:rPr>
                <w:rFonts w:hint="eastAsia" w:ascii="宋体" w:hAnsi="宋体" w:cs="宋体"/>
                <w:b/>
                <w:bCs/>
                <w:color w:val="auto"/>
                <w:kern w:val="0"/>
                <w:szCs w:val="21"/>
                <w:highlight w:val="none"/>
                <w:lang w:bidi="ar"/>
              </w:rPr>
              <w:t>（投标时需提供相应内容的产品说明书或者彩页等证明文件，并加盖供应商公章）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▲3、配置前后贯穿式激光雷达、RGBD深度摄像头、超声波传感器等传感器，减少视野盲区，实现立体避障；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4、快捷部署，简单易用，直接用机器人扫图，设置地图位置点，充电桩位置等，一个地图可供多个机器人使用；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5、可进行自动配送，到达指定地点后，进行自动开关门动作，仓内配置照明灯，开门后，自动点亮，实现自动配送；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6、配有物料自动感应传感器，取料指示更清晰；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7、可模拟自动消杀任务，到达指定区域进行自动消杀作业，消杀等级随着消杀灯管数量不同，依次增强；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8、激光SLAM定位为主，可进行slam建图、自主导航，搭配视觉传感器，可实现视觉识别，支持语音识别、语音播报；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9、楼宇管理：支持选择单个建立方式创所属企业的楼宇信息；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10、机器人管理：支持选择单个建立或批量导入两种方式来管理机器人；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11、参数配置：支持根据实际应用需求进行机器人参数初始化的配置（基础、消杀、导览、送餐）；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12、扫图建图：支持根据实际场景地图数据的收集及绘制工作；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▲13、地图编辑：支持对场景地图定位点、虚拟墙、安全区、轨道的标记及地图噪点的处理；</w:t>
            </w:r>
            <w:r>
              <w:rPr>
                <w:rFonts w:hint="eastAsia" w:ascii="宋体" w:hAnsi="宋体" w:cs="宋体"/>
                <w:b/>
                <w:bCs/>
                <w:color w:val="auto"/>
                <w:kern w:val="0"/>
                <w:szCs w:val="21"/>
                <w:highlight w:val="none"/>
                <w:lang w:bidi="ar"/>
              </w:rPr>
              <w:t>（投标时需提供软件界面截图，并加盖供应商公章）</w:t>
            </w:r>
            <w:r>
              <w:rPr>
                <w:rFonts w:hint="eastAsia" w:ascii="宋体" w:hAnsi="宋体" w:cs="宋体"/>
                <w:b/>
                <w:bCs/>
                <w:color w:val="auto"/>
                <w:kern w:val="0"/>
                <w:szCs w:val="21"/>
                <w:highlight w:val="none"/>
                <w:lang w:bidi="ar"/>
              </w:rPr>
              <w:br w:type="textWrapping"/>
            </w:r>
            <w:r>
              <w:rPr>
                <w:rFonts w:hint="eastAsia" w:ascii="宋体" w:hAnsi="宋体" w:cs="宋体"/>
                <w:color w:val="auto"/>
                <w:kern w:val="0"/>
                <w:szCs w:val="21"/>
                <w:highlight w:val="none"/>
                <w:lang w:bidi="ar"/>
              </w:rPr>
              <w:t>14、路线规划：支持实现机器人运行路线及工作模式的设定（导览/消杀/递送/巡游的内容播报）；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15、提供配套电子实训指导书，实训内容包括：机器人基础结构认知与装配、机器人云管理平台基本操作、机器人底盘基础运动控制、机器人地图构建与自主导航等。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16、支持课程体系：满足智能机器人岗位相关课程教学实训，支持《智能机器人应用测试与实践》、《智能机器人部署运维实践》、《智能机器人应用开发（Python版）》课程实训教学。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二、规格参数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机器人是由一台可扩展通用底盘、递送单元以及消杀单元组成。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（一）通用底盘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1、整机尺寸：≥500L*400W*310H(mm)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2、机身材质：ABS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3、负载重量：≥30kg</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4、运动能力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（1）爬坡能力:≥5°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（2）通行宽度：≥600mm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（3）运动速度：最大速度≥0.8m/s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（4）越障高度：≥15mm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5、传感器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（1）激光雷达：≥1；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（2）RGBD深度相机：≥1；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（3）超声波传感器：≥2；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6、充电方式：线充，自动回充（含充电桩）</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7、充电时间：≤5h</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8、电池容量：≥20Ah</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9、网络支持：Wifi、蓝牙</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10、硬件外扩接口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（二）递送套件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1、模块尺寸：≥300(L)*350(W)*400(H)(mm)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2、模块材质：冷轧板，表面喷粉处理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3、触摸屏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（1）尺寸：≥10寸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（2）分辨率：≥1920 *1080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（3）屏幕比例：16：10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（4）亮度：350cd/㎡</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（5）功率：≤15w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（6）电源：DC12V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4、摄像头（内置麦克风）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（1）像素：200万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（2）镜头：定焦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（3）拾音：3米/5米拾音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（4）感光元件类型：CMOS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（5）最大分辨率：1920 * 1080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（6）接口类型：USB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5、舵机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（1）控制方式：UART串口指令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（2）产品重量：≥50g</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（3）存储：掉电保护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（4）工作电压：9-12.6V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（5）回读功能：支持角度回读</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（6）转动速度：≥0.18sec/60°11.1V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（7）堵转扭矩：≥20kg.cm 11.1V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（8）堵转电流：3A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（9）舵机精度：0.2°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（10）控制角度范围：0-1000，对应0-240°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（12）齿轮类型：金属齿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6、连杆机构材质：铝合金材质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7、物料检测传感器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（1）检测角度：≥20°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（2）检测距离：≥50cm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8、照明灯：LED照明，电压12V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（三）消杀单元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1、模块尺寸：≥200(L)*200(W)*300(H)（mm）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2、模块材质：冷轧板，表面喷粉处理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3、消杀灯管：方便拆装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（1）电压：DC12V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（2）灯头接口：T5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（3）功率：≥5W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（4）长度：≥0.3m </w:t>
            </w:r>
            <w:r>
              <w:rPr>
                <w:rFonts w:hint="eastAsia" w:ascii="宋体" w:hAnsi="宋体" w:cs="宋体"/>
                <w:color w:val="auto"/>
                <w:kern w:val="0"/>
                <w:szCs w:val="21"/>
                <w:highlight w:val="none"/>
                <w:lang w:bidi="ar"/>
              </w:rPr>
              <w:br w:type="textWrapping"/>
            </w:r>
            <w:r>
              <w:rPr>
                <w:rFonts w:hint="eastAsia" w:ascii="宋体" w:hAnsi="宋体" w:cs="宋体"/>
                <w:b/>
                <w:bCs/>
                <w:color w:val="auto"/>
                <w:kern w:val="0"/>
                <w:szCs w:val="21"/>
                <w:highlight w:val="none"/>
                <w:lang w:bidi="ar"/>
              </w:rPr>
              <w:t>▲供货时需提供厂家原件（均需加盖厂家公章）：1.投标响应技术参数的确认函，2.售后服务保证函。若确认函参数与实际供货产品参数不符，供应商与生产厂家须承担相关法律责任。</w:t>
            </w:r>
          </w:p>
        </w:tc>
      </w:tr>
      <w:tr w14:paraId="16D6F789">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E0FB">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12F0">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测试部件包</w:t>
            </w:r>
          </w:p>
        </w:tc>
        <w:tc>
          <w:tcPr>
            <w:tcW w:w="965" w:type="dxa"/>
            <w:tcBorders>
              <w:top w:val="single" w:color="000000" w:sz="4" w:space="0"/>
              <w:left w:val="nil"/>
              <w:bottom w:val="single" w:color="000000" w:sz="4" w:space="0"/>
              <w:right w:val="single" w:color="000000" w:sz="4" w:space="0"/>
            </w:tcBorders>
            <w:shd w:val="clear" w:color="auto" w:fill="auto"/>
            <w:vAlign w:val="center"/>
          </w:tcPr>
          <w:p w14:paraId="1885FC56">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4套</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0AC9">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一、功能描述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产品应包含应用于商业机器人的多种关键零部件模组，该产品与测试工具配套使用，可帮助学员实现对机器人关键零部件的测试、选型。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二、配置要求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应包含可应用于商业机器人递送、消杀、巡检等功能测试所需的各类传感器模块，如激光雷达、超声波传感器、RGBD摄像头、舵机、单片机等。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三、内容清单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1、控制模组类，需包含但不限于以下类别：</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总线舵机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舵机驱动板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灯光电源控制板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单片机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电机驱动板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2、传感模组类，需包含但不限于以下类别：</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激光雷达≥2种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超声波传感器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RGBD摄像头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温湿度传感器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3、备用模组类，需包含但不限于以下类别：</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消杀灯管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电动推杆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四、关键模组技术参数要求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1、激光雷达1技术参数要求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（2）适用场景：适合室内外环境,可靠的抗日光能力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（3）测量距离：白色物体:0.05～30m；黑色物体:0.05～10m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（4）采样频率不低于30kHz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（5）扫描频率不低于10Hz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（6）角度分辨率不低于0.12°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（7）通讯速率不低于1M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（8）测量精度+5cm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2、激光雷达2技术参数要求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（1）激光波长:905nm±15nm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（2）测距距离：0.1～40m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（3）激光频率不低于9kHz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（4）驱动方式/电机:内置无刷电机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（5）水平视场角不低于360°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3、超声波测距模块技术参数要求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（1）具有高精度、小角度、小盲区、远距离等特点。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（2）检测范围 3～155cm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（3）盲区0~3cm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（4）更新间隔(自动) ≤25+1ms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（5）响应延迟(单次) ≤25+1ms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（6）测量角度≥40+10°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4、RGBD摄像头模组技术参数要求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（1）适用于0.2m～2.5m距离进行3D物品和空间扫描的智能产品，可实现测量距离内的物体深度数据测量。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（2）深度图像：最高支持 1024×768 分辨率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（3）工作距离：0.2m～2.5m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（4）深度精度：≤1.0%@1m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（5）≥1920×1080 分辨率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5、总线舵机要求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（1）转速：≥0.18sec/60°11.1V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（2）转动扭矩：≥20kg.cm 11.1V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（3）转动范围：0°~240°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（4）舵机精度：≤0.2°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（5）控制角度范围：0~1000，对应0°~240°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6、舵机驱动板要求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（1）供电电压：DC 9~12.6V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（2）通信接口：UART</w:t>
            </w:r>
          </w:p>
        </w:tc>
      </w:tr>
      <w:tr w14:paraId="3FFB705F">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5ADA">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5FA1">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测试工具包</w:t>
            </w:r>
          </w:p>
        </w:tc>
        <w:tc>
          <w:tcPr>
            <w:tcW w:w="965" w:type="dxa"/>
            <w:tcBorders>
              <w:top w:val="single" w:color="000000" w:sz="4" w:space="0"/>
              <w:left w:val="nil"/>
              <w:bottom w:val="single" w:color="000000" w:sz="4" w:space="0"/>
              <w:right w:val="single" w:color="000000" w:sz="4" w:space="0"/>
            </w:tcBorders>
            <w:shd w:val="clear" w:color="auto" w:fill="auto"/>
            <w:vAlign w:val="center"/>
          </w:tcPr>
          <w:p w14:paraId="73379DC2">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4套</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A423">
            <w:pPr>
              <w:widowControl/>
              <w:spacing w:line="360" w:lineRule="exact"/>
              <w:jc w:val="left"/>
              <w:rPr>
                <w:rFonts w:ascii="宋体" w:hAnsi="宋体" w:cs="宋体"/>
                <w:color w:val="auto"/>
                <w:szCs w:val="21"/>
                <w:highlight w:val="none"/>
              </w:rPr>
            </w:pPr>
            <w:r>
              <w:rPr>
                <w:rFonts w:hint="eastAsia" w:ascii="宋体" w:hAnsi="宋体" w:cs="宋体"/>
                <w:color w:val="auto"/>
                <w:kern w:val="0"/>
                <w:szCs w:val="21"/>
                <w:highlight w:val="none"/>
                <w:lang w:bidi="ar"/>
              </w:rPr>
              <w:t>一、功能描述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为智能机器人测试课程提供配套的测试工具，工具可支持使用者开展对智能机器人设备的拆装，零部件模组的关键参数的测量工序流程。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二、内容清单包括但不限于：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1、传感器测试专用工具类</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传感器测试支架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传感器测试云台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传感器安装板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激光雷达测试红外摄像头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超声/激光测试挡板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亚克力（黑、白、灰、透明）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2、通用测试工具类，包括但不限于：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可调直流稳压电源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水平仪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激光测距仪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照度仪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万用表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3、其他线束螺丝等配件类，包括但不限于：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USB转TTL串口转接板(CH340)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12V DC直流电源线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线束（杜邦线）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USB转TypeC数据线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网线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U盘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内六角螺丝M2-M3套装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内六角螺丝M3-M5套装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三、关键技术参数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1、传感器测试支架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金属桌面支架+延长杆（20-73cm）+金属云台，可安装手持云台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2、传感器测试云台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(1)通用款式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(2)承重范围：2kg(含)-5kg(不含)</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(3)功能：稳定拍摄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3、可调直流稳压电源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(1)输出电压：0-32V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(2)输出电流：0-6A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(3)通道数：单通道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(4)显示类型：电压/电流，4位数码显示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4、激光测距仪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(1)测量范围：不低于80m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(2)测量精度：±（2.0mm+5x10-5D)</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(3)测量单位：m/in/ft/ft+in</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(4)功能支持：单次测量、加减测量、连续测量、面积测量、体积测量、勾股测量、自主校准、LCD四行数据显示、电子角度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(5)激光等级：Class II</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(6)存储记录笔数：不低于99组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5、激光雷达测试红外摄像头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(1)硬件规格：不低于工业级200万像素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(2)分辨率：不低于1280*720（60帧）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(3)镜头：高清/红外/窄带：不低于90度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6、照度仪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(1)光照度测量：0~9999Lux  ≥100000FC</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(2)光照度精度：4.0%+8-5%+8</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(3)功能支持：自动关机、低电压显示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7、万用表</w:t>
            </w:r>
            <w:r>
              <w:rPr>
                <w:rFonts w:hint="eastAsia" w:ascii="宋体" w:hAnsi="宋体" w:cs="宋体"/>
                <w:color w:val="auto"/>
                <w:kern w:val="0"/>
                <w:szCs w:val="21"/>
                <w:highlight w:val="none"/>
                <w:lang w:bidi="ar"/>
              </w:rPr>
              <w:br w:type="textWrapping"/>
            </w:r>
            <w:r>
              <w:rPr>
                <w:rFonts w:ascii="Tahoma" w:hAnsi="Tahoma" w:eastAsia="Tahoma" w:cs="Tahoma"/>
                <w:snapToGrid w:val="0"/>
                <w:color w:val="auto"/>
                <w:kern w:val="0"/>
                <w:szCs w:val="21"/>
                <w:highlight w:val="none"/>
                <w:lang w:bidi="ar"/>
              </w:rPr>
              <w:t>用途：支持电压、电流、电阻、电容等数值测量</w:t>
            </w:r>
            <w:r>
              <w:rPr>
                <w:rFonts w:hint="eastAsia" w:ascii="Tahoma" w:hAnsi="Tahoma" w:eastAsia="Tahoma" w:cs="Tahoma"/>
                <w:snapToGrid w:val="0"/>
                <w:color w:val="auto"/>
                <w:kern w:val="0"/>
                <w:szCs w:val="21"/>
                <w:highlight w:val="none"/>
                <w:lang w:bidi="ar"/>
              </w:rPr>
              <w:t>；</w:t>
            </w:r>
          </w:p>
        </w:tc>
      </w:tr>
      <w:tr w14:paraId="2424EDFB">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95A2">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0D51">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多场景智能服务机器人维修备件包</w:t>
            </w:r>
          </w:p>
        </w:tc>
        <w:tc>
          <w:tcPr>
            <w:tcW w:w="965" w:type="dxa"/>
            <w:tcBorders>
              <w:top w:val="single" w:color="000000" w:sz="4" w:space="0"/>
              <w:left w:val="nil"/>
              <w:bottom w:val="single" w:color="000000" w:sz="4" w:space="0"/>
              <w:right w:val="single" w:color="000000" w:sz="4" w:space="0"/>
            </w:tcBorders>
            <w:shd w:val="clear" w:color="auto" w:fill="auto"/>
            <w:vAlign w:val="center"/>
          </w:tcPr>
          <w:p w14:paraId="0D2A6EAD">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4套</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E4CF">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一、功能描述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适配机器人维修所用的零部件备件包，包含单片机、灯光电源控制板、舵机控制板、电机驱动板、各类线材、各型材螺丝零件等。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二、内容清单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1、控制模组类，包括但不限于以下类别：</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单片机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灯光电源控制板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舵机驱动板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电机驱动板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总线舵机(带金属舵盘）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2、替换模组类，包括但不限于以下类别：</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LED灯带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消杀灯管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3、螺丝型材类，包括但不限于以下类别：</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单头螺柱 M4*65+6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M4*8圆头十字机牙螺丝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M6*12圆头十字机牙螺丝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舵机杯头内六角螺丝HM3*8</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十字圆头机牙螺丝M2.5*8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扁平头机牙螺丝M3*6*8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扁平头机牙螺丝M3*10*7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2.54 pitch座子，6 PIN，</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2.54 pitch座子，4 PIN，</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2.54 pitch座子，2 PIN，</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4、线束类，包括但不限于以下类别：</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舵机转接线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红外连接线 DC公头，一分三线材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电机电源线材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电机驱动线材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3pin连接线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usb转typeC数据线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mini usb数据线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usb 扩展 hub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T5连接线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三、关键技术参数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1、单片机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USB接口，支持正反插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可使用外部烧录器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外部高速晶振,用于系统时钟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直插USB数据线，即可标准5V输入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可对内供电，也可对外输出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红、蓝两种，用于编程调试、工作指示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低电平将重新复位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用户编程可控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2、灯光电源控制板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通信协议：支持0x24协议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3、舵机驱动板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集成供电功能和控制电路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USB/UART通信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4、电机驱动板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模块性质:H桥有刷直流电机驱动模块。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适用范围:大功率直流电机驱动。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驱动电压:DC 11-36V 输入直流电压。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工作温度:工业级(-40℃到+85℃)。 </w:t>
            </w:r>
          </w:p>
        </w:tc>
      </w:tr>
      <w:tr w14:paraId="0D93A414">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DA46">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4A92">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维修工具包</w:t>
            </w:r>
          </w:p>
        </w:tc>
        <w:tc>
          <w:tcPr>
            <w:tcW w:w="965" w:type="dxa"/>
            <w:tcBorders>
              <w:top w:val="single" w:color="000000" w:sz="4" w:space="0"/>
              <w:left w:val="nil"/>
              <w:bottom w:val="single" w:color="000000" w:sz="4" w:space="0"/>
              <w:right w:val="single" w:color="000000" w:sz="4" w:space="0"/>
            </w:tcBorders>
            <w:shd w:val="clear" w:color="auto" w:fill="auto"/>
            <w:vAlign w:val="center"/>
          </w:tcPr>
          <w:p w14:paraId="225190C5">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4套</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545E">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一、功能描述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多功能维修工具包，可支持智能机器人设备维修，智能机器人部署运维及产品测试环节中的设备拆装等。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二、内容清单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1、通用维修工具类，需包含但不限于：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日常维修20件套工具箱</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分类零件盒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收纳箱</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电烙铁热风枪二合一专业拆焊台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热缩管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扭力扳手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扭力扳手-长旋具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焊锡丝</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游标卡尺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万用表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镊子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小工具箱</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2、维修耗材类，需包含但不限于：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无尘布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扎带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手套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防静电手环 </w:t>
            </w:r>
          </w:p>
        </w:tc>
      </w:tr>
      <w:tr w14:paraId="2E2EC3F3">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CDE1">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386D">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测试场地包</w:t>
            </w:r>
          </w:p>
        </w:tc>
        <w:tc>
          <w:tcPr>
            <w:tcW w:w="965" w:type="dxa"/>
            <w:tcBorders>
              <w:top w:val="single" w:color="000000" w:sz="4" w:space="0"/>
              <w:left w:val="nil"/>
              <w:bottom w:val="single" w:color="000000" w:sz="4" w:space="0"/>
              <w:right w:val="single" w:color="000000" w:sz="4" w:space="0"/>
            </w:tcBorders>
            <w:shd w:val="clear" w:color="auto" w:fill="auto"/>
            <w:vAlign w:val="center"/>
          </w:tcPr>
          <w:p w14:paraId="3D93A03D">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95D5">
            <w:pPr>
              <w:pStyle w:val="137"/>
              <w:spacing w:line="360" w:lineRule="exact"/>
              <w:rPr>
                <w:color w:val="auto"/>
                <w:sz w:val="21"/>
                <w:szCs w:val="21"/>
                <w:highlight w:val="none"/>
                <w:lang w:eastAsia="zh-CN"/>
              </w:rPr>
            </w:pPr>
            <w:r>
              <w:rPr>
                <w:color w:val="auto"/>
                <w:sz w:val="21"/>
                <w:szCs w:val="21"/>
                <w:highlight w:val="none"/>
                <w:lang w:eastAsia="zh-CN"/>
              </w:rPr>
              <w:t>一、功能介绍</w:t>
            </w:r>
          </w:p>
          <w:p w14:paraId="5C7A25E7">
            <w:pPr>
              <w:pStyle w:val="137"/>
              <w:spacing w:line="360" w:lineRule="exact"/>
              <w:ind w:left="142"/>
              <w:rPr>
                <w:color w:val="auto"/>
                <w:sz w:val="21"/>
                <w:szCs w:val="21"/>
                <w:highlight w:val="none"/>
                <w:lang w:eastAsia="zh-CN"/>
              </w:rPr>
            </w:pPr>
            <w:r>
              <w:rPr>
                <w:color w:val="auto"/>
                <w:spacing w:val="5"/>
                <w:sz w:val="21"/>
                <w:szCs w:val="21"/>
                <w:highlight w:val="none"/>
                <w:lang w:eastAsia="zh-CN"/>
              </w:rPr>
              <w:t>1、支持递送机器人</w:t>
            </w:r>
            <w:r>
              <w:rPr>
                <w:rFonts w:hint="eastAsia"/>
                <w:color w:val="auto"/>
                <w:spacing w:val="5"/>
                <w:sz w:val="21"/>
                <w:szCs w:val="21"/>
                <w:highlight w:val="none"/>
                <w:lang w:eastAsia="zh-CN"/>
              </w:rPr>
              <w:t>的移动性能和适应性测试实践；</w:t>
            </w:r>
          </w:p>
          <w:p w14:paraId="63E900CD">
            <w:pPr>
              <w:pStyle w:val="137"/>
              <w:spacing w:line="360" w:lineRule="exact"/>
              <w:rPr>
                <w:color w:val="auto"/>
                <w:sz w:val="21"/>
                <w:szCs w:val="21"/>
                <w:highlight w:val="none"/>
                <w:lang w:eastAsia="zh-CN"/>
              </w:rPr>
            </w:pPr>
            <w:r>
              <w:rPr>
                <w:color w:val="auto"/>
                <w:spacing w:val="1"/>
                <w:sz w:val="21"/>
                <w:szCs w:val="21"/>
                <w:highlight w:val="none"/>
                <w:lang w:eastAsia="zh-CN"/>
              </w:rPr>
              <w:t>二、主要</w:t>
            </w:r>
            <w:r>
              <w:rPr>
                <w:rFonts w:hint="eastAsia"/>
                <w:color w:val="auto"/>
                <w:spacing w:val="1"/>
                <w:sz w:val="21"/>
                <w:szCs w:val="21"/>
                <w:highlight w:val="none"/>
                <w:lang w:eastAsia="zh-CN"/>
              </w:rPr>
              <w:t>测试</w:t>
            </w:r>
            <w:r>
              <w:rPr>
                <w:color w:val="auto"/>
                <w:spacing w:val="1"/>
                <w:sz w:val="21"/>
                <w:szCs w:val="21"/>
                <w:highlight w:val="none"/>
                <w:lang w:eastAsia="zh-CN"/>
              </w:rPr>
              <w:t>清单</w:t>
            </w:r>
          </w:p>
          <w:p w14:paraId="022E5F81">
            <w:pPr>
              <w:pStyle w:val="137"/>
              <w:spacing w:line="360" w:lineRule="exact"/>
              <w:ind w:left="142"/>
              <w:rPr>
                <w:color w:val="auto"/>
                <w:sz w:val="21"/>
                <w:szCs w:val="21"/>
                <w:highlight w:val="none"/>
                <w:lang w:eastAsia="zh-CN"/>
              </w:rPr>
            </w:pPr>
            <w:r>
              <w:rPr>
                <w:rFonts w:hint="eastAsia"/>
                <w:color w:val="auto"/>
                <w:sz w:val="21"/>
                <w:szCs w:val="21"/>
                <w:highlight w:val="none"/>
                <w:lang w:eastAsia="zh-CN"/>
              </w:rPr>
              <w:t>场地可拼搭积木块、PVC警示胶带、地毯</w:t>
            </w:r>
            <w:r>
              <w:rPr>
                <w:color w:val="auto"/>
                <w:sz w:val="21"/>
                <w:szCs w:val="21"/>
                <w:highlight w:val="none"/>
                <w:lang w:eastAsia="zh-CN"/>
              </w:rPr>
              <w:t>等等。</w:t>
            </w:r>
            <w:r>
              <w:rPr>
                <w:rFonts w:hint="eastAsia"/>
                <w:color w:val="auto"/>
                <w:kern w:val="0"/>
                <w:sz w:val="21"/>
                <w:szCs w:val="21"/>
                <w:highlight w:val="none"/>
                <w:lang w:eastAsia="zh-CN" w:bidi="ar"/>
              </w:rPr>
              <w:t xml:space="preserve"> </w:t>
            </w:r>
          </w:p>
        </w:tc>
      </w:tr>
      <w:tr w14:paraId="44A9301E">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E473">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47DE">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智能配送机器人</w:t>
            </w:r>
          </w:p>
        </w:tc>
        <w:tc>
          <w:tcPr>
            <w:tcW w:w="965" w:type="dxa"/>
            <w:tcBorders>
              <w:top w:val="single" w:color="000000" w:sz="4" w:space="0"/>
              <w:left w:val="nil"/>
              <w:bottom w:val="single" w:color="000000" w:sz="4" w:space="0"/>
              <w:right w:val="single" w:color="000000" w:sz="4" w:space="0"/>
            </w:tcBorders>
            <w:shd w:val="clear" w:color="auto" w:fill="auto"/>
            <w:vAlign w:val="center"/>
          </w:tcPr>
          <w:p w14:paraId="4D60FF59">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B20A">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一、产品功能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1、机身采用合金钢餐盘，由优质铝合金压铸成型。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2、配备独立减震悬挂、四个减震万向轮+独立越障轮，让配送更平稳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3、具有智能氛围灯语，营造场景氛围感，快速识别运行状态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4、智能感应托盘，取餐指示更清晰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5、开放式托盘，尺寸420*390mm（±20mm)，可270°取餐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6、配置前后贯穿式激光雷达、RGBD深度摄像头、超声波传感器等传感器，减少视野盲区，实现立体避障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7、集成灯效、拟人化表情、自然语言处理NLP、机身触控等功能，实现多感官交互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▲8、≥10个表情，包含闭眼睁眼，微笑感谢，着急抖动等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9、激光SLAM定位为主，顶视二维码定位为辅，在环境变化频繁、或危险区域，可通过二维码及时校正定位。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▲10、内置Lora无线通讯技术，支持分布式近场多机实时通信，实现多机调度。</w:t>
            </w:r>
            <w:r>
              <w:rPr>
                <w:rFonts w:hint="eastAsia" w:ascii="宋体" w:hAnsi="宋体" w:cs="宋体"/>
                <w:b/>
                <w:bCs/>
                <w:color w:val="auto"/>
                <w:kern w:val="0"/>
                <w:szCs w:val="21"/>
                <w:highlight w:val="none"/>
                <w:lang w:bidi="ar"/>
              </w:rPr>
              <w:t>（投标时需提供体现多机调度的产品说明书或者彩页或产品功能截图等证明文件，并加盖供应商公章）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11、快捷部署，无需额外设备，机载部署方案，简单易用快捷，直接用机器人扫图，设置地图位置点，送餐位置点，充电桩位置等，一个地图可供多个机器人使用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12、大屏具备广告功能，支持≥3种分屏类型；全屏，2分屏，3分屏，视频和图片同时展示</w:t>
            </w:r>
            <w:r>
              <w:rPr>
                <w:rFonts w:hint="eastAsia" w:ascii="宋体" w:hAnsi="宋体" w:cs="宋体"/>
                <w:color w:val="auto"/>
                <w:kern w:val="0"/>
                <w:szCs w:val="21"/>
                <w:highlight w:val="none"/>
                <w:lang w:bidi="ar"/>
              </w:rPr>
              <w:br w:type="textWrapping"/>
            </w:r>
            <w:r>
              <w:rPr>
                <w:rFonts w:hint="eastAsia" w:ascii="宋体" w:hAnsi="宋体" w:cs="宋体"/>
                <w:b/>
                <w:bCs/>
                <w:color w:val="auto"/>
                <w:kern w:val="0"/>
                <w:szCs w:val="21"/>
                <w:highlight w:val="none"/>
                <w:lang w:bidi="ar"/>
              </w:rPr>
              <w:t>▲供货时需提供厂家原件（均需加盖厂家公章）：1. 针对上述 1~12 项投标响应技术参数的确认函；2. 售后服务保证函。若确认函参数与实际供货产品参数不符，供应商与生产厂家须承担相关法律责任。</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1、整机尺寸：551*484*1265mm（±30mm）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2、机身材质：ABS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3、广告屏：≥20寸，FHD,≥1920*1080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4、触摸屏：≥8寸，FHD,≥1200*1920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5、导航传感器：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激光雷达：≥1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RGBD深度相机：≥2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顶部摄像头：≥1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前置摄像头：≥1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超声传感器：≥2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6、负载空间：≥4层托盘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7、单层承重：≥9KG</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▲8、总承重：≥38KG</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9、充电方式：线充，自动回充（含充电桩）</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10、充电时间：≤5h</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11、磷酸铁锂电池：≥15Ah</w:t>
            </w:r>
          </w:p>
        </w:tc>
      </w:tr>
      <w:tr w14:paraId="2968D178">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06CF">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53D4">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智能服务机器人</w:t>
            </w:r>
          </w:p>
        </w:tc>
        <w:tc>
          <w:tcPr>
            <w:tcW w:w="965" w:type="dxa"/>
            <w:tcBorders>
              <w:top w:val="single" w:color="000000" w:sz="4" w:space="0"/>
              <w:left w:val="nil"/>
              <w:bottom w:val="single" w:color="000000" w:sz="4" w:space="0"/>
              <w:right w:val="single" w:color="000000" w:sz="4" w:space="0"/>
            </w:tcBorders>
            <w:shd w:val="clear" w:color="auto" w:fill="auto"/>
            <w:vAlign w:val="center"/>
          </w:tcPr>
          <w:p w14:paraId="3ECD7D05">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CCDE">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一、产品功能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1、机身需具备视觉传感器、声纳传感器、含雷达等；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2、需配备复合悬挂系统，四轮架构,让行走更平稳；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3、强劲的爬坡能力，升级至12°，过障能力至2.5cm;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4、多环境适应能力，最窄通过距离&lt;=6.5cm；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5、全新雷达感知系统，至少3中雷达加持；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6、适配多种场景：无人零售、无人配送、智能带位、智能迎宾；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7、含视觉传感器1个，RGBD深度相机，人物识别&amp;辅助检测；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8、含高清触控屏1个，具备人机交互操作界面；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9、含电动舱门1个，自动开关舱，智能货柜对接自动取货；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10、含紧急按钮1个，橡胶保护防误触；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1、产品尺寸：整机约550mm*550mm*950mm；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2、舱体容量：26L；</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3、屏幕尺寸：10.1寸操作屏；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4、续航时间：7-9H；</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5、导航方式：SLAM导航；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6、最大爬坡度 ：12°；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7、无线通讯：WIFI+4G;</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8、传感器：高精度TOF雷达+RGBD深度相机；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9、额定功率：60W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三、配套充电桩参数：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1、充电桩充电方式需：线充；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2、充电桩款式需：落地式；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3、输入电压需：220V；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4、需含机器人自动识别定位、避障软件；</w:t>
            </w:r>
            <w:r>
              <w:rPr>
                <w:rFonts w:hint="eastAsia" w:ascii="宋体" w:hAnsi="宋体" w:cs="宋体"/>
                <w:color w:val="auto"/>
                <w:kern w:val="0"/>
                <w:szCs w:val="21"/>
                <w:highlight w:val="none"/>
                <w:lang w:bidi="ar"/>
              </w:rPr>
              <w:br w:type="textWrapping"/>
            </w:r>
            <w:r>
              <w:rPr>
                <w:rFonts w:hint="eastAsia" w:ascii="宋体" w:hAnsi="宋体" w:cs="宋体"/>
                <w:b/>
                <w:bCs/>
                <w:color w:val="auto"/>
                <w:kern w:val="0"/>
                <w:szCs w:val="21"/>
                <w:highlight w:val="none"/>
                <w:lang w:bidi="ar"/>
              </w:rPr>
              <w:t>▲供货时需提供厂家原件（均需加盖厂家公章）：1.投标响应技术参数的确认函，2.售后服务保证函。若确认函参数与实际供货产品参数不符，供应商与生产厂家须承担相关法律责任。</w:t>
            </w:r>
          </w:p>
        </w:tc>
      </w:tr>
      <w:tr w14:paraId="4D3789CF">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F94E">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459A">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整机测试场地包</w:t>
            </w:r>
          </w:p>
        </w:tc>
        <w:tc>
          <w:tcPr>
            <w:tcW w:w="965" w:type="dxa"/>
            <w:tcBorders>
              <w:top w:val="single" w:color="000000" w:sz="4" w:space="0"/>
              <w:left w:val="nil"/>
              <w:bottom w:val="single" w:color="000000" w:sz="4" w:space="0"/>
              <w:right w:val="single" w:color="000000" w:sz="4" w:space="0"/>
            </w:tcBorders>
            <w:shd w:val="clear" w:color="auto" w:fill="auto"/>
            <w:vAlign w:val="center"/>
          </w:tcPr>
          <w:p w14:paraId="1BE10339">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3B46">
            <w:pPr>
              <w:pStyle w:val="137"/>
              <w:spacing w:line="360" w:lineRule="exact"/>
              <w:ind w:left="83"/>
              <w:rPr>
                <w:color w:val="auto"/>
                <w:sz w:val="21"/>
                <w:szCs w:val="21"/>
                <w:highlight w:val="none"/>
                <w:lang w:eastAsia="zh-CN"/>
              </w:rPr>
            </w:pPr>
            <w:r>
              <w:rPr>
                <w:color w:val="auto"/>
                <w:sz w:val="21"/>
                <w:szCs w:val="21"/>
                <w:highlight w:val="none"/>
                <w:lang w:eastAsia="zh-CN"/>
              </w:rPr>
              <w:t>一、功能介绍</w:t>
            </w:r>
          </w:p>
          <w:p w14:paraId="57E3814F">
            <w:pPr>
              <w:pStyle w:val="137"/>
              <w:spacing w:line="360" w:lineRule="exact"/>
              <w:ind w:left="83"/>
              <w:rPr>
                <w:color w:val="auto"/>
                <w:sz w:val="21"/>
                <w:szCs w:val="21"/>
                <w:highlight w:val="none"/>
                <w:lang w:eastAsia="zh-CN"/>
              </w:rPr>
            </w:pPr>
            <w:r>
              <w:rPr>
                <w:color w:val="auto"/>
                <w:spacing w:val="5"/>
                <w:sz w:val="21"/>
                <w:szCs w:val="21"/>
                <w:highlight w:val="none"/>
                <w:lang w:eastAsia="zh-CN"/>
              </w:rPr>
              <w:t>1、支持</w:t>
            </w:r>
            <w:r>
              <w:rPr>
                <w:rFonts w:hint="eastAsia"/>
                <w:color w:val="auto"/>
                <w:spacing w:val="5"/>
                <w:sz w:val="21"/>
                <w:szCs w:val="21"/>
                <w:highlight w:val="none"/>
                <w:lang w:eastAsia="zh-CN"/>
              </w:rPr>
              <w:t>配餐</w:t>
            </w:r>
            <w:r>
              <w:rPr>
                <w:color w:val="auto"/>
                <w:spacing w:val="5"/>
                <w:sz w:val="21"/>
                <w:szCs w:val="21"/>
                <w:highlight w:val="none"/>
                <w:lang w:eastAsia="zh-CN"/>
              </w:rPr>
              <w:t>机器人的导航测试、</w:t>
            </w:r>
            <w:r>
              <w:rPr>
                <w:rFonts w:hint="eastAsia"/>
                <w:color w:val="auto"/>
                <w:spacing w:val="5"/>
                <w:sz w:val="21"/>
                <w:szCs w:val="21"/>
                <w:highlight w:val="none"/>
                <w:lang w:eastAsia="zh-CN"/>
              </w:rPr>
              <w:t>移动性能</w:t>
            </w:r>
            <w:r>
              <w:rPr>
                <w:color w:val="auto"/>
                <w:spacing w:val="5"/>
                <w:sz w:val="21"/>
                <w:szCs w:val="21"/>
                <w:highlight w:val="none"/>
                <w:lang w:eastAsia="zh-CN"/>
              </w:rPr>
              <w:t>测试等；</w:t>
            </w:r>
          </w:p>
          <w:p w14:paraId="1E55D42A">
            <w:pPr>
              <w:pStyle w:val="137"/>
              <w:spacing w:line="360" w:lineRule="exact"/>
              <w:ind w:left="83"/>
              <w:rPr>
                <w:color w:val="auto"/>
                <w:sz w:val="21"/>
                <w:szCs w:val="21"/>
                <w:highlight w:val="none"/>
                <w:lang w:eastAsia="zh-CN"/>
              </w:rPr>
            </w:pPr>
            <w:r>
              <w:rPr>
                <w:color w:val="auto"/>
                <w:sz w:val="21"/>
                <w:szCs w:val="21"/>
                <w:highlight w:val="none"/>
                <w:lang w:eastAsia="zh-CN"/>
              </w:rPr>
              <w:t>2、支持不同环境的导航测试，如直线，转弯等</w:t>
            </w:r>
          </w:p>
          <w:p w14:paraId="12A00D62">
            <w:pPr>
              <w:pStyle w:val="137"/>
              <w:spacing w:line="360" w:lineRule="exact"/>
              <w:ind w:left="83"/>
              <w:rPr>
                <w:color w:val="auto"/>
                <w:sz w:val="21"/>
                <w:szCs w:val="21"/>
                <w:highlight w:val="none"/>
                <w:lang w:eastAsia="zh-CN"/>
              </w:rPr>
            </w:pPr>
            <w:r>
              <w:rPr>
                <w:color w:val="auto"/>
                <w:sz w:val="21"/>
                <w:szCs w:val="21"/>
                <w:highlight w:val="none"/>
                <w:lang w:eastAsia="zh-CN"/>
              </w:rPr>
              <w:t>二、主要测试内容清单</w:t>
            </w:r>
          </w:p>
          <w:p w14:paraId="139E2432">
            <w:pPr>
              <w:pStyle w:val="137"/>
              <w:spacing w:line="360" w:lineRule="exact"/>
              <w:ind w:left="83" w:right="153" w:firstLine="20"/>
              <w:rPr>
                <w:color w:val="auto"/>
                <w:sz w:val="21"/>
                <w:szCs w:val="21"/>
                <w:highlight w:val="none"/>
                <w:lang w:eastAsia="zh-CN"/>
              </w:rPr>
            </w:pPr>
            <w:r>
              <w:rPr>
                <w:color w:val="auto"/>
                <w:spacing w:val="1"/>
                <w:sz w:val="21"/>
                <w:szCs w:val="21"/>
                <w:highlight w:val="none"/>
                <w:lang w:eastAsia="zh-CN"/>
              </w:rPr>
              <w:t>场地可拼搭积木块、测试</w:t>
            </w:r>
            <w:r>
              <w:rPr>
                <w:color w:val="auto"/>
                <w:sz w:val="21"/>
                <w:szCs w:val="21"/>
                <w:highlight w:val="none"/>
                <w:lang w:eastAsia="zh-CN"/>
              </w:rPr>
              <w:t>餐盘、地毯</w:t>
            </w:r>
            <w:r>
              <w:rPr>
                <w:rFonts w:hint="eastAsia"/>
                <w:color w:val="auto"/>
                <w:sz w:val="21"/>
                <w:szCs w:val="21"/>
                <w:highlight w:val="none"/>
                <w:lang w:eastAsia="zh-CN"/>
              </w:rPr>
              <w:t>。</w:t>
            </w:r>
          </w:p>
        </w:tc>
      </w:tr>
      <w:tr w14:paraId="7E063029">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449F">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5D20">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送餐部署应用场地包</w:t>
            </w:r>
          </w:p>
        </w:tc>
        <w:tc>
          <w:tcPr>
            <w:tcW w:w="965" w:type="dxa"/>
            <w:tcBorders>
              <w:top w:val="single" w:color="000000" w:sz="4" w:space="0"/>
              <w:left w:val="nil"/>
              <w:bottom w:val="single" w:color="000000" w:sz="4" w:space="0"/>
              <w:right w:val="single" w:color="000000" w:sz="4" w:space="0"/>
            </w:tcBorders>
            <w:shd w:val="clear" w:color="auto" w:fill="auto"/>
            <w:vAlign w:val="center"/>
          </w:tcPr>
          <w:p w14:paraId="4FC15659">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E8AE">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一、功能介绍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模拟餐厅场景，支持智能机器人整机实现送餐场景下的现场部署、功能测试与功能实现。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二、主要场景物料清单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4层货架、餐桌椅套装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三、测试场地搭建服务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场地搭建指引说明文档、耗材辅助及场地搭建。</w:t>
            </w:r>
          </w:p>
        </w:tc>
      </w:tr>
      <w:tr w14:paraId="316D69F6">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1373">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C15F">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防静电工作台</w:t>
            </w:r>
          </w:p>
        </w:tc>
        <w:tc>
          <w:tcPr>
            <w:tcW w:w="965" w:type="dxa"/>
            <w:tcBorders>
              <w:top w:val="single" w:color="000000" w:sz="4" w:space="0"/>
              <w:left w:val="nil"/>
              <w:bottom w:val="single" w:color="000000" w:sz="4" w:space="0"/>
              <w:right w:val="single" w:color="000000" w:sz="4" w:space="0"/>
            </w:tcBorders>
            <w:shd w:val="clear" w:color="auto" w:fill="auto"/>
            <w:vAlign w:val="center"/>
          </w:tcPr>
          <w:p w14:paraId="41E7EB6A">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4套</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79B4">
            <w:pPr>
              <w:widowControl/>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桌子：≥长1200cm*宽60cm*高75cm/桌面：≥2mm厚防静电胶皮符合高分子密度板。静电.防火.耐磨.耐烟酌.抗污染的板材。精加工而成，经久耐用；桌架：厚≥1.5mm冷轧钢40*40*1.2mm方管焊接而成，表面经过磷化喷塑处理，具有防锈、防水等效果。颜色：绿色。</w:t>
            </w:r>
          </w:p>
          <w:p w14:paraId="0BA2BDE1">
            <w:pPr>
              <w:widowControl/>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椅子：方形凳/1、规格尺寸：330*200*450mm。</w:t>
            </w:r>
          </w:p>
          <w:p w14:paraId="4C02A032">
            <w:pPr>
              <w:widowControl/>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二、凳面：25mm厚E1级优质刨花板，三聚氰胺贴面。</w:t>
            </w:r>
          </w:p>
          <w:p w14:paraId="66FF1150">
            <w:pPr>
              <w:widowControl/>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三、框架材料：框架为优质方管25*25*1.2mm厚，表面处理经过酸洗、磷化、静电喷塑。</w:t>
            </w:r>
          </w:p>
          <w:p w14:paraId="6BCAC813">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四、工艺：严格按照国家防静电工作台标准相关要求及完整的工艺流程，经过剪、冲、折、焊、磨、抛及酸洗、磷化、静电喷塑高温固化等工序制作，从装配到装箱和各配件均经过严格的检验，确保产品质量。</w:t>
            </w:r>
          </w:p>
        </w:tc>
      </w:tr>
      <w:tr w14:paraId="04F27805">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66B7">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w:t>
            </w:r>
          </w:p>
        </w:tc>
        <w:tc>
          <w:tcPr>
            <w:tcW w:w="876" w:type="dxa"/>
            <w:tcBorders>
              <w:top w:val="single" w:color="000000" w:sz="4" w:space="0"/>
              <w:left w:val="nil"/>
              <w:bottom w:val="single" w:color="000000" w:sz="4" w:space="0"/>
              <w:right w:val="single" w:color="000000" w:sz="4" w:space="0"/>
            </w:tcBorders>
            <w:shd w:val="clear" w:color="auto" w:fill="auto"/>
            <w:vAlign w:val="center"/>
          </w:tcPr>
          <w:p w14:paraId="1E157824">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中央控制系统</w:t>
            </w:r>
          </w:p>
        </w:tc>
        <w:tc>
          <w:tcPr>
            <w:tcW w:w="965" w:type="dxa"/>
            <w:tcBorders>
              <w:top w:val="single" w:color="000000" w:sz="4" w:space="0"/>
              <w:left w:val="nil"/>
              <w:bottom w:val="single" w:color="000000" w:sz="4" w:space="0"/>
              <w:right w:val="single" w:color="000000" w:sz="4" w:space="0"/>
            </w:tcBorders>
            <w:shd w:val="clear" w:color="auto" w:fill="auto"/>
            <w:vAlign w:val="center"/>
          </w:tcPr>
          <w:p w14:paraId="0405AF51">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3CAB">
            <w:pPr>
              <w:widowControl/>
              <w:numPr>
                <w:ilvl w:val="0"/>
                <w:numId w:val="1"/>
              </w:numPr>
              <w:spacing w:line="360" w:lineRule="exact"/>
              <w:jc w:val="left"/>
              <w:textAlignment w:val="center"/>
              <w:rPr>
                <w:rFonts w:ascii="宋体" w:hAnsi="宋体" w:cs="宋体"/>
                <w:b/>
                <w:bCs/>
                <w:color w:val="auto"/>
                <w:kern w:val="0"/>
                <w:szCs w:val="21"/>
                <w:highlight w:val="none"/>
                <w:lang w:bidi="ar"/>
              </w:rPr>
            </w:pPr>
            <w:r>
              <w:rPr>
                <w:rFonts w:hint="eastAsia" w:ascii="宋体" w:hAnsi="宋体" w:cs="宋体"/>
                <w:color w:val="auto"/>
                <w:kern w:val="0"/>
                <w:szCs w:val="21"/>
                <w:highlight w:val="none"/>
                <w:lang w:bidi="ar"/>
              </w:rPr>
              <w:t>融合管理平台：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1、物联控制，可对与设备对频后的物联设备进行控制,物联设备类型有电源、空调、窗帘，正常开关电源、开关空调、控制窗帘开关停，禁用本地操作的物联设备无法进行控制。</w:t>
            </w:r>
            <w:r>
              <w:rPr>
                <w:rFonts w:hint="eastAsia" w:ascii="宋体" w:hAnsi="宋体" w:cs="宋体"/>
                <w:b/>
                <w:bCs/>
                <w:color w:val="auto"/>
                <w:kern w:val="0"/>
                <w:szCs w:val="21"/>
                <w:highlight w:val="none"/>
                <w:lang w:bidi="ar"/>
              </w:rPr>
              <w:t>（供货时提供国家认可的第三方检测机构出具的有效软件测试报告复印件并加盖供应商公章）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2、具备IP对讲功能，可正常呼叫/挂断 web 平台管理员，也可接受来自 Web 平台管理员的呼叫/挂断，正常控制通话音量大小。</w:t>
            </w:r>
            <w:r>
              <w:rPr>
                <w:rFonts w:hint="eastAsia" w:ascii="宋体" w:hAnsi="宋体" w:cs="宋体"/>
                <w:b/>
                <w:bCs/>
                <w:color w:val="auto"/>
                <w:kern w:val="0"/>
                <w:szCs w:val="21"/>
                <w:highlight w:val="none"/>
                <w:lang w:bidi="ar"/>
              </w:rPr>
              <w:t>（供货时提供国家认可的第三方检测机构出具的有效软件测试报告复印件并加盖供应商公章）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3、具备基于公网的云平台服务，向授权认证用户具备基于公网的云支撑平台服务。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4、具备远程维护功能，用户通过软件可发起远程请求，厂家技术人员可远程进行系统升级、维护、故障定位等服务。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5、软件系统具备事件联动报警机制，通过事件触发器可根据设定的优先级触发相关特定动作，如：消防语音广播、视频通告、紧急断电等。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具备数据大屏显示功能，可以独立页面显示，显示终端设备状态，离线、开机、关机、禁用数量；显示物联状态，电源、空调、窗帘的开机、关机、离线数量；显示任务状态，当前任务模板、调课内容、运行模式、任务统计柱状显示、当前播放任务内容；显示能耗统计，曲线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7、具有对终端（智能终端）远程实时监控、操作、预定操作等可视化及智能化的设备管理功能，具备对终端所连接的电脑进行 Windows桌面的远程监控和远程控制功能。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8、具备监控预览功能，无需安装插件，直接进行监控画面预览。具备监控墙功能，可实现9宫格和16宫格切换显示。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9、具备IC授权管理，具备导入IC卡用户信息，IC卡插（刷）卡授权开机，具备设备联动一键开机及关机，具备动态二维码扫码开机。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具备网络视频源地址的实时播放(具备≥3路网络视频同时播放），可对指定或预先分组设定的教室终端（非计算机）进行定时播出等功能，并可依预先设定的程序对受控信息终端所连接的显示设备进行电源管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11、具备设备异常离线告警，可设置离线阈值，当达到设置离线阈值系统可自动推送信息到绑定的微信管理账号实现实时消息离线提醒。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具备首页功能，可以显示终端设备状态，离线、开机、关机、禁用数量；显示物联状态，电源、空调、窗帘的开机、关机、离线数量；显示任务状态，当前任务模板、调课内容、运行模式、任务数量（可点击图标跳转到对应页面）、当前播放任务内容；显示能耗统计，曲线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13、集成呼叫台功能，可直接通过软件平台对终端设备进行实时成员选择，语音喊话，音乐播放。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14、具备设备状态曲线图统计如开机、设备能耗、离线数据。具备日志统计图、设备日志、用户日志、系统日志具备设备日志总览如开机时长曲线图、离线统计曲线图。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15、开放软件平台接口，具备标准API，可实现一卡通对接、教务对接、大数据单点登录、数据打通，实现信息及数据的联动。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二、基础控制单元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1、机柜式终端，标准1U机架式设计，内置LINUX操作系统。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▲2、集成千兆交换机功能，具备4个RJ45网口及1路SFP光纤端口，最大支持3组VLAN划分。集成2*40W数字功放，具备1路3.5mm音频线性输入接口，1路3.5mm无线麦克风音频输入接口，具备2路3.5mm音频线性输出。1路48V 供电有线麦克风输入接口，支持配置幻象供电开启或关闭。具备2路RS232通信端口，具备1路RS485通信端口，具备1路干接点接口，具备1路12V/2A输出接口，具备2路GPIO接口。板载集成HDMI4*4全交叉无缝矩阵,具备2路HDMI输入接口，具备2路HDMI输出接口及1路HDBaseT高清接口。HDMI及HDbaseT接口均支持4K高清分辨率。</w:t>
            </w:r>
            <w:r>
              <w:rPr>
                <w:rFonts w:hint="eastAsia" w:ascii="宋体" w:hAnsi="宋体" w:cs="宋体"/>
                <w:b/>
                <w:bCs/>
                <w:color w:val="auto"/>
                <w:kern w:val="0"/>
                <w:szCs w:val="21"/>
                <w:highlight w:val="none"/>
                <w:lang w:bidi="ar"/>
              </w:rPr>
              <w:t>（投标时需提供国家认可的第三方检测机构出具的检测报告复印件并加盖供应商公章，要求内容能体现满足上述参数要求，否则视为无效响应。）</w:t>
            </w:r>
            <w:r>
              <w:rPr>
                <w:rFonts w:hint="eastAsia" w:ascii="宋体" w:hAnsi="宋体" w:cs="宋体"/>
                <w:b/>
                <w:bCs/>
                <w:color w:val="auto"/>
                <w:kern w:val="0"/>
                <w:szCs w:val="21"/>
                <w:highlight w:val="none"/>
                <w:lang w:bidi="ar"/>
              </w:rPr>
              <w:br w:type="textWrapping"/>
            </w:r>
            <w:r>
              <w:rPr>
                <w:rFonts w:hint="eastAsia" w:ascii="宋体" w:hAnsi="宋体" w:cs="宋体"/>
                <w:color w:val="auto"/>
                <w:kern w:val="0"/>
                <w:szCs w:val="21"/>
                <w:highlight w:val="none"/>
                <w:lang w:bidi="ar"/>
              </w:rPr>
              <w:t>▲3、具备1路USB通信接口,具备4路USB KVM切换。</w:t>
            </w:r>
            <w:r>
              <w:rPr>
                <w:rFonts w:hint="eastAsia" w:ascii="宋体" w:hAnsi="宋体" w:cs="宋体"/>
                <w:b/>
                <w:bCs/>
                <w:color w:val="auto"/>
                <w:kern w:val="0"/>
                <w:szCs w:val="21"/>
                <w:highlight w:val="none"/>
                <w:lang w:bidi="ar"/>
              </w:rPr>
              <w:t>（投标时需提供国家认可的第三方检测机构出具的检测报告复印件并加盖供应商公章，要求内容能体现满足上述参数要求，否则视为无效响应。）</w:t>
            </w:r>
            <w:r>
              <w:rPr>
                <w:rFonts w:hint="eastAsia" w:ascii="宋体" w:hAnsi="宋体" w:cs="宋体"/>
                <w:b/>
                <w:bCs/>
                <w:color w:val="auto"/>
                <w:kern w:val="0"/>
                <w:szCs w:val="21"/>
                <w:highlight w:val="none"/>
                <w:lang w:bidi="ar"/>
              </w:rPr>
              <w:br w:type="textWrapping"/>
            </w:r>
            <w:r>
              <w:rPr>
                <w:rFonts w:hint="eastAsia" w:ascii="宋体" w:hAnsi="宋体" w:cs="宋体"/>
                <w:color w:val="auto"/>
                <w:kern w:val="0"/>
                <w:szCs w:val="21"/>
                <w:highlight w:val="none"/>
                <w:lang w:bidi="ar"/>
              </w:rPr>
              <w:t>4、国标市电输入，支持本机能耗检测；支持通过IP网络或Modbus协议绑定同品牌智能配电模块实现至少6路独立强电管理。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5、具备网络中控功能，支持电教设备的本地或远程控制。集成物联网关功能，支持能耗数据上报。支持 MQTT协议，支持扩展最大30路2.4G无线物联模块，配合系统平台及小程序可远程对终端设备及物联模块进行手动、定时、集控管理。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具备音视频硬解码能力，具备平台推送的音视频广播播放功能，可播放平台定时/手动广播任务，支持HTTP、RTSP、UDP、RTMP等主流流媒体协议，配合系统平台支持0-100级广播级别选择。支持智能终端在待机状态下接收服务器预设的高清流媒体内容或在线电视节目进行自动播放，自动开启和关闭显示设备，实现智能自动播放的功能。</w:t>
            </w:r>
            <w:r>
              <w:rPr>
                <w:rFonts w:hint="eastAsia" w:ascii="宋体" w:hAnsi="宋体" w:cs="宋体"/>
                <w:b/>
                <w:bCs/>
                <w:color w:val="auto"/>
                <w:kern w:val="0"/>
                <w:szCs w:val="21"/>
                <w:highlight w:val="none"/>
                <w:lang w:bidi="ar"/>
              </w:rPr>
              <w:t>（投标时需提供国家认可的第三方检测机构出具的检测报告复印件并加盖供应商公章，要求内容能体现满足上述参数要求，否则视为无效响应。）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7、支持web配置界面，支持本地系统参数、网络参数、串口参数、面板参数、音视频矩阵参数、IO接口参数、显示设备参数等配置。支持开关机场景及自定义场景配置。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通过配套触控面板可完成一键开关机设备、音量调节、广播控制。支持IC卡刷卡/插卡、IP对讲等功能，支持同品牌无线麦克风接入及扩声。支持设备故障报修功能，待机状态下可显示设备联机网络信息、终端ID信息、运维电话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9、支持≥6路大屏/投影机同屏显示或≥4路大屏/投影机异屏显示及控制，支持输出画面冻结功能。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10、支持自有品牌麦克风的接入、控制和状态查询，包括麦克风电量、使用状态、充电状态及锁止状态等。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11、支持通过RS232串口控制协议，实现对第三方设备的接入控制，包括：智能交互平板、投影机、录播主机、音频处理器等设备。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12、支持通过RS485串口控制协议，实现对RS485从设备的控制。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三、中央控制系统提供原厂3年质保服务。</w:t>
            </w:r>
            <w:r>
              <w:rPr>
                <w:rFonts w:hint="eastAsia" w:ascii="宋体" w:hAnsi="宋体" w:cs="宋体"/>
                <w:b/>
                <w:bCs/>
                <w:color w:val="auto"/>
                <w:kern w:val="0"/>
                <w:szCs w:val="21"/>
                <w:highlight w:val="none"/>
                <w:lang w:bidi="ar"/>
              </w:rPr>
              <w:t>（供货时提供原厂售后服务承诺函）</w:t>
            </w:r>
          </w:p>
          <w:p w14:paraId="5D3A7FC7">
            <w:pPr>
              <w:widowControl/>
              <w:numPr>
                <w:ilvl w:val="0"/>
                <w:numId w:val="2"/>
              </w:numPr>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控制面板</w:t>
            </w:r>
          </w:p>
          <w:p w14:paraId="224C5258">
            <w:pPr>
              <w:widowControl/>
              <w:numPr>
                <w:ilvl w:val="0"/>
                <w:numId w:val="3"/>
              </w:numPr>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一体化设计，工业ABS工程塑料注塑成型，支持桌面及墙面固定安装方式。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▲2、具备1个RJ45千兆网口，1路HDMI输入接口，1路USB接口，1路3.5mm音频输入接口，1路3.5mm音频输出接口，1路12V/1A输出接口,1路干接点接口, 1路GPIO接口；支持POE/DC 12V/2A受电。</w:t>
            </w:r>
            <w:r>
              <w:rPr>
                <w:rFonts w:hint="eastAsia" w:ascii="宋体" w:hAnsi="宋体" w:cs="宋体"/>
                <w:b/>
                <w:bCs/>
                <w:color w:val="auto"/>
                <w:kern w:val="0"/>
                <w:szCs w:val="21"/>
                <w:highlight w:val="none"/>
                <w:lang w:bidi="ar"/>
              </w:rPr>
              <w:t>（供货时提供国家认可的第三方检测机构出具的检测报告复印件，要求内容能体现满足上述参数要求。）</w:t>
            </w:r>
            <w:r>
              <w:rPr>
                <w:rFonts w:hint="eastAsia" w:ascii="宋体" w:hAnsi="宋体" w:cs="宋体"/>
                <w:b/>
                <w:bCs/>
                <w:color w:val="auto"/>
                <w:kern w:val="0"/>
                <w:szCs w:val="21"/>
                <w:highlight w:val="none"/>
                <w:lang w:bidi="ar"/>
              </w:rPr>
              <w:br w:type="textWrapping"/>
            </w:r>
            <w:r>
              <w:rPr>
                <w:rFonts w:hint="eastAsia" w:ascii="宋体" w:hAnsi="宋体" w:cs="宋体"/>
                <w:color w:val="auto"/>
                <w:kern w:val="0"/>
                <w:szCs w:val="21"/>
                <w:highlight w:val="none"/>
                <w:lang w:bidi="ar"/>
              </w:rPr>
              <w:t>▲3、基于Android系统，配备10.1英寸工业触控屏，屏幕分辨率1920×1200，亮度500nits；集成200万像素双目摄像头；集成IC卡读卡器；内置扬声器、拾音器；具备音视频编解码能力。</w:t>
            </w:r>
            <w:r>
              <w:rPr>
                <w:rFonts w:hint="eastAsia" w:ascii="宋体" w:hAnsi="宋体" w:cs="宋体"/>
                <w:b/>
                <w:bCs/>
                <w:color w:val="auto"/>
                <w:kern w:val="0"/>
                <w:szCs w:val="21"/>
                <w:highlight w:val="none"/>
                <w:lang w:bidi="ar"/>
              </w:rPr>
              <w:t>（供货时提供国家认可的第三方检测机构出具的检测报告复印件，要求内容能体现满足上述参数要求。）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4、具备人体近场感应能力，实现屏幕自动唤醒功能。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5、配合系统平台支持远程IP对讲、语音监听、二维码正/反扫、人脸识别、课表同步、IC卡同步等功能。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▲6、配合同品牌智能融合终端支持一键上下课、画面切换、声音调整、物联设备控制、音视频广播控制、直播课堂、录播预览及控制等功能。</w:t>
            </w:r>
            <w:r>
              <w:rPr>
                <w:rFonts w:hint="eastAsia" w:ascii="宋体" w:hAnsi="宋体" w:cs="宋体"/>
                <w:b/>
                <w:bCs/>
                <w:color w:val="auto"/>
                <w:kern w:val="0"/>
                <w:szCs w:val="21"/>
                <w:highlight w:val="none"/>
                <w:lang w:bidi="ar"/>
              </w:rPr>
              <w:t>（供货时提供国家认可的第三方检测机构出具的检测报告复印件，要求内容能体现满足上述参数要求。）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7、开放UI控制接口，支持界面自主定制。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8、与中央控制系统为同一品牌，无缝控制使用。</w:t>
            </w:r>
          </w:p>
          <w:p w14:paraId="3F25626C">
            <w:pPr>
              <w:widowControl/>
              <w:numPr>
                <w:ilvl w:val="0"/>
                <w:numId w:val="2"/>
              </w:numPr>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音箱2对</w:t>
            </w:r>
          </w:p>
          <w:p w14:paraId="26207C9A">
            <w:pPr>
              <w:widowControl/>
              <w:numPr>
                <w:ilvl w:val="0"/>
                <w:numId w:val="4"/>
              </w:numPr>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阻抗：4欧。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2、灵敏度：87dB。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3、频率响应：70-22KHz。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4、峰值功率：100W。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5、指向性：水平指向：110度；垂直指向：90度。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6、体积：340*258*147.5mm。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7、高音单元：3寸进口丝膜球顶高音单元*2。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8、低音单元：5.25寸中低音HiFi喇叭单元*2。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9、外壳材料：ABS工程塑料。</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10、安装：壁挂式安装。无需增加功放，直接配套中央控制系统使用</w:t>
            </w:r>
          </w:p>
          <w:p w14:paraId="7A5299F8">
            <w:pPr>
              <w:widowControl/>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六、5G无线麦克风（含充电底座）1套</w:t>
            </w:r>
          </w:p>
          <w:p w14:paraId="4DEC9F84">
            <w:pPr>
              <w:widowControl/>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1、多功能电子教鞭套装:包含无线手持、紫外线消毒盒、充电及物联模块。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2、支持手持发言;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3、支持翻页器，支持PPT翻页和一键黑屏/恢复功能;支持激光笔功能。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4、支持物联功能，可通过局域网实时将在线状态、电量状态数据实时传输在可视化管控平台进行远程管理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5、紫外线消毒盒集电子教鞭接收主机、紫外线消毒、充电于一体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6、内置麦克风自锁功能，通过远程、本地按键、微信扫码和IC卡刷卡多种方式进行解锁。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7、内置DSP模块，支持自动增益控制、EQ音效调节、AFC防啸叫功能，具备远近距离拾音切换按键。</w:t>
            </w:r>
          </w:p>
        </w:tc>
      </w:tr>
      <w:tr w14:paraId="0C624020">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5282">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w:t>
            </w:r>
          </w:p>
        </w:tc>
        <w:tc>
          <w:tcPr>
            <w:tcW w:w="876" w:type="dxa"/>
            <w:tcBorders>
              <w:top w:val="single" w:color="000000" w:sz="4" w:space="0"/>
              <w:left w:val="nil"/>
              <w:bottom w:val="single" w:color="000000" w:sz="4" w:space="0"/>
              <w:right w:val="single" w:color="000000" w:sz="4" w:space="0"/>
            </w:tcBorders>
            <w:shd w:val="clear" w:color="auto" w:fill="auto"/>
            <w:vAlign w:val="center"/>
          </w:tcPr>
          <w:p w14:paraId="587E7577">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环境建设及系统集成</w:t>
            </w:r>
          </w:p>
        </w:tc>
        <w:tc>
          <w:tcPr>
            <w:tcW w:w="965" w:type="dxa"/>
            <w:tcBorders>
              <w:top w:val="single" w:color="000000" w:sz="4" w:space="0"/>
              <w:left w:val="nil"/>
              <w:bottom w:val="single" w:color="000000" w:sz="4" w:space="0"/>
              <w:right w:val="single" w:color="000000" w:sz="4" w:space="0"/>
            </w:tcBorders>
            <w:shd w:val="clear" w:color="auto" w:fill="auto"/>
            <w:vAlign w:val="center"/>
          </w:tcPr>
          <w:p w14:paraId="66AA5BB4">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1项</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E08E">
            <w:pPr>
              <w:widowControl/>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一、含本项目综合布线、系统集成及实施过程中所需的线材、辅材，包括但不限于网线、数据线、电源线、PVC线槽线管等，以及人工费用。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二、对商业机器人产业应用实训室进行文化环境改造及建设，含文化背景墙等，所需的人工及辅材费用；</w:t>
            </w:r>
          </w:p>
          <w:p w14:paraId="0BC150FF">
            <w:pPr>
              <w:widowControl/>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三、无线AP，4套</w:t>
            </w:r>
          </w:p>
          <w:p w14:paraId="60605F77">
            <w:pPr>
              <w:widowControl/>
              <w:spacing w:line="360" w:lineRule="exact"/>
              <w:jc w:val="left"/>
              <w:textAlignment w:val="center"/>
              <w:rPr>
                <w:rFonts w:ascii="宋体" w:hAnsi="宋体" w:cs="宋体"/>
                <w:color w:val="auto"/>
                <w:kern w:val="0"/>
                <w:szCs w:val="21"/>
                <w:highlight w:val="none"/>
                <w:lang w:bidi="ar"/>
              </w:rPr>
            </w:pPr>
            <w:r>
              <w:rPr>
                <w:rFonts w:ascii="宋体" w:hAnsi="宋体" w:cs="宋体"/>
                <w:color w:val="auto"/>
                <w:kern w:val="0"/>
                <w:szCs w:val="21"/>
                <w:highlight w:val="none"/>
                <w:lang w:bidi="ar"/>
              </w:rPr>
              <w:t>Wi-Fi 6室内吸顶无线接入点，内置智能天线，支持2.4G和5G同时工作，整机最大接入速率1501Mbps；2个千兆有线口。支持二层三层漫游，支持FIT与NAT(需要在小信云配置)工作模式，支持微信小程序开局，支持小信云平台/XMG/XRT统一管理方式，支持POE和12V/2A DC本地供电</w:t>
            </w:r>
            <w:r>
              <w:rPr>
                <w:rFonts w:hint="eastAsia" w:ascii="宋体" w:hAnsi="宋体" w:cs="宋体"/>
                <w:color w:val="auto"/>
                <w:kern w:val="0"/>
                <w:szCs w:val="21"/>
                <w:highlight w:val="none"/>
                <w:lang w:bidi="ar"/>
              </w:rPr>
              <w:t>；</w:t>
            </w:r>
          </w:p>
        </w:tc>
      </w:tr>
      <w:tr w14:paraId="5C6C9E5A">
        <w:tblPrEx>
          <w:tblCellMar>
            <w:top w:w="0" w:type="dxa"/>
            <w:left w:w="108" w:type="dxa"/>
            <w:bottom w:w="0" w:type="dxa"/>
            <w:right w:w="108" w:type="dxa"/>
          </w:tblCellMar>
        </w:tblPrEx>
        <w:trPr>
          <w:trHeight w:val="420" w:hRule="atLeast"/>
        </w:trPr>
        <w:tc>
          <w:tcPr>
            <w:tcW w:w="98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6A15">
            <w:pPr>
              <w:widowControl/>
              <w:spacing w:line="360" w:lineRule="exact"/>
              <w:jc w:val="left"/>
              <w:textAlignment w:val="center"/>
              <w:rPr>
                <w:rFonts w:ascii="宋体" w:hAnsi="宋体" w:cs="宋体"/>
                <w:b/>
                <w:color w:val="auto"/>
                <w:kern w:val="0"/>
                <w:szCs w:val="21"/>
                <w:highlight w:val="none"/>
                <w:lang w:bidi="ar"/>
              </w:rPr>
            </w:pPr>
            <w:r>
              <w:rPr>
                <w:rFonts w:hint="eastAsia" w:ascii="宋体" w:hAnsi="宋体" w:cs="宋体"/>
                <w:b/>
                <w:color w:val="auto"/>
                <w:kern w:val="0"/>
                <w:szCs w:val="21"/>
                <w:highlight w:val="none"/>
                <w:lang w:bidi="ar"/>
              </w:rPr>
              <w:t>（二）智能机器人基础教学实训室</w:t>
            </w:r>
          </w:p>
        </w:tc>
      </w:tr>
      <w:tr w14:paraId="30A1F07F">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CD22">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003A">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开源人形双足教育机器人</w:t>
            </w:r>
          </w:p>
        </w:tc>
        <w:tc>
          <w:tcPr>
            <w:tcW w:w="965" w:type="dxa"/>
            <w:tcBorders>
              <w:top w:val="single" w:color="000000" w:sz="4" w:space="0"/>
              <w:left w:val="nil"/>
              <w:bottom w:val="single" w:color="000000" w:sz="4" w:space="0"/>
              <w:right w:val="single" w:color="000000" w:sz="4" w:space="0"/>
            </w:tcBorders>
            <w:shd w:val="clear" w:color="auto" w:fill="auto"/>
            <w:vAlign w:val="center"/>
          </w:tcPr>
          <w:p w14:paraId="07697CC5">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18套</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5769">
            <w:pPr>
              <w:widowControl/>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一、功能描述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1、面向本科、中高职学生使用，支持人工智能教学的开源机器人载体。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▲2、机器人具有人形外观，双手双足，可灵活模拟人类肢体动作，内置伺服控制系统、传感反馈系统及直流驱动系统。含有≥17个高速带离合舵机。</w:t>
            </w:r>
            <w:r>
              <w:rPr>
                <w:rFonts w:hint="eastAsia" w:ascii="宋体" w:hAnsi="宋体" w:cs="宋体"/>
                <w:b/>
                <w:bCs/>
                <w:color w:val="auto"/>
                <w:kern w:val="0"/>
                <w:szCs w:val="21"/>
                <w:highlight w:val="none"/>
                <w:lang w:bidi="ar"/>
              </w:rPr>
              <w:t>（供货时提供产品彩页或者产品说明书等作为证明文件）</w:t>
            </w:r>
            <w:r>
              <w:rPr>
                <w:rFonts w:hint="eastAsia" w:ascii="宋体" w:hAnsi="宋体" w:cs="宋体"/>
                <w:b/>
                <w:bCs/>
                <w:color w:val="auto"/>
                <w:kern w:val="0"/>
                <w:szCs w:val="21"/>
                <w:highlight w:val="none"/>
                <w:lang w:bidi="ar"/>
              </w:rPr>
              <w:br w:type="textWrapping"/>
            </w:r>
            <w:r>
              <w:rPr>
                <w:rFonts w:hint="eastAsia" w:ascii="宋体" w:hAnsi="宋体" w:cs="宋体"/>
                <w:color w:val="auto"/>
                <w:kern w:val="0"/>
                <w:szCs w:val="21"/>
                <w:highlight w:val="none"/>
                <w:lang w:bidi="ar"/>
              </w:rPr>
              <w:t>3、接上连接线后，调用机器人本体系统中的图形化编程工具，可实现控制机器人的运动能力，主要可实现动作包含且不限于行走、举手，鞠躬、下蹲等。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4、具备视觉、语音、动作互动等基本功能。提供语音交互、语义识别、物体识别、人脸识别等智能技术的学习。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5、具有相应的编程软件支持，可支持基于Linux的开源软件架构，可兼容Raspberry Pi的开源软件模块。可支持图形化编程、Python、Java、C/C++等多种编程语言学习及应用开发。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▲6、设备能承载机器人方向1+X证书相关培训及考证。</w:t>
            </w:r>
            <w:r>
              <w:rPr>
                <w:rFonts w:hint="eastAsia" w:ascii="宋体" w:hAnsi="宋体" w:cs="宋体"/>
                <w:b/>
                <w:bCs/>
                <w:color w:val="auto"/>
                <w:kern w:val="0"/>
                <w:szCs w:val="21"/>
                <w:highlight w:val="none"/>
                <w:lang w:bidi="ar"/>
              </w:rPr>
              <w:t>（供货时需注明 1+X 证书具体名称、证书级别，并提供 1+x 职业技能等级证书信息管理服务平台查询页面截图）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二、配置要求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1、材质为铝合金外壳，PC+ABS材质。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2、在无阻断开阔空间下有效拾音距离约1米左右；支持通过麦克风语音控制机器人。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3、内置摄像头，用于拍照，人脸分析，人脸跟踪，手势识别等功能。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4、具有三种不同状态下的颜色指示灯。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5、具有紧急停止按键。机器人工作状态下，按下紧急停止键，机器人立刻断电并停止运行。</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6、配套专属教学App，教学App支持iOS和Android等主流移动设备，支持Wifi网络下接入机器人、控制机器人，包括“运动控制”“图形化编程”“回读(PRP)编程”“传感器”等。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▲7、提供配套电子实训指导书，实训内容包括：认识人形机器人教学平台、控制机器人头部关节转动、传感器API的使用、机器人识别颜色等。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设备支持专业课程体系，支持按需选配如下课程：满足人工智能、机器人专业课程教学，支持1+X证书《服务机器人实施与运维（初级）》、1+X《服务机器人应用开发（初级）》、《Python编程基础》、《机器视觉技术及应用》、《智能语音技术及应用》课程实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 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1、舵机参数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（1）输出扭矩：≥12kg•cm；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（2）转速(S/60°)：≥0.18 S/60°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（3）精度：带载精度≤1°；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2、主芯片及存储器：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（1）主芯片：性能相当于或者高于STM32F103VDT6+Broadcom BCM2837 1.2GHz 64-bit quad-core ARMv8 Cortex-A53；工作频率：≥1.2GHz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（2）RAM：≥1GB，ROM：≥16GB，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3、摄像头像素：≥800万像素 定焦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4、接口：具有≥6个开放接口，可支持连接≥4种外置传感器，包含且不限于红外传感器、温湿度传感器、压力传感器以及触碰传感器等。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5、通讯：支持蓝牙4.1及Wi-Fi2.4G 802.11b/g/n上网连接。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6、电池：可拆卸式电源，电池容量：≥2800mAh。</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7、软件功能：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（1）采用基于Linux的开源软件架构，支持用户直接调用并集成海量的Raspberry Pi的开源软件模块。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（2）支持多种传感器应用学习及设计开发，支持人形机器人动作步态学习及设计，内置步态算法系统，可实现前后、其他方向计算。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（3）支持人脸跟踪、人脸检测、人脸分析、人脸识别和物体识别等AI模型，用户可上传自定义视频来训练模型，实现特定物体的机器人识别。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（4）支持手眼互动，可通过颜色识别、形状识别、目标检测等视觉功能获得环境信息并完成机器人多种竞赛方案设计。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（5）提供基于Raspbian的桌面版PC 图形化编程工具，同时高亮显示积木块代码，支持学生从图形化编程到代码编程的进阶学习。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（6）提供一系列的基于机器人的开放RESTful-APIs，支持用户快速实现二次开发。</w:t>
            </w:r>
            <w:r>
              <w:rPr>
                <w:rFonts w:hint="eastAsia" w:ascii="宋体" w:hAnsi="宋体" w:cs="宋体"/>
                <w:color w:val="auto"/>
                <w:kern w:val="0"/>
                <w:szCs w:val="21"/>
                <w:highlight w:val="none"/>
                <w:lang w:bidi="ar"/>
              </w:rPr>
              <w:br w:type="textWrapping"/>
            </w:r>
            <w:r>
              <w:rPr>
                <w:rFonts w:hint="eastAsia" w:ascii="宋体" w:hAnsi="宋体" w:cs="宋体"/>
                <w:b/>
                <w:bCs/>
                <w:color w:val="auto"/>
                <w:kern w:val="0"/>
                <w:szCs w:val="21"/>
                <w:highlight w:val="none"/>
                <w:lang w:bidi="ar"/>
              </w:rPr>
              <w:t>▲供货时需提供厂家原件（均需加盖厂家公章）：1. 针对上述 1~7 项投标响应技术参数的确认函；2. 售后服务保证函。若确认函参数与实际供货产品参数不符，供应商与生产厂家须承担相关法律责任。</w:t>
            </w:r>
          </w:p>
          <w:p w14:paraId="081CFDF3">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四、其他要求</w:t>
            </w:r>
            <w:r>
              <w:rPr>
                <w:rFonts w:hint="eastAsia" w:ascii="宋体" w:hAnsi="宋体" w:cs="宋体"/>
                <w:color w:val="auto"/>
                <w:kern w:val="0"/>
                <w:szCs w:val="21"/>
                <w:highlight w:val="none"/>
                <w:lang w:bidi="ar"/>
              </w:rPr>
              <w:br w:type="textWrapping"/>
            </w:r>
            <w:r>
              <w:rPr>
                <w:rFonts w:hint="eastAsia" w:ascii="宋体" w:hAnsi="宋体" w:cs="宋体"/>
                <w:b/>
                <w:bCs/>
                <w:color w:val="auto"/>
                <w:kern w:val="0"/>
                <w:szCs w:val="21"/>
                <w:highlight w:val="none"/>
                <w:lang w:bidi="ar"/>
              </w:rPr>
              <w:t>产品获得软件著作权，供货时提供软著复印件或者扫描件。</w:t>
            </w:r>
          </w:p>
        </w:tc>
      </w:tr>
      <w:tr w14:paraId="5B4779FC">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8A6E">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w:t>
            </w:r>
          </w:p>
        </w:tc>
        <w:tc>
          <w:tcPr>
            <w:tcW w:w="876" w:type="dxa"/>
            <w:tcBorders>
              <w:top w:val="single" w:color="000000" w:sz="4" w:space="0"/>
              <w:left w:val="single" w:color="000000" w:sz="4" w:space="0"/>
              <w:bottom w:val="single" w:color="auto" w:sz="4" w:space="0"/>
              <w:right w:val="single" w:color="000000" w:sz="4" w:space="0"/>
            </w:tcBorders>
            <w:shd w:val="clear" w:color="auto" w:fill="auto"/>
            <w:vAlign w:val="center"/>
          </w:tcPr>
          <w:p w14:paraId="6A4B7A28">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开源人形双足教育机器人传感器套装</w:t>
            </w:r>
          </w:p>
        </w:tc>
        <w:tc>
          <w:tcPr>
            <w:tcW w:w="965" w:type="dxa"/>
            <w:tcBorders>
              <w:top w:val="single" w:color="000000" w:sz="4" w:space="0"/>
              <w:left w:val="nil"/>
              <w:bottom w:val="single" w:color="auto" w:sz="4" w:space="0"/>
              <w:right w:val="single" w:color="000000" w:sz="4" w:space="0"/>
            </w:tcBorders>
            <w:shd w:val="clear" w:color="auto" w:fill="auto"/>
            <w:vAlign w:val="center"/>
          </w:tcPr>
          <w:p w14:paraId="4740E8C3">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18套</w:t>
            </w:r>
          </w:p>
        </w:tc>
        <w:tc>
          <w:tcPr>
            <w:tcW w:w="7429" w:type="dxa"/>
            <w:tcBorders>
              <w:top w:val="single" w:color="000000" w:sz="4" w:space="0"/>
              <w:left w:val="single" w:color="000000" w:sz="4" w:space="0"/>
              <w:bottom w:val="single" w:color="auto" w:sz="4" w:space="0"/>
              <w:right w:val="single" w:color="000000" w:sz="4" w:space="0"/>
            </w:tcBorders>
            <w:shd w:val="clear" w:color="auto" w:fill="auto"/>
            <w:vAlign w:val="center"/>
          </w:tcPr>
          <w:p w14:paraId="28267689">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一、设备功能：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1、人形机器人平台配套传感器；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2、与人形机器人连接后可支持智能感知类课程教学和实验。</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3、传感器有≥4个，包含红外、触碰、温湿度、压力传感等。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二、参数描述：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传感器接口需方便与人形机器人平台便捷连接。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1、红外传感器：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工作温度：0~45℃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工作电压：DC 5V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功率：0.5W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红外波长：940nm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测距范围：8cm~150cm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检测角度：35°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通信协议：I2C</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2、触碰传感器：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工作温度：0~45℃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工作电压：DC 5V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功率：0.4W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通信协议：I2C</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3、压力传感器：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工作温度：0~45℃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工作电压：DC 5V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功率：0.4W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测试范围：0~10N</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通信协议：I2C</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4、温湿度传感器：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工作温度：0~45℃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工作电压：DC 5V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功率：0.05W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气压：10mbar~2000mbar</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湿度：50~95%RH</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温度：0~+45℃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通信协议：I2C</w:t>
            </w:r>
          </w:p>
        </w:tc>
      </w:tr>
      <w:tr w14:paraId="62843C5F">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8EB61F2">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31AC534E">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多模态机器人</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696B59D3">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18套</w:t>
            </w:r>
          </w:p>
        </w:tc>
        <w:tc>
          <w:tcPr>
            <w:tcW w:w="7429" w:type="dxa"/>
            <w:tcBorders>
              <w:top w:val="single" w:color="auto" w:sz="4" w:space="0"/>
              <w:left w:val="single" w:color="auto" w:sz="4" w:space="0"/>
              <w:bottom w:val="single" w:color="auto" w:sz="4" w:space="0"/>
              <w:right w:val="single" w:color="auto" w:sz="4" w:space="0"/>
            </w:tcBorders>
            <w:shd w:val="clear" w:color="auto" w:fill="auto"/>
            <w:vAlign w:val="center"/>
          </w:tcPr>
          <w:p w14:paraId="797DF298">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一、功能描述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1、产品是一款多拟态AI机器人，产品包含结构件、执行件和主控。配合3D动态图纸和可视化编程，趣味性的学习加动手操作，让学生从零基础轻松进入机器人世界。</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▲2、平台同时能运行多个算法模型，如人脸识别和颜色识别算法同时运行，并能提供算法并行运行的证明录屏。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3、编程平台开放了python sdk，可配合python工具实现更开放的编程，为我们的编程教学带来了新的可能，去实现人工智能识别、运动控制等这些有趣的功能。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二、配置要求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1、≥25个种类，≥80个零件，可构建主流机器人形态，可搭建平衡车、变形车、轮足机器人、四足机器人、蜘蛛、工程车等形态；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2、多功能控制器：配置3麦阵列麦克风，喇叭模块，触控显示屏，9轴陀螺仪，开源接口等，可以实现自然语音交互、机器人运动控制等功能，多个模块接口，实现设计程序运行，让搭建的作品动起来；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3、智能语音：本地VAD、在线ASR和在线TTS语音功能、NLP功能、3麦降噪、响度检测;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机器视觉：单、双轨车道识别、二维码识别、AprilTag定位识别、交通标志识别、车牌识别、颜色识别、自定义颜色识别、人脸识别、人脸特征（口罩、情绪、性别）识别、人体姿态识别、文字识别、手势识别、自定义模型训练CNN、Wi-Fi图传、识别结果图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5、运控算法：自适应算法、步态算法、自平衡算法、里程算法；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6、机器协作：多设备通信。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7、提供配套电子实训指导书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8、支持课程体系：满足人工智能、机器人相关专业的《人工智能通识》课程教学实训。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1、主芯片参数如下：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（1）闪存：≥32GB；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（2）NPU：≥1 TOPS；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（3）CPU：≥4核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2、舵机参数如下：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（1）最大扭矩：约13.0 kgf.cm；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（2）最大转速：≥60 RPM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（3）控制精度：空载≤1°，带载≤2°；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（4）角度范围：0～360°；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（5）工作电压：9.6-14.4 V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3、减速电机参数如下：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（1）工作电压 ：9.6-14.4 V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（2）最大扭矩：约2.0 kgf.cm；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（3）最大转速：≥360 RPM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4、摄像头模组参数如下：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（1）工作电压 ：≥5V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（2）视场角：≥100°；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（3）像素：≥1M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5、测距模组参数如下：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（1）工作电压 ：≥5V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（2）检测距离：4-200 cm；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（3）工作波段：940 nm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四、蓝牙手柄参数如下：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（1）频率范围 ：2.400~2.4835GHz；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（2）蓝牙版本：支持蓝牙4.0；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（3）电池容量：≥530毫安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五、其他要求</w:t>
            </w:r>
            <w:r>
              <w:rPr>
                <w:rFonts w:hint="eastAsia" w:ascii="宋体" w:hAnsi="宋体" w:cs="宋体"/>
                <w:color w:val="auto"/>
                <w:kern w:val="0"/>
                <w:szCs w:val="21"/>
                <w:highlight w:val="none"/>
                <w:lang w:bidi="ar"/>
              </w:rPr>
              <w:br w:type="textWrapping"/>
            </w:r>
            <w:r>
              <w:rPr>
                <w:rFonts w:hint="eastAsia" w:ascii="宋体" w:hAnsi="宋体" w:cs="宋体"/>
                <w:b/>
                <w:bCs/>
                <w:color w:val="auto"/>
                <w:kern w:val="0"/>
                <w:szCs w:val="21"/>
                <w:highlight w:val="none"/>
                <w:lang w:bidi="ar"/>
              </w:rPr>
              <w:t>供货时提供软件著作权证书复印件资料。</w:t>
            </w:r>
          </w:p>
        </w:tc>
      </w:tr>
      <w:tr w14:paraId="13CBDA8F">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6CC020C">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w:t>
            </w:r>
          </w:p>
        </w:tc>
        <w:tc>
          <w:tcPr>
            <w:tcW w:w="876" w:type="dxa"/>
            <w:tcBorders>
              <w:top w:val="single" w:color="auto" w:sz="4" w:space="0"/>
              <w:left w:val="nil"/>
              <w:bottom w:val="single" w:color="auto" w:sz="4" w:space="0"/>
              <w:right w:val="single" w:color="000000" w:sz="4" w:space="0"/>
            </w:tcBorders>
            <w:shd w:val="clear" w:color="auto" w:fill="auto"/>
            <w:vAlign w:val="center"/>
          </w:tcPr>
          <w:p w14:paraId="47284BDE">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边缘计算教学平台</w:t>
            </w:r>
          </w:p>
        </w:tc>
        <w:tc>
          <w:tcPr>
            <w:tcW w:w="965" w:type="dxa"/>
            <w:tcBorders>
              <w:top w:val="single" w:color="auto" w:sz="4" w:space="0"/>
              <w:left w:val="nil"/>
              <w:bottom w:val="single" w:color="auto" w:sz="4" w:space="0"/>
              <w:right w:val="single" w:color="000000" w:sz="4" w:space="0"/>
            </w:tcBorders>
            <w:shd w:val="clear" w:color="auto" w:fill="auto"/>
            <w:vAlign w:val="center"/>
          </w:tcPr>
          <w:p w14:paraId="1CCFFB9A">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18套</w:t>
            </w:r>
          </w:p>
        </w:tc>
        <w:tc>
          <w:tcPr>
            <w:tcW w:w="7429" w:type="dxa"/>
            <w:tcBorders>
              <w:top w:val="single" w:color="auto" w:sz="4" w:space="0"/>
              <w:left w:val="single" w:color="000000" w:sz="4" w:space="0"/>
              <w:bottom w:val="single" w:color="auto" w:sz="4" w:space="0"/>
              <w:right w:val="single" w:color="000000" w:sz="4" w:space="0"/>
            </w:tcBorders>
            <w:shd w:val="clear" w:color="auto" w:fill="auto"/>
            <w:vAlign w:val="center"/>
          </w:tcPr>
          <w:p w14:paraId="087A4D7A">
            <w:pPr>
              <w:widowControl/>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一、功能描述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平台是一款入门进阶级人工智能教学平台，其采用国产高性能AI算力平台，预置了丰富的AI应用和AI接口。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1、要求性能相当于或者优于八核64位A76+A55 处理器RK3588S， 采用≥8nm先进工艺 ，主频≥2.4GHz。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2、≥16GB内存容量 支持 LPDDR4。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3、集成GPU/VPU/NPU：NPU ≥6TOPS算力。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4、网络通讯功能：≥1路1000Mbps、≥1路100Mbps以太网 2.4G/5G双频WiFi、支持蓝牙4.2或者以上并可扩展支持4G LTE无线网络。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5、操作系统：可实现Android+linux系统融合；集成全球十大主流AI框架，并做了全面的环境部署和适配，开箱即用。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6、扩展接口：包括但不限于HDMI2.1、千兆以太网、USB3.0、 继电器等。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二、基本参数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1、SOC：性能相当于或者优于RockChip RK3588S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2、CPU：不低于八核64位, ≥8nm 先进工艺，主频≥2.4GHz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3、GPU：不低于四核GPU</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支持 OpenGL ES3.2 / OpenCL 2.2 / Vulkan1.1, 450 GFLOPS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4、NPU：NPU算力高达6 TOPS，支持INT4/INT8/INT16混合运算，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可实现基于TensorFlow / MXNet / PyTorch / Caffe等系列框架的网络模型转换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5、编解码：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（1）视频解码：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8K@60fps H.265/VP9/AVS2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8K@30fps H.264 AVC/MVC</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4K@60fps AV1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1080P@60fps MPEG-2/-1/VC-1/VP8</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（2）视频编码：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8K@30fps编码，支持H.265 / H.264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6、内存：≥16GB 64bit LPDDR4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7、存储：≥128GB eMMC</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8、存储扩展：1 × M.2接口，可扩展2242 SATA3.0 SSD，兼容2242 PCIe2.0 NVMe SSD，</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 TF Card</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▲9、产品内置AIoT应用开发与部署软件系统，支持XWayland Linux桌面显示技术；可同时运行Android和Linux系统,，且支持Android和Linux系统的跨系统交叉访问；能同时下载安装与运行Android和Linux系统的原生应用。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▲10、软件系统需内置≥9个AI应用示例程序，同时提供对应的例程源码。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三、硬件参数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1、无线网络：支持2.4GHz / 5GHz双频WiFi，802.11 a/b/g/n/ac 协议、蓝牙4.2或者以上并可扩展支持≥4G LTE 无线网络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2、以太网：</w:t>
            </w:r>
          </w:p>
          <w:p w14:paraId="288C992A">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1 × 100Mbps以太网(RJ45 )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 × 1000Mbps以太网(RJ45 )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3、视频输出：1 × HDMI2.1（8K@60fps或4K@120fps）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 DP1.4（8K@30fps）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支持双屏异显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4、音频输出：1 × 3.5mm耳机接口（带Mic录音）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 HDMI2.1音频输出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 DP1.4音频输出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5、USB：1 × USB3.0（限流1A）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 USB2.0（限流500mA）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 USB-C多功能接口（USB3.0 OTG / DP1.4）（限流2A）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6、其他接口：RS232 、RS485、CAN、继电器等接口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7、电源：DC12V电压输入 (DC5.5×2.1mm)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四、系统软件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支持双系统：AidLux商业版（Android+Linux系统融合）</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五、可支持课程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可支持≥3门课程。</w:t>
            </w:r>
          </w:p>
        </w:tc>
      </w:tr>
      <w:tr w14:paraId="3716989B">
        <w:tblPrEx>
          <w:tblCellMar>
            <w:top w:w="0" w:type="dxa"/>
            <w:left w:w="108" w:type="dxa"/>
            <w:bottom w:w="0" w:type="dxa"/>
            <w:right w:w="108" w:type="dxa"/>
          </w:tblCellMar>
        </w:tblPrEx>
        <w:trPr>
          <w:trHeight w:val="42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F36F7">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19</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403733C1">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开源移动机器人</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58220D09">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18套</w:t>
            </w:r>
          </w:p>
        </w:tc>
        <w:tc>
          <w:tcPr>
            <w:tcW w:w="7429" w:type="dxa"/>
            <w:tcBorders>
              <w:top w:val="single" w:color="auto" w:sz="4" w:space="0"/>
              <w:left w:val="single" w:color="auto" w:sz="4" w:space="0"/>
              <w:bottom w:val="single" w:color="auto" w:sz="4" w:space="0"/>
              <w:right w:val="single" w:color="auto" w:sz="4" w:space="0"/>
            </w:tcBorders>
            <w:shd w:val="clear" w:color="auto" w:fill="auto"/>
            <w:vAlign w:val="center"/>
          </w:tcPr>
          <w:p w14:paraId="6BBEA6A9">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一、产品功能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主要面向本科、中高职学生使用，作为机器人工程相关专业教学的开源ROS2机器人载体，支持相关课程的教学与实践。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2、具备灵活的运动控制能力，可实现前进、后退、转弯等基本动作，以及更复杂的路径规划和避障等高级运动控制功能。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具备视觉感知能力，能够通过摄像头进行图像采集和处理，实现物体识别、环境感知等功能；具有语音交互功能，能够进行语音识别和语音合成，实现与用户的语音沟通；还具备一定的动作交互能力，能够根据指令或环境变化做出相应的动作响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4、提供多种编程语言接口，如Python、C++等，方便学生进行编程学习和二次开发，实现基于小车的综合实训。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5、配套课程体系，支持ROS编程等课程实训。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二、产品参数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1、硬件参数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主控芯片及存储器：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设计： 双主控设计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主控单元1 (上位机):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CPU:性能相当于或者优于 8核心 Arm Cortex-A55 @ 1.5GHz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NPU/BPU 算力: ≥10 TOPS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GPU: ≥32 GFLOPS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RAM: ≥8GB LPDDR4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存储: ≥ 64GB (可扩展)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主控单元2 (下位机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MCU: 性能相当于或者优于STM32F407 (Arm Cortex-M4)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主频: ≥168MHz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SRAM: ≥192KB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Flash: ≥1MB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引出GPIO外设接口：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上位机: ≥20 GPIO 预留</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支持协议: SPI、I2C、I2S、UART等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驱动系统 (阿克曼运动底盘):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类型: 阿克曼底盘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电机: 直流电机 ×2 (预装高精度编码器)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舵机: 数字舵机 ×1 (用于转向)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运动学: 阿克曼运动学方案，支持同心转向轨迹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驱动设计: 闭环驱动系统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结构: 高负载底盘结构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集成传感器: 6轴姿态传感器 (IMU)</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图像传感器组件: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a. 深度相机: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技术类型: 单目结构光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深度范围: 0.6 – 8 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深度流分辨率与帧率: 640×480 @ 30fps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深度精度: ±3mm @ 1米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ROS/ROS2 兼容性: 提供ROS2驱动及功能包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b. RGB相机: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分辨率与帧率: ≥1080p (1920x1080) @ 30fps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视场角 (FOV): 水平 (H): ≥112°, 垂直 (V):≥ 80°, 对角线 (D): ≥120°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ROS/ROS2 兼容性: 提供ROS2驱动及图像发布功能包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 激光雷达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技术类型: TOF (Time of Flight) 近距激光雷达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数据分辨率:≥ 15mm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测距精度: ≤±3cm @ 70% 反射率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ROS/ROS2 兼容性: 提供ROS2驱动及LaserScan数据发布功能包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 音频传感器组件 (多麦克风阵列):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麦克风数量: ≥6个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布局: 环形阵列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声源定位 (SSL/DoA): 支持，精度 ≤±10°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声学处理能力: 支持音频降噪、回声消除 (AEC)</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ROS/ROS2 兼容性: 提供ROS2驱动，支持音频流发布及声源定位结果发布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 通讯：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无线局域网: 支持 2.4GHz/5GHz 双频，支持 Wi-Fi 6 协议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蓝牙: 支持蓝牙 5.4 协议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 材质：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外壳: 铝合金材质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2、软件参数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 操作系统与ROS版本：</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架构: 基于Linux的开源软件架构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预装系统: Ubuntu 22.04 镜像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ROS版本: 预装 ROS 2 Humble Hawksbill</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预装软件与算法：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系统预装图像识别与处理算法、音视频识别与处理算法、地图构建与定位导航算法 (SLAM) 等机器人开发教学必备软件算法。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 开源资料：</w:t>
            </w:r>
            <w:r>
              <w:rPr>
                <w:rFonts w:hint="eastAsia" w:ascii="宋体" w:hAnsi="宋体" w:cs="宋体"/>
                <w:color w:val="auto"/>
                <w:kern w:val="0"/>
                <w:szCs w:val="21"/>
                <w:highlight w:val="none"/>
                <w:lang w:bidi="ar"/>
              </w:rPr>
              <w:br w:type="textWrapping"/>
            </w:r>
            <w:r>
              <w:rPr>
                <w:rFonts w:hint="eastAsia" w:ascii="宋体" w:hAnsi="宋体" w:cs="宋体"/>
                <w:b/>
                <w:bCs/>
                <w:color w:val="auto"/>
                <w:kern w:val="0"/>
                <w:szCs w:val="21"/>
                <w:highlight w:val="none"/>
                <w:lang w:bidi="ar"/>
              </w:rPr>
              <w:t>供货时提供一系列产品硬件相关、软件相关的开源资料。</w:t>
            </w:r>
          </w:p>
        </w:tc>
      </w:tr>
      <w:tr w14:paraId="77768001">
        <w:tblPrEx>
          <w:tblCellMar>
            <w:top w:w="0" w:type="dxa"/>
            <w:left w:w="108" w:type="dxa"/>
            <w:bottom w:w="0" w:type="dxa"/>
            <w:right w:w="108" w:type="dxa"/>
          </w:tblCellMar>
        </w:tblPrEx>
        <w:trPr>
          <w:trHeight w:val="420" w:hRule="atLeast"/>
        </w:trPr>
        <w:tc>
          <w:tcPr>
            <w:tcW w:w="58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1011FC5">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876" w:type="dxa"/>
            <w:tcBorders>
              <w:top w:val="single" w:color="auto" w:sz="4" w:space="0"/>
              <w:left w:val="nil"/>
              <w:bottom w:val="single" w:color="000000" w:sz="4" w:space="0"/>
              <w:right w:val="single" w:color="000000" w:sz="4" w:space="0"/>
            </w:tcBorders>
            <w:shd w:val="clear" w:color="auto" w:fill="auto"/>
            <w:vAlign w:val="center"/>
          </w:tcPr>
          <w:p w14:paraId="6D745F99">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创意机器人教学套件</w:t>
            </w:r>
          </w:p>
        </w:tc>
        <w:tc>
          <w:tcPr>
            <w:tcW w:w="965" w:type="dxa"/>
            <w:tcBorders>
              <w:top w:val="single" w:color="auto" w:sz="4" w:space="0"/>
              <w:left w:val="nil"/>
              <w:bottom w:val="single" w:color="000000" w:sz="4" w:space="0"/>
              <w:right w:val="single" w:color="000000" w:sz="4" w:space="0"/>
            </w:tcBorders>
            <w:shd w:val="clear" w:color="auto" w:fill="auto"/>
            <w:vAlign w:val="center"/>
          </w:tcPr>
          <w:p w14:paraId="7EC1F6D7">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18套</w:t>
            </w:r>
          </w:p>
        </w:tc>
        <w:tc>
          <w:tcPr>
            <w:tcW w:w="7429" w:type="dxa"/>
            <w:tcBorders>
              <w:top w:val="single" w:color="auto" w:sz="4" w:space="0"/>
              <w:left w:val="single" w:color="000000" w:sz="4" w:space="0"/>
              <w:bottom w:val="single" w:color="000000" w:sz="4" w:space="0"/>
              <w:right w:val="single" w:color="000000" w:sz="4" w:space="0"/>
            </w:tcBorders>
            <w:shd w:val="clear" w:color="auto" w:fill="auto"/>
            <w:vAlign w:val="center"/>
          </w:tcPr>
          <w:p w14:paraId="2039C435">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一、设备功能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产品为拼搭式创意套件，可以通过卡扣、插销等把不同结构组件、元器件、面包板、连接线等配件，不需螺丝刀可通过扣槽连接、销连接可快速连接组装；支持人工智能/机器人相关专业教学、竞赛及学生个人兴趣等不同需求，拼搭出不同结构、不同功能的创意性作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配套教学平台兼容Arduino开源平台。所有伺服舵机运动组件及配套传感器等电子器件，可通过配套的连接线与控制器相连接，可通过编程工具进行数字化功能设定。同时各伺服驱动器支持数据回读，快速实现需要的动作编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3、设备能承载服务机器人方向1+X证书相关培训及考证。</w:t>
            </w:r>
            <w:r>
              <w:rPr>
                <w:rFonts w:hint="eastAsia" w:ascii="宋体" w:hAnsi="宋体" w:cs="宋体"/>
                <w:b/>
                <w:bCs/>
                <w:color w:val="auto"/>
                <w:kern w:val="0"/>
                <w:szCs w:val="21"/>
                <w:highlight w:val="none"/>
                <w:lang w:bidi="ar"/>
              </w:rPr>
              <w:t>（供货时需提供注明 1+X 证书具体名称、证书级别，供货时提供 1+x 职业技能等级证书信息管理服务平台查询页面）。</w:t>
            </w:r>
            <w:r>
              <w:rPr>
                <w:rFonts w:hint="eastAsia" w:ascii="宋体" w:hAnsi="宋体" w:cs="宋体"/>
                <w:b/>
                <w:bCs/>
                <w:color w:val="auto"/>
                <w:kern w:val="0"/>
                <w:szCs w:val="21"/>
                <w:highlight w:val="none"/>
                <w:lang w:bidi="ar"/>
              </w:rPr>
              <w:br w:type="textWrapping"/>
            </w:r>
            <w:r>
              <w:rPr>
                <w:rFonts w:hint="eastAsia" w:ascii="宋体" w:hAnsi="宋体" w:cs="宋体"/>
                <w:color w:val="auto"/>
                <w:kern w:val="0"/>
                <w:szCs w:val="21"/>
                <w:highlight w:val="none"/>
                <w:lang w:bidi="ar"/>
              </w:rPr>
              <w:t>二、设备配置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1、套件包含≥2000个高精密零件，包括控制模块、传感器模块、伺服驱动器、连接件、装饰件、扣件、连接线、电池、电源适配器等。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2、结构件材质为ABS、ABS+PC塑胶。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3、结构零件均采用扣槽连接、销连接的方式。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4、提供配套电子实训指导书，实训内容包括：智能两驱小车、小矮人机器人、模拟门铃、自动起落杆制作与调试、自动存钱罐制作与调试、避障小车制作与调试等。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5、产品可支持专业课程体系：支持满足人工智能、机器人专业课程教学，支持1+X证书《服务机器人应用开发（初级）》、《趣味机器人制作与调试》课程实训。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三、技术参数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1、伺服驱动器：最大输出扭矩：≥3.5KG·CM；转速(S/60°)：≥0.17 S/60°；精度：空载精度≤1度，带载精度≤3度；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2、控制模块：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主控芯片：ATMEGA2560；其他配置：内建无源蜂鸣器，可编程RGB LED灯模组，陀螺仪MPU6050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3、传感器与执行器配置：≥8种传感器；蓝牙模块；LED灯光模组；4KG伺服电机 ≥12；减速电机 ≥4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4、通讯接口：3Pin插座≥8、7Pin插座≥6、Micro USB母座≥1、2Pin插座≥1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5、电池：额定容量：≥1500mAh；标称电压：≥7.4V。   </w:t>
            </w:r>
          </w:p>
        </w:tc>
      </w:tr>
      <w:tr w14:paraId="4E92C62C">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5F8A">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21D4">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智慧黑板</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C85E">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C135">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一、屏体参数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1、智能交互平板显示尺寸≧86英寸，分辨率：3840*2160，采用红外触控技术，在双系统下均支持40点同时触控。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2、智能交互平板表面玻璃应采用高强度AG防眩钢化玻璃，玻璃厚度≤3.2mm，硬度可达莫氏7级，可达到石英抗划等级，屏体表面强度≥100Mpa。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3、智能交互平板双侧边框宽度≤17mm，提升视觉效果及教学沉浸感。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4、智能交互平板前面板可支持≥1根磁吸笔吸附。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5、智能交互平板前面板具备2路USB3.0接口，1路USB Type-c接口。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6、智能交互平板后置接口标配VGA输入≥1路，HDMI输入≥1路，Audio IN≥1路，Audio Out≥1路。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7、智能交互平板前置物理按键≤1个，具备电脑开关、节能息屏、锁屏功能。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8、智能交互平板内置Wi-Fi6无线网卡，在Android和Windows系统下，可实现Wi-Fi无线上网连接、AP无线热点发射，在Android和Windows系统下支持无线设备同时连接数量≥30个。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9、整机内置蓝牙Bluetooth 5.0模块，支持连接外部蓝牙音箱播放音频。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▲10、智能交互平板具备前置电脑还原按键，为避免误碰按键采用针孔式设计，并配有中文标识</w:t>
            </w:r>
            <w:r>
              <w:rPr>
                <w:rFonts w:hint="eastAsia" w:ascii="宋体" w:hAnsi="宋体" w:cs="宋体"/>
                <w:b/>
                <w:bCs/>
                <w:color w:val="auto"/>
                <w:kern w:val="0"/>
                <w:szCs w:val="21"/>
                <w:highlight w:val="none"/>
                <w:lang w:bidi="ar"/>
              </w:rPr>
              <w:t>（投标时需提供国家认可的第三方检测机构出具的检测报告并加盖供应商公章）。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▲11、采用针孔阵列发声设计，智能交互平板下边框具有2个发声单元，总功率≥30W</w:t>
            </w:r>
            <w:r>
              <w:rPr>
                <w:rFonts w:hint="eastAsia" w:ascii="宋体" w:hAnsi="宋体" w:cs="宋体"/>
                <w:b/>
                <w:bCs/>
                <w:color w:val="auto"/>
                <w:kern w:val="0"/>
                <w:szCs w:val="21"/>
                <w:highlight w:val="none"/>
                <w:lang w:bidi="ar"/>
              </w:rPr>
              <w:t>（投标时需提供国家认可的第三方检测机构出具的检测报告并加盖供应商公章）。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▲12、智能交互平板具备≥12核芯片驱动， Android 系统版本≥14.0，内存≥2G，存储≥8G。</w:t>
            </w:r>
            <w:r>
              <w:rPr>
                <w:rFonts w:hint="eastAsia" w:ascii="宋体" w:hAnsi="宋体" w:cs="宋体"/>
                <w:b/>
                <w:bCs/>
                <w:color w:val="auto"/>
                <w:kern w:val="0"/>
                <w:szCs w:val="21"/>
                <w:highlight w:val="none"/>
                <w:lang w:bidi="ar"/>
              </w:rPr>
              <w:t>（投标时需提供国家认可的第三方检测机构出具的检测报告并加盖供应商公章）</w:t>
            </w:r>
            <w:r>
              <w:rPr>
                <w:rFonts w:hint="eastAsia" w:ascii="宋体" w:hAnsi="宋体" w:cs="宋体"/>
                <w:b/>
                <w:bCs/>
                <w:color w:val="auto"/>
                <w:kern w:val="0"/>
                <w:szCs w:val="21"/>
                <w:highlight w:val="none"/>
                <w:lang w:bidi="ar"/>
              </w:rPr>
              <w:br w:type="textWrapping"/>
            </w:r>
            <w:r>
              <w:rPr>
                <w:rFonts w:hint="eastAsia" w:ascii="宋体" w:hAnsi="宋体" w:cs="宋体"/>
                <w:color w:val="auto"/>
                <w:kern w:val="0"/>
                <w:szCs w:val="21"/>
                <w:highlight w:val="none"/>
                <w:lang w:bidi="ar"/>
              </w:rPr>
              <w:t>▲13、内置一体化超高清4K摄像头，单颗摄像头有效像素1200W，可输出最大分辨率5104*3864的图片与视频</w:t>
            </w:r>
            <w:r>
              <w:rPr>
                <w:rFonts w:hint="eastAsia" w:ascii="宋体" w:hAnsi="宋体" w:cs="宋体"/>
                <w:b/>
                <w:bCs/>
                <w:color w:val="auto"/>
                <w:kern w:val="0"/>
                <w:szCs w:val="21"/>
                <w:highlight w:val="none"/>
                <w:lang w:bidi="ar"/>
              </w:rPr>
              <w:t>（投标时需提供国家认可的第三方检测机构出具的检测报告并加盖供应商公章）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14、可通过手机微信扫码解锁，手机通过权限后，交互平板有网时，可扫码直接进入操作系统；交互平板无网时，可手动输入动态密码进入操作系统。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15、可开启企业微信扫码解锁，配置成功后，开机时可使用已绑定企业的企业微信扫码进入操作系统，企业外用户无法扫码进入操作系统。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16、智能交互平板采用硬件低蓝光背光技术，无需其他操作即可达到蓝光防护效果。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17、智能交互平板全通道支持纸质护眼模式，可实现画面纹理的实时调整；支持纸质纹理：素描纸、宣纸、水彩纸；支持透明度调节与色温调节。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18、通过五指抓取屏幕任意位置可调出多任务处理窗口，并对正在运行的应用进行浏览、快速切换或结束进程。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19、智能交互平板背光系统支持DC调光方式，多级亮度调节。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20、在任意信号源下，从屏幕下方任意位置向上滑动，可调用快捷设置菜单；无需切换系统，可快速调节Windows 和Android 的设置，并支持拖拽到屏幕任意位置。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▲21、智能交互平板采用OPS-C 标准的80pin针口设计，屏体与插拔式电脑无单独接线；接口严格遵循Inter®的 OPS-C 相关规范</w:t>
            </w:r>
            <w:r>
              <w:rPr>
                <w:rFonts w:hint="eastAsia" w:ascii="宋体" w:hAnsi="宋体" w:cs="宋体"/>
                <w:b/>
                <w:bCs/>
                <w:color w:val="auto"/>
                <w:kern w:val="0"/>
                <w:szCs w:val="21"/>
                <w:highlight w:val="none"/>
                <w:lang w:bidi="ar"/>
              </w:rPr>
              <w:t>（投标时需提供国家认可的第三方检测机构出具的检测报告并加盖供应商公章）。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二、内置电脑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1、采用80pin Intel通用标准接口,即插即用，易于维护。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2、尺寸长度≥220mm，厚度≤30mm。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3、CPU采用Intel第11代及以上平台处理器酷睿I5处理器。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4、内存：≥8G DDR4。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5、硬盘：≥256G SSD固态硬盘。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6、接口：整机非外扩展具备5个USB接口；具有独立非外扩展的视频输出接口：≥1路HDMI等。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内置电脑内置蓝牙5.0以上及WIFI6以上</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三、配套教学互动系统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1、系统为基于Windows系统的教师授课软件，C/S架构，无需平台支撑在局域网环境下即可开展课堂互动教学，互动过程数据自动保存到课程文件夹中。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2、为实现不同教师使用需求，教学互动系统支持两种（账号、扫码）以上登陆方式，且登陆完毕后，可查看自己自定义添加的应用软件。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为满足不同的教学场景书写,提供九种书写笔，包括:硬笔、软笔、手势笔、竹笔、图章笔、智能笔、粉笔、纹理笔、激光笔。其中多种书写笔支持四种颜色和多种笔记粗细模式的更换，为方便教师辨识，所有书写笔提供中文指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4、支持首页欢迎语自定义，可根据需求修改内容及字体；支持背景图自定义，提供8种以上背景模板，且可上传本地图片。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考勤签到：教师上课后，学生通过移动端搜索课程无感签到，无需采用二维码或课堂暗号等繁琐操作。为了不耽误教师的上课时间，签到界面在关闭的情况下学生仍然可以签到，系统自动记录学生签到时间。同时具备2次签到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6、学生加入课堂方式：具有教师批量导入和学生自行加入两种方式；教师具有学生自行加入课堂的控制权限。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7、支持将做好的课件保存在个人空间，老师在授课时进入个人空间后即可直接打开授课使用，无需下载，为方便老师课件存储，每个账号提供2TB的空间容量。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课程文件夹：文件夹中至少包括以下2方面课堂数据，1）课程总结：课程名称，教师姓名，学生姓名、学号，学生参与课时数、互动数，互动得分，课堂表现得分等内容；2）课时小结：每堂课课时开始时间，学生签到时间，如果教师发起了二次签到，还需记录二次签到时间；课时互动及课中每个互动详情，题目小结、学生提交情况等。</w:t>
            </w:r>
            <w:r>
              <w:rPr>
                <w:rFonts w:hint="eastAsia" w:ascii="宋体" w:hAnsi="宋体" w:cs="宋体"/>
                <w:b/>
                <w:bCs/>
                <w:color w:val="auto"/>
                <w:kern w:val="0"/>
                <w:szCs w:val="21"/>
                <w:highlight w:val="none"/>
                <w:lang w:bidi="ar"/>
              </w:rPr>
              <w:t>（投标时需提供该功能内容的文件截图，并加盖供应商公章）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9、书写：为了方便教师的操作，屏幕批注和黑板须在同一菜单栏操作，拒绝采用2个软件调用的方式实现。批注、手写的内容可分享给学生。黑板具有手势漫游和放大功能，板擦具有板擦、圈擦和清屏的选择。</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10、课件下发：可将文本、图片、PPT、Word、EXCELL等格式的课件下发给学生；学生可在课堂上查看即可在课后查看，资料按课程课时排列保存；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下发选择题，具有单选、多选、问卷等题型，教师能自有设备测试题的分值、正确答案、限时、分组模式等设置；支持全体回答、抢答；题目下发后，系统自动显示班级人数，签到人数和提交人数。结束答题后，对于由于网络拥挤造成的未提交学生，教师可以开启延时提交。结束答题，系统即时生成与题面同屏显示柱状图或饼图，统计每题每选项的选择数量及正确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下发主观题：学生具有图片、文字等回答方式。图片回答具有拍照、相册，原图编辑、空白编辑等不低于4种的选择，支持对提交图片的剪裁、批注；批注时可放大、拖动，批注笔迹粗细、颜色可选择；学生提交答案后教师能选择单个答案全屏展示， 且能选择多个学生答题进行同屏对比展示、投票等活动。教师还可以开启课中学生互评功能。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13、备课方式，满足不同教师的教学习惯，系统支持教师通过书写大屏手写下发习题，同时支持把问题写入课件中，截屏下发题目；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14、具有随机挑人和抢答功能，支持一次性挑选多人或多人抢答；被选中的学生，能开启教师或学生评分，计入学生的平时成绩中；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15、课堂笔记：学生端可以自由截取教师屏幕，截取内容包括课件，黑板等内容。课堂笔记保存在课时小结中，方便学生个性化学习和掌握。教师具有课堂笔记开关权限；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16、分组教学，系统支持随机分组，自选分组等多种分组模式，分组模式下能实现分组竞赛，分组答题等功能；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17、提供知识配对、分类达人、填空达人等多种类型课堂活动，每种课堂活动提供5种活动模板，老师备课时通过活动模板即可快速制作趣味活动，以增加课堂趣味性。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▲18、能同时进行6路手机投屏，开展探究式对比教学。投屏内容包括手机屏幕界面，手机中的图片、文件或手机摄像头拍摄内容。</w:t>
            </w:r>
            <w:r>
              <w:rPr>
                <w:rFonts w:hint="eastAsia" w:ascii="宋体" w:hAnsi="宋体" w:cs="宋体"/>
                <w:b/>
                <w:bCs/>
                <w:color w:val="auto"/>
                <w:kern w:val="0"/>
                <w:szCs w:val="21"/>
                <w:highlight w:val="none"/>
                <w:lang w:bidi="ar"/>
              </w:rPr>
              <w:t>（投标时需提供6路投屏的界面截图，并加盖供应商公章）。</w:t>
            </w:r>
            <w:r>
              <w:rPr>
                <w:rFonts w:hint="eastAsia" w:ascii="宋体" w:hAnsi="宋体" w:cs="宋体"/>
                <w:b/>
                <w:bCs/>
                <w:color w:val="auto"/>
                <w:kern w:val="0"/>
                <w:szCs w:val="21"/>
                <w:highlight w:val="none"/>
                <w:lang w:bidi="ar"/>
              </w:rPr>
              <w:br w:type="textWrapping"/>
            </w:r>
            <w:r>
              <w:rPr>
                <w:rFonts w:hint="eastAsia" w:ascii="宋体" w:hAnsi="宋体" w:cs="宋体"/>
                <w:color w:val="auto"/>
                <w:kern w:val="0"/>
                <w:szCs w:val="21"/>
                <w:highlight w:val="none"/>
                <w:lang w:bidi="ar"/>
              </w:rPr>
              <w:t>19、课堂广播：教师打开课堂广播功能后，学生即可在移动端观看教师的电脑画面，解决教室远端的学生看不清教室屏幕的问题。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20、学生移动端支持对教师进行点赞，举手，发起弹幕等活动，激活课堂、促进交流。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21、学生移动端：具有Android、Ios、Windows版本的学生端下载软件，支持BYOD，同时支持电脑机房的课堂互动。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22、学生端支持自动收藏随堂测试中个人错题，同时支持学生手动收藏，方便重点复习。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23、教师移动端具有Android、Ios下载软件，功能同步。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24、提供课堂专属影音播放平台，软件至少包含产品教程、云课堂、TV电视、我的资源等功能模块，且媒体主界面预留至少3个常用频道模块，用户可将常用的频道一键添加至媒体中心主界面，无需单独安装视频播放软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25、支持一键查看交互设备使用教程，视频教程不少于100个，包含电脑使用技巧、软件使用、学科应用等内容，便于用户快速掌握使用技巧。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26、为方便教师与学生快速了解实时新闻 与科教资讯，无需下载视频播放APP, 即可播放CCTV频道：具备新闻、体育、健康、科教、经济、农业、法制、军事、纪实、影视等不少于10种类别视频资讯。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四、课后服务云盒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1、硬件规格</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（1）软硬一体化设计，支持壁挂式安装；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（2）CPU：采用四核Cortex-A55；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（3）GPU：双核ARM图像处理器；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（4）内存：LPDDR4 2GB；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（5）存储：不少于64GB，支持TF卡扩展；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（6）整机接口：1*USB2.0 HOST for TOUCH 、1*USB2.0、 1*USB3.0，1*HDMI2.0 OUT 支持4K60HZ、1*LINE OUT 3.5mm 音频接口；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（7）网络接口：2*RJ45 LAN口，一个LAN IN，一个LAN OUT，两个LAN口均支持 10M/100M/1000M，具备交换功能；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（8）与大屏一体机、智慧黑板同一品牌，以确保使用效果。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2、设备管控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（1）采用 B/S 架构设计，可在 Windows、Linux、Android、IOS 等多种不同的操作系统上通过网页浏览器登录进行操作。</w:t>
            </w:r>
            <w:r>
              <w:rPr>
                <w:rFonts w:hint="eastAsia" w:ascii="宋体" w:hAnsi="宋体" w:cs="宋体"/>
                <w:b/>
                <w:bCs/>
                <w:color w:val="auto"/>
                <w:kern w:val="0"/>
                <w:szCs w:val="21"/>
                <w:highlight w:val="none"/>
                <w:lang w:bidi="ar"/>
              </w:rPr>
              <w:br w:type="textWrapping"/>
            </w:r>
            <w:r>
              <w:rPr>
                <w:rFonts w:hint="eastAsia" w:ascii="宋体" w:hAnsi="宋体" w:cs="宋体"/>
                <w:color w:val="auto"/>
                <w:kern w:val="0"/>
                <w:szCs w:val="21"/>
                <w:highlight w:val="none"/>
                <w:lang w:bidi="ar"/>
              </w:rPr>
              <w:t>（2）支持集控平台对接，进行统一管理控制。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（3）设备具备物联网能力，支持对选定的受控设备进行休眠、唤醒、重启。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3、课程资源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（1）提供体系化素质类课程，课程体系可按授课内容展开，包括音视频、图片、文本等各类型资源。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（2）提供不少5类包含爱国主义教育、数独、互动绘本、趣味思维、非遗手工实践等不少于260课时体系化的非学科类课程。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（3）爱国主义教育课程：提供课程总量不少于2学期，每学期不少于16节课次的爱国主义教育主题相关的教学资源，每学期提供包含但不限于：在线课件*16课次等。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（4）互动绘本类课程：提供课程总量不少于6学期，每学期不少于 16节课次的文化素养主题相关的教学资源。每节课包含但不限于：在线教学课件1份、电子版学生操作单1份等。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（5）数独课程：提供课程总量不少于2学期，每学期不少于16节课次数理逻辑主题相关的教学资源。每节课提供包含但不限于：在线课件*1份、电子版学生操作单1份等。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（6）趣味思维课程：提供课程总量不少于6学期，每学期不少于 16节课次的数理思维主题相关的教学资源。每节课包含但不限于：在线教学课件1份、电子版学生操作单1份等。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（7）非遗手工实践课程：提供课程总量不少于2学期，每学期不少于16课次手工实践主题相关的教学资源，每学期提供包含但不限于：在线课件*16份，教师教案（电子版）*16份等。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课程设计按照学生心理发展特点，采用交互式体验学习来提升课堂教学效果，在课件中使用互动式课堂活动，包括双人选择、双人判断、填空、文字连线、图文连线、趣味选择、排序、翻翻卡、消消乐、分类，使用的互动式课堂活动形式不少于10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（9）课程播放软件支持实时屏幕批注及批注清除。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4、软件及功能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（1）首次开机运行后，支持通过手机扫描二维码进行设备注册，支持绑定学校，支持更改注册信息。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（2）支持将课程下载到本地，通过“我的课程库”访问，“我的课程库”内课程支持添加、删除。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（3）为教师提供备课平台，支持在线观看课程，每门课程都提供相应的备课指导资料。</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▲五、质量保证期:</w:t>
            </w:r>
            <w:r>
              <w:rPr>
                <w:rFonts w:hint="eastAsia" w:ascii="宋体" w:hAnsi="宋体" w:cs="宋体"/>
                <w:b/>
                <w:bCs/>
                <w:color w:val="auto"/>
                <w:kern w:val="0"/>
                <w:szCs w:val="21"/>
                <w:highlight w:val="none"/>
                <w:lang w:bidi="ar"/>
              </w:rPr>
              <w:t xml:space="preserve"> 3年（自交货并验收合格之日起计），供货时提供售后服务承诺书原件，供货证明原件及厂家盖章的技术参数证明原件。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▲六、</w:t>
            </w:r>
            <w:r>
              <w:rPr>
                <w:rFonts w:hint="eastAsia" w:ascii="宋体" w:hAnsi="宋体" w:cs="宋体"/>
                <w:b/>
                <w:bCs/>
                <w:color w:val="auto"/>
                <w:kern w:val="0"/>
                <w:szCs w:val="21"/>
                <w:highlight w:val="none"/>
                <w:lang w:bidi="ar"/>
              </w:rPr>
              <w:t>供货时必须提供生产厂家针对本项目开具的售后服务承诺函及授权书原件（加盖原厂红章），成交供应商成交后需提供样机，用于标注“▲”的功能检测，如不满足响应要求，采购人有权拒收。</w:t>
            </w:r>
          </w:p>
        </w:tc>
      </w:tr>
      <w:tr w14:paraId="30E1CFD2">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C2B1">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AF24">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智能控制工作站</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EF44">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37套</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1BC2">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一、基本参数：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1、CPU：英特尔酷睿十四代处理器I7-12700，核心≥12核，主频≥2.1G，≥25M缓存或以上；</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▲2、主板：英特尔B760系列芯片组主板或以上，不少于1*PCIe x16、2*PCIe x1、1*PCI、2*M.2插槽，整机原生8个USB接口（不接受PCIE插槽转接），前置要求4*USB 3.2；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3、内存：≥16G DDR4 3200 MHz，不少于2个DIMM插槽，最大支持64G；</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4、硬盘：≥512-SSD，配备原厂硬盘保护架；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5、光驱：无光驱；</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▲6、显卡：NVIDIA GTX1650 4G独立显卡；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7、电源：280W节能电源，符合海拔5000米使用标准，适应恶劣供电环境，电源可在90V-265V范围内工作，直流工作电压可承受偏离标称值±6%；</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8、其他配件：同品牌原装键盘鼠标，键盘有五功能热键，支持键盘一键关机；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▲9、主机箱：机箱体积≤15L，顶置提手和资产管理标签，顶置开关、重启键，顶置≥3个运行状态指示灯，为防止灰尘堆积，主机通风口处内置可拆卸清洗防尘罩，以延长部件寿命；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10、扩展：不占用扩展插槽或增加外设，可扩展第二串口和并口；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显示器：同品牌≥23.8英寸宽屏液晶显示器，具有低蓝光护眼功能，带蓝光过滤器，用户可以通过设置调整蓝光照射的比例，以启用“蓝光过滤器”滤除短波蓝光，调整蓝光比例数值至少有：50%、60%、70%、80%四种模式，</w:t>
            </w:r>
            <w:r>
              <w:rPr>
                <w:rFonts w:hint="eastAsia" w:ascii="宋体" w:hAnsi="宋体" w:cs="宋体"/>
                <w:b/>
                <w:bCs/>
                <w:color w:val="auto"/>
                <w:kern w:val="0"/>
                <w:szCs w:val="21"/>
                <w:highlight w:val="none"/>
                <w:lang w:bidi="ar"/>
              </w:rPr>
              <w:t>投标时需提供满足要求的蓝光功能的演示截图并加盖供应商公章。</w:t>
            </w:r>
            <w:r>
              <w:rPr>
                <w:rFonts w:hint="eastAsia" w:ascii="宋体" w:hAnsi="宋体" w:cs="宋体"/>
                <w:b/>
                <w:bCs/>
                <w:color w:val="auto"/>
                <w:kern w:val="0"/>
                <w:szCs w:val="21"/>
                <w:highlight w:val="none"/>
                <w:lang w:bidi="ar"/>
              </w:rPr>
              <w:br w:type="textWrapping"/>
            </w:r>
            <w:r>
              <w:rPr>
                <w:rFonts w:hint="eastAsia" w:ascii="宋体" w:hAnsi="宋体" w:cs="宋体"/>
                <w:color w:val="auto"/>
                <w:kern w:val="0"/>
                <w:szCs w:val="21"/>
                <w:highlight w:val="none"/>
                <w:lang w:bidi="ar"/>
              </w:rPr>
              <w:t>二、原厂同品牌软件保护卡功能要求：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1、网络同传：基于Windows操作环境下数据即时压缩克隆，提升网络克隆的速度，减少克隆时间，用户使用更直观，简单；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多点可逆还原：采用树状多点还原技术，支持建立不少于254个还原点，每个还原点皆各自独立，可同时支持5个排程策略，“每次启动”“每周”“每月”等。按照设定的时间自动进入预设的还原点，如每周一进入还原点1 ，每周二进入还原点2；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3、UNDI传输方式：可实现在Windows操作系统上进行网络复制（在Windows上拷贝Windows），传输速度：950MB--1.2GB/Min；</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4、差异增量拷贝功能、资产时实监控管理功能，控制台界面中可列出客户端的进程信息，主机直接关闭客户端正在进行的可疑应用程序。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5、禁止使用USB：可禁用USB存储设备和光驱设备，禁用USB设备对USB鼠标键盘不会影响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6、共享分区的保护功能：可设置共享分区定时每次，每天，每月，每周，还原，无需手动还原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7、文件目录映射：可把保护分区下的一个目录转移到非保护分区，重启后这个目录将不被还原，可将每次还原的系統的资料夹转移到不还原的磁盘上。</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8、故障智能定位功能：可侦测客户端机器的硬盘读写速度及丢包率可以定位客户端机器网络环境异常，硬盘故障，方便用户及时定位故障等；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w:t>
            </w:r>
            <w:r>
              <w:rPr>
                <w:rFonts w:hint="eastAsia" w:ascii="宋体" w:hAnsi="宋体" w:cs="宋体"/>
                <w:b/>
                <w:bCs/>
                <w:color w:val="auto"/>
                <w:kern w:val="0"/>
                <w:szCs w:val="21"/>
                <w:highlight w:val="none"/>
                <w:lang w:bidi="ar"/>
              </w:rPr>
              <w:t>供货时提供与主机同品牌的“软件保护卡系统”的“国家版权局著作权证书”扫描件（加盖厂商公章或供应商公章），并提供第三方对“软件保护卡系统”的功能性、易用性、中文性的评测报告。</w:t>
            </w:r>
            <w:r>
              <w:rPr>
                <w:rFonts w:hint="eastAsia" w:ascii="宋体" w:hAnsi="宋体" w:cs="宋体"/>
                <w:b/>
                <w:bCs/>
                <w:color w:val="auto"/>
                <w:kern w:val="0"/>
                <w:szCs w:val="21"/>
                <w:highlight w:val="none"/>
                <w:lang w:bidi="ar"/>
              </w:rPr>
              <w:br w:type="textWrapping"/>
            </w:r>
            <w:r>
              <w:rPr>
                <w:rFonts w:hint="eastAsia" w:ascii="宋体" w:hAnsi="宋体" w:cs="宋体"/>
                <w:color w:val="auto"/>
                <w:kern w:val="0"/>
                <w:szCs w:val="21"/>
                <w:highlight w:val="none"/>
                <w:lang w:bidi="ar"/>
              </w:rPr>
              <w:t>三、商务资质认证要求：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1、提供产品通过箱体封闭试验，将样品置于50°C的密封箱体中，开机运行2个小时，实验样品可以正常工作认证；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2、提供产品通过防火试验，达到外壳V-0，印制板V-0级别认证；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3、提供产品通过噪音声压级≤4dB、声功率级≤1.5Bel认证；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4、提供产品通过电磁辐射B级试验，低于国家标准8dB认证；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5、提供产品投标通过有关人体辐射的电磁场测量方法，低频磁场辐射值不高于0.62%认证；</w:t>
            </w:r>
            <w:r>
              <w:rPr>
                <w:rFonts w:hint="eastAsia" w:ascii="宋体" w:hAnsi="宋体" w:cs="宋体"/>
                <w:color w:val="auto"/>
                <w:kern w:val="0"/>
                <w:szCs w:val="21"/>
                <w:highlight w:val="none"/>
                <w:lang w:bidi="ar"/>
              </w:rPr>
              <w:br w:type="textWrapping"/>
            </w:r>
            <w:r>
              <w:rPr>
                <w:rFonts w:hint="eastAsia" w:ascii="宋体" w:hAnsi="宋体" w:cs="宋体"/>
                <w:b/>
                <w:bCs/>
                <w:color w:val="auto"/>
                <w:kern w:val="0"/>
                <w:szCs w:val="21"/>
                <w:highlight w:val="none"/>
                <w:lang w:bidi="ar"/>
              </w:rPr>
              <w:t>以上认证供货时需出具国家权威机构的检验证书复印件，并加盖供应商公章或者生产厂家公章；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四、质保：原厂3年免费保修（节假日不休），终身400或800呼叫中心热线7*24小时免费技术支持服务,保修服务可以通过机器序列号与原厂服务中心确认；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五、货物证明：</w:t>
            </w:r>
            <w:r>
              <w:rPr>
                <w:rFonts w:hint="eastAsia" w:ascii="宋体" w:hAnsi="宋体" w:cs="宋体"/>
                <w:b/>
                <w:bCs/>
                <w:color w:val="auto"/>
                <w:kern w:val="0"/>
                <w:szCs w:val="21"/>
                <w:highlight w:val="none"/>
                <w:lang w:bidi="ar"/>
              </w:rPr>
              <w:t>供货时须提供由生产厂家针对本项目的有效供货证明及售后服务承诺书原件。</w:t>
            </w:r>
          </w:p>
        </w:tc>
      </w:tr>
      <w:tr w14:paraId="2AD915CE">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0EB6">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A984">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智能升降讲台</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99D5">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1张</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EDBB">
            <w:pPr>
              <w:widowControl/>
              <w:numPr>
                <w:ilvl w:val="0"/>
                <w:numId w:val="5"/>
              </w:numPr>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建议产品尺寸L*W*H（mm）：1100*650*1100 ；900mm(±5)（桌面离地高度）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需采用钢木结合设计，讲桌上下层钣金采用1.0-2.0mm冷轧钢板，保证产品的结构稳定性。钣金零件全部都通过酸洗磷化喷涂后再进行高温烘烤，有效防锈；讲桌喷涂细致，颗粒均匀；桌面采用18MM木质耐刮材料。</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三、整体采用环抱式设计，前面采用前倾式结构设计，两侧边角采用模具圆弧开模一体成型，中间设计厚18mm高厚度木质材料，结合处无明显缝隙设计工艺；木质部分可安装学校LOGO；</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四、布局设计：桌面左侧设计支持放置23.8寸或29寸触控显示器装置，仰角建议为26°；桌面右侧整体平整设计，为教学教具提供更大放置区域；设计一个抽屉可放置教学教具使用，抽屉采用三节加厚钢珠静音导轨，材料厚度为1.2mm。</w:t>
            </w:r>
          </w:p>
          <w:p w14:paraId="4FA72169">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五、显示器装置需支持电动调整仰角，控制面板位于桌面上方。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六、讲桌需提供外接端口，包括HDMI、USB、220V电源等。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七、内置设备机柜：采用标准钣金机柜设计，机柜的安装空间≥13U。</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八、需提供显示器专业书写笔一支，固定设计且配伸缩式连接线。</w:t>
            </w:r>
          </w:p>
        </w:tc>
      </w:tr>
      <w:tr w14:paraId="1A7F24DB">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22FC">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97BB">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24口交换机</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1847">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2台</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C0A4">
            <w:pPr>
              <w:widowControl/>
              <w:numPr>
                <w:ilvl w:val="0"/>
                <w:numId w:val="6"/>
              </w:numPr>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二层轻管接入交换机，24个千兆电口，2个千兆SFP光口；</w:t>
            </w:r>
          </w:p>
          <w:p w14:paraId="6609B259">
            <w:pPr>
              <w:widowControl/>
              <w:numPr>
                <w:ilvl w:val="0"/>
                <w:numId w:val="6"/>
              </w:numPr>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交换容量256Gbps，包转发率48Mpps；</w:t>
            </w:r>
          </w:p>
          <w:p w14:paraId="677F204A">
            <w:pPr>
              <w:widowControl/>
              <w:numPr>
                <w:ilvl w:val="0"/>
                <w:numId w:val="6"/>
              </w:numPr>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与锐灵网关或路由配合组网，可通过小信云进行网口VLAN配置、静态MAC地址绑定、端口隔离、环路检测、DHCP-SNOOPING、设备重启等操作，还支持在小信云进行设备状态监控；</w:t>
            </w:r>
          </w:p>
          <w:p w14:paraId="7EA9F7B5">
            <w:pPr>
              <w:widowControl/>
              <w:numPr>
                <w:ilvl w:val="0"/>
                <w:numId w:val="6"/>
              </w:numPr>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支持全端口线速转发；</w:t>
            </w:r>
          </w:p>
          <w:p w14:paraId="12B4B405">
            <w:pPr>
              <w:widowControl/>
              <w:numPr>
                <w:ilvl w:val="0"/>
                <w:numId w:val="6"/>
              </w:numPr>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支持PoE 输入与内置电源(220V/50Hz)输入两种供电模式，两种供电模式互为热备。</w:t>
            </w:r>
          </w:p>
        </w:tc>
      </w:tr>
      <w:tr w14:paraId="206FA928">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D65C">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w:t>
            </w:r>
          </w:p>
        </w:tc>
        <w:tc>
          <w:tcPr>
            <w:tcW w:w="876" w:type="dxa"/>
            <w:tcBorders>
              <w:top w:val="single" w:color="000000" w:sz="4" w:space="0"/>
              <w:left w:val="nil"/>
              <w:bottom w:val="single" w:color="000000" w:sz="4" w:space="0"/>
              <w:right w:val="single" w:color="000000" w:sz="4" w:space="0"/>
            </w:tcBorders>
            <w:shd w:val="clear" w:color="auto" w:fill="auto"/>
            <w:vAlign w:val="center"/>
          </w:tcPr>
          <w:p w14:paraId="68E09A05">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中央控制系统</w:t>
            </w:r>
          </w:p>
        </w:tc>
        <w:tc>
          <w:tcPr>
            <w:tcW w:w="965" w:type="dxa"/>
            <w:tcBorders>
              <w:top w:val="single" w:color="000000" w:sz="4" w:space="0"/>
              <w:left w:val="nil"/>
              <w:bottom w:val="single" w:color="000000" w:sz="4" w:space="0"/>
              <w:right w:val="single" w:color="000000" w:sz="4" w:space="0"/>
            </w:tcBorders>
            <w:shd w:val="clear" w:color="auto" w:fill="auto"/>
            <w:vAlign w:val="center"/>
          </w:tcPr>
          <w:p w14:paraId="3DA70F22">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D50B">
            <w:pPr>
              <w:widowControl/>
              <w:numPr>
                <w:ilvl w:val="0"/>
                <w:numId w:val="7"/>
              </w:numPr>
              <w:spacing w:line="360" w:lineRule="exact"/>
              <w:jc w:val="left"/>
              <w:textAlignment w:val="center"/>
              <w:rPr>
                <w:rFonts w:ascii="宋体" w:hAnsi="宋体" w:cs="宋体"/>
                <w:b/>
                <w:bCs/>
                <w:color w:val="auto"/>
                <w:kern w:val="0"/>
                <w:szCs w:val="21"/>
                <w:highlight w:val="none"/>
                <w:lang w:bidi="ar"/>
              </w:rPr>
            </w:pPr>
            <w:r>
              <w:rPr>
                <w:rFonts w:hint="eastAsia" w:ascii="宋体" w:hAnsi="宋体" w:cs="宋体"/>
                <w:color w:val="auto"/>
                <w:kern w:val="0"/>
                <w:szCs w:val="21"/>
                <w:highlight w:val="none"/>
                <w:lang w:bidi="ar"/>
              </w:rPr>
              <w:t>融合管理平台：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1、物联控制，可对与设备对频后的物联设备进行控制,物联设备类型有电源、空调、窗帘，正常开关电源、开关空调、控制窗帘开关停，禁用本地操作的物联设备无法进行控制。</w:t>
            </w:r>
            <w:r>
              <w:rPr>
                <w:rFonts w:hint="eastAsia" w:ascii="宋体" w:hAnsi="宋体" w:cs="宋体"/>
                <w:b/>
                <w:bCs/>
                <w:color w:val="auto"/>
                <w:kern w:val="0"/>
                <w:szCs w:val="21"/>
                <w:highlight w:val="none"/>
                <w:lang w:bidi="ar"/>
              </w:rPr>
              <w:t>（供货时提供国家认可的第三方检测机构出具的有效软件测试报告复印件并加盖供应商公章）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2、具备IP对讲功能，可正常呼叫/挂断 web 平台管理员，也可接受来自 Web 平台管理员的呼叫/挂断，正常控制通话音量大小。</w:t>
            </w:r>
            <w:r>
              <w:rPr>
                <w:rFonts w:hint="eastAsia" w:ascii="宋体" w:hAnsi="宋体" w:cs="宋体"/>
                <w:b/>
                <w:bCs/>
                <w:color w:val="auto"/>
                <w:kern w:val="0"/>
                <w:szCs w:val="21"/>
                <w:highlight w:val="none"/>
                <w:lang w:bidi="ar"/>
              </w:rPr>
              <w:t>（供货时提供国家认可的第三方检测机构出具的有效软件测试报告复印件并加盖供应商公章）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3、具备基于公网的云平台服务，向授权认证用户具备基于公网的云支撑平台服务。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4、具备远程维护功能，用户通过软件可发起远程请求，厂家技术人员可远程进行系统升级、维护、故障定位等服务。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5、软件系统具备事件联动报警机制，通过事件触发器可根据设定的优先级触发相关特定动作，如：消防语音广播、视频通告、紧急断电等。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具备数据大屏显示功能，可以独立页面显示，显示终端设备状态，离线、开机、关机、禁用数量；显示物联状态，电源、空调、窗帘的开机、关机、离线数量；显示任务状态，当前任务模板、调课内容、运行模式、任务统计柱状显示、当前播放任务内容；显示能耗统计，曲线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7、具有对终端（智能终端）远程实时监控、操作、预定操作等可视化及智能化的设备管理功能，具备对终端所连接的电脑进行 Windows桌面的远程监控和远程控制功能。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8、具备监控预览功能，无需安装插件，直接进行监控画面预览。具备监控墙功能，可实现9宫格和16宫格切换显示。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9、具备IC授权管理，具备导入IC卡用户信息，IC卡插（刷）卡授权开机，具备设备联动一键开机及关机，具备动态二维码扫码开机。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具备网络视频源地址的实时播放(具备≥3路网络视频同时播放），可对指定或预先分组设定的教室终端（非计算机）进行定时播出等功能，并可依预先设定的程序对受控信息终端所连接的显示设备进行电源管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11、具备设备异常离线告警，可设置离线阈值，当达到设置离线阈值系统可自动推送信息到绑定的微信管理账号实现实时消息离线提醒。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具备首页功能，可以显示终端设备状态，离线、开机、关机、禁用数量；显示物联状态，电源、空调、窗帘的开机、关机、离线数量；显示任务状态，当前任务模板、调课内容、运行模式、任务数量（可点击图标跳转到对应页面）、当前播放任务内容；显示能耗统计，曲线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13、集成呼叫台功能，可直接通过软件平台对终端设备进行实时成员选择，语音喊话，音乐播放。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14、具备设备状态曲线图统计如开机、设备能耗、离线数据。具备日志统计图、设备日志、用户日志、系统日志具备设备日志总览如开机时长曲线图、离线统计曲线图。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15、开放软件平台接口，具备标准API，可实现一卡通对接、教务对接、大数据单点登录、数据打通，实现信息及数据的联动。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二、基础控制单元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1、机柜式终端，标准1U机架式设计，内置LINUX操作系统。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▲2、集成千兆交换机功能，具备4个RJ45网口及1路SFP光纤端口，最大支持3组VLAN划分。集成2*40W数字功放，具备1路3.5mm音频线性输入接口，1路3.5mm无线麦克风音频输入接口，具备2路3.5mm音频线性输出。1路48V 供电有线麦克风输入接口，支持配置幻象供电开启或关闭。具备2路RS232通信端口，具备1路RS485通信端口，具备1路干接点接口，具备1路12V/2A输出接口，具备2路GPIO接口。板载集成HDMI4*4全交叉无缝矩阵,具备2路HDMI输入接口，具备2路HDMI输出接口及1路HDBaseT高清接口。HDMI及HDbaseT接口均支持4K高清分辨率。</w:t>
            </w:r>
            <w:r>
              <w:rPr>
                <w:rFonts w:hint="eastAsia" w:ascii="宋体" w:hAnsi="宋体" w:cs="宋体"/>
                <w:b/>
                <w:bCs/>
                <w:color w:val="auto"/>
                <w:kern w:val="0"/>
                <w:szCs w:val="21"/>
                <w:highlight w:val="none"/>
                <w:lang w:bidi="ar"/>
              </w:rPr>
              <w:t>（投标时需提供国家认可的第三方检测机构出具的检测报告复印件，并加盖供应商公章，要求内容能体现满足上述参数要求，否则视为无效响应。）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▲3、具备1路USB通信接口,具备4路USB KVM切换。</w:t>
            </w:r>
            <w:r>
              <w:rPr>
                <w:rFonts w:hint="eastAsia" w:ascii="宋体" w:hAnsi="宋体" w:cs="宋体"/>
                <w:b/>
                <w:bCs/>
                <w:color w:val="auto"/>
                <w:kern w:val="0"/>
                <w:szCs w:val="21"/>
                <w:highlight w:val="none"/>
                <w:lang w:bidi="ar"/>
              </w:rPr>
              <w:t>（投标时需提供国家认可的第三方检测机构出具的检测报告复印件，并加盖供应商公章，要求内容能体现满足上述参数要求，否则视为无效响应。）</w:t>
            </w:r>
            <w:r>
              <w:rPr>
                <w:rFonts w:hint="eastAsia" w:ascii="宋体" w:hAnsi="宋体" w:cs="宋体"/>
                <w:b/>
                <w:bCs/>
                <w:color w:val="auto"/>
                <w:kern w:val="0"/>
                <w:szCs w:val="21"/>
                <w:highlight w:val="none"/>
                <w:lang w:bidi="ar"/>
              </w:rPr>
              <w:br w:type="textWrapping"/>
            </w:r>
            <w:r>
              <w:rPr>
                <w:rFonts w:hint="eastAsia" w:ascii="宋体" w:hAnsi="宋体" w:cs="宋体"/>
                <w:color w:val="auto"/>
                <w:kern w:val="0"/>
                <w:szCs w:val="21"/>
                <w:highlight w:val="none"/>
                <w:lang w:bidi="ar"/>
              </w:rPr>
              <w:t>4、国标市电输入，支持本机能耗检测；支持通过IP网络或Modbus协议绑定同品牌智能配电模块实现至少6路独立强电管理。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5、具备网络中控功能，支持电教设备的本地或远程控制。集成物联网关功能，支持能耗数据上报。支持 MQTT协议，支持扩展最大30路2.4G无线物联模块，配合系统平台及小程序可远程对终端设备及物联模块进行手动、定时、集控管理。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具备音视频硬解码能力，具备平台推送的音视频广播播放功能，可播放平台定时/手动广播任务，支持HTTP、RTSP、UDP、RTMP等主流流媒体协议，配合系统平台支持0-100级广播级别选择。支持智能终端在待机状态下接收服务器预设的高清流媒体内容或在线电视节目进行自动播放，自动开启和关闭显示设备，实现智能自动播放的功能。</w:t>
            </w:r>
            <w:r>
              <w:rPr>
                <w:rFonts w:hint="eastAsia" w:ascii="宋体" w:hAnsi="宋体" w:cs="宋体"/>
                <w:b/>
                <w:bCs/>
                <w:color w:val="auto"/>
                <w:kern w:val="0"/>
                <w:szCs w:val="21"/>
                <w:highlight w:val="none"/>
                <w:lang w:bidi="ar"/>
              </w:rPr>
              <w:t>（投标时需提供国家认可的第三方检测机构出具的检测报告复印件，并加盖供应商公章，要求内容能体现满足上述参数要求，否则视为无效响应。）</w:t>
            </w:r>
            <w:r>
              <w:rPr>
                <w:rFonts w:hint="eastAsia" w:ascii="宋体" w:hAnsi="宋体" w:cs="宋体"/>
                <w:b/>
                <w:bCs/>
                <w:color w:val="auto"/>
                <w:kern w:val="0"/>
                <w:szCs w:val="21"/>
                <w:highlight w:val="none"/>
                <w:lang w:bidi="ar"/>
              </w:rPr>
              <w:br w:type="textWrapping"/>
            </w:r>
            <w:r>
              <w:rPr>
                <w:rFonts w:hint="eastAsia" w:ascii="宋体" w:hAnsi="宋体" w:cs="宋体"/>
                <w:color w:val="auto"/>
                <w:kern w:val="0"/>
                <w:szCs w:val="21"/>
                <w:highlight w:val="none"/>
                <w:lang w:bidi="ar"/>
              </w:rPr>
              <w:t>7、支持web配置界面，支持本地系统参数、网络参数、串口参数、面板参数、音视频矩阵参数、IO接口参数、显示设备参数等配置。支持开关机场景及自定义场景配置。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通过配套触控面板可完成一键开关机设备、音量调节、广播控制。支持IC卡刷卡/插卡、IP对讲等功能，支持同品牌无线麦克风接入及扩声。支持设备故障报修功能，待机状态下可显示设备联机网络信息、终端ID信息、运维电话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9、支持≥6路大屏/投影机同屏显示或≥4路大屏/投影机异屏显示及控制，支持输出画面冻结功能。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10、支持自有品牌麦克风的接入、控制和状态查询，包括麦克风电量、使用状态、充电状态及锁止状态等。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11、支持通过RS232串口控制协议，实现对第三方设备的接入控制，包括：智能交互平板、投影机、录播主机、音频处理器等设备。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12、支持通过RS485串口控制协议，实现对RS485从设备的控制。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三、中央控制系统提供原厂3年质保服务。</w:t>
            </w:r>
            <w:r>
              <w:rPr>
                <w:rFonts w:hint="eastAsia" w:ascii="宋体" w:hAnsi="宋体" w:cs="宋体"/>
                <w:b/>
                <w:bCs/>
                <w:color w:val="auto"/>
                <w:kern w:val="0"/>
                <w:szCs w:val="21"/>
                <w:highlight w:val="none"/>
                <w:lang w:bidi="ar"/>
              </w:rPr>
              <w:t>（供货时提供原厂售后服务承诺函）</w:t>
            </w:r>
          </w:p>
          <w:p w14:paraId="3DF3FE23">
            <w:pPr>
              <w:widowControl/>
              <w:numPr>
                <w:ilvl w:val="0"/>
                <w:numId w:val="8"/>
              </w:numPr>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控制面板</w:t>
            </w:r>
          </w:p>
          <w:p w14:paraId="3A699C42">
            <w:pPr>
              <w:widowControl/>
              <w:numPr>
                <w:ilvl w:val="0"/>
                <w:numId w:val="9"/>
              </w:numPr>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一体化设计，工业ABS工程塑料注塑成型，支持桌面及墙面固定安装方式。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▲2、具备1个RJ45千兆网口，1路HDMI输入接口，1路USB接口，1路3.5mm音频输入接口，1路3.5mm音频输出接口，1路12V/1A输出接口,1路干接点接口, 1路GPIO接口；支持POE/DC 12V/2A受电。</w:t>
            </w:r>
            <w:r>
              <w:rPr>
                <w:rFonts w:hint="eastAsia" w:ascii="宋体" w:hAnsi="宋体" w:cs="宋体"/>
                <w:b/>
                <w:bCs/>
                <w:color w:val="auto"/>
                <w:kern w:val="0"/>
                <w:szCs w:val="21"/>
                <w:highlight w:val="none"/>
                <w:lang w:bidi="ar"/>
              </w:rPr>
              <w:t>（供货时提供国家认可的第三方检测机构出具的检测报告复印件，要求内容能体现满足上述参数要求。）</w:t>
            </w:r>
            <w:r>
              <w:rPr>
                <w:rFonts w:hint="eastAsia" w:ascii="宋体" w:hAnsi="宋体" w:cs="宋体"/>
                <w:b/>
                <w:bCs/>
                <w:color w:val="auto"/>
                <w:kern w:val="0"/>
                <w:szCs w:val="21"/>
                <w:highlight w:val="none"/>
                <w:lang w:bidi="ar"/>
              </w:rPr>
              <w:br w:type="textWrapping"/>
            </w:r>
            <w:r>
              <w:rPr>
                <w:rFonts w:hint="eastAsia" w:ascii="宋体" w:hAnsi="宋体" w:cs="宋体"/>
                <w:color w:val="auto"/>
                <w:kern w:val="0"/>
                <w:szCs w:val="21"/>
                <w:highlight w:val="none"/>
                <w:lang w:bidi="ar"/>
              </w:rPr>
              <w:t>▲3、基于Android系统，配备10.1英寸工业触控屏，屏幕分辨率1920×1200，亮度500nits；集成200万像素双目摄像头；集成IC卡读卡器；内置扬声器、拾音器；具备音视频编解码能力。</w:t>
            </w:r>
            <w:r>
              <w:rPr>
                <w:rFonts w:hint="eastAsia" w:ascii="宋体" w:hAnsi="宋体" w:cs="宋体"/>
                <w:b/>
                <w:bCs/>
                <w:color w:val="auto"/>
                <w:kern w:val="0"/>
                <w:szCs w:val="21"/>
                <w:highlight w:val="none"/>
                <w:lang w:bidi="ar"/>
              </w:rPr>
              <w:t>（供货时提供国家认可的第三方检测机构出具的检测报告复印件，要求内容能体现满足上述参数要求，否则视为无效响应。）</w:t>
            </w:r>
            <w:r>
              <w:rPr>
                <w:rFonts w:hint="eastAsia" w:ascii="宋体" w:hAnsi="宋体" w:cs="宋体"/>
                <w:b/>
                <w:bCs/>
                <w:color w:val="auto"/>
                <w:kern w:val="0"/>
                <w:szCs w:val="21"/>
                <w:highlight w:val="none"/>
                <w:lang w:bidi="ar"/>
              </w:rPr>
              <w:br w:type="textWrapping"/>
            </w:r>
            <w:r>
              <w:rPr>
                <w:rFonts w:hint="eastAsia" w:ascii="宋体" w:hAnsi="宋体" w:cs="宋体"/>
                <w:color w:val="auto"/>
                <w:kern w:val="0"/>
                <w:szCs w:val="21"/>
                <w:highlight w:val="none"/>
                <w:lang w:bidi="ar"/>
              </w:rPr>
              <w:t>4、具备人体近场感应能力，实现屏幕自动唤醒功能。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5、配合系统平台支持远程IP对讲、语音监听、二维码正/反扫、人脸识别、课表同步、IC卡同步等功能。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▲6、配合同品牌智能融合终端支持一键上下课、画面切换、声音调整、物联设备控制、音视频广播控制、直播课堂、录播预览及控制等功能。</w:t>
            </w:r>
            <w:r>
              <w:rPr>
                <w:rFonts w:hint="eastAsia" w:ascii="宋体" w:hAnsi="宋体" w:cs="宋体"/>
                <w:b/>
                <w:bCs/>
                <w:color w:val="auto"/>
                <w:kern w:val="0"/>
                <w:szCs w:val="21"/>
                <w:highlight w:val="none"/>
                <w:lang w:bidi="ar"/>
              </w:rPr>
              <w:t>（供货时提供国家认可的第三方检测机构出具的检测报告复印件，要求内容能体现满足上述参数要求，否则视为无效响应。）</w:t>
            </w:r>
            <w:r>
              <w:rPr>
                <w:rFonts w:hint="eastAsia" w:ascii="宋体" w:hAnsi="宋体" w:cs="宋体"/>
                <w:b/>
                <w:bCs/>
                <w:color w:val="auto"/>
                <w:kern w:val="0"/>
                <w:szCs w:val="21"/>
                <w:highlight w:val="none"/>
                <w:lang w:bidi="ar"/>
              </w:rPr>
              <w:br w:type="textWrapping"/>
            </w:r>
            <w:r>
              <w:rPr>
                <w:rFonts w:hint="eastAsia" w:ascii="宋体" w:hAnsi="宋体" w:cs="宋体"/>
                <w:color w:val="auto"/>
                <w:kern w:val="0"/>
                <w:szCs w:val="21"/>
                <w:highlight w:val="none"/>
                <w:lang w:bidi="ar"/>
              </w:rPr>
              <w:t>7、开放UI控制接口，支持界面自主定制。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8、与中央控制系统为同一品牌，无缝控制使用。</w:t>
            </w:r>
          </w:p>
          <w:p w14:paraId="467A7FE4">
            <w:pPr>
              <w:widowControl/>
              <w:numPr>
                <w:ilvl w:val="0"/>
                <w:numId w:val="8"/>
              </w:numPr>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空调控制器 2台</w:t>
            </w:r>
          </w:p>
          <w:p w14:paraId="3E70A04B">
            <w:pPr>
              <w:widowControl/>
              <w:numPr>
                <w:ilvl w:val="0"/>
                <w:numId w:val="10"/>
              </w:numPr>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壁挂式安装，需通过无线方式与智能融合终端连接。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2、需通过平台软件远程控制空调，及检测空调的使用情况。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3、内置能耗计量芯片，可实时检测空调运行状态并上报能耗数据。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4、远程空调模块可根据平台预先设定的控制模式自动运行。</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5、需支持授权用户通过WEB、微信小程序远程操作。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6、需采用防脱落插头，防止线路脱落造成事故。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7、内置温湿度传感器，配合软件管理平台可实时显示当前区域温湿度状态。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8、需具备≥1路红外输出，用于控制红外设备开关机及模式切换。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9、需支持红外码的导入导出，需支持手动学习红外码。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10、需具备自动或手动方式进入通电应急模式。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11、为保证系统兼容性，要求与中央控制系统为同一品牌，实现在系统平台上控制空调的开关及温度调节。</w:t>
            </w:r>
          </w:p>
          <w:p w14:paraId="4C4457F6">
            <w:pPr>
              <w:widowControl/>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六、485智能空开 2个</w:t>
            </w:r>
          </w:p>
          <w:p w14:paraId="6E7AD53D">
            <w:pPr>
              <w:widowControl/>
              <w:numPr>
                <w:ilvl w:val="0"/>
                <w:numId w:val="11"/>
              </w:numPr>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额定电流：63A，电压：230V/AC400V；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2、额定电流In：In为10A、32A、40A、50A、63A、80A、 100A。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3、寿命：机械寿命通断10000次，电气寿命 通断 6000次。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4、分断能力：10KA；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5、脱扣类型：C型；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6、漏电保护：线路漏电推送预警信息并断电保护；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7、短路保护：0.04S内脱扣；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8、功率限定：达到限定功率，能快速断路保护；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9、电流限定：达到限定电流，能快速断路保护；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10、过压（欠压）保护：过压动作值设定范围: AC 240-300V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11、手机遥控，可以按键自动控制，也可通过手动推杆控制通断；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12、具有用电计量功能，可计量和统计回路的每天、每月的用电量；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13、具有远程分断和合闸的功能；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14、设备通信：485接口。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15、安装方式：导轨卡口。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16、需要通过485与中央控制系统连接实现在智能系统平台上远程控制、状态反馈同时将能耗数据发到系统平台。</w:t>
            </w:r>
          </w:p>
          <w:p w14:paraId="4B8A280E">
            <w:pPr>
              <w:widowControl/>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七、音箱2对</w:t>
            </w:r>
          </w:p>
          <w:p w14:paraId="11E0A656">
            <w:pPr>
              <w:widowControl/>
              <w:numPr>
                <w:ilvl w:val="0"/>
                <w:numId w:val="12"/>
              </w:numPr>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阻抗：4欧。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2、灵敏度：87dB。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3、频率响应：70-22KHz。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4、峰值功率：100W。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5、指向性：水平指向：110度；垂直指向：90度。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6、体积：340*258*147.5mm。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7、高音单元：3寸进口丝膜球顶高音单元*2。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8、低音单元：5.25寸中低音HiFi喇叭单元*2。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9、外壳材料：ABS工程塑料。</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10、安装：壁挂式安装。无需增加功放，直接配套中央控制系统使用</w:t>
            </w:r>
          </w:p>
          <w:p w14:paraId="08D54012">
            <w:pPr>
              <w:widowControl/>
              <w:numPr>
                <w:ilvl w:val="0"/>
                <w:numId w:val="13"/>
              </w:numPr>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有线鹅颈麦克风</w:t>
            </w:r>
          </w:p>
          <w:p w14:paraId="6883A9E2">
            <w:pPr>
              <w:widowControl/>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1、类型：驻极式电容传声器。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2、供电：3V/48V幻象（兼容）。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3、灵敏度：12MV/PA。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4、指向性：超心型。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5、输入阻抗：600Ω平衡式。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6、性噪比：60DB。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7、频率响应：60-12500HZ。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▲8、与中央控制系统为同一品牌，支持直接接入中央控制系统进行实时扩音</w:t>
            </w:r>
          </w:p>
        </w:tc>
      </w:tr>
      <w:tr w14:paraId="753D57ED">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461C">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26</w:t>
            </w:r>
          </w:p>
        </w:tc>
        <w:tc>
          <w:tcPr>
            <w:tcW w:w="876" w:type="dxa"/>
            <w:tcBorders>
              <w:top w:val="single" w:color="000000" w:sz="4" w:space="0"/>
              <w:left w:val="nil"/>
              <w:bottom w:val="single" w:color="000000" w:sz="4" w:space="0"/>
              <w:right w:val="single" w:color="000000" w:sz="4" w:space="0"/>
            </w:tcBorders>
            <w:shd w:val="clear" w:color="auto" w:fill="auto"/>
            <w:vAlign w:val="center"/>
          </w:tcPr>
          <w:p w14:paraId="7E0C25D8">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网络机柜</w:t>
            </w:r>
          </w:p>
        </w:tc>
        <w:tc>
          <w:tcPr>
            <w:tcW w:w="965" w:type="dxa"/>
            <w:tcBorders>
              <w:top w:val="single" w:color="000000" w:sz="4" w:space="0"/>
              <w:left w:val="nil"/>
              <w:bottom w:val="single" w:color="000000" w:sz="4" w:space="0"/>
              <w:right w:val="single" w:color="000000" w:sz="4" w:space="0"/>
            </w:tcBorders>
            <w:shd w:val="clear" w:color="auto" w:fill="auto"/>
            <w:vAlign w:val="center"/>
          </w:tcPr>
          <w:p w14:paraId="507A0E2D">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1台</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A63D">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一、规格：WDH/550mm×450mm×350mm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二、颜色：砂纹灰白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描述：机柜为框架式壁挂结构，内置19"标准立柱，配层板承托设备，前门为钢制嵌边式玻璃门，侧门采用快捷卡扣式安装，可拆卸，含两块侧门；机柜设计底部走线方式，顶、底预留进线，机柜静态载重达到120KG。</w:t>
            </w:r>
          </w:p>
        </w:tc>
      </w:tr>
      <w:tr w14:paraId="2477F5D4">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4A1C">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27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BAA5">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移动录播主机</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B56F">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1台</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92B3">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一、整体设计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1、主机架构：为保障系统运行稳定、安全，要求移动录播主机采用嵌入式架构设计、Linux操作系统，非PC、服务器架构。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2、硬件结构：要求主机采用笔记本翻盖样式设计，高度＜2U，重量＜6kg。主机应具备1920*1080分辨率的电容液晶触控屏支持触控导播操作，并同时也内嵌有按键式导播键盘进行按键导播。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3、功能设计：要求主机功能高度集成，需具备视频录制、导播、存储、直播、点播、视音频互动等多种功能于一体。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▲4、节能环保：要求主机采用不高于36V电压进行供电，整机满载工作状态下的功耗不高于55W，</w:t>
            </w:r>
            <w:r>
              <w:rPr>
                <w:rFonts w:hint="eastAsia" w:ascii="宋体" w:hAnsi="宋体" w:cs="宋体"/>
                <w:b/>
                <w:bCs/>
                <w:color w:val="auto"/>
                <w:kern w:val="0"/>
                <w:szCs w:val="21"/>
                <w:highlight w:val="none"/>
                <w:lang w:bidi="ar"/>
              </w:rPr>
              <w:t>供货时提供第三方机构检测报告复印件并加盖厂商投标章或公章进行佐证（检测报告需具备CMA（中国计量认证证书）或CNAS（中国合格评定国家认可证书）标识）。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▲5、低噪声设计：要求所投移动录播主机采用无风扇散热设计，产生噪声最大值≤45dB(A)，不影响正常录制效果，</w:t>
            </w:r>
            <w:r>
              <w:rPr>
                <w:rFonts w:hint="eastAsia" w:ascii="宋体" w:hAnsi="宋体" w:cs="宋体"/>
                <w:b/>
                <w:bCs/>
                <w:color w:val="auto"/>
                <w:kern w:val="0"/>
                <w:szCs w:val="21"/>
                <w:highlight w:val="none"/>
                <w:lang w:bidi="ar"/>
              </w:rPr>
              <w:t>供货时提供第三方机构检测报告复印件并加盖厂商投标章或公章进行佐证（检测报告需具备CMA（中国计量认证证书）或CNAS（中国合格评定国家认可证书）标识）。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二、主机性能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1、视频输入输出：要求主机具备不少于6路视频输入接口，其中3G-SDI不少于4路、HDMI不少于1路、VGA不少于1路；具备不少于2路视频输出接口，其中3G-SDI不少于1路、HDMI不少于1路。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▲2、视频采集：支持多种方式实现摄像机画面采集，可通过SDI高清有线视频画面采集和WIFI视频传输两种方式获取摄像机信号，</w:t>
            </w:r>
            <w:r>
              <w:rPr>
                <w:rFonts w:hint="eastAsia" w:ascii="宋体" w:hAnsi="宋体" w:cs="宋体"/>
                <w:b/>
                <w:bCs/>
                <w:color w:val="auto"/>
                <w:kern w:val="0"/>
                <w:szCs w:val="21"/>
                <w:highlight w:val="none"/>
                <w:lang w:bidi="ar"/>
              </w:rPr>
              <w:t>供货时提供具备CMA（中国计量认证证书标识）或CNAS（中国合格评定国家认可证书标识）标识的权威检测报告复印件证明。</w:t>
            </w:r>
            <w:r>
              <w:rPr>
                <w:rFonts w:hint="eastAsia" w:ascii="宋体" w:hAnsi="宋体" w:cs="宋体"/>
                <w:b/>
                <w:bCs/>
                <w:color w:val="auto"/>
                <w:kern w:val="0"/>
                <w:szCs w:val="21"/>
                <w:highlight w:val="none"/>
                <w:lang w:bidi="ar"/>
              </w:rPr>
              <w:br w:type="textWrapping"/>
            </w:r>
            <w:r>
              <w:rPr>
                <w:rFonts w:hint="eastAsia" w:ascii="宋体" w:hAnsi="宋体" w:cs="宋体"/>
                <w:color w:val="auto"/>
                <w:kern w:val="0"/>
                <w:szCs w:val="21"/>
                <w:highlight w:val="none"/>
                <w:lang w:bidi="ar"/>
              </w:rPr>
              <w:t>3、视频编解码：支持标准H.264视频编码技术，录制视频分辨率应不低于1080P@30fps。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4、音频输入输出：要求主机具备不少于3路音频输入，其中MIC in不少于2路、Line in不少于1路；具备不少于2路音频输出，其中Line out不少于1路，耳机监听接口不少于1路。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5、音频编解码：采用AAC音频编解码协议，具备音频处理功能。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6、网络接入：具备RJ45接口≥1，要求支持IPv4、IPv6双网络协议栈。</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7、存储容量：要求主机内置不少于1T存储，用以录制视频的本地存储使用。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8、外设接口：要求主机具备不少于4路USB接口，用连接无线网卡、鼠标、键盘等外设设备。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三.其他要求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1、要求整机使用平均无故障运行时间(MTBF)应≥100000小时,</w:t>
            </w:r>
            <w:r>
              <w:rPr>
                <w:rFonts w:hint="eastAsia" w:ascii="宋体" w:hAnsi="宋体" w:cs="宋体"/>
                <w:b/>
                <w:bCs/>
                <w:color w:val="auto"/>
                <w:kern w:val="0"/>
                <w:szCs w:val="21"/>
                <w:highlight w:val="none"/>
                <w:lang w:bidi="ar"/>
              </w:rPr>
              <w:t>供货时提供具备检测资质的第三方检测机构提供的正规检测报告复印件并加盖厂商投标专用章或公章。</w:t>
            </w:r>
            <w:r>
              <w:rPr>
                <w:rFonts w:hint="eastAsia" w:ascii="宋体" w:hAnsi="宋体" w:cs="宋体"/>
                <w:b/>
                <w:bCs/>
                <w:color w:val="auto"/>
                <w:kern w:val="0"/>
                <w:szCs w:val="21"/>
                <w:highlight w:val="none"/>
                <w:lang w:bidi="ar"/>
              </w:rPr>
              <w:br w:type="textWrapping"/>
            </w:r>
            <w:r>
              <w:rPr>
                <w:rFonts w:hint="eastAsia" w:ascii="宋体" w:hAnsi="宋体" w:cs="宋体"/>
                <w:color w:val="auto"/>
                <w:kern w:val="0"/>
                <w:szCs w:val="21"/>
                <w:highlight w:val="none"/>
                <w:lang w:bidi="ar"/>
              </w:rPr>
              <w:t>▲2、为保证系统使用，要求主机与“基于无线传输视讯流媒体数据智能处理软件”、“高清摄像机设备”为同一品牌。</w:t>
            </w:r>
          </w:p>
        </w:tc>
      </w:tr>
      <w:tr w14:paraId="30003605">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0112">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1516">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基于无线传输视讯流媒体数据智能处理软件</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4889">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1743">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一、整体要求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1、出于录播主机嵌入式设计特性，要求配套的录播管理软件在出厂时内嵌于高清录播主机中。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2、软件架构：要求软件采用B/S架构，使用主流浏览器通过网络即可访问软件后台进行管理。</w:t>
            </w:r>
            <w:r>
              <w:rPr>
                <w:rFonts w:hint="eastAsia" w:ascii="宋体" w:hAnsi="宋体" w:cs="宋体"/>
                <w:b/>
                <w:bCs/>
                <w:color w:val="auto"/>
                <w:kern w:val="0"/>
                <w:szCs w:val="21"/>
                <w:highlight w:val="none"/>
                <w:lang w:bidi="ar"/>
              </w:rPr>
              <w:br w:type="textWrapping"/>
            </w:r>
            <w:r>
              <w:rPr>
                <w:rFonts w:hint="eastAsia" w:ascii="宋体" w:hAnsi="宋体" w:cs="宋体"/>
                <w:color w:val="auto"/>
                <w:kern w:val="0"/>
                <w:szCs w:val="21"/>
                <w:highlight w:val="none"/>
                <w:lang w:bidi="ar"/>
              </w:rPr>
              <w:t>二、录制模块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1、录制存储：要求在断网情况下也可以进行视频录制，并将录制文件保存在录播主机的内置硬盘中。并要求支持1080P高清分辨率录制，采用MP4视频格式封装。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2、录制模式：支持电影模式、资源模式等录制模式。电影模式下实现多路信号的复合成一路画面进行录制；资源模式下要求摄像机画面、电脑画面均可独立录制封装。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3、高低码流录制：要求支持高低双码流同步录制，并要求支持自定义录制分辨率、码流。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分段录制：要求支持长视频分段录制的功能，可自定义视频文件分段时长，当录制课程时间较长时，可在不结束录制的条件下自动按分段时长将课程视频文件分割录制成多个视频文件，提供不分段、30分钟分段、60分钟分段三种方式可选。</w:t>
            </w:r>
            <w:r>
              <w:rPr>
                <w:rFonts w:hint="eastAsia" w:ascii="宋体" w:hAnsi="宋体" w:cs="宋体"/>
                <w:b/>
                <w:bCs/>
                <w:color w:val="auto"/>
                <w:kern w:val="0"/>
                <w:szCs w:val="21"/>
                <w:highlight w:val="none"/>
                <w:lang w:bidi="ar"/>
              </w:rPr>
              <w:br w:type="textWrapping"/>
            </w:r>
            <w:r>
              <w:rPr>
                <w:rFonts w:hint="eastAsia" w:ascii="宋体" w:hAnsi="宋体" w:cs="宋体"/>
                <w:color w:val="auto"/>
                <w:kern w:val="0"/>
                <w:szCs w:val="21"/>
                <w:highlight w:val="none"/>
                <w:lang w:bidi="ar"/>
              </w:rPr>
              <w:t>5、同步录制：要求支持U盘等外设设备接入主机后，实现本机与U盘同步录制保存的功能。主机正常录制的同时，另存为一份文件保存到U盘中。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6、云台控制：支持摄像机云台控制技术，实现对接入摄像机的画面进行云台控制，包括画面上下左右移动、放大缩小变焦等操作。云台控制功能应具有鼠标快速定位功能，通过鼠标点击快速居中画面区域。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▲7、音频处理：要求内置音频处理模块，支持EQ均衡调节、回声抑制、增益调节及音频采样率和比特率设置。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8、录制控制：支持录制、暂停、停止等基本功能操作，实现全自动、手动两种录制模式，支持录制过程中实时切换录制模式。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AI教学场景跟踪：录播主机支持基于计算机视觉CV技术的AI人工智能跟踪算法，无需额外配置跟踪辅助拍摄装置，实现画面自动跟踪切换以及全自动跟踪录制。完成教师走动全景、教师授课特写、学生起立特写与学生听课全景、教师课件等多画面的自动跟踪与切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AI人物跟踪：支持AI人工智能技术自动锁定跟拍对象，在跟拍过程中自适应调整画面拍摄比例，实现摄像机云台上下左右移动丝滑的同时焦距自动调整保障拍摄画面构图的稳定，并可通过双击主机触控屏内拍摄对象的形式进行跟踪对象的切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三、导播模块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1、导播方式：要求软件支持通过配套主机内嵌导播键盘和液晶屏触控的方式进行本地导播，保证导播具有较好的实时性和流畅性。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2、导播功能：支持布局切换、转场特效、字幕、LOGO、摄像机控制等基本导播功能。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3、导播预览：要求导播界面可实现接入画面的导播预览，预览画面需包括至少3个摄像机拍摄画面与1个电脑信号画面等。并支持点击预览画面可自由切换录制画面进行录制。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4、画面布局：提供双分屏、三分屏、画中画等录制布局，并支持自定义布局方式，支持多个视频图层自由叠加组合，自定义布局时可随意拖拉画面窗口。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5、摄像机预置位：要求支持摄像机云台预制位设置，导播过程中可便捷调取摄像机预设位置的画面。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6、鼠标定位：支持鼠标快速定位功能，通过鼠标点击快速居中画面区域，通过鼠标滚轮可以调节云台摄像机的焦距。</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7、字幕台标：要求录制模式下支持Logo台标、字幕设置，可自主上传Logo图标、编辑字幕内容。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8、音量控制：要求可通过导播界面进行音量控制，调整相关输入输出音量大小。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四、直播模块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1、多流直播：要求支持RTMP和RTSP视频传输协议，要求支持不少于3路RTMP同步推流直播，并要求可从接入的摄像机信号和电脑信号中选择每路推流信号源进行推流，实现多流直播。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2、直播码流：支持自定义直播分辨率和码率，最高支持1080P@30fps，以适应不同网络环境下保持直播的流畅性。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3、双码流直播：支持设置高、低双码流直播设置，配置不同分辨率、码流进行直播。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五、互动模块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1、互动协议：支持H.323、SIP标准视音频互动协议，便捷进行远程互动教学、会议应用。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双流互动：要求支持双流互动功能，在互动通讯过程中，支持教学场景信号与电脑课件信号以互相独立的信号进行传输，并最终接收端设备可通过两路HDMI接口将接收到的教学场景画面与电脑课件画面同时分别环出到两个显示设备上。</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3、互动通讯录：支持对接获取互动云系统的通讯录数据，数据内容包括所有已在互动云系统注册的录播账号、录播昵称。支持通过通讯录选择互动对象直接呼叫，或手动输入录播账号进行呼叫。</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4、发言权限控制：通过录播主机的网络导播界面，需支持主讲端在互动过程中对其余互动参与者的发言权限进行控制，支持单人禁言/开启以及全场禁言/开启的控制方式。</w:t>
            </w:r>
            <w:r>
              <w:rPr>
                <w:rFonts w:hint="eastAsia" w:ascii="宋体" w:hAnsi="宋体" w:cs="宋体"/>
                <w:b/>
                <w:bCs/>
                <w:color w:val="auto"/>
                <w:kern w:val="0"/>
                <w:szCs w:val="21"/>
                <w:highlight w:val="none"/>
                <w:lang w:bidi="ar"/>
              </w:rPr>
              <w:br w:type="textWrapping"/>
            </w:r>
            <w:r>
              <w:rPr>
                <w:rFonts w:hint="eastAsia" w:ascii="宋体" w:hAnsi="宋体" w:cs="宋体"/>
                <w:color w:val="auto"/>
                <w:kern w:val="0"/>
                <w:szCs w:val="21"/>
                <w:highlight w:val="none"/>
                <w:lang w:bidi="ar"/>
              </w:rPr>
              <w:t>5、互动画质：要求录播主机在双向互动过程中，可实现1080P@30FPS画质，并支持网络自适应功能。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六、管理模块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1、录像管理：支持对录制视频按标题、主持人、时间、时长进行排序，便于快速检索所需视频。支持对录像文件进行回放和下载。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2、视频修复：支持硬盘格式化功能，支持对设备异常断电、宕机造成的损坏视频文件进行修复。</w:t>
            </w:r>
            <w:r>
              <w:rPr>
                <w:rFonts w:hint="eastAsia" w:ascii="宋体" w:hAnsi="宋体" w:cs="宋体"/>
                <w:b/>
                <w:bCs/>
                <w:color w:val="auto"/>
                <w:kern w:val="0"/>
                <w:szCs w:val="21"/>
                <w:highlight w:val="none"/>
                <w:lang w:bidi="ar"/>
              </w:rPr>
              <w:t>供货时提供第三方检测报告复印件并加盖厂家投标专用章或公章进行佐证（检测报告需具备CMA（中国计量认证证书）或CNAS（中国合格评定国家认可证书）标识）。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3、版本切换：支持中英双语版本切换，适合不同用户的应用需求。要求通过网络导播界面即可便捷切换，无需进行更改授权、系统升级等复杂操作。</w:t>
            </w:r>
          </w:p>
        </w:tc>
      </w:tr>
      <w:tr w14:paraId="250C2644">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E3BA">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3197">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高清摄像机</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EB33">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3台</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7CCD">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一、视频输出接口：SDI≥1、HDMI≥1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二、传感器类型：CMOS，不小于1/2.5英寸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三、传感器像素：有效像素不低于207万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四、焦距：22倍变焦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五、水平转动速度范围：1.0° ~ 94.2°/s，垂直转动速度范围：1.0° ~ 74.8°/s，水平视场角：72.0° ~ 6.7°，垂直视场角：43.2° ~ 3.7°</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六、支持水平、垂直翻转</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七、背光补偿：支持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八、数字降噪：2D&amp;3D数字降噪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九、预置位数量：255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十、通讯接口：RS232/RS422≥1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十一、网络接口：RJ45≥1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十二、音频输入接口：Line in≥1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十三、USB接口：USB Type-A≥1</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十四、支持的协议类型：VISCA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十五、编码技术：视频H.265、H.264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十六、电源支持：支持POC和DC12V电源适配器两种供电方式。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十七、AI跟踪：要求内置跟踪算法，摄像机内无额外辅助摄像头也无需增加任何设备即可实现人像自动跟踪，包括水平运动、俯仰运动、变焦、聚焦四维实时跟踪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十八、要求摄像机与录播主机为同一品牌</w:t>
            </w:r>
          </w:p>
        </w:tc>
      </w:tr>
      <w:tr w14:paraId="2BA21F91">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29A1">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AAF9">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高清摄像机管理软件</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F932">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3套</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D635">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一、摄像机传输处理软件采用B/S架构，支持通用浏览器直接访问进行管理。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二、支持曝光模式设置功能，包括自动、手动。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三、支持抗闪烁频率、动态范围、光圈、快门参数设置。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四、支持自动白平衡设置功能，红、蓝增益可调。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五、支持噪声抑制设置功能，支持2D、3D降噪。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六、支持摄像机图像质量调节功能，包括亮度、对比度、色调、饱和度。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七、支持摄像机控制功能，包括云台控制、预置位设置与调用、焦距调节等。</w:t>
            </w:r>
          </w:p>
        </w:tc>
      </w:tr>
      <w:tr w14:paraId="2032599B">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F47C">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7F55">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数字无线音频套装</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CFDF">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1049">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一、腰包领夹麦克风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1、载波频段：UHF564~589MHz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2、调制方式：FM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3、输出功率：5mW/10mW可设置切换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4、振荡方式：PLL相位锁定频率合成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5、单体：背极式驻极体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6、指向性：心形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7、频率响应：50Hz-13kHz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8、灵敏度：-37dB±3dB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9、最大声压级：130dB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二、手持发射麦克风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1、载波频段：UHF512~536MHz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2、输出功率：5mW/10mW可设置切换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3、振荡方式：PLL相位锁定频率合成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4、单体动圈式音头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5、指向性心形指向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6、频率响应：70Hz-16kHz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7、灵敏度-50dB±3dB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三、手雷发射麦克风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1、频段：UHF512-536.75MHz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2、转换头：具有固定螺环的XLR插座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3、发射功率：5mW/10mW可设置切换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4、天线：外接的有线动圈式麦克风或电容式麦克风</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5、振荡模式：PLL电路，频率稳定度≤±0.005%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6、显示器：具有背光的LCD，显示工作频道、频率、增益、音量、发射功率、静音、电池存量、静音开关设定、幻象电压，操作锁定及提示讯息等功能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7、输入灵敏度：-40dB、-30dB、-20dB、-10dB、0dB五段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8、幻象电源电压：+48V</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9、外接麦克风输入座：标准有线麦克风XLR平衡输入母座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10、连续使用时间：＞5小时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11、频率响应：120Hz-15kHz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四、无线接收机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1、振动器类型：晶体控制锁相环合成器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2、接收频率范围：需具备双频段接收通道，通道1频率范围在512-537MHz；通道2频率范围在564-589MHz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3、频率响应：对应腰包麦克风需支持50Hz~13kHz；对应手持麦克风需支持70Hz~16kHz；对应手雷麦克风需支持120Hz~15kHz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4、信噪比≥96dB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5、模拟输出：3极迷你插孔，不平衡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6、模拟输出电平：最大输出≥1.2V@1KHz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7、耳机输出：φ3.5mm（5/32英寸）立体声迷你插孔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8、耳机输出电平：100mW@32Ω</w:t>
            </w:r>
          </w:p>
        </w:tc>
      </w:tr>
      <w:tr w14:paraId="230A7C03">
        <w:tblPrEx>
          <w:tblCellMar>
            <w:top w:w="0" w:type="dxa"/>
            <w:left w:w="108" w:type="dxa"/>
            <w:bottom w:w="0" w:type="dxa"/>
            <w:right w:w="108" w:type="dxa"/>
          </w:tblCellMar>
        </w:tblPrEx>
        <w:trPr>
          <w:trHeight w:val="4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C740">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32</w:t>
            </w:r>
          </w:p>
        </w:tc>
        <w:tc>
          <w:tcPr>
            <w:tcW w:w="876" w:type="dxa"/>
            <w:tcBorders>
              <w:top w:val="single" w:color="000000" w:sz="4" w:space="0"/>
              <w:left w:val="nil"/>
              <w:bottom w:val="single" w:color="000000" w:sz="4" w:space="0"/>
              <w:right w:val="single" w:color="000000" w:sz="4" w:space="0"/>
            </w:tcBorders>
            <w:shd w:val="clear" w:color="auto" w:fill="auto"/>
            <w:vAlign w:val="center"/>
          </w:tcPr>
          <w:p w14:paraId="2780BFEE">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环境建设及系统集成</w:t>
            </w:r>
          </w:p>
        </w:tc>
        <w:tc>
          <w:tcPr>
            <w:tcW w:w="965" w:type="dxa"/>
            <w:tcBorders>
              <w:top w:val="single" w:color="000000" w:sz="4" w:space="0"/>
              <w:left w:val="nil"/>
              <w:bottom w:val="single" w:color="000000" w:sz="4" w:space="0"/>
              <w:right w:val="single" w:color="000000" w:sz="4" w:space="0"/>
            </w:tcBorders>
            <w:shd w:val="clear" w:color="auto" w:fill="auto"/>
            <w:vAlign w:val="center"/>
          </w:tcPr>
          <w:p w14:paraId="5E5FF7B6">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1项</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F931">
            <w:pPr>
              <w:widowControl/>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一、含本项目综合布线、系统集成及实施过程中所需的线材、辅材，包括但不限于网线、数据线、电源线、PVC线槽线管等，以及人工费用。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二、对智能机器人基础教学实训室进行文化环境改造及建设，含文化背景墙等，所需的人工及辅材费用</w:t>
            </w:r>
          </w:p>
          <w:p w14:paraId="2835A1C0">
            <w:pPr>
              <w:widowControl/>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三、无线网卡4个</w:t>
            </w:r>
          </w:p>
          <w:p w14:paraId="5CC7EC26">
            <w:pPr>
              <w:widowControl/>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1、接口类型：USB3.0，向下兼容USB2.0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2、天线：内置智能天线，高增益2dBi</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3、网络标准：IEEE 802.11ac/a/b/g/n</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4、频率范围：双频(2.4GHz、5.8GHz)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5、传输速率：2.4G不小于300Mbps；5.8G不小于800Mbps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6、收发性能：支持4*4MIMO架构，4数据流并发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7、发射功率：18dBm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8、操作系统：Win XP/Win7/Win8/Win10/Vista/Linux/Mac</w:t>
            </w:r>
          </w:p>
          <w:p w14:paraId="06D97AAD">
            <w:pPr>
              <w:widowControl/>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四、摄影机三脚架 3个</w:t>
            </w:r>
          </w:p>
          <w:p w14:paraId="43F65F27">
            <w:pPr>
              <w:widowControl/>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1、材质：铝合金；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2、管径：14~26mm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3、升高：≥150cm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4、最低高度：12~15cm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5、收合高度：≤45cm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6、载重：≥5kg</w:t>
            </w:r>
          </w:p>
          <w:p w14:paraId="24C6D1D4">
            <w:pPr>
              <w:widowControl/>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五、设备箱/线材箱 1个</w:t>
            </w:r>
          </w:p>
          <w:p w14:paraId="082A1950">
            <w:pPr>
              <w:widowControl/>
              <w:spacing w:line="360" w:lineRule="exact"/>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1、外尺寸：L665*W490*H342mm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2、内尺寸：L600*W420*H（260+43）mm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3、颜色：黑</w:t>
            </w:r>
          </w:p>
        </w:tc>
      </w:tr>
      <w:tr w14:paraId="1E5D2743">
        <w:tblPrEx>
          <w:tblCellMar>
            <w:top w:w="0" w:type="dxa"/>
            <w:left w:w="108" w:type="dxa"/>
            <w:bottom w:w="0" w:type="dxa"/>
            <w:right w:w="108" w:type="dxa"/>
          </w:tblCellMar>
        </w:tblPrEx>
        <w:trPr>
          <w:trHeight w:val="420" w:hRule="atLeast"/>
        </w:trPr>
        <w:tc>
          <w:tcPr>
            <w:tcW w:w="98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24DA">
            <w:pPr>
              <w:widowControl/>
              <w:spacing w:line="360" w:lineRule="exact"/>
              <w:jc w:val="left"/>
              <w:textAlignment w:val="center"/>
              <w:rPr>
                <w:rFonts w:ascii="宋体" w:hAnsi="宋体" w:cs="宋体"/>
                <w:color w:val="auto"/>
                <w:kern w:val="0"/>
                <w:szCs w:val="21"/>
                <w:highlight w:val="none"/>
                <w:lang w:bidi="ar"/>
              </w:rPr>
            </w:pPr>
            <w:r>
              <w:rPr>
                <w:rFonts w:hint="eastAsia" w:ascii="宋体" w:hAnsi="宋体" w:cs="宋体"/>
                <w:b/>
                <w:bCs/>
                <w:color w:val="auto"/>
                <w:kern w:val="0"/>
                <w:szCs w:val="21"/>
                <w:highlight w:val="none"/>
              </w:rPr>
              <w:t>二、商务要求表</w:t>
            </w:r>
          </w:p>
        </w:tc>
      </w:tr>
      <w:tr w14:paraId="0F302B8B">
        <w:tblPrEx>
          <w:tblCellMar>
            <w:top w:w="0" w:type="dxa"/>
            <w:left w:w="108" w:type="dxa"/>
            <w:bottom w:w="0" w:type="dxa"/>
            <w:right w:w="108" w:type="dxa"/>
          </w:tblCellMar>
        </w:tblPrEx>
        <w:trPr>
          <w:trHeight w:val="420" w:hRule="atLeast"/>
        </w:trPr>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16A1">
            <w:pPr>
              <w:widowControl/>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▲基本要求</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563F">
            <w:pPr>
              <w:spacing w:line="380" w:lineRule="exact"/>
              <w:rPr>
                <w:rFonts w:ascii="宋体" w:hAnsi="宋体" w:cs="宋体"/>
                <w:color w:val="auto"/>
                <w:szCs w:val="21"/>
                <w:highlight w:val="none"/>
              </w:rPr>
            </w:pPr>
            <w:r>
              <w:rPr>
                <w:rFonts w:hint="eastAsia" w:ascii="宋体" w:hAnsi="宋体" w:cs="宋体"/>
                <w:color w:val="auto"/>
                <w:szCs w:val="21"/>
                <w:highlight w:val="none"/>
              </w:rPr>
              <w:t>1、投标产品须是按厂家出厂标准配置提供的整套全新，具备正规合法经销渠道，符合国家各项有关质量标准的合格产品，相关配套部件、材料及服务须满足本表中各项要求。所有设备除满足上表要求的技术参数和配置外，其余均按国家标准及生产厂家出厂标准配置，若产品在运输过程中损坏须无偿调换同样产品。</w:t>
            </w:r>
          </w:p>
          <w:p w14:paraId="7E21DE7A">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2、产品为原厂商未启封全新包装，具有出厂合格证，序列号、包装箱号与出厂批号一致，并可追索查阅。每台设备上均应钉有铭牌标签(内容包括：制造商、产品名称、型号规格、出厂日期等)并附有产品质量检验合格标志。</w:t>
            </w:r>
          </w:p>
          <w:p w14:paraId="76FA92EE">
            <w:pPr>
              <w:spacing w:line="360" w:lineRule="exact"/>
              <w:rPr>
                <w:rFonts w:ascii="宋体" w:hAnsi="宋体" w:cs="宋体"/>
                <w:color w:val="auto"/>
                <w:szCs w:val="21"/>
                <w:highlight w:val="none"/>
              </w:rPr>
            </w:pPr>
            <w:r>
              <w:rPr>
                <w:rFonts w:hint="eastAsia" w:ascii="宋体" w:hAnsi="宋体" w:cs="宋体"/>
                <w:color w:val="auto"/>
                <w:szCs w:val="21"/>
                <w:highlight w:val="none"/>
              </w:rPr>
              <w:t>3、产品的到货验收包括：数量、外观质量、随机备件备品、装箱单、随机资料(中文)及产品包装完整无破损。产品验收通过前，外包装数量、质量及外包装内产品数量、质量，均由成交供应商负责。</w:t>
            </w:r>
          </w:p>
          <w:p w14:paraId="6B9C18B7">
            <w:pPr>
              <w:spacing w:line="360" w:lineRule="exact"/>
              <w:rPr>
                <w:rFonts w:ascii="宋体" w:hAnsi="宋体" w:cs="宋体"/>
                <w:color w:val="auto"/>
                <w:szCs w:val="21"/>
                <w:highlight w:val="none"/>
              </w:rPr>
            </w:pPr>
            <w:r>
              <w:rPr>
                <w:rFonts w:hint="eastAsia" w:ascii="宋体" w:hAnsi="宋体" w:cs="宋体"/>
                <w:color w:val="auto"/>
                <w:szCs w:val="21"/>
                <w:highlight w:val="none"/>
              </w:rPr>
              <w:t>4、产品验收通过前外包装数量、质量及外包装内产品数量、质量出现问题，成交供应商应负责三包(包修、包 换、包退),费用均由成交供应商负责。</w:t>
            </w:r>
          </w:p>
          <w:p w14:paraId="6F082454">
            <w:pPr>
              <w:spacing w:line="360" w:lineRule="exact"/>
              <w:rPr>
                <w:rFonts w:ascii="宋体" w:hAnsi="宋体" w:cs="宋体"/>
                <w:color w:val="auto"/>
                <w:szCs w:val="21"/>
                <w:highlight w:val="none"/>
              </w:rPr>
            </w:pPr>
            <w:r>
              <w:rPr>
                <w:rFonts w:hint="eastAsia" w:ascii="宋体" w:hAnsi="宋体" w:cs="宋体"/>
                <w:color w:val="auto"/>
                <w:szCs w:val="21"/>
                <w:highlight w:val="none"/>
              </w:rPr>
              <w:t>5、设备安装过程中，实施安装的人员人身安全由成交供应商负责。</w:t>
            </w:r>
          </w:p>
          <w:p w14:paraId="6B0E2E0E">
            <w:pPr>
              <w:spacing w:line="380" w:lineRule="exact"/>
              <w:rPr>
                <w:rFonts w:ascii="宋体" w:hAnsi="宋体" w:cs="宋体"/>
                <w:color w:val="auto"/>
                <w:kern w:val="0"/>
                <w:szCs w:val="21"/>
                <w:highlight w:val="none"/>
              </w:rPr>
            </w:pPr>
            <w:r>
              <w:rPr>
                <w:rFonts w:hint="eastAsia" w:ascii="宋体" w:hAnsi="宋体" w:cs="宋体"/>
                <w:color w:val="auto"/>
                <w:szCs w:val="21"/>
                <w:highlight w:val="none"/>
              </w:rPr>
              <w:t>6、</w:t>
            </w:r>
            <w:r>
              <w:rPr>
                <w:rFonts w:hint="eastAsia" w:ascii="宋体" w:hAnsi="宋体" w:cs="宋体"/>
                <w:color w:val="auto"/>
                <w:kern w:val="0"/>
                <w:szCs w:val="21"/>
                <w:highlight w:val="none"/>
              </w:rPr>
              <w:t>竞标总价为现场交付使用价，必须包括货款、标准附件、备品备件、专用工具、包装、运输、装卸、保险、税金、货到就位以及安装、安装所需辅材、调试、检验、验收等所需的一切使本项目完成验收的费用及供货商对采购人承诺培训、售前、售后质量保证等相关费用等在内的一切可能发生的费用。对于本采购文件中未列明，而供应商认为必需的费用也需列入报价。在合同实施时，采购人将不予支付成交供应商没有列入的项目费用，并认为此项目的费用已包括在报价中。</w:t>
            </w:r>
          </w:p>
          <w:p w14:paraId="196DE43E">
            <w:pPr>
              <w:spacing w:line="380" w:lineRule="exact"/>
              <w:rPr>
                <w:rFonts w:ascii="宋体" w:hAnsi="宋体" w:cs="宋体"/>
                <w:color w:val="auto"/>
                <w:szCs w:val="21"/>
                <w:highlight w:val="none"/>
              </w:rPr>
            </w:pPr>
            <w:r>
              <w:rPr>
                <w:rFonts w:hint="eastAsia" w:ascii="宋体" w:hAnsi="宋体" w:cs="宋体"/>
                <w:color w:val="auto"/>
                <w:szCs w:val="21"/>
                <w:highlight w:val="none"/>
              </w:rPr>
              <w:t>7、供应商应保证投标产品涉及到的知识产权和所提供的相关技术资料是合法取得，并享有完整的知识产权，不会因为需方的使用而被责令停止使用、追偿或要求赔偿损失，如出现此情况，一切经济和法律责任均由供应商承担。</w:t>
            </w:r>
          </w:p>
          <w:p w14:paraId="1E3314C5">
            <w:pPr>
              <w:spacing w:line="380" w:lineRule="exact"/>
              <w:rPr>
                <w:rFonts w:ascii="宋体" w:hAnsi="宋体" w:cs="宋体"/>
                <w:color w:val="auto"/>
                <w:szCs w:val="21"/>
                <w:highlight w:val="none"/>
              </w:rPr>
            </w:pPr>
            <w:r>
              <w:rPr>
                <w:rFonts w:hint="eastAsia" w:ascii="宋体" w:hAnsi="宋体" w:cs="宋体"/>
                <w:color w:val="auto"/>
                <w:szCs w:val="21"/>
                <w:highlight w:val="none"/>
              </w:rPr>
              <w:t>8、供应商应列明详细的产品及相关产品及部件名称、品牌、材质、型号规格、产地和生产厂家及提供完整的技术文件。</w:t>
            </w:r>
          </w:p>
          <w:p w14:paraId="466D4F50">
            <w:pPr>
              <w:spacing w:line="380" w:lineRule="exact"/>
              <w:rPr>
                <w:rFonts w:ascii="宋体" w:hAnsi="宋体" w:cs="宋体"/>
                <w:color w:val="auto"/>
                <w:szCs w:val="21"/>
                <w:highlight w:val="none"/>
              </w:rPr>
            </w:pPr>
            <w:r>
              <w:rPr>
                <w:rFonts w:hint="eastAsia" w:ascii="宋体" w:hAnsi="宋体" w:cs="宋体"/>
                <w:color w:val="auto"/>
                <w:szCs w:val="21"/>
                <w:highlight w:val="none"/>
              </w:rPr>
              <w:t>9、响应文件应正确反映投标产品的技术水平和科技含量，投标产品如包括必备的随机附件及零配件、易损易耗备品备件和专用工具，供应商应提供其清单。</w:t>
            </w:r>
          </w:p>
          <w:p w14:paraId="130D9112">
            <w:pPr>
              <w:spacing w:line="380" w:lineRule="exact"/>
              <w:rPr>
                <w:rFonts w:ascii="宋体" w:hAnsi="宋体" w:cs="宋体"/>
                <w:color w:val="auto"/>
                <w:szCs w:val="21"/>
                <w:highlight w:val="none"/>
              </w:rPr>
            </w:pPr>
            <w:r>
              <w:rPr>
                <w:rFonts w:hint="eastAsia" w:ascii="宋体" w:hAnsi="宋体" w:cs="宋体"/>
                <w:color w:val="auto"/>
                <w:szCs w:val="21"/>
                <w:highlight w:val="none"/>
              </w:rPr>
              <w:t>10、投标产品满足现场安装、开机调试的全部要求，包装要求便于产品的安装就位。</w:t>
            </w:r>
          </w:p>
          <w:p w14:paraId="18F5CEE6">
            <w:pPr>
              <w:spacing w:line="380" w:lineRule="exact"/>
              <w:rPr>
                <w:rFonts w:ascii="宋体" w:hAnsi="宋体" w:cs="宋体"/>
                <w:color w:val="auto"/>
                <w:szCs w:val="21"/>
                <w:highlight w:val="none"/>
              </w:rPr>
            </w:pPr>
            <w:r>
              <w:rPr>
                <w:rFonts w:hint="eastAsia" w:ascii="宋体" w:hAnsi="宋体" w:cs="宋体"/>
                <w:color w:val="auto"/>
                <w:szCs w:val="21"/>
                <w:highlight w:val="none"/>
              </w:rPr>
              <w:t>11、供应商在投标截止日前可对本项目的现场和其周围环境自行进行考察和检查，以获取有关编制响应文件和签署实施合同所需的各种资料；供应商自行承担现场考察的责任和风险、考察现场的所有费用。</w:t>
            </w:r>
          </w:p>
        </w:tc>
      </w:tr>
      <w:tr w14:paraId="16F88B81">
        <w:tblPrEx>
          <w:tblCellMar>
            <w:top w:w="0" w:type="dxa"/>
            <w:left w:w="108" w:type="dxa"/>
            <w:bottom w:w="0" w:type="dxa"/>
            <w:right w:w="108" w:type="dxa"/>
          </w:tblCellMar>
        </w:tblPrEx>
        <w:trPr>
          <w:trHeight w:val="420" w:hRule="atLeast"/>
        </w:trPr>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A498">
            <w:pPr>
              <w:widowControl/>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▲交货时间及地点</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1ABA">
            <w:pPr>
              <w:pStyle w:val="31"/>
              <w:spacing w:beforeAutospacing="0" w:afterAutospacing="0" w:line="380" w:lineRule="exact"/>
              <w:rPr>
                <w:rFonts w:ascii="宋体" w:hAnsi="宋体" w:cs="宋体"/>
                <w:color w:val="auto"/>
                <w:sz w:val="21"/>
                <w:szCs w:val="21"/>
                <w:highlight w:val="none"/>
              </w:rPr>
            </w:pPr>
            <w:r>
              <w:rPr>
                <w:rFonts w:hint="eastAsia" w:ascii="宋体" w:hAnsi="宋体" w:cs="宋体"/>
                <w:color w:val="auto"/>
                <w:sz w:val="21"/>
                <w:szCs w:val="21"/>
                <w:highlight w:val="none"/>
              </w:rPr>
              <w:t>1、交货时间：自合同签订之日起60天（日历天）内安装调试完毕，验收合格并交付使用。</w:t>
            </w:r>
          </w:p>
          <w:p w14:paraId="6E984583">
            <w:pPr>
              <w:pStyle w:val="19"/>
              <w:spacing w:line="380" w:lineRule="exact"/>
              <w:rPr>
                <w:rFonts w:hAnsi="宋体" w:cs="宋体"/>
                <w:color w:val="auto"/>
                <w:kern w:val="2"/>
                <w:sz w:val="21"/>
                <w:szCs w:val="21"/>
                <w:highlight w:val="none"/>
              </w:rPr>
            </w:pPr>
            <w:r>
              <w:rPr>
                <w:rFonts w:hint="eastAsia" w:hAnsi="宋体" w:cs="宋体"/>
                <w:color w:val="auto"/>
                <w:sz w:val="21"/>
                <w:szCs w:val="21"/>
                <w:highlight w:val="none"/>
              </w:rPr>
              <w:t xml:space="preserve">2、交付地点： </w:t>
            </w:r>
            <w:r>
              <w:rPr>
                <w:rFonts w:hint="eastAsia" w:hAnsi="宋体" w:cs="宋体"/>
                <w:color w:val="auto"/>
                <w:sz w:val="21"/>
                <w:szCs w:val="21"/>
                <w:highlight w:val="none"/>
                <w:u w:val="single"/>
              </w:rPr>
              <w:t xml:space="preserve">  柳州市   </w:t>
            </w:r>
            <w:r>
              <w:rPr>
                <w:rFonts w:hint="eastAsia" w:hAnsi="宋体" w:cs="宋体"/>
                <w:color w:val="auto"/>
                <w:sz w:val="21"/>
                <w:szCs w:val="21"/>
                <w:highlight w:val="none"/>
              </w:rPr>
              <w:t>（采购单位指定地点）。</w:t>
            </w:r>
          </w:p>
        </w:tc>
      </w:tr>
      <w:tr w14:paraId="0D398B76">
        <w:tblPrEx>
          <w:tblCellMar>
            <w:top w:w="0" w:type="dxa"/>
            <w:left w:w="108" w:type="dxa"/>
            <w:bottom w:w="0" w:type="dxa"/>
            <w:right w:w="108" w:type="dxa"/>
          </w:tblCellMar>
        </w:tblPrEx>
        <w:trPr>
          <w:trHeight w:val="420" w:hRule="atLeast"/>
        </w:trPr>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2975">
            <w:pPr>
              <w:widowControl/>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▲安装、调试、验收、培训等技术服务要求</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C88E">
            <w:pPr>
              <w:spacing w:line="380" w:lineRule="exact"/>
              <w:rPr>
                <w:rFonts w:ascii="宋体" w:hAnsi="宋体" w:cs="宋体"/>
                <w:color w:val="auto"/>
                <w:szCs w:val="21"/>
                <w:highlight w:val="none"/>
              </w:rPr>
            </w:pPr>
            <w:r>
              <w:rPr>
                <w:rFonts w:hint="eastAsia" w:ascii="宋体" w:hAnsi="宋体" w:cs="宋体"/>
                <w:color w:val="auto"/>
                <w:szCs w:val="21"/>
                <w:highlight w:val="none"/>
              </w:rPr>
              <w:t>1、成交供应商负责全部成套设备、配套部件及材料的现场安装、调试直至验收合格投入正常运转。</w:t>
            </w:r>
          </w:p>
          <w:p w14:paraId="6607C4BA">
            <w:pPr>
              <w:spacing w:line="380" w:lineRule="exact"/>
              <w:rPr>
                <w:rFonts w:ascii="宋体" w:hAnsi="宋体" w:cs="宋体"/>
                <w:color w:val="auto"/>
                <w:szCs w:val="21"/>
                <w:highlight w:val="none"/>
              </w:rPr>
            </w:pPr>
            <w:r>
              <w:rPr>
                <w:rFonts w:hint="eastAsia" w:ascii="宋体" w:hAnsi="宋体" w:cs="宋体"/>
                <w:color w:val="auto"/>
                <w:szCs w:val="21"/>
                <w:highlight w:val="none"/>
              </w:rPr>
              <w:t>2、安装调试过程中，成交供应商应派专业技术人员对安装进行同步指导，向采购人提交相关试验数据和报告，设备主要部件、原材料、原始资料和检查纪录等材料，并负责全套设备的调试运行，直至达到验收要求。</w:t>
            </w:r>
          </w:p>
          <w:p w14:paraId="0B1357FE">
            <w:pPr>
              <w:spacing w:line="380" w:lineRule="exact"/>
              <w:rPr>
                <w:rFonts w:ascii="宋体" w:hAnsi="宋体" w:cs="宋体"/>
                <w:color w:val="auto"/>
                <w:szCs w:val="21"/>
                <w:highlight w:val="none"/>
              </w:rPr>
            </w:pPr>
            <w:r>
              <w:rPr>
                <w:rFonts w:hint="eastAsia" w:ascii="宋体" w:hAnsi="宋体" w:cs="宋体"/>
                <w:color w:val="auto"/>
                <w:szCs w:val="21"/>
                <w:highlight w:val="none"/>
              </w:rPr>
              <w:t>3、安装与调试工作必须严格依照国家现行技术标准、规范及安全规程执行。成交供应商应对安装过程中的人身安全及设备安全承担全部责任。</w:t>
            </w:r>
          </w:p>
          <w:p w14:paraId="135198EC">
            <w:pPr>
              <w:spacing w:line="380" w:lineRule="exact"/>
              <w:rPr>
                <w:rFonts w:ascii="宋体" w:hAnsi="宋体" w:cs="宋体"/>
                <w:color w:val="auto"/>
                <w:szCs w:val="21"/>
                <w:highlight w:val="none"/>
              </w:rPr>
            </w:pPr>
            <w:r>
              <w:rPr>
                <w:rFonts w:hint="eastAsia" w:ascii="宋体" w:hAnsi="宋体" w:cs="宋体"/>
                <w:color w:val="auto"/>
                <w:szCs w:val="21"/>
                <w:highlight w:val="none"/>
              </w:rPr>
              <w:t>4、成交供应商在交货验收时必须按采购单位及相关标准提供竣工验收资料。</w:t>
            </w:r>
          </w:p>
          <w:p w14:paraId="01DEBBBC">
            <w:pPr>
              <w:spacing w:line="380" w:lineRule="exact"/>
              <w:rPr>
                <w:rFonts w:ascii="宋体" w:hAnsi="宋体" w:cs="宋体"/>
                <w:color w:val="auto"/>
                <w:szCs w:val="21"/>
                <w:highlight w:val="none"/>
              </w:rPr>
            </w:pPr>
            <w:r>
              <w:rPr>
                <w:rFonts w:hint="eastAsia" w:ascii="宋体" w:hAnsi="宋体" w:cs="宋体"/>
                <w:color w:val="auto"/>
                <w:szCs w:val="21"/>
                <w:highlight w:val="none"/>
              </w:rPr>
              <w:t>5、所有产品均严格按签订的政府采购合同、供应商响应和承诺的技术参数及性能和国家有关标准进行验收，验收时，由采购方、供应商及采购单位邀请的行业专家（业主如有需要邀请的）共同进行验收，采购方有权委托有资质的质检部门对货物进行抽检，检验的费用由供应商承担；对不符合要求的产品，采购方有权拒绝验收，由此产生的一切后果，均由供应商承担。由此造成的不能按时、按质、按量完成项目要求的，将按照政府采购相关法规、采购文件规定及响应文件承诺的事项进行处罚。</w:t>
            </w:r>
          </w:p>
          <w:p w14:paraId="00C3CD68">
            <w:pPr>
              <w:spacing w:line="380" w:lineRule="exact"/>
              <w:rPr>
                <w:rFonts w:ascii="宋体" w:hAnsi="宋体" w:cs="宋体"/>
                <w:color w:val="auto"/>
                <w:szCs w:val="21"/>
                <w:highlight w:val="none"/>
              </w:rPr>
            </w:pPr>
            <w:r>
              <w:rPr>
                <w:rFonts w:hint="eastAsia" w:ascii="宋体" w:hAnsi="宋体" w:cs="宋体"/>
                <w:color w:val="auto"/>
                <w:szCs w:val="21"/>
                <w:highlight w:val="none"/>
              </w:rPr>
              <w:t>6、现场培训：成交供应商应根据采购单位的需求提供现场技术培训，对采购单位技术人员进行操作、维修、保养等技术的培训指导，至能独立操作，简单故障排除。</w:t>
            </w:r>
          </w:p>
          <w:p w14:paraId="1E16A615">
            <w:pPr>
              <w:spacing w:line="380" w:lineRule="exact"/>
              <w:rPr>
                <w:rFonts w:ascii="宋体" w:hAnsi="宋体" w:cs="宋体"/>
                <w:color w:val="auto"/>
                <w:szCs w:val="21"/>
                <w:highlight w:val="none"/>
              </w:rPr>
            </w:pPr>
            <w:r>
              <w:rPr>
                <w:rFonts w:hint="eastAsia" w:ascii="宋体" w:hAnsi="宋体" w:cs="宋体"/>
                <w:color w:val="auto"/>
                <w:szCs w:val="21"/>
                <w:highlight w:val="none"/>
              </w:rPr>
              <w:t>7、根据采购人指定时间、地点进行现场培训。</w:t>
            </w:r>
          </w:p>
        </w:tc>
      </w:tr>
      <w:tr w14:paraId="2030669E">
        <w:tblPrEx>
          <w:tblCellMar>
            <w:top w:w="0" w:type="dxa"/>
            <w:left w:w="108" w:type="dxa"/>
            <w:bottom w:w="0" w:type="dxa"/>
            <w:right w:w="108" w:type="dxa"/>
          </w:tblCellMar>
        </w:tblPrEx>
        <w:trPr>
          <w:trHeight w:val="420" w:hRule="atLeast"/>
        </w:trPr>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9B4A">
            <w:pPr>
              <w:widowControl/>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▲质保期</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AC26">
            <w:pPr>
              <w:pStyle w:val="19"/>
              <w:spacing w:line="380" w:lineRule="exact"/>
              <w:rPr>
                <w:rFonts w:hAnsi="宋体" w:cs="宋体"/>
                <w:color w:val="auto"/>
                <w:kern w:val="2"/>
                <w:sz w:val="21"/>
                <w:szCs w:val="21"/>
                <w:highlight w:val="none"/>
              </w:rPr>
            </w:pPr>
            <w:r>
              <w:rPr>
                <w:rFonts w:hint="eastAsia" w:hAnsi="宋体" w:cs="宋体"/>
                <w:b/>
                <w:color w:val="auto"/>
                <w:sz w:val="21"/>
                <w:szCs w:val="21"/>
                <w:highlight w:val="none"/>
              </w:rPr>
              <w:t>1、质保期不少于一年(各项货物另有要求的，依照其《采购需求》的要求执行)，质保期自交货并验收合格之日起计，质保期内免费上门维修，免费更换零配件，按照国家有关产品“三包”规定执行。</w:t>
            </w:r>
          </w:p>
        </w:tc>
      </w:tr>
      <w:tr w14:paraId="0933C618">
        <w:tblPrEx>
          <w:tblCellMar>
            <w:top w:w="0" w:type="dxa"/>
            <w:left w:w="108" w:type="dxa"/>
            <w:bottom w:w="0" w:type="dxa"/>
            <w:right w:w="108" w:type="dxa"/>
          </w:tblCellMar>
        </w:tblPrEx>
        <w:trPr>
          <w:trHeight w:val="420" w:hRule="atLeast"/>
        </w:trPr>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099B">
            <w:pPr>
              <w:widowControl/>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售后服务保障或维修响应时间要求</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C116">
            <w:pPr>
              <w:spacing w:line="360" w:lineRule="exact"/>
              <w:rPr>
                <w:rFonts w:hAnsi="宋体"/>
                <w:color w:val="auto"/>
                <w:szCs w:val="21"/>
                <w:highlight w:val="none"/>
              </w:rPr>
            </w:pPr>
            <w:r>
              <w:rPr>
                <w:rFonts w:hint="eastAsia" w:hAnsi="宋体"/>
                <w:color w:val="auto"/>
                <w:szCs w:val="21"/>
                <w:highlight w:val="none"/>
              </w:rPr>
              <w:t>1、自项目验收通过之日起计算，所有产品均须由成交供应商提供不少于1年保修期</w:t>
            </w:r>
            <w:r>
              <w:rPr>
                <w:rFonts w:hint="eastAsia" w:asciiTheme="majorEastAsia" w:hAnsiTheme="majorEastAsia" w:eastAsiaTheme="majorEastAsia" w:cstheme="majorEastAsia"/>
                <w:bCs/>
                <w:color w:val="auto"/>
                <w:szCs w:val="21"/>
                <w:highlight w:val="none"/>
              </w:rPr>
              <w:t>(各项货物另有要求的，依照其《采购需求》的要求执行)</w:t>
            </w:r>
            <w:r>
              <w:rPr>
                <w:rFonts w:hint="eastAsia" w:hAnsi="宋体"/>
                <w:color w:val="auto"/>
                <w:szCs w:val="21"/>
                <w:highlight w:val="none"/>
              </w:rPr>
              <w:t>的整机原厂保修服务，保修期自双方代表在产品验收单上签字之日起计算。保修期内保修费用计入本合同总价。</w:t>
            </w:r>
          </w:p>
          <w:p w14:paraId="0168298D">
            <w:pPr>
              <w:spacing w:line="360" w:lineRule="exact"/>
              <w:rPr>
                <w:rFonts w:hAnsi="宋体"/>
                <w:color w:val="auto"/>
                <w:szCs w:val="21"/>
                <w:highlight w:val="none"/>
              </w:rPr>
            </w:pPr>
            <w:r>
              <w:rPr>
                <w:rFonts w:hint="eastAsia" w:hAnsi="宋体"/>
                <w:color w:val="auto"/>
                <w:szCs w:val="21"/>
                <w:highlight w:val="none"/>
              </w:rPr>
              <w:t>2、保修期内，成交供应商负责对其提供的产品整机进行维修，并且保证每年上门检修一次，不再向采购人收取费用。</w:t>
            </w:r>
          </w:p>
          <w:p w14:paraId="19850AA9">
            <w:pPr>
              <w:spacing w:line="360" w:lineRule="exact"/>
              <w:rPr>
                <w:rFonts w:hAnsi="宋体"/>
                <w:color w:val="auto"/>
                <w:szCs w:val="21"/>
                <w:highlight w:val="none"/>
              </w:rPr>
            </w:pPr>
            <w:r>
              <w:rPr>
                <w:rFonts w:hint="eastAsia" w:hAnsi="宋体"/>
                <w:color w:val="auto"/>
                <w:szCs w:val="21"/>
                <w:highlight w:val="none"/>
              </w:rPr>
              <w:t>3、提供7×24小时热线电话和远程技术支持服务，对于远程无法解决的问题，需安排资深技术人员到现场解决。</w:t>
            </w:r>
          </w:p>
          <w:p w14:paraId="5BF01E68">
            <w:pPr>
              <w:spacing w:line="360" w:lineRule="exact"/>
              <w:rPr>
                <w:rFonts w:hAnsi="宋体"/>
                <w:color w:val="auto"/>
                <w:szCs w:val="21"/>
                <w:highlight w:val="none"/>
              </w:rPr>
            </w:pPr>
            <w:r>
              <w:rPr>
                <w:rFonts w:hint="eastAsia" w:hAnsi="宋体"/>
                <w:color w:val="auto"/>
                <w:szCs w:val="21"/>
                <w:highlight w:val="none"/>
              </w:rPr>
              <w:t>4、在使用过程中发生故障，1小时内响应，48小时内到达现场处理，一般故障处理时限不超过24小时修复，重大故障处理时限不超过48小时修复。</w:t>
            </w:r>
          </w:p>
          <w:p w14:paraId="4CE53F45">
            <w:pPr>
              <w:spacing w:line="360" w:lineRule="exact"/>
              <w:rPr>
                <w:rFonts w:hAnsi="宋体"/>
                <w:color w:val="auto"/>
                <w:szCs w:val="21"/>
                <w:highlight w:val="none"/>
              </w:rPr>
            </w:pPr>
            <w:r>
              <w:rPr>
                <w:rFonts w:hint="eastAsia" w:hAnsi="宋体"/>
                <w:color w:val="auto"/>
                <w:szCs w:val="21"/>
                <w:highlight w:val="none"/>
              </w:rPr>
              <w:t>5、如在规定时间内不能完成维修，应提供性能相同或升级型替代设备，以保证用户正常使用。</w:t>
            </w:r>
          </w:p>
          <w:p w14:paraId="4969E507">
            <w:pPr>
              <w:spacing w:line="360" w:lineRule="exact"/>
              <w:rPr>
                <w:rFonts w:hAnsi="宋体"/>
                <w:color w:val="auto"/>
                <w:szCs w:val="21"/>
                <w:highlight w:val="none"/>
              </w:rPr>
            </w:pPr>
            <w:r>
              <w:rPr>
                <w:rFonts w:hint="eastAsia" w:hAnsi="宋体"/>
                <w:color w:val="auto"/>
                <w:szCs w:val="21"/>
                <w:highlight w:val="none"/>
              </w:rPr>
              <w:t>6、成交供应商负责处理解决产品出现的质量及安全问题并承担一切费用，所有非故意性损坏以及正常使用范围内造成的损坏均要免费维修，因人为因素出现的故障不在免费保修范围内，但成交供应商也要积极帮助采购人修理，并提供优惠价格的配件和服务。</w:t>
            </w:r>
          </w:p>
          <w:p w14:paraId="09DD57F5">
            <w:pPr>
              <w:pStyle w:val="19"/>
              <w:spacing w:line="380" w:lineRule="exact"/>
              <w:rPr>
                <w:rFonts w:hAnsi="宋体" w:cs="宋体"/>
                <w:color w:val="auto"/>
                <w:kern w:val="2"/>
                <w:sz w:val="21"/>
                <w:szCs w:val="21"/>
                <w:highlight w:val="none"/>
              </w:rPr>
            </w:pPr>
            <w:r>
              <w:rPr>
                <w:rFonts w:hint="eastAsia" w:hAnsi="宋体"/>
                <w:color w:val="auto"/>
                <w:sz w:val="21"/>
                <w:szCs w:val="21"/>
                <w:highlight w:val="none"/>
              </w:rPr>
              <w:t>7、</w:t>
            </w:r>
            <w:r>
              <w:rPr>
                <w:rFonts w:hint="eastAsia" w:hAnsi="宋体"/>
                <w:b/>
                <w:bCs/>
                <w:color w:val="auto"/>
                <w:sz w:val="21"/>
                <w:szCs w:val="21"/>
                <w:highlight w:val="none"/>
              </w:rPr>
              <w:t>本项目应提供技术援助电话，解答采购人在使用中遇到的问题，及时为采购人提出解决问题的建议，提供专业维保人员不少于1人。</w:t>
            </w:r>
            <w:r>
              <w:rPr>
                <w:rFonts w:hint="eastAsia" w:hAnsi="宋体"/>
                <w:color w:val="auto"/>
                <w:sz w:val="21"/>
                <w:szCs w:val="21"/>
                <w:highlight w:val="none"/>
              </w:rPr>
              <w:t>相关部件及服务须满足本表中各项要求。 所有设备除满足上表要求的技术参数和配置外，其余均按国家标准及生产厂家出厂标准配置，若产品在运输过程中损坏须无偿调换同样产品。</w:t>
            </w:r>
          </w:p>
        </w:tc>
      </w:tr>
      <w:tr w14:paraId="64462235">
        <w:tblPrEx>
          <w:tblCellMar>
            <w:top w:w="0" w:type="dxa"/>
            <w:left w:w="108" w:type="dxa"/>
            <w:bottom w:w="0" w:type="dxa"/>
            <w:right w:w="108" w:type="dxa"/>
          </w:tblCellMar>
        </w:tblPrEx>
        <w:trPr>
          <w:trHeight w:val="420" w:hRule="atLeast"/>
        </w:trPr>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F471">
            <w:pPr>
              <w:widowControl/>
              <w:spacing w:line="380" w:lineRule="exact"/>
              <w:jc w:val="center"/>
              <w:rPr>
                <w:rFonts w:ascii="宋体" w:hAnsi="宋体" w:cs="宋体"/>
                <w:color w:val="auto"/>
                <w:szCs w:val="21"/>
                <w:highlight w:val="none"/>
              </w:rPr>
            </w:pPr>
            <w:r>
              <w:rPr>
                <w:rFonts w:hint="eastAsia" w:ascii="宋体" w:hAnsi="宋体" w:cs="宋体"/>
                <w:color w:val="auto"/>
                <w:kern w:val="0"/>
                <w:szCs w:val="21"/>
                <w:highlight w:val="none"/>
              </w:rPr>
              <w:t>▲付款条件</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442F">
            <w:pPr>
              <w:widowControl/>
              <w:spacing w:line="380" w:lineRule="exact"/>
              <w:rPr>
                <w:rFonts w:ascii="宋体" w:hAnsi="宋体" w:cs="宋体"/>
                <w:b/>
                <w:bCs/>
                <w:color w:val="auto"/>
                <w:kern w:val="0"/>
                <w:szCs w:val="21"/>
                <w:highlight w:val="none"/>
              </w:rPr>
            </w:pPr>
            <w:r>
              <w:rPr>
                <w:rFonts w:hint="eastAsia" w:ascii="宋体" w:hAnsi="宋体" w:cs="宋体"/>
                <w:color w:val="auto"/>
                <w:kern w:val="0"/>
                <w:szCs w:val="21"/>
                <w:highlight w:val="none"/>
              </w:rPr>
              <w:t>合同签订后15天内甲方向乙方支付合同总金额30%的预付款；全部货物安装、调试完毕，验收合格后交付使用后15天内，甲方向乙方支付剩余的70%合同款。本项目成交价格为已含税价格，乙方须按规定开具相应金额的发票，由甲方凭乙方开具的发票支付乙方的货款。</w:t>
            </w:r>
          </w:p>
        </w:tc>
      </w:tr>
      <w:tr w14:paraId="55C28DF4">
        <w:tblPrEx>
          <w:tblCellMar>
            <w:top w:w="0" w:type="dxa"/>
            <w:left w:w="108" w:type="dxa"/>
            <w:bottom w:w="0" w:type="dxa"/>
            <w:right w:w="108" w:type="dxa"/>
          </w:tblCellMar>
        </w:tblPrEx>
        <w:trPr>
          <w:trHeight w:val="420" w:hRule="atLeast"/>
        </w:trPr>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781C">
            <w:pPr>
              <w:widowControl/>
              <w:spacing w:line="3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▲履约保证金</w:t>
            </w:r>
          </w:p>
        </w:tc>
        <w:tc>
          <w:tcPr>
            <w:tcW w:w="7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9D70">
            <w:pPr>
              <w:widowControl/>
              <w:spacing w:line="380" w:lineRule="exact"/>
              <w:rPr>
                <w:rFonts w:ascii="宋体" w:hAnsi="宋体" w:cs="宋体"/>
                <w:color w:val="auto"/>
                <w:szCs w:val="21"/>
                <w:highlight w:val="none"/>
              </w:rPr>
            </w:pPr>
            <w:r>
              <w:rPr>
                <w:rFonts w:hint="eastAsia" w:ascii="宋体" w:hAnsi="宋体" w:cs="宋体"/>
                <w:color w:val="auto"/>
                <w:szCs w:val="21"/>
                <w:highlight w:val="none"/>
              </w:rPr>
              <w:t>履约保证金的形式：现金、银行保函或保证保险等形式。</w:t>
            </w:r>
          </w:p>
          <w:p w14:paraId="02A56C81">
            <w:pPr>
              <w:widowControl/>
              <w:spacing w:line="380" w:lineRule="exact"/>
              <w:rPr>
                <w:rFonts w:ascii="宋体" w:hAnsi="宋体" w:cs="宋体"/>
                <w:color w:val="auto"/>
                <w:szCs w:val="21"/>
                <w:highlight w:val="none"/>
              </w:rPr>
            </w:pPr>
            <w:r>
              <w:rPr>
                <w:rFonts w:hint="eastAsia" w:ascii="宋体" w:hAnsi="宋体" w:cs="宋体"/>
                <w:color w:val="auto"/>
                <w:szCs w:val="21"/>
                <w:highlight w:val="none"/>
              </w:rPr>
              <w:t>履约保证金的金额：</w:t>
            </w:r>
            <w:r>
              <w:rPr>
                <w:rFonts w:hint="eastAsia" w:hAnsi="宋体"/>
                <w:color w:val="auto"/>
                <w:szCs w:val="21"/>
                <w:highlight w:val="none"/>
              </w:rPr>
              <w:t>合同价款的5%，若成交人是中小企业，则履约保证金按合同价款的2%收取。</w:t>
            </w:r>
          </w:p>
          <w:p w14:paraId="26C85750">
            <w:pPr>
              <w:widowControl/>
              <w:spacing w:line="38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成交供应商应在合同签订之前交纳，如果成交供应商在规定的合同签订时间内没有按照采购文件的规定交纳履约保证金，且无正当理由的，将视为放弃中标，成交供应商须承担相应的法律责任。项目验收合格后，履约保证金自动转为质量保证金。待质保期到期后，甲方在15天内一次性退还全部质量保证金给乙方（无息）。 </w:t>
            </w:r>
          </w:p>
        </w:tc>
      </w:tr>
    </w:tbl>
    <w:p w14:paraId="5CC34FE3">
      <w:pPr>
        <w:pStyle w:val="16"/>
        <w:rPr>
          <w:rFonts w:hint="eastAsia" w:hAnsi="宋体" w:cs="宋体"/>
          <w:color w:val="auto"/>
          <w:sz w:val="28"/>
          <w:szCs w:val="28"/>
          <w:highlight w:val="none"/>
        </w:rPr>
      </w:pPr>
    </w:p>
    <w:p w14:paraId="6D2B477A">
      <w:pPr>
        <w:pStyle w:val="16"/>
        <w:rPr>
          <w:rFonts w:hint="eastAsia" w:hAnsi="宋体" w:cs="宋体"/>
          <w:color w:val="auto"/>
          <w:sz w:val="28"/>
          <w:szCs w:val="28"/>
          <w:highlight w:val="none"/>
        </w:rPr>
      </w:pPr>
    </w:p>
    <w:p w14:paraId="2357CDC0">
      <w:pPr>
        <w:pStyle w:val="16"/>
        <w:rPr>
          <w:rFonts w:hint="eastAsia" w:hAnsi="宋体" w:cs="宋体"/>
          <w:color w:val="auto"/>
          <w:sz w:val="28"/>
          <w:szCs w:val="28"/>
          <w:highlight w:val="none"/>
        </w:rPr>
      </w:pPr>
    </w:p>
    <w:p w14:paraId="70F13EDF">
      <w:pPr>
        <w:pStyle w:val="16"/>
        <w:rPr>
          <w:rFonts w:hint="eastAsia" w:hAnsi="宋体" w:cs="宋体"/>
          <w:color w:val="auto"/>
          <w:sz w:val="28"/>
          <w:szCs w:val="28"/>
          <w:highlight w:val="none"/>
        </w:rPr>
      </w:pPr>
    </w:p>
    <w:p w14:paraId="1E1327DD">
      <w:pPr>
        <w:pStyle w:val="16"/>
        <w:rPr>
          <w:rFonts w:hint="eastAsia" w:hAnsi="宋体" w:cs="宋体"/>
          <w:color w:val="auto"/>
          <w:sz w:val="28"/>
          <w:szCs w:val="28"/>
          <w:highlight w:val="none"/>
        </w:rPr>
      </w:pPr>
    </w:p>
    <w:p w14:paraId="0146E464">
      <w:pPr>
        <w:pStyle w:val="16"/>
        <w:rPr>
          <w:rFonts w:hint="eastAsia" w:hAnsi="宋体" w:cs="宋体"/>
          <w:color w:val="auto"/>
          <w:sz w:val="28"/>
          <w:szCs w:val="28"/>
          <w:highlight w:val="none"/>
        </w:rPr>
      </w:pPr>
    </w:p>
    <w:p w14:paraId="31644D48">
      <w:pPr>
        <w:pStyle w:val="16"/>
        <w:rPr>
          <w:rFonts w:hint="eastAsia" w:hAnsi="宋体" w:cs="宋体"/>
          <w:color w:val="auto"/>
          <w:sz w:val="28"/>
          <w:szCs w:val="28"/>
          <w:highlight w:val="none"/>
        </w:rPr>
      </w:pPr>
    </w:p>
    <w:p w14:paraId="7E92DE9B">
      <w:pPr>
        <w:pStyle w:val="16"/>
        <w:rPr>
          <w:rFonts w:hint="eastAsia" w:hAnsi="宋体" w:cs="宋体"/>
          <w:color w:val="auto"/>
          <w:sz w:val="28"/>
          <w:szCs w:val="28"/>
          <w:highlight w:val="none"/>
        </w:rPr>
      </w:pPr>
    </w:p>
    <w:p w14:paraId="1381A08D">
      <w:pPr>
        <w:pStyle w:val="16"/>
        <w:rPr>
          <w:rFonts w:hint="eastAsia" w:hAnsi="宋体" w:cs="宋体"/>
          <w:color w:val="auto"/>
          <w:sz w:val="28"/>
          <w:szCs w:val="28"/>
          <w:highlight w:val="none"/>
        </w:rPr>
      </w:pPr>
    </w:p>
    <w:p w14:paraId="0622464A">
      <w:pPr>
        <w:pStyle w:val="16"/>
        <w:rPr>
          <w:rFonts w:hint="eastAsia" w:hAnsi="宋体" w:cs="宋体"/>
          <w:color w:val="auto"/>
          <w:sz w:val="28"/>
          <w:szCs w:val="28"/>
          <w:highlight w:val="none"/>
        </w:rPr>
      </w:pPr>
    </w:p>
    <w:p w14:paraId="67917DB8">
      <w:pPr>
        <w:pStyle w:val="16"/>
        <w:rPr>
          <w:rFonts w:hint="eastAsia" w:hAnsi="宋体" w:cs="宋体"/>
          <w:color w:val="auto"/>
          <w:sz w:val="28"/>
          <w:szCs w:val="28"/>
          <w:highlight w:val="none"/>
        </w:rPr>
      </w:pPr>
    </w:p>
    <w:p w14:paraId="22CBEE60">
      <w:pPr>
        <w:pStyle w:val="16"/>
        <w:rPr>
          <w:rFonts w:hint="eastAsia" w:hAnsi="宋体" w:cs="宋体"/>
          <w:color w:val="auto"/>
          <w:sz w:val="28"/>
          <w:szCs w:val="28"/>
          <w:highlight w:val="none"/>
        </w:rPr>
      </w:pPr>
    </w:p>
    <w:p w14:paraId="79C08754">
      <w:pPr>
        <w:pStyle w:val="16"/>
        <w:rPr>
          <w:rFonts w:hint="eastAsia" w:hAnsi="宋体" w:cs="宋体"/>
          <w:color w:val="auto"/>
          <w:sz w:val="28"/>
          <w:szCs w:val="28"/>
          <w:highlight w:val="none"/>
        </w:rPr>
      </w:pPr>
    </w:p>
    <w:p w14:paraId="2F062E51">
      <w:pPr>
        <w:pStyle w:val="16"/>
        <w:rPr>
          <w:rFonts w:hint="eastAsia" w:hAnsi="宋体" w:cs="宋体"/>
          <w:color w:val="auto"/>
          <w:sz w:val="28"/>
          <w:szCs w:val="28"/>
          <w:highlight w:val="none"/>
        </w:rPr>
      </w:pPr>
    </w:p>
    <w:p w14:paraId="03638AE3">
      <w:pPr>
        <w:pStyle w:val="16"/>
        <w:rPr>
          <w:rFonts w:hint="eastAsia" w:hAnsi="宋体" w:cs="宋体"/>
          <w:color w:val="auto"/>
          <w:sz w:val="28"/>
          <w:szCs w:val="28"/>
          <w:highlight w:val="none"/>
        </w:rPr>
      </w:pPr>
    </w:p>
    <w:p w14:paraId="68D0490F">
      <w:pPr>
        <w:pStyle w:val="16"/>
        <w:rPr>
          <w:rFonts w:hAnsi="宋体" w:cs="宋体"/>
          <w:color w:val="auto"/>
          <w:sz w:val="28"/>
          <w:szCs w:val="28"/>
          <w:highlight w:val="none"/>
        </w:rPr>
      </w:pPr>
      <w:r>
        <w:rPr>
          <w:rFonts w:hint="eastAsia" w:hAnsi="宋体" w:cs="宋体"/>
          <w:color w:val="auto"/>
          <w:sz w:val="28"/>
          <w:szCs w:val="28"/>
          <w:highlight w:val="none"/>
        </w:rPr>
        <w:t>附件1：</w:t>
      </w:r>
    </w:p>
    <w:p w14:paraId="75949FAA">
      <w:pPr>
        <w:pStyle w:val="16"/>
        <w:spacing w:after="20"/>
        <w:jc w:val="center"/>
        <w:rPr>
          <w:rFonts w:hAnsi="宋体" w:cs="宋体"/>
          <w:b/>
          <w:bCs/>
          <w:color w:val="auto"/>
          <w:sz w:val="30"/>
          <w:szCs w:val="30"/>
          <w:highlight w:val="none"/>
        </w:rPr>
      </w:pPr>
      <w:r>
        <w:rPr>
          <w:rFonts w:hint="eastAsia" w:hAnsi="宋体" w:cs="宋体"/>
          <w:b/>
          <w:bCs/>
          <w:color w:val="auto"/>
          <w:sz w:val="30"/>
          <w:szCs w:val="30"/>
          <w:highlight w:val="none"/>
        </w:rPr>
        <w:t>节能产品政府采购品目清单</w:t>
      </w:r>
    </w:p>
    <w:tbl>
      <w:tblPr>
        <w:tblStyle w:val="35"/>
        <w:tblW w:w="9220" w:type="dxa"/>
        <w:jc w:val="center"/>
        <w:tblLayout w:type="autofit"/>
        <w:tblCellMar>
          <w:top w:w="0" w:type="dxa"/>
          <w:left w:w="108" w:type="dxa"/>
          <w:bottom w:w="0" w:type="dxa"/>
          <w:right w:w="108" w:type="dxa"/>
        </w:tblCellMar>
      </w:tblPr>
      <w:tblGrid>
        <w:gridCol w:w="660"/>
        <w:gridCol w:w="1116"/>
        <w:gridCol w:w="1516"/>
        <w:gridCol w:w="1620"/>
        <w:gridCol w:w="4540"/>
      </w:tblGrid>
      <w:tr w14:paraId="62DF00AE">
        <w:trPr>
          <w:trHeight w:val="555" w:hRule="atLeast"/>
          <w:jc w:val="center"/>
        </w:trPr>
        <w:tc>
          <w:tcPr>
            <w:tcW w:w="660" w:type="dxa"/>
            <w:tcBorders>
              <w:top w:val="single" w:color="000000" w:sz="8" w:space="0"/>
              <w:left w:val="single" w:color="000000" w:sz="8" w:space="0"/>
              <w:bottom w:val="nil"/>
              <w:right w:val="single" w:color="000000" w:sz="8" w:space="0"/>
            </w:tcBorders>
            <w:noWrap/>
          </w:tcPr>
          <w:p w14:paraId="64A01BA1">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ign w:val="center"/>
          </w:tcPr>
          <w:p w14:paraId="15F93523">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ign w:val="center"/>
          </w:tcPr>
          <w:p w14:paraId="12741882">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2D8E36F1">
        <w:tblPrEx>
          <w:tblCellMar>
            <w:top w:w="0" w:type="dxa"/>
            <w:left w:w="108" w:type="dxa"/>
            <w:bottom w:w="0" w:type="dxa"/>
            <w:right w:w="108" w:type="dxa"/>
          </w:tblCellMar>
        </w:tblPrEx>
        <w:trPr>
          <w:trHeight w:val="495" w:hRule="atLeast"/>
          <w:jc w:val="center"/>
        </w:trPr>
        <w:tc>
          <w:tcPr>
            <w:tcW w:w="660" w:type="dxa"/>
            <w:vMerge w:val="restart"/>
            <w:tcBorders>
              <w:top w:val="single" w:color="000000" w:sz="8" w:space="0"/>
              <w:left w:val="single" w:color="000000" w:sz="8" w:space="0"/>
              <w:bottom w:val="single" w:color="000000" w:sz="8" w:space="0"/>
              <w:right w:val="single" w:color="000000" w:sz="8" w:space="0"/>
            </w:tcBorders>
            <w:noWrap/>
            <w:vAlign w:val="center"/>
          </w:tcPr>
          <w:p w14:paraId="6C24198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ign w:val="center"/>
          </w:tcPr>
          <w:p w14:paraId="7C27847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ign w:val="center"/>
          </w:tcPr>
          <w:p w14:paraId="65AA4C1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ign w:val="center"/>
          </w:tcPr>
          <w:p w14:paraId="368F4B0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3BD6E9B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DAB9CDA">
        <w:tblPrEx>
          <w:tblCellMar>
            <w:top w:w="0" w:type="dxa"/>
            <w:left w:w="108" w:type="dxa"/>
            <w:bottom w:w="0" w:type="dxa"/>
            <w:right w:w="108" w:type="dxa"/>
          </w:tblCellMar>
        </w:tblPrEx>
        <w:trPr>
          <w:trHeight w:val="49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3322533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6E95E52">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73E063D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ign w:val="center"/>
          </w:tcPr>
          <w:p w14:paraId="4F7ECBB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361D00C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06A60451">
        <w:tblPrEx>
          <w:tblCellMar>
            <w:top w:w="0" w:type="dxa"/>
            <w:left w:w="108" w:type="dxa"/>
            <w:bottom w:w="0" w:type="dxa"/>
            <w:right w:w="108" w:type="dxa"/>
          </w:tblCellMar>
        </w:tblPrEx>
        <w:trPr>
          <w:trHeight w:val="73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7DC9CA6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2357AC3">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7E2C82D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ign w:val="center"/>
          </w:tcPr>
          <w:p w14:paraId="14F52BC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2A8027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1A671A52">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6352591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ign w:val="center"/>
          </w:tcPr>
          <w:p w14:paraId="1CF1408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5CA6FAC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ign w:val="center"/>
          </w:tcPr>
          <w:p w14:paraId="3686B9E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ign w:val="center"/>
          </w:tcPr>
          <w:p w14:paraId="19AD3F1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CE11258">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080947E">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5192AE3">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7F5A6E7">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51789FE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ign w:val="center"/>
          </w:tcPr>
          <w:p w14:paraId="6F9CA90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59B576B">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BB50609">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025ADF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81308ED">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67CDBE6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ign w:val="center"/>
          </w:tcPr>
          <w:p w14:paraId="47EAAFB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E3156D7">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48E0BA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F18A445">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14487FF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ign w:val="center"/>
          </w:tcPr>
          <w:p w14:paraId="4CCCDBA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ign w:val="center"/>
          </w:tcPr>
          <w:p w14:paraId="3E1B410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4255E90A">
        <w:tblPrEx>
          <w:tblCellMar>
            <w:top w:w="0" w:type="dxa"/>
            <w:left w:w="108" w:type="dxa"/>
            <w:bottom w:w="0" w:type="dxa"/>
            <w:right w:w="108" w:type="dxa"/>
          </w:tblCellMar>
        </w:tblPrEx>
        <w:trPr>
          <w:trHeight w:val="97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46047390">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0D849E3">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1DD8FC8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ign w:val="center"/>
          </w:tcPr>
          <w:p w14:paraId="2C8FA60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ign w:val="center"/>
          </w:tcPr>
          <w:p w14:paraId="743EFD5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4288EEB8">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36D7E8F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ign w:val="center"/>
          </w:tcPr>
          <w:p w14:paraId="01A8690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ign w:val="center"/>
          </w:tcPr>
          <w:p w14:paraId="3241A4E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48E19AF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E3DB1E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0C666427">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7843677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ign w:val="center"/>
          </w:tcPr>
          <w:p w14:paraId="7EC36E1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ign w:val="center"/>
          </w:tcPr>
          <w:p w14:paraId="4756062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490BFA0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4A31C0D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ACED149">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3C647D7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ign w:val="center"/>
          </w:tcPr>
          <w:p w14:paraId="41DD9DE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ign w:val="center"/>
          </w:tcPr>
          <w:p w14:paraId="2AE25EF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ign w:val="center"/>
          </w:tcPr>
          <w:p w14:paraId="4D2C6C8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56E8EA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16257135">
        <w:tblPrEx>
          <w:tblCellMar>
            <w:top w:w="0" w:type="dxa"/>
            <w:left w:w="108" w:type="dxa"/>
            <w:bottom w:w="0" w:type="dxa"/>
            <w:right w:w="108" w:type="dxa"/>
          </w:tblCellMar>
        </w:tblPrEx>
        <w:trPr>
          <w:trHeight w:val="73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424C804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ign w:val="center"/>
          </w:tcPr>
          <w:p w14:paraId="27E2B16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55BE3E3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ign w:val="center"/>
          </w:tcPr>
          <w:p w14:paraId="028909B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ign w:val="center"/>
          </w:tcPr>
          <w:p w14:paraId="5E9BDF8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7AEF0F2C">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FE9976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72D6AB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6A19423">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5133946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ign w:val="center"/>
          </w:tcPr>
          <w:p w14:paraId="22C25F3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0B3FE591">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1395A40">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3BECE38">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531FCD2">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73291DA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ign w:val="center"/>
          </w:tcPr>
          <w:p w14:paraId="63E1814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78E2F165">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E24324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0E99AC7">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23CEE1A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ign w:val="center"/>
          </w:tcPr>
          <w:p w14:paraId="2966F39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ign w:val="center"/>
          </w:tcPr>
          <w:p w14:paraId="3455B88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27FF96BE">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A48760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BFC841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F3B2D0A">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60107BD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ign w:val="center"/>
          </w:tcPr>
          <w:p w14:paraId="48CC020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6443ACF6">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BC822E7">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E5D2707">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3762652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ign w:val="center"/>
          </w:tcPr>
          <w:p w14:paraId="79939AB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ign w:val="center"/>
          </w:tcPr>
          <w:p w14:paraId="741028E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6FD97991">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64DC6D2">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2C457CE">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6C73E3B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ign w:val="center"/>
          </w:tcPr>
          <w:p w14:paraId="4025DE3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ign w:val="center"/>
          </w:tcPr>
          <w:p w14:paraId="41E2CAD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47FE9FCE">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1A6D77D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ign w:val="center"/>
          </w:tcPr>
          <w:p w14:paraId="4DF4D07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ign w:val="center"/>
          </w:tcPr>
          <w:p w14:paraId="2E2F1B9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019782C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3D75E0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47BD8785">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66870B9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ign w:val="center"/>
          </w:tcPr>
          <w:p w14:paraId="750843F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ign w:val="center"/>
          </w:tcPr>
          <w:p w14:paraId="589D4FF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ign w:val="center"/>
          </w:tcPr>
          <w:p w14:paraId="3F48EA5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4BB371B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048849A3">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016FAC6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ign w:val="center"/>
          </w:tcPr>
          <w:p w14:paraId="63278BC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ign w:val="center"/>
          </w:tcPr>
          <w:p w14:paraId="7067732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ign w:val="center"/>
          </w:tcPr>
          <w:p w14:paraId="5D1EBDC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B1819A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6F023078">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13370C8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ign w:val="center"/>
          </w:tcPr>
          <w:p w14:paraId="4CD9B61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ign w:val="center"/>
          </w:tcPr>
          <w:p w14:paraId="4270816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ign w:val="center"/>
          </w:tcPr>
          <w:p w14:paraId="0801BC3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4E048C5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386553B1">
        <w:tblPrEx>
          <w:tblCellMar>
            <w:top w:w="0" w:type="dxa"/>
            <w:left w:w="108" w:type="dxa"/>
            <w:bottom w:w="0" w:type="dxa"/>
            <w:right w:w="108" w:type="dxa"/>
          </w:tblCellMar>
        </w:tblPrEx>
        <w:trPr>
          <w:trHeight w:val="97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35C21A80">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DF00DC8">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25BC711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ign w:val="center"/>
          </w:tcPr>
          <w:p w14:paraId="40BD888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ign w:val="center"/>
          </w:tcPr>
          <w:p w14:paraId="7CC2A89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61D12F2C">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BC335E7">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96E7F44">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7C3B1D9">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4C4D2CB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ign w:val="center"/>
          </w:tcPr>
          <w:p w14:paraId="7E7D222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3D85037B">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B182285">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9F97E30">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B1D7879">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7886715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ign w:val="center"/>
          </w:tcPr>
          <w:p w14:paraId="5C2E458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1183A120">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B44CEC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A553A3A">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6A50B49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ign w:val="center"/>
          </w:tcPr>
          <w:p w14:paraId="1FE4F28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FCB7AA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29A7A5E5">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7AFAA9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EA28151">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58B1FAA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ign w:val="center"/>
          </w:tcPr>
          <w:p w14:paraId="5AD04D3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ign w:val="center"/>
          </w:tcPr>
          <w:p w14:paraId="04023C7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0AD36AA2">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34B3F4F2">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D55A256">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D8287F5">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430A352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ign w:val="center"/>
          </w:tcPr>
          <w:p w14:paraId="64D0186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23795A1F">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248FE5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F2C950B">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3FD7786">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27794F7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ign w:val="center"/>
          </w:tcPr>
          <w:p w14:paraId="099C081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64CA0A02">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719A48D">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A81F254">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980EDDD">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345D6F3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ign w:val="center"/>
          </w:tcPr>
          <w:p w14:paraId="4F161C7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1078CE55">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auto" w:sz="8" w:space="0"/>
              <w:bottom w:val="single" w:color="auto" w:sz="8" w:space="0"/>
              <w:right w:val="single" w:color="auto" w:sz="8" w:space="0"/>
            </w:tcBorders>
            <w:noWrap/>
            <w:vAlign w:val="center"/>
          </w:tcPr>
          <w:p w14:paraId="7E6BA09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auto" w:sz="8" w:space="0"/>
              <w:bottom w:val="single" w:color="auto" w:sz="8" w:space="0"/>
              <w:right w:val="single" w:color="auto" w:sz="8" w:space="0"/>
            </w:tcBorders>
            <w:noWrap/>
            <w:vAlign w:val="center"/>
          </w:tcPr>
          <w:p w14:paraId="78A93E3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auto" w:sz="8" w:space="0"/>
              <w:right w:val="single" w:color="auto" w:sz="8" w:space="0"/>
            </w:tcBorders>
            <w:noWrap/>
            <w:vAlign w:val="center"/>
          </w:tcPr>
          <w:p w14:paraId="49C966A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auto" w:sz="8" w:space="0"/>
              <w:right w:val="single" w:color="auto" w:sz="8" w:space="0"/>
            </w:tcBorders>
            <w:noWrap/>
            <w:vAlign w:val="center"/>
          </w:tcPr>
          <w:p w14:paraId="6E587E5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2F84EF7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75EFD100">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8C52D2C">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14:paraId="08CF8DA9">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3EB1705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auto" w:sz="8" w:space="0"/>
              <w:right w:val="single" w:color="auto" w:sz="8" w:space="0"/>
            </w:tcBorders>
            <w:noWrap/>
            <w:vAlign w:val="center"/>
          </w:tcPr>
          <w:p w14:paraId="52B0522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5A5D73B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338B20F4">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751416F">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14:paraId="1BAE7994">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4828A28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auto" w:sz="8" w:space="0"/>
              <w:right w:val="single" w:color="auto" w:sz="8" w:space="0"/>
            </w:tcBorders>
            <w:noWrap/>
            <w:vAlign w:val="center"/>
          </w:tcPr>
          <w:p w14:paraId="5F29BA2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22AB1CD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6E57FDC3">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9CDB4A1">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14:paraId="1ED023C7">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02B3612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auto" w:sz="8" w:space="0"/>
              <w:right w:val="single" w:color="auto" w:sz="8" w:space="0"/>
            </w:tcBorders>
            <w:noWrap/>
            <w:vAlign w:val="center"/>
          </w:tcPr>
          <w:p w14:paraId="2EF7C22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48DF9E0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088DFFB3">
        <w:tblPrEx>
          <w:tblCellMar>
            <w:top w:w="0" w:type="dxa"/>
            <w:left w:w="108" w:type="dxa"/>
            <w:bottom w:w="0" w:type="dxa"/>
            <w:right w:w="108" w:type="dxa"/>
          </w:tblCellMar>
        </w:tblPrEx>
        <w:trPr>
          <w:trHeight w:val="735" w:hRule="atLeast"/>
          <w:jc w:val="center"/>
        </w:trPr>
        <w:tc>
          <w:tcPr>
            <w:tcW w:w="660" w:type="dxa"/>
            <w:tcBorders>
              <w:top w:val="nil"/>
              <w:left w:val="single" w:color="auto" w:sz="8" w:space="0"/>
              <w:bottom w:val="single" w:color="auto" w:sz="8" w:space="0"/>
              <w:right w:val="single" w:color="auto" w:sz="8" w:space="0"/>
            </w:tcBorders>
            <w:noWrap/>
            <w:vAlign w:val="center"/>
          </w:tcPr>
          <w:p w14:paraId="2CC43DB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auto" w:sz="8" w:space="0"/>
              <w:right w:val="single" w:color="auto" w:sz="8" w:space="0"/>
            </w:tcBorders>
            <w:noWrap/>
            <w:vAlign w:val="center"/>
          </w:tcPr>
          <w:p w14:paraId="6211860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auto" w:sz="8" w:space="0"/>
              <w:right w:val="single" w:color="auto" w:sz="8" w:space="0"/>
            </w:tcBorders>
            <w:noWrap/>
            <w:vAlign w:val="center"/>
          </w:tcPr>
          <w:p w14:paraId="050BD4C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auto" w:sz="8" w:space="0"/>
              <w:right w:val="single" w:color="auto" w:sz="8" w:space="0"/>
            </w:tcBorders>
            <w:noWrap/>
            <w:vAlign w:val="center"/>
          </w:tcPr>
          <w:p w14:paraId="108F847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527ABBD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32BA347B">
        <w:tblPrEx>
          <w:tblCellMar>
            <w:top w:w="0" w:type="dxa"/>
            <w:left w:w="108" w:type="dxa"/>
            <w:bottom w:w="0" w:type="dxa"/>
            <w:right w:w="108" w:type="dxa"/>
          </w:tblCellMar>
        </w:tblPrEx>
        <w:trPr>
          <w:trHeight w:val="975" w:hRule="atLeast"/>
          <w:jc w:val="center"/>
        </w:trPr>
        <w:tc>
          <w:tcPr>
            <w:tcW w:w="660" w:type="dxa"/>
            <w:tcBorders>
              <w:top w:val="nil"/>
              <w:left w:val="single" w:color="auto" w:sz="8" w:space="0"/>
              <w:bottom w:val="single" w:color="auto" w:sz="8" w:space="0"/>
              <w:right w:val="single" w:color="auto" w:sz="8" w:space="0"/>
            </w:tcBorders>
            <w:noWrap/>
            <w:vAlign w:val="center"/>
          </w:tcPr>
          <w:p w14:paraId="1735C0F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auto" w:sz="8" w:space="0"/>
              <w:right w:val="single" w:color="auto" w:sz="8" w:space="0"/>
            </w:tcBorders>
            <w:noWrap/>
            <w:vAlign w:val="center"/>
          </w:tcPr>
          <w:p w14:paraId="7223457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auto" w:sz="8" w:space="0"/>
              <w:right w:val="single" w:color="auto" w:sz="8" w:space="0"/>
            </w:tcBorders>
            <w:noWrap/>
            <w:vAlign w:val="center"/>
          </w:tcPr>
          <w:p w14:paraId="3DE378D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auto" w:sz="8" w:space="0"/>
              <w:right w:val="single" w:color="auto" w:sz="8" w:space="0"/>
            </w:tcBorders>
            <w:noWrap/>
            <w:vAlign w:val="center"/>
          </w:tcPr>
          <w:p w14:paraId="462A735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auto" w:sz="8" w:space="0"/>
              <w:right w:val="single" w:color="auto" w:sz="8" w:space="0"/>
            </w:tcBorders>
            <w:noWrap/>
            <w:vAlign w:val="center"/>
          </w:tcPr>
          <w:p w14:paraId="7A77246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699C7510">
        <w:tblPrEx>
          <w:tblCellMar>
            <w:top w:w="0" w:type="dxa"/>
            <w:left w:w="108" w:type="dxa"/>
            <w:bottom w:w="0" w:type="dxa"/>
            <w:right w:w="108" w:type="dxa"/>
          </w:tblCellMar>
        </w:tblPrEx>
        <w:trPr>
          <w:trHeight w:val="495" w:hRule="atLeast"/>
          <w:jc w:val="center"/>
        </w:trPr>
        <w:tc>
          <w:tcPr>
            <w:tcW w:w="660" w:type="dxa"/>
            <w:tcBorders>
              <w:top w:val="nil"/>
              <w:left w:val="single" w:color="auto" w:sz="8" w:space="0"/>
              <w:bottom w:val="single" w:color="auto" w:sz="8" w:space="0"/>
              <w:right w:val="single" w:color="auto" w:sz="8" w:space="0"/>
            </w:tcBorders>
            <w:noWrap/>
            <w:vAlign w:val="center"/>
          </w:tcPr>
          <w:p w14:paraId="722130A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auto" w:sz="8" w:space="0"/>
              <w:right w:val="single" w:color="auto" w:sz="8" w:space="0"/>
            </w:tcBorders>
            <w:noWrap/>
            <w:vAlign w:val="center"/>
          </w:tcPr>
          <w:p w14:paraId="6089826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auto" w:sz="8" w:space="0"/>
              <w:right w:val="single" w:color="auto" w:sz="8" w:space="0"/>
            </w:tcBorders>
            <w:noWrap/>
            <w:vAlign w:val="center"/>
          </w:tcPr>
          <w:p w14:paraId="69A8F57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auto" w:sz="8" w:space="0"/>
              <w:right w:val="single" w:color="auto" w:sz="8" w:space="0"/>
            </w:tcBorders>
            <w:noWrap/>
            <w:vAlign w:val="center"/>
          </w:tcPr>
          <w:p w14:paraId="5C0852D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32F0191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616D2119">
        <w:tblPrEx>
          <w:tblCellMar>
            <w:top w:w="0" w:type="dxa"/>
            <w:left w:w="108" w:type="dxa"/>
            <w:bottom w:w="0" w:type="dxa"/>
            <w:right w:w="108" w:type="dxa"/>
          </w:tblCellMar>
        </w:tblPrEx>
        <w:trPr>
          <w:trHeight w:val="285" w:hRule="atLeast"/>
          <w:jc w:val="center"/>
        </w:trPr>
        <w:tc>
          <w:tcPr>
            <w:tcW w:w="660" w:type="dxa"/>
            <w:vMerge w:val="restart"/>
            <w:tcBorders>
              <w:top w:val="nil"/>
              <w:left w:val="single" w:color="auto" w:sz="8" w:space="0"/>
              <w:bottom w:val="single" w:color="auto" w:sz="8" w:space="0"/>
              <w:right w:val="single" w:color="auto" w:sz="8" w:space="0"/>
            </w:tcBorders>
            <w:noWrap/>
            <w:vAlign w:val="center"/>
          </w:tcPr>
          <w:p w14:paraId="23F9BAB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auto" w:sz="8" w:space="0"/>
              <w:bottom w:val="single" w:color="000000" w:sz="8" w:space="0"/>
              <w:right w:val="single" w:color="auto" w:sz="8" w:space="0"/>
            </w:tcBorders>
            <w:noWrap/>
            <w:vAlign w:val="center"/>
          </w:tcPr>
          <w:p w14:paraId="68408B4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auto" w:sz="8" w:space="0"/>
              <w:right w:val="single" w:color="auto" w:sz="8" w:space="0"/>
            </w:tcBorders>
            <w:noWrap/>
            <w:vAlign w:val="center"/>
          </w:tcPr>
          <w:p w14:paraId="13E9280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auto" w:sz="8" w:space="0"/>
              <w:right w:val="single" w:color="auto" w:sz="8" w:space="0"/>
            </w:tcBorders>
            <w:noWrap/>
            <w:vAlign w:val="center"/>
          </w:tcPr>
          <w:p w14:paraId="618F5CD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3D491B9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7DE737D4">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5CEC0DC">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vAlign w:val="center"/>
          </w:tcPr>
          <w:p w14:paraId="44FDD2AE">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2B86C61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auto" w:sz="8" w:space="0"/>
              <w:right w:val="single" w:color="auto" w:sz="8" w:space="0"/>
            </w:tcBorders>
            <w:noWrap/>
            <w:vAlign w:val="center"/>
          </w:tcPr>
          <w:p w14:paraId="248147B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0A6A558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7F2CEBFB">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5FE8BBD">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vAlign w:val="center"/>
          </w:tcPr>
          <w:p w14:paraId="43F2ECB4">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4C87E1F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auto" w:sz="8" w:space="0"/>
              <w:right w:val="single" w:color="auto" w:sz="8" w:space="0"/>
            </w:tcBorders>
            <w:noWrap/>
            <w:vAlign w:val="center"/>
          </w:tcPr>
          <w:p w14:paraId="4A22B35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317843D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35718549">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6FA1B25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ign w:val="center"/>
          </w:tcPr>
          <w:p w14:paraId="3560E11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ign w:val="center"/>
          </w:tcPr>
          <w:p w14:paraId="3066270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5061CA0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07C30F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3427D5D1">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1F78322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ign w:val="center"/>
          </w:tcPr>
          <w:p w14:paraId="189AF15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ign w:val="center"/>
          </w:tcPr>
          <w:p w14:paraId="0B4D93E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4EAC782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EF4045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42B66CEB">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5F0273A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ign w:val="center"/>
          </w:tcPr>
          <w:p w14:paraId="67E7A38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ign w:val="center"/>
          </w:tcPr>
          <w:p w14:paraId="380C996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067363D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35774B8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4C7707B3">
      <w:pPr>
        <w:widowControl/>
        <w:rPr>
          <w:rFonts w:ascii="宋体" w:hAnsi="宋体" w:cs="宋体"/>
          <w:color w:val="auto"/>
          <w:sz w:val="20"/>
          <w:szCs w:val="20"/>
          <w:highlight w:val="none"/>
        </w:rPr>
      </w:pPr>
    </w:p>
    <w:p w14:paraId="6E6010F9">
      <w:pPr>
        <w:pStyle w:val="16"/>
        <w:spacing w:after="0" w:line="360" w:lineRule="exact"/>
        <w:rPr>
          <w:rFonts w:hAnsi="宋体" w:cs="宋体"/>
          <w:color w:val="auto"/>
          <w:sz w:val="21"/>
          <w:szCs w:val="21"/>
          <w:highlight w:val="none"/>
        </w:rPr>
      </w:pPr>
      <w:r>
        <w:rPr>
          <w:rFonts w:hint="eastAsia" w:hAnsi="宋体" w:cs="宋体"/>
          <w:color w:val="auto"/>
          <w:spacing w:val="-3"/>
          <w:sz w:val="21"/>
          <w:szCs w:val="21"/>
          <w:highlight w:val="none"/>
        </w:rPr>
        <w:t>注：1.节能产品认证应依据相关国家标准的最新版本，依据国家标准中二级能效（水效）</w:t>
      </w:r>
      <w:r>
        <w:rPr>
          <w:rFonts w:hint="eastAsia" w:hAnsi="宋体" w:cs="宋体"/>
          <w:color w:val="auto"/>
          <w:sz w:val="21"/>
          <w:szCs w:val="21"/>
          <w:highlight w:val="none"/>
        </w:rPr>
        <w:t>指标。</w:t>
      </w:r>
    </w:p>
    <w:p w14:paraId="6BFD8CF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.以“★”标注的为政府强制采购产品。</w:t>
      </w:r>
      <w:r>
        <w:rPr>
          <w:rFonts w:hint="eastAsia" w:ascii="宋体" w:hAnsi="宋体" w:cs="宋体"/>
          <w:color w:val="auto"/>
          <w:highlight w:val="none"/>
        </w:rPr>
        <w:br w:type="page"/>
      </w:r>
    </w:p>
    <w:p w14:paraId="1BD97AD3">
      <w:pPr>
        <w:pStyle w:val="16"/>
        <w:spacing w:line="360" w:lineRule="auto"/>
        <w:rPr>
          <w:rFonts w:hAnsi="宋体" w:cs="宋体"/>
          <w:color w:val="auto"/>
          <w:sz w:val="28"/>
          <w:szCs w:val="28"/>
          <w:highlight w:val="none"/>
        </w:rPr>
      </w:pPr>
      <w:r>
        <w:rPr>
          <w:rFonts w:hint="eastAsia" w:hAnsi="宋体" w:cs="宋体"/>
          <w:color w:val="auto"/>
          <w:sz w:val="28"/>
          <w:szCs w:val="28"/>
          <w:highlight w:val="none"/>
        </w:rPr>
        <w:t>附件2：</w:t>
      </w:r>
    </w:p>
    <w:p w14:paraId="41B9BD92">
      <w:pPr>
        <w:pStyle w:val="16"/>
        <w:spacing w:after="20"/>
        <w:jc w:val="center"/>
        <w:rPr>
          <w:rFonts w:hAnsi="宋体" w:cs="宋体"/>
          <w:b/>
          <w:bCs/>
          <w:color w:val="auto"/>
          <w:sz w:val="30"/>
          <w:szCs w:val="30"/>
          <w:highlight w:val="none"/>
        </w:rPr>
      </w:pPr>
      <w:r>
        <w:rPr>
          <w:rFonts w:hint="eastAsia" w:hAnsi="宋体" w:cs="宋体"/>
          <w:b/>
          <w:bCs/>
          <w:color w:val="auto"/>
          <w:sz w:val="30"/>
          <w:szCs w:val="30"/>
          <w:highlight w:val="none"/>
        </w:rPr>
        <w:t>中小微企业划型标准</w:t>
      </w:r>
    </w:p>
    <w:tbl>
      <w:tblPr>
        <w:tblStyle w:val="35"/>
        <w:tblW w:w="9511" w:type="dxa"/>
        <w:jc w:val="center"/>
        <w:tblLayout w:type="fixed"/>
        <w:tblCellMar>
          <w:top w:w="0" w:type="dxa"/>
          <w:left w:w="108" w:type="dxa"/>
          <w:bottom w:w="0" w:type="dxa"/>
          <w:right w:w="108" w:type="dxa"/>
        </w:tblCellMar>
      </w:tblPr>
      <w:tblGrid>
        <w:gridCol w:w="1700"/>
        <w:gridCol w:w="1383"/>
        <w:gridCol w:w="865"/>
        <w:gridCol w:w="2097"/>
        <w:gridCol w:w="2105"/>
        <w:gridCol w:w="1361"/>
      </w:tblGrid>
      <w:tr w14:paraId="16B9514D">
        <w:tblPrEx>
          <w:tblCellMar>
            <w:top w:w="0" w:type="dxa"/>
            <w:left w:w="108" w:type="dxa"/>
            <w:bottom w:w="0" w:type="dxa"/>
            <w:right w:w="108" w:type="dxa"/>
          </w:tblCellMar>
        </w:tblPrEx>
        <w:trPr>
          <w:trHeight w:val="285" w:hRule="atLeast"/>
          <w:jc w:val="center"/>
        </w:trPr>
        <w:tc>
          <w:tcPr>
            <w:tcW w:w="1700" w:type="dxa"/>
            <w:tcBorders>
              <w:top w:val="single" w:color="auto" w:sz="4" w:space="0"/>
              <w:left w:val="single" w:color="auto" w:sz="4" w:space="0"/>
              <w:bottom w:val="single" w:color="auto" w:sz="4" w:space="0"/>
              <w:right w:val="single" w:color="auto" w:sz="4" w:space="0"/>
            </w:tcBorders>
            <w:noWrap/>
            <w:vAlign w:val="center"/>
          </w:tcPr>
          <w:p w14:paraId="76671662">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14:paraId="10796605">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指标名称</w:t>
            </w:r>
          </w:p>
        </w:tc>
        <w:tc>
          <w:tcPr>
            <w:tcW w:w="865" w:type="dxa"/>
            <w:tcBorders>
              <w:top w:val="single" w:color="auto" w:sz="4" w:space="0"/>
              <w:left w:val="nil"/>
              <w:bottom w:val="single" w:color="auto" w:sz="4" w:space="0"/>
              <w:right w:val="single" w:color="auto" w:sz="4" w:space="0"/>
            </w:tcBorders>
            <w:noWrap/>
            <w:vAlign w:val="center"/>
          </w:tcPr>
          <w:p w14:paraId="43101C4C">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计量单位</w:t>
            </w:r>
          </w:p>
        </w:tc>
        <w:tc>
          <w:tcPr>
            <w:tcW w:w="2097" w:type="dxa"/>
            <w:tcBorders>
              <w:top w:val="single" w:color="auto" w:sz="4" w:space="0"/>
              <w:left w:val="nil"/>
              <w:bottom w:val="single" w:color="auto" w:sz="4" w:space="0"/>
              <w:right w:val="single" w:color="auto" w:sz="4" w:space="0"/>
            </w:tcBorders>
            <w:noWrap/>
            <w:vAlign w:val="center"/>
          </w:tcPr>
          <w:p w14:paraId="09ECAACC">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中型</w:t>
            </w:r>
          </w:p>
        </w:tc>
        <w:tc>
          <w:tcPr>
            <w:tcW w:w="2105" w:type="dxa"/>
            <w:tcBorders>
              <w:top w:val="single" w:color="auto" w:sz="4" w:space="0"/>
              <w:left w:val="nil"/>
              <w:bottom w:val="single" w:color="auto" w:sz="4" w:space="0"/>
              <w:right w:val="single" w:color="auto" w:sz="4" w:space="0"/>
            </w:tcBorders>
            <w:noWrap/>
            <w:vAlign w:val="center"/>
          </w:tcPr>
          <w:p w14:paraId="49A638BA">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小型</w:t>
            </w:r>
          </w:p>
        </w:tc>
        <w:tc>
          <w:tcPr>
            <w:tcW w:w="1361" w:type="dxa"/>
            <w:tcBorders>
              <w:top w:val="single" w:color="auto" w:sz="4" w:space="0"/>
              <w:left w:val="nil"/>
              <w:bottom w:val="single" w:color="auto" w:sz="4" w:space="0"/>
              <w:right w:val="single" w:color="auto" w:sz="4" w:space="0"/>
            </w:tcBorders>
            <w:noWrap/>
            <w:vAlign w:val="center"/>
          </w:tcPr>
          <w:p w14:paraId="495F20C0">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微型</w:t>
            </w:r>
          </w:p>
        </w:tc>
      </w:tr>
      <w:tr w14:paraId="41B19271">
        <w:tblPrEx>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noWrap/>
            <w:vAlign w:val="center"/>
          </w:tcPr>
          <w:p w14:paraId="57DAE6EA">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农、林、牧、渔</w:t>
            </w:r>
          </w:p>
        </w:tc>
        <w:tc>
          <w:tcPr>
            <w:tcW w:w="1383" w:type="dxa"/>
            <w:tcBorders>
              <w:top w:val="nil"/>
              <w:left w:val="nil"/>
              <w:bottom w:val="single" w:color="auto" w:sz="4" w:space="0"/>
              <w:right w:val="single" w:color="auto" w:sz="4" w:space="0"/>
            </w:tcBorders>
            <w:noWrap/>
            <w:vAlign w:val="center"/>
          </w:tcPr>
          <w:p w14:paraId="3228A592">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6537680F">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646899A0">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500≤Y＜20000</w:t>
            </w:r>
          </w:p>
        </w:tc>
        <w:tc>
          <w:tcPr>
            <w:tcW w:w="2105" w:type="dxa"/>
            <w:tcBorders>
              <w:top w:val="nil"/>
              <w:left w:val="nil"/>
              <w:bottom w:val="single" w:color="auto" w:sz="4" w:space="0"/>
              <w:right w:val="single" w:color="auto" w:sz="4" w:space="0"/>
            </w:tcBorders>
            <w:noWrap/>
            <w:vAlign w:val="center"/>
          </w:tcPr>
          <w:p w14:paraId="0EC39440">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50≤Y＜500</w:t>
            </w:r>
          </w:p>
        </w:tc>
        <w:tc>
          <w:tcPr>
            <w:tcW w:w="1361" w:type="dxa"/>
            <w:tcBorders>
              <w:top w:val="nil"/>
              <w:left w:val="nil"/>
              <w:bottom w:val="single" w:color="auto" w:sz="4" w:space="0"/>
              <w:right w:val="single" w:color="auto" w:sz="4" w:space="0"/>
            </w:tcBorders>
            <w:noWrap/>
            <w:vAlign w:val="center"/>
          </w:tcPr>
          <w:p w14:paraId="131AD81F">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Y＜50</w:t>
            </w:r>
          </w:p>
        </w:tc>
      </w:tr>
      <w:tr w14:paraId="467F1170">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3DB0F132">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工业</w:t>
            </w:r>
          </w:p>
        </w:tc>
        <w:tc>
          <w:tcPr>
            <w:tcW w:w="1383" w:type="dxa"/>
            <w:tcBorders>
              <w:top w:val="nil"/>
              <w:left w:val="nil"/>
              <w:bottom w:val="single" w:color="auto" w:sz="4" w:space="0"/>
              <w:right w:val="single" w:color="auto" w:sz="4" w:space="0"/>
            </w:tcBorders>
            <w:noWrap/>
            <w:vAlign w:val="center"/>
          </w:tcPr>
          <w:p w14:paraId="404F3CDC">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688AE7D3">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62745C39">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6BD765FE">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2E0198C1">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X＜20</w:t>
            </w:r>
          </w:p>
        </w:tc>
      </w:tr>
      <w:tr w14:paraId="71B7F0D7">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2A17B837">
            <w:pPr>
              <w:pStyle w:val="31"/>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24BE2AB2">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6F476956">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29DBCCFF">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2000≤Y＜40000</w:t>
            </w:r>
          </w:p>
        </w:tc>
        <w:tc>
          <w:tcPr>
            <w:tcW w:w="2105" w:type="dxa"/>
            <w:tcBorders>
              <w:top w:val="nil"/>
              <w:left w:val="nil"/>
              <w:bottom w:val="single" w:color="auto" w:sz="4" w:space="0"/>
              <w:right w:val="single" w:color="auto" w:sz="4" w:space="0"/>
            </w:tcBorders>
            <w:noWrap/>
            <w:vAlign w:val="center"/>
          </w:tcPr>
          <w:p w14:paraId="2B833896">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300≤Y＜2000</w:t>
            </w:r>
          </w:p>
        </w:tc>
        <w:tc>
          <w:tcPr>
            <w:tcW w:w="1361" w:type="dxa"/>
            <w:tcBorders>
              <w:top w:val="nil"/>
              <w:left w:val="nil"/>
              <w:bottom w:val="single" w:color="auto" w:sz="4" w:space="0"/>
              <w:right w:val="single" w:color="auto" w:sz="4" w:space="0"/>
            </w:tcBorders>
            <w:noWrap/>
            <w:vAlign w:val="center"/>
          </w:tcPr>
          <w:p w14:paraId="62F09C27">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Y＜300</w:t>
            </w:r>
          </w:p>
        </w:tc>
      </w:tr>
      <w:tr w14:paraId="0F631947">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2AD668F">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建筑业</w:t>
            </w:r>
          </w:p>
        </w:tc>
        <w:tc>
          <w:tcPr>
            <w:tcW w:w="1383" w:type="dxa"/>
            <w:tcBorders>
              <w:top w:val="nil"/>
              <w:left w:val="nil"/>
              <w:bottom w:val="single" w:color="auto" w:sz="4" w:space="0"/>
              <w:right w:val="single" w:color="auto" w:sz="4" w:space="0"/>
            </w:tcBorders>
            <w:noWrap/>
            <w:vAlign w:val="center"/>
          </w:tcPr>
          <w:p w14:paraId="59B14AC7">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4A39B45A">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6472267B">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6000≤Y＜80000</w:t>
            </w:r>
          </w:p>
        </w:tc>
        <w:tc>
          <w:tcPr>
            <w:tcW w:w="2105" w:type="dxa"/>
            <w:tcBorders>
              <w:top w:val="nil"/>
              <w:left w:val="nil"/>
              <w:bottom w:val="single" w:color="auto" w:sz="4" w:space="0"/>
              <w:right w:val="single" w:color="auto" w:sz="4" w:space="0"/>
            </w:tcBorders>
            <w:noWrap/>
            <w:vAlign w:val="center"/>
          </w:tcPr>
          <w:p w14:paraId="4E29BBEE">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300≤Y＜6000</w:t>
            </w:r>
          </w:p>
        </w:tc>
        <w:tc>
          <w:tcPr>
            <w:tcW w:w="1361" w:type="dxa"/>
            <w:tcBorders>
              <w:top w:val="nil"/>
              <w:left w:val="nil"/>
              <w:bottom w:val="single" w:color="auto" w:sz="4" w:space="0"/>
              <w:right w:val="single" w:color="auto" w:sz="4" w:space="0"/>
            </w:tcBorders>
            <w:noWrap/>
            <w:vAlign w:val="center"/>
          </w:tcPr>
          <w:p w14:paraId="3FCD2229">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Y＜300</w:t>
            </w:r>
          </w:p>
        </w:tc>
      </w:tr>
      <w:tr w14:paraId="0F828C19">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E418C82">
            <w:pPr>
              <w:pStyle w:val="31"/>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12B0C244">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2EF08450">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719D7A34">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5000≤Z＜80000</w:t>
            </w:r>
          </w:p>
        </w:tc>
        <w:tc>
          <w:tcPr>
            <w:tcW w:w="2105" w:type="dxa"/>
            <w:tcBorders>
              <w:top w:val="nil"/>
              <w:left w:val="nil"/>
              <w:bottom w:val="single" w:color="auto" w:sz="4" w:space="0"/>
              <w:right w:val="single" w:color="auto" w:sz="4" w:space="0"/>
            </w:tcBorders>
            <w:noWrap/>
            <w:vAlign w:val="center"/>
          </w:tcPr>
          <w:p w14:paraId="1EB2669F">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300≤Z＜5000</w:t>
            </w:r>
          </w:p>
        </w:tc>
        <w:tc>
          <w:tcPr>
            <w:tcW w:w="1361" w:type="dxa"/>
            <w:tcBorders>
              <w:top w:val="nil"/>
              <w:left w:val="nil"/>
              <w:bottom w:val="single" w:color="auto" w:sz="4" w:space="0"/>
              <w:right w:val="single" w:color="auto" w:sz="4" w:space="0"/>
            </w:tcBorders>
            <w:noWrap/>
            <w:vAlign w:val="center"/>
          </w:tcPr>
          <w:p w14:paraId="0C68403A">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Z＜300</w:t>
            </w:r>
          </w:p>
        </w:tc>
      </w:tr>
      <w:tr w14:paraId="4F78AFDF">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71EF3A49">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批发业</w:t>
            </w:r>
          </w:p>
        </w:tc>
        <w:tc>
          <w:tcPr>
            <w:tcW w:w="1383" w:type="dxa"/>
            <w:tcBorders>
              <w:top w:val="nil"/>
              <w:left w:val="nil"/>
              <w:bottom w:val="single" w:color="auto" w:sz="4" w:space="0"/>
              <w:right w:val="single" w:color="auto" w:sz="4" w:space="0"/>
            </w:tcBorders>
            <w:noWrap/>
            <w:vAlign w:val="center"/>
          </w:tcPr>
          <w:p w14:paraId="4AE63A28">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578257B0">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38EB8A24">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20≤X＜200</w:t>
            </w:r>
          </w:p>
        </w:tc>
        <w:tc>
          <w:tcPr>
            <w:tcW w:w="2105" w:type="dxa"/>
            <w:tcBorders>
              <w:top w:val="nil"/>
              <w:left w:val="nil"/>
              <w:bottom w:val="single" w:color="auto" w:sz="4" w:space="0"/>
              <w:right w:val="single" w:color="auto" w:sz="4" w:space="0"/>
            </w:tcBorders>
            <w:noWrap/>
            <w:vAlign w:val="center"/>
          </w:tcPr>
          <w:p w14:paraId="3212F176">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5≤X＜20</w:t>
            </w:r>
          </w:p>
        </w:tc>
        <w:tc>
          <w:tcPr>
            <w:tcW w:w="1361" w:type="dxa"/>
            <w:tcBorders>
              <w:top w:val="nil"/>
              <w:left w:val="nil"/>
              <w:bottom w:val="single" w:color="auto" w:sz="4" w:space="0"/>
              <w:right w:val="single" w:color="auto" w:sz="4" w:space="0"/>
            </w:tcBorders>
            <w:noWrap/>
            <w:vAlign w:val="center"/>
          </w:tcPr>
          <w:p w14:paraId="03482200">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X＜5</w:t>
            </w:r>
          </w:p>
        </w:tc>
      </w:tr>
      <w:tr w14:paraId="4393E1D1">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3397B69E">
            <w:pPr>
              <w:pStyle w:val="31"/>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5FA7E91D">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54A281C1">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60EF7A4F">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5000≤Y＜40000</w:t>
            </w:r>
          </w:p>
        </w:tc>
        <w:tc>
          <w:tcPr>
            <w:tcW w:w="2105" w:type="dxa"/>
            <w:tcBorders>
              <w:top w:val="nil"/>
              <w:left w:val="nil"/>
              <w:bottom w:val="single" w:color="auto" w:sz="4" w:space="0"/>
              <w:right w:val="single" w:color="auto" w:sz="4" w:space="0"/>
            </w:tcBorders>
            <w:noWrap/>
            <w:vAlign w:val="center"/>
          </w:tcPr>
          <w:p w14:paraId="6BA5414B">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1000≤Y＜5000</w:t>
            </w:r>
          </w:p>
        </w:tc>
        <w:tc>
          <w:tcPr>
            <w:tcW w:w="1361" w:type="dxa"/>
            <w:tcBorders>
              <w:top w:val="nil"/>
              <w:left w:val="nil"/>
              <w:bottom w:val="single" w:color="auto" w:sz="4" w:space="0"/>
              <w:right w:val="single" w:color="auto" w:sz="4" w:space="0"/>
            </w:tcBorders>
            <w:noWrap/>
            <w:vAlign w:val="center"/>
          </w:tcPr>
          <w:p w14:paraId="219E2AE2">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Y＜1000</w:t>
            </w:r>
          </w:p>
        </w:tc>
      </w:tr>
      <w:tr w14:paraId="7A5FD9C6">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585908AD">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零售业</w:t>
            </w:r>
          </w:p>
        </w:tc>
        <w:tc>
          <w:tcPr>
            <w:tcW w:w="1383" w:type="dxa"/>
            <w:tcBorders>
              <w:top w:val="nil"/>
              <w:left w:val="nil"/>
              <w:bottom w:val="single" w:color="auto" w:sz="4" w:space="0"/>
              <w:right w:val="single" w:color="auto" w:sz="4" w:space="0"/>
            </w:tcBorders>
            <w:noWrap/>
            <w:vAlign w:val="center"/>
          </w:tcPr>
          <w:p w14:paraId="4A3A9309">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1803D997">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5CB904AE">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50≤X＜300</w:t>
            </w:r>
          </w:p>
        </w:tc>
        <w:tc>
          <w:tcPr>
            <w:tcW w:w="2105" w:type="dxa"/>
            <w:tcBorders>
              <w:top w:val="nil"/>
              <w:left w:val="nil"/>
              <w:bottom w:val="single" w:color="auto" w:sz="4" w:space="0"/>
              <w:right w:val="single" w:color="auto" w:sz="4" w:space="0"/>
            </w:tcBorders>
            <w:noWrap/>
            <w:vAlign w:val="center"/>
          </w:tcPr>
          <w:p w14:paraId="6D006042">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10≤X＜50</w:t>
            </w:r>
          </w:p>
        </w:tc>
        <w:tc>
          <w:tcPr>
            <w:tcW w:w="1361" w:type="dxa"/>
            <w:tcBorders>
              <w:top w:val="nil"/>
              <w:left w:val="nil"/>
              <w:bottom w:val="single" w:color="auto" w:sz="4" w:space="0"/>
              <w:right w:val="single" w:color="auto" w:sz="4" w:space="0"/>
            </w:tcBorders>
            <w:noWrap/>
            <w:vAlign w:val="center"/>
          </w:tcPr>
          <w:p w14:paraId="136A8BC2">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X＜10</w:t>
            </w:r>
          </w:p>
        </w:tc>
      </w:tr>
      <w:tr w14:paraId="61DBE312">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3B2C2CA3">
            <w:pPr>
              <w:pStyle w:val="31"/>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7C427E09">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3D8B58AD">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48785CFA">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500≤Y＜20000</w:t>
            </w:r>
          </w:p>
        </w:tc>
        <w:tc>
          <w:tcPr>
            <w:tcW w:w="2105" w:type="dxa"/>
            <w:tcBorders>
              <w:top w:val="nil"/>
              <w:left w:val="nil"/>
              <w:bottom w:val="single" w:color="auto" w:sz="4" w:space="0"/>
              <w:right w:val="single" w:color="auto" w:sz="4" w:space="0"/>
            </w:tcBorders>
            <w:noWrap/>
            <w:vAlign w:val="center"/>
          </w:tcPr>
          <w:p w14:paraId="32FDD65D">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100≤Y＜500</w:t>
            </w:r>
          </w:p>
        </w:tc>
        <w:tc>
          <w:tcPr>
            <w:tcW w:w="1361" w:type="dxa"/>
            <w:tcBorders>
              <w:top w:val="nil"/>
              <w:left w:val="nil"/>
              <w:bottom w:val="single" w:color="auto" w:sz="4" w:space="0"/>
              <w:right w:val="single" w:color="auto" w:sz="4" w:space="0"/>
            </w:tcBorders>
            <w:noWrap/>
            <w:vAlign w:val="center"/>
          </w:tcPr>
          <w:p w14:paraId="4E4775E6">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Y＜100</w:t>
            </w:r>
          </w:p>
        </w:tc>
      </w:tr>
      <w:tr w14:paraId="1800D30C">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6C3A58F3">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交通运输业</w:t>
            </w:r>
          </w:p>
        </w:tc>
        <w:tc>
          <w:tcPr>
            <w:tcW w:w="1383" w:type="dxa"/>
            <w:tcBorders>
              <w:top w:val="nil"/>
              <w:left w:val="nil"/>
              <w:bottom w:val="single" w:color="auto" w:sz="4" w:space="0"/>
              <w:right w:val="single" w:color="auto" w:sz="4" w:space="0"/>
            </w:tcBorders>
            <w:noWrap/>
            <w:vAlign w:val="center"/>
          </w:tcPr>
          <w:p w14:paraId="44D21801">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1E651F49">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42CFB132">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35F27F3B">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1189E192">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X＜20</w:t>
            </w:r>
          </w:p>
        </w:tc>
      </w:tr>
      <w:tr w14:paraId="2F33F750">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541A82E3">
            <w:pPr>
              <w:pStyle w:val="31"/>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7B6C6B63">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3DB4A2AC">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60C8FF4F">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3000≤Y＜30000</w:t>
            </w:r>
          </w:p>
        </w:tc>
        <w:tc>
          <w:tcPr>
            <w:tcW w:w="2105" w:type="dxa"/>
            <w:tcBorders>
              <w:top w:val="nil"/>
              <w:left w:val="nil"/>
              <w:bottom w:val="single" w:color="auto" w:sz="4" w:space="0"/>
              <w:right w:val="single" w:color="auto" w:sz="4" w:space="0"/>
            </w:tcBorders>
            <w:noWrap/>
            <w:vAlign w:val="center"/>
          </w:tcPr>
          <w:p w14:paraId="29A64E32">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200≤Y＜3000</w:t>
            </w:r>
          </w:p>
        </w:tc>
        <w:tc>
          <w:tcPr>
            <w:tcW w:w="1361" w:type="dxa"/>
            <w:tcBorders>
              <w:top w:val="nil"/>
              <w:left w:val="nil"/>
              <w:bottom w:val="single" w:color="auto" w:sz="4" w:space="0"/>
              <w:right w:val="single" w:color="auto" w:sz="4" w:space="0"/>
            </w:tcBorders>
            <w:noWrap/>
            <w:vAlign w:val="center"/>
          </w:tcPr>
          <w:p w14:paraId="19ABBA1E">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Y＜200</w:t>
            </w:r>
          </w:p>
        </w:tc>
      </w:tr>
      <w:tr w14:paraId="3E9D79CE">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296A9339">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仓储业</w:t>
            </w:r>
          </w:p>
        </w:tc>
        <w:tc>
          <w:tcPr>
            <w:tcW w:w="1383" w:type="dxa"/>
            <w:tcBorders>
              <w:top w:val="nil"/>
              <w:left w:val="nil"/>
              <w:bottom w:val="single" w:color="auto" w:sz="4" w:space="0"/>
              <w:right w:val="single" w:color="auto" w:sz="4" w:space="0"/>
            </w:tcBorders>
            <w:noWrap/>
            <w:vAlign w:val="center"/>
          </w:tcPr>
          <w:p w14:paraId="39C1FD99">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6B754658">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07DBE87C">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100≤X＜200</w:t>
            </w:r>
          </w:p>
        </w:tc>
        <w:tc>
          <w:tcPr>
            <w:tcW w:w="2105" w:type="dxa"/>
            <w:tcBorders>
              <w:top w:val="nil"/>
              <w:left w:val="nil"/>
              <w:bottom w:val="single" w:color="auto" w:sz="4" w:space="0"/>
              <w:right w:val="single" w:color="auto" w:sz="4" w:space="0"/>
            </w:tcBorders>
            <w:noWrap/>
            <w:vAlign w:val="center"/>
          </w:tcPr>
          <w:p w14:paraId="2BDC23FB">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20≤X＜100</w:t>
            </w:r>
          </w:p>
        </w:tc>
        <w:tc>
          <w:tcPr>
            <w:tcW w:w="1361" w:type="dxa"/>
            <w:tcBorders>
              <w:top w:val="nil"/>
              <w:left w:val="nil"/>
              <w:bottom w:val="single" w:color="auto" w:sz="4" w:space="0"/>
              <w:right w:val="single" w:color="auto" w:sz="4" w:space="0"/>
            </w:tcBorders>
            <w:noWrap/>
            <w:vAlign w:val="center"/>
          </w:tcPr>
          <w:p w14:paraId="442E6612">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X＜20</w:t>
            </w:r>
          </w:p>
        </w:tc>
      </w:tr>
      <w:tr w14:paraId="7C1A9F00">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303B148C">
            <w:pPr>
              <w:pStyle w:val="31"/>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516EBD80">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08ABA0AC">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4226D0C9">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1000≤Y＜30000</w:t>
            </w:r>
          </w:p>
        </w:tc>
        <w:tc>
          <w:tcPr>
            <w:tcW w:w="2105" w:type="dxa"/>
            <w:tcBorders>
              <w:top w:val="nil"/>
              <w:left w:val="nil"/>
              <w:bottom w:val="single" w:color="auto" w:sz="4" w:space="0"/>
              <w:right w:val="single" w:color="auto" w:sz="4" w:space="0"/>
            </w:tcBorders>
            <w:noWrap/>
            <w:vAlign w:val="center"/>
          </w:tcPr>
          <w:p w14:paraId="15AF260F">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100≤Y＜1000</w:t>
            </w:r>
          </w:p>
        </w:tc>
        <w:tc>
          <w:tcPr>
            <w:tcW w:w="1361" w:type="dxa"/>
            <w:tcBorders>
              <w:top w:val="nil"/>
              <w:left w:val="nil"/>
              <w:bottom w:val="single" w:color="auto" w:sz="4" w:space="0"/>
              <w:right w:val="single" w:color="auto" w:sz="4" w:space="0"/>
            </w:tcBorders>
            <w:noWrap/>
            <w:vAlign w:val="center"/>
          </w:tcPr>
          <w:p w14:paraId="3FAE1B0E">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Y＜100</w:t>
            </w:r>
          </w:p>
        </w:tc>
      </w:tr>
      <w:tr w14:paraId="6F8CEFDC">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7583977C">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邮政业</w:t>
            </w:r>
          </w:p>
        </w:tc>
        <w:tc>
          <w:tcPr>
            <w:tcW w:w="1383" w:type="dxa"/>
            <w:tcBorders>
              <w:top w:val="nil"/>
              <w:left w:val="nil"/>
              <w:bottom w:val="single" w:color="auto" w:sz="4" w:space="0"/>
              <w:right w:val="single" w:color="auto" w:sz="4" w:space="0"/>
            </w:tcBorders>
            <w:noWrap/>
            <w:vAlign w:val="center"/>
          </w:tcPr>
          <w:p w14:paraId="294597F1">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67578FB7">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63F2308B">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1F007B1B">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3260CF5E">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X＜20</w:t>
            </w:r>
          </w:p>
        </w:tc>
      </w:tr>
      <w:tr w14:paraId="4C135E36">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25728147">
            <w:pPr>
              <w:pStyle w:val="31"/>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291A37CB">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6D8DD553">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0A991D9F">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2000≤Y＜30000</w:t>
            </w:r>
          </w:p>
        </w:tc>
        <w:tc>
          <w:tcPr>
            <w:tcW w:w="2105" w:type="dxa"/>
            <w:tcBorders>
              <w:top w:val="nil"/>
              <w:left w:val="nil"/>
              <w:bottom w:val="single" w:color="auto" w:sz="4" w:space="0"/>
              <w:right w:val="single" w:color="auto" w:sz="4" w:space="0"/>
            </w:tcBorders>
            <w:noWrap/>
            <w:vAlign w:val="center"/>
          </w:tcPr>
          <w:p w14:paraId="077D530F">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3A8A0CB0">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Y＜100</w:t>
            </w:r>
          </w:p>
        </w:tc>
      </w:tr>
      <w:tr w14:paraId="7F90C47E">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6E7EA57A">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住宿业</w:t>
            </w:r>
          </w:p>
        </w:tc>
        <w:tc>
          <w:tcPr>
            <w:tcW w:w="1383" w:type="dxa"/>
            <w:tcBorders>
              <w:top w:val="nil"/>
              <w:left w:val="nil"/>
              <w:bottom w:val="single" w:color="auto" w:sz="4" w:space="0"/>
              <w:right w:val="single" w:color="auto" w:sz="4" w:space="0"/>
            </w:tcBorders>
            <w:noWrap/>
            <w:vAlign w:val="center"/>
          </w:tcPr>
          <w:p w14:paraId="221CFA9F">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3EB01B8C">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4137422A">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4508FF7F">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3E072FDC">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X＜10</w:t>
            </w:r>
          </w:p>
        </w:tc>
      </w:tr>
      <w:tr w14:paraId="5ACAD374">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21E05C10">
            <w:pPr>
              <w:pStyle w:val="31"/>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3DA9F3E0">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50EDFD0A">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59CF386">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2000≤Y＜10000</w:t>
            </w:r>
          </w:p>
        </w:tc>
        <w:tc>
          <w:tcPr>
            <w:tcW w:w="2105" w:type="dxa"/>
            <w:tcBorders>
              <w:top w:val="nil"/>
              <w:left w:val="nil"/>
              <w:bottom w:val="single" w:color="auto" w:sz="4" w:space="0"/>
              <w:right w:val="single" w:color="auto" w:sz="4" w:space="0"/>
            </w:tcBorders>
            <w:noWrap/>
            <w:vAlign w:val="center"/>
          </w:tcPr>
          <w:p w14:paraId="741B0BCC">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403F674C">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Y＜100</w:t>
            </w:r>
          </w:p>
        </w:tc>
      </w:tr>
      <w:tr w14:paraId="763FAA50">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61A350E0">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餐饮业</w:t>
            </w:r>
          </w:p>
        </w:tc>
        <w:tc>
          <w:tcPr>
            <w:tcW w:w="1383" w:type="dxa"/>
            <w:tcBorders>
              <w:top w:val="nil"/>
              <w:left w:val="nil"/>
              <w:bottom w:val="single" w:color="auto" w:sz="4" w:space="0"/>
              <w:right w:val="single" w:color="auto" w:sz="4" w:space="0"/>
            </w:tcBorders>
            <w:noWrap/>
            <w:vAlign w:val="center"/>
          </w:tcPr>
          <w:p w14:paraId="0AEA8DC7">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498EC5BE">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452E95E7">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2B786CEB">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572D03E4">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X＜10</w:t>
            </w:r>
          </w:p>
        </w:tc>
      </w:tr>
      <w:tr w14:paraId="3C39824A">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6C9E126A">
            <w:pPr>
              <w:pStyle w:val="31"/>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38C21C1E">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6A949EEE">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1AB8FA42">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2000≤Y＜10000</w:t>
            </w:r>
          </w:p>
        </w:tc>
        <w:tc>
          <w:tcPr>
            <w:tcW w:w="2105" w:type="dxa"/>
            <w:tcBorders>
              <w:top w:val="nil"/>
              <w:left w:val="nil"/>
              <w:bottom w:val="single" w:color="auto" w:sz="4" w:space="0"/>
              <w:right w:val="single" w:color="auto" w:sz="4" w:space="0"/>
            </w:tcBorders>
            <w:noWrap/>
            <w:vAlign w:val="center"/>
          </w:tcPr>
          <w:p w14:paraId="08BFB4CF">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6E44AE9B">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Y＜100</w:t>
            </w:r>
          </w:p>
        </w:tc>
      </w:tr>
      <w:tr w14:paraId="3A85660F">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35092551">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信息传输业</w:t>
            </w:r>
          </w:p>
        </w:tc>
        <w:tc>
          <w:tcPr>
            <w:tcW w:w="1383" w:type="dxa"/>
            <w:tcBorders>
              <w:top w:val="nil"/>
              <w:left w:val="nil"/>
              <w:bottom w:val="single" w:color="auto" w:sz="4" w:space="0"/>
              <w:right w:val="single" w:color="auto" w:sz="4" w:space="0"/>
            </w:tcBorders>
            <w:noWrap/>
            <w:vAlign w:val="center"/>
          </w:tcPr>
          <w:p w14:paraId="60E89D2B">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738F44AD">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0FA18B2F">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100≤X＜2000</w:t>
            </w:r>
          </w:p>
        </w:tc>
        <w:tc>
          <w:tcPr>
            <w:tcW w:w="2105" w:type="dxa"/>
            <w:tcBorders>
              <w:top w:val="nil"/>
              <w:left w:val="nil"/>
              <w:bottom w:val="single" w:color="auto" w:sz="4" w:space="0"/>
              <w:right w:val="single" w:color="auto" w:sz="4" w:space="0"/>
            </w:tcBorders>
            <w:noWrap/>
            <w:vAlign w:val="center"/>
          </w:tcPr>
          <w:p w14:paraId="5D1D1938">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303349B1">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X＜10</w:t>
            </w:r>
          </w:p>
        </w:tc>
      </w:tr>
      <w:tr w14:paraId="7745583E">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0F9DF7B9">
            <w:pPr>
              <w:pStyle w:val="31"/>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0CE4710C">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19EB9CB8">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229FAB41">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1000≤Y＜100000</w:t>
            </w:r>
          </w:p>
        </w:tc>
        <w:tc>
          <w:tcPr>
            <w:tcW w:w="2105" w:type="dxa"/>
            <w:tcBorders>
              <w:top w:val="nil"/>
              <w:left w:val="nil"/>
              <w:bottom w:val="single" w:color="auto" w:sz="4" w:space="0"/>
              <w:right w:val="single" w:color="auto" w:sz="4" w:space="0"/>
            </w:tcBorders>
            <w:noWrap/>
            <w:vAlign w:val="center"/>
          </w:tcPr>
          <w:p w14:paraId="5330FCD3">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100≤Y＜1000</w:t>
            </w:r>
          </w:p>
        </w:tc>
        <w:tc>
          <w:tcPr>
            <w:tcW w:w="1361" w:type="dxa"/>
            <w:tcBorders>
              <w:top w:val="nil"/>
              <w:left w:val="nil"/>
              <w:bottom w:val="single" w:color="auto" w:sz="4" w:space="0"/>
              <w:right w:val="single" w:color="auto" w:sz="4" w:space="0"/>
            </w:tcBorders>
            <w:noWrap/>
            <w:vAlign w:val="center"/>
          </w:tcPr>
          <w:p w14:paraId="625CF88D">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Y＜100</w:t>
            </w:r>
          </w:p>
        </w:tc>
      </w:tr>
      <w:tr w14:paraId="160F169A">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76865A6A">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软件和信息技术服务业</w:t>
            </w:r>
          </w:p>
        </w:tc>
        <w:tc>
          <w:tcPr>
            <w:tcW w:w="1383" w:type="dxa"/>
            <w:tcBorders>
              <w:top w:val="nil"/>
              <w:left w:val="nil"/>
              <w:bottom w:val="single" w:color="auto" w:sz="4" w:space="0"/>
              <w:right w:val="single" w:color="auto" w:sz="4" w:space="0"/>
            </w:tcBorders>
            <w:noWrap/>
            <w:vAlign w:val="center"/>
          </w:tcPr>
          <w:p w14:paraId="2358AB72">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0D79F28B">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56A25F75">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12C1966F">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0EF14EED">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X＜10</w:t>
            </w:r>
          </w:p>
        </w:tc>
      </w:tr>
      <w:tr w14:paraId="565CAEBA">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04B7A1CF">
            <w:pPr>
              <w:pStyle w:val="31"/>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5EFB571E">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783D059A">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0C8CFC65">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1000≤Y＜10000</w:t>
            </w:r>
          </w:p>
        </w:tc>
        <w:tc>
          <w:tcPr>
            <w:tcW w:w="2105" w:type="dxa"/>
            <w:tcBorders>
              <w:top w:val="nil"/>
              <w:left w:val="nil"/>
              <w:bottom w:val="single" w:color="auto" w:sz="4" w:space="0"/>
              <w:right w:val="single" w:color="auto" w:sz="4" w:space="0"/>
            </w:tcBorders>
            <w:noWrap/>
            <w:vAlign w:val="center"/>
          </w:tcPr>
          <w:p w14:paraId="05DB1FD2">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50≤Y＜1000</w:t>
            </w:r>
          </w:p>
        </w:tc>
        <w:tc>
          <w:tcPr>
            <w:tcW w:w="1361" w:type="dxa"/>
            <w:tcBorders>
              <w:top w:val="nil"/>
              <w:left w:val="nil"/>
              <w:bottom w:val="single" w:color="auto" w:sz="4" w:space="0"/>
              <w:right w:val="single" w:color="auto" w:sz="4" w:space="0"/>
            </w:tcBorders>
            <w:noWrap/>
            <w:vAlign w:val="center"/>
          </w:tcPr>
          <w:p w14:paraId="7880EE65">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Y＜50</w:t>
            </w:r>
          </w:p>
        </w:tc>
      </w:tr>
      <w:tr w14:paraId="40D23421">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5AA5F15D">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房地产开发经营</w:t>
            </w:r>
          </w:p>
        </w:tc>
        <w:tc>
          <w:tcPr>
            <w:tcW w:w="1383" w:type="dxa"/>
            <w:tcBorders>
              <w:top w:val="nil"/>
              <w:left w:val="nil"/>
              <w:bottom w:val="single" w:color="auto" w:sz="4" w:space="0"/>
              <w:right w:val="single" w:color="auto" w:sz="4" w:space="0"/>
            </w:tcBorders>
            <w:noWrap/>
            <w:vAlign w:val="center"/>
          </w:tcPr>
          <w:p w14:paraId="0906A733">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4DB8A92B">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4D7553CD">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1000≤Y＜200000</w:t>
            </w:r>
          </w:p>
        </w:tc>
        <w:tc>
          <w:tcPr>
            <w:tcW w:w="2105" w:type="dxa"/>
            <w:tcBorders>
              <w:top w:val="nil"/>
              <w:left w:val="nil"/>
              <w:bottom w:val="single" w:color="auto" w:sz="4" w:space="0"/>
              <w:right w:val="single" w:color="auto" w:sz="4" w:space="0"/>
            </w:tcBorders>
            <w:noWrap/>
            <w:vAlign w:val="center"/>
          </w:tcPr>
          <w:p w14:paraId="6E52B87F">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100≤X＜1000</w:t>
            </w:r>
          </w:p>
        </w:tc>
        <w:tc>
          <w:tcPr>
            <w:tcW w:w="1361" w:type="dxa"/>
            <w:tcBorders>
              <w:top w:val="nil"/>
              <w:left w:val="nil"/>
              <w:bottom w:val="single" w:color="auto" w:sz="4" w:space="0"/>
              <w:right w:val="single" w:color="auto" w:sz="4" w:space="0"/>
            </w:tcBorders>
            <w:noWrap/>
            <w:vAlign w:val="center"/>
          </w:tcPr>
          <w:p w14:paraId="77B812F3">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X＜100</w:t>
            </w:r>
          </w:p>
        </w:tc>
      </w:tr>
      <w:tr w14:paraId="2FE04124">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0C51F7EA">
            <w:pPr>
              <w:pStyle w:val="31"/>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7F93FA21">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5A1519DE">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265DEED3">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5000≤Z＜10000</w:t>
            </w:r>
          </w:p>
        </w:tc>
        <w:tc>
          <w:tcPr>
            <w:tcW w:w="2105" w:type="dxa"/>
            <w:tcBorders>
              <w:top w:val="nil"/>
              <w:left w:val="nil"/>
              <w:bottom w:val="single" w:color="auto" w:sz="4" w:space="0"/>
              <w:right w:val="single" w:color="auto" w:sz="4" w:space="0"/>
            </w:tcBorders>
            <w:noWrap/>
            <w:vAlign w:val="center"/>
          </w:tcPr>
          <w:p w14:paraId="5DD72B3B">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2000≤Y＜5000</w:t>
            </w:r>
          </w:p>
        </w:tc>
        <w:tc>
          <w:tcPr>
            <w:tcW w:w="1361" w:type="dxa"/>
            <w:tcBorders>
              <w:top w:val="nil"/>
              <w:left w:val="nil"/>
              <w:bottom w:val="single" w:color="auto" w:sz="4" w:space="0"/>
              <w:right w:val="single" w:color="auto" w:sz="4" w:space="0"/>
            </w:tcBorders>
            <w:noWrap/>
            <w:vAlign w:val="center"/>
          </w:tcPr>
          <w:p w14:paraId="22237B95">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Y＜2000</w:t>
            </w:r>
          </w:p>
        </w:tc>
      </w:tr>
      <w:tr w14:paraId="4F7F1120">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60C87D1C">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物业管理</w:t>
            </w:r>
          </w:p>
        </w:tc>
        <w:tc>
          <w:tcPr>
            <w:tcW w:w="1383" w:type="dxa"/>
            <w:tcBorders>
              <w:top w:val="nil"/>
              <w:left w:val="nil"/>
              <w:bottom w:val="single" w:color="auto" w:sz="4" w:space="0"/>
              <w:right w:val="single" w:color="auto" w:sz="4" w:space="0"/>
            </w:tcBorders>
            <w:noWrap/>
            <w:vAlign w:val="center"/>
          </w:tcPr>
          <w:p w14:paraId="7815779A">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01B16C35">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0E283837">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14222216">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100≤X＜300</w:t>
            </w:r>
          </w:p>
        </w:tc>
        <w:tc>
          <w:tcPr>
            <w:tcW w:w="1361" w:type="dxa"/>
            <w:tcBorders>
              <w:top w:val="nil"/>
              <w:left w:val="nil"/>
              <w:bottom w:val="single" w:color="auto" w:sz="4" w:space="0"/>
              <w:right w:val="single" w:color="auto" w:sz="4" w:space="0"/>
            </w:tcBorders>
            <w:noWrap/>
            <w:vAlign w:val="center"/>
          </w:tcPr>
          <w:p w14:paraId="7799ECB0">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X＜100</w:t>
            </w:r>
          </w:p>
        </w:tc>
      </w:tr>
      <w:tr w14:paraId="550A1E09">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08E09CAD">
            <w:pPr>
              <w:pStyle w:val="31"/>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22362EE1">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1F462072">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067489B7">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1000≤Y＜5000</w:t>
            </w:r>
          </w:p>
        </w:tc>
        <w:tc>
          <w:tcPr>
            <w:tcW w:w="2105" w:type="dxa"/>
            <w:tcBorders>
              <w:top w:val="nil"/>
              <w:left w:val="nil"/>
              <w:bottom w:val="single" w:color="auto" w:sz="4" w:space="0"/>
              <w:right w:val="single" w:color="auto" w:sz="4" w:space="0"/>
            </w:tcBorders>
            <w:noWrap/>
            <w:vAlign w:val="center"/>
          </w:tcPr>
          <w:p w14:paraId="5D1182A9">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500≤Y＜1000</w:t>
            </w:r>
          </w:p>
        </w:tc>
        <w:tc>
          <w:tcPr>
            <w:tcW w:w="1361" w:type="dxa"/>
            <w:tcBorders>
              <w:top w:val="nil"/>
              <w:left w:val="nil"/>
              <w:bottom w:val="single" w:color="auto" w:sz="4" w:space="0"/>
              <w:right w:val="single" w:color="auto" w:sz="4" w:space="0"/>
            </w:tcBorders>
            <w:noWrap/>
            <w:vAlign w:val="center"/>
          </w:tcPr>
          <w:p w14:paraId="543FA559">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Y＜500</w:t>
            </w:r>
          </w:p>
        </w:tc>
      </w:tr>
      <w:tr w14:paraId="27200A91">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287320D1">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租赁和商务服务业</w:t>
            </w:r>
          </w:p>
        </w:tc>
        <w:tc>
          <w:tcPr>
            <w:tcW w:w="1383" w:type="dxa"/>
            <w:tcBorders>
              <w:top w:val="nil"/>
              <w:left w:val="nil"/>
              <w:bottom w:val="single" w:color="auto" w:sz="4" w:space="0"/>
              <w:right w:val="single" w:color="auto" w:sz="4" w:space="0"/>
            </w:tcBorders>
            <w:noWrap/>
            <w:vAlign w:val="center"/>
          </w:tcPr>
          <w:p w14:paraId="4D1E509F">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2D59C672">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641A5506">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1C441C73">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1A9F6DDC">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X＜10</w:t>
            </w:r>
          </w:p>
        </w:tc>
      </w:tr>
      <w:tr w14:paraId="594F459F">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4E6FABB7">
            <w:pPr>
              <w:pStyle w:val="31"/>
              <w:widowControl/>
              <w:spacing w:line="360" w:lineRule="exact"/>
              <w:jc w:val="center"/>
              <w:rPr>
                <w:rFonts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49192849">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3BC85C38">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0F91B23A">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8000≤Z＜120000</w:t>
            </w:r>
          </w:p>
        </w:tc>
        <w:tc>
          <w:tcPr>
            <w:tcW w:w="2105" w:type="dxa"/>
            <w:tcBorders>
              <w:top w:val="nil"/>
              <w:left w:val="nil"/>
              <w:bottom w:val="single" w:color="auto" w:sz="4" w:space="0"/>
              <w:right w:val="single" w:color="auto" w:sz="4" w:space="0"/>
            </w:tcBorders>
            <w:noWrap/>
            <w:vAlign w:val="center"/>
          </w:tcPr>
          <w:p w14:paraId="71B5578E">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100≤Z＜8000</w:t>
            </w:r>
          </w:p>
        </w:tc>
        <w:tc>
          <w:tcPr>
            <w:tcW w:w="1361" w:type="dxa"/>
            <w:tcBorders>
              <w:top w:val="nil"/>
              <w:left w:val="nil"/>
              <w:bottom w:val="single" w:color="auto" w:sz="4" w:space="0"/>
              <w:right w:val="single" w:color="auto" w:sz="4" w:space="0"/>
            </w:tcBorders>
            <w:noWrap/>
            <w:vAlign w:val="center"/>
          </w:tcPr>
          <w:p w14:paraId="4C552349">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Y＜100</w:t>
            </w:r>
          </w:p>
        </w:tc>
      </w:tr>
      <w:tr w14:paraId="31409E70">
        <w:tblPrEx>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noWrap/>
            <w:vAlign w:val="center"/>
          </w:tcPr>
          <w:p w14:paraId="2794A822">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其他未列明行业</w:t>
            </w:r>
          </w:p>
        </w:tc>
        <w:tc>
          <w:tcPr>
            <w:tcW w:w="1383" w:type="dxa"/>
            <w:tcBorders>
              <w:top w:val="nil"/>
              <w:left w:val="nil"/>
              <w:bottom w:val="single" w:color="auto" w:sz="4" w:space="0"/>
              <w:right w:val="single" w:color="auto" w:sz="4" w:space="0"/>
            </w:tcBorders>
            <w:noWrap/>
            <w:vAlign w:val="center"/>
          </w:tcPr>
          <w:p w14:paraId="2CA73591">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0DA644DC">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079C305E">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797C2499">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18705ED1">
            <w:pPr>
              <w:pStyle w:val="31"/>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X＜10</w:t>
            </w:r>
          </w:p>
        </w:tc>
      </w:tr>
    </w:tbl>
    <w:p w14:paraId="5C187AA0">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0AEC7FD">
      <w:pPr>
        <w:pStyle w:val="3"/>
        <w:rPr>
          <w:rFonts w:ascii="宋体" w:hAnsi="宋体" w:cs="宋体"/>
          <w:color w:val="auto"/>
          <w:highlight w:val="none"/>
        </w:rPr>
      </w:pPr>
      <w:bookmarkStart w:id="18" w:name="_Toc19929"/>
      <w:r>
        <w:rPr>
          <w:rFonts w:hint="eastAsia" w:ascii="宋体" w:hAnsi="宋体" w:cs="宋体"/>
          <w:color w:val="auto"/>
          <w:highlight w:val="none"/>
        </w:rPr>
        <w:t>第四章 响应文件格式</w:t>
      </w:r>
      <w:bookmarkEnd w:id="18"/>
    </w:p>
    <w:p w14:paraId="17424CAA">
      <w:pPr>
        <w:snapToGrid w:val="0"/>
        <w:spacing w:before="156" w:beforeLines="50" w:after="50"/>
        <w:outlineLvl w:val="1"/>
        <w:rPr>
          <w:rFonts w:ascii="宋体" w:hAnsi="宋体" w:cs="宋体"/>
          <w:b/>
          <w:bCs/>
          <w:color w:val="auto"/>
          <w:szCs w:val="21"/>
          <w:highlight w:val="none"/>
        </w:rPr>
      </w:pPr>
      <w:bookmarkStart w:id="19" w:name="_Toc1763"/>
      <w:bookmarkStart w:id="20" w:name="_Toc19020"/>
      <w:r>
        <w:rPr>
          <w:rFonts w:hint="eastAsia" w:ascii="宋体" w:hAnsi="宋体" w:cs="宋体"/>
          <w:b/>
          <w:bCs/>
          <w:color w:val="auto"/>
          <w:szCs w:val="21"/>
          <w:highlight w:val="none"/>
        </w:rPr>
        <w:t>一、响应文件格式</w:t>
      </w:r>
      <w:bookmarkEnd w:id="19"/>
      <w:bookmarkEnd w:id="20"/>
    </w:p>
    <w:p w14:paraId="66501A5C">
      <w:pPr>
        <w:snapToGrid w:val="0"/>
        <w:spacing w:before="156" w:beforeLines="50" w:after="50"/>
        <w:rPr>
          <w:rFonts w:ascii="宋体" w:hAnsi="宋体" w:cs="宋体"/>
          <w:b/>
          <w:bCs/>
          <w:color w:val="auto"/>
          <w:szCs w:val="21"/>
          <w:highlight w:val="none"/>
        </w:rPr>
      </w:pPr>
    </w:p>
    <w:p w14:paraId="179B75C4">
      <w:pPr>
        <w:snapToGrid w:val="0"/>
        <w:spacing w:before="156" w:beforeLines="50" w:after="50"/>
        <w:rPr>
          <w:rFonts w:ascii="宋体" w:hAnsi="宋体" w:cs="宋体"/>
          <w:b/>
          <w:bCs/>
          <w:color w:val="auto"/>
          <w:szCs w:val="21"/>
          <w:highlight w:val="none"/>
        </w:rPr>
      </w:pPr>
      <w:r>
        <w:rPr>
          <w:rFonts w:hint="eastAsia" w:ascii="宋体" w:hAnsi="宋体" w:cs="宋体"/>
          <w:b/>
          <w:bCs/>
          <w:color w:val="auto"/>
          <w:szCs w:val="21"/>
          <w:highlight w:val="none"/>
        </w:rPr>
        <w:t>1、资格证明文件格式：</w:t>
      </w:r>
    </w:p>
    <w:p w14:paraId="76FA7489">
      <w:pPr>
        <w:spacing w:line="240" w:lineRule="atLeast"/>
        <w:jc w:val="center"/>
        <w:rPr>
          <w:rFonts w:ascii="宋体" w:hAnsi="宋体" w:cs="宋体"/>
          <w:b/>
          <w:color w:val="auto"/>
          <w:sz w:val="32"/>
          <w:szCs w:val="32"/>
          <w:highlight w:val="none"/>
        </w:rPr>
      </w:pPr>
    </w:p>
    <w:p w14:paraId="4689B01A">
      <w:pPr>
        <w:spacing w:line="240" w:lineRule="atLeast"/>
        <w:jc w:val="center"/>
        <w:rPr>
          <w:rFonts w:ascii="宋体" w:hAnsi="宋体" w:cs="宋体"/>
          <w:b/>
          <w:color w:val="auto"/>
          <w:sz w:val="32"/>
          <w:szCs w:val="32"/>
          <w:highlight w:val="none"/>
        </w:rPr>
      </w:pPr>
    </w:p>
    <w:p w14:paraId="0718CCFF">
      <w:pPr>
        <w:snapToGrid w:val="0"/>
        <w:spacing w:before="156" w:beforeLines="50" w:after="50" w:line="28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14:paraId="442CA8CF">
      <w:pPr>
        <w:snapToGrid w:val="0"/>
        <w:spacing w:before="156" w:beforeLines="50" w:after="50" w:line="280" w:lineRule="exact"/>
        <w:ind w:firstLine="9" w:firstLineChars="3"/>
        <w:jc w:val="center"/>
        <w:rPr>
          <w:rFonts w:ascii="宋体" w:hAnsi="宋体" w:cs="宋体"/>
          <w:bCs/>
          <w:color w:val="auto"/>
          <w:sz w:val="32"/>
          <w:szCs w:val="32"/>
          <w:highlight w:val="none"/>
        </w:rPr>
      </w:pPr>
    </w:p>
    <w:p w14:paraId="6BAC39F2">
      <w:pPr>
        <w:snapToGrid w:val="0"/>
        <w:spacing w:before="156" w:beforeLines="50" w:after="50" w:line="280" w:lineRule="exact"/>
        <w:ind w:firstLine="9" w:firstLineChars="3"/>
        <w:jc w:val="center"/>
        <w:rPr>
          <w:rFonts w:ascii="宋体" w:hAnsi="宋体" w:cs="宋体"/>
          <w:bCs/>
          <w:color w:val="auto"/>
          <w:sz w:val="32"/>
          <w:szCs w:val="32"/>
          <w:highlight w:val="none"/>
        </w:rPr>
      </w:pPr>
    </w:p>
    <w:p w14:paraId="425A633E">
      <w:pPr>
        <w:snapToGrid w:val="0"/>
        <w:spacing w:before="156" w:beforeLines="50" w:after="50" w:line="280" w:lineRule="exact"/>
        <w:ind w:firstLine="9" w:firstLineChars="3"/>
        <w:jc w:val="center"/>
        <w:rPr>
          <w:rFonts w:ascii="宋体" w:hAnsi="宋体" w:cs="宋体"/>
          <w:bCs/>
          <w:color w:val="auto"/>
          <w:sz w:val="32"/>
          <w:szCs w:val="32"/>
          <w:highlight w:val="none"/>
        </w:rPr>
      </w:pPr>
    </w:p>
    <w:p w14:paraId="4D9C2751">
      <w:pPr>
        <w:snapToGrid w:val="0"/>
        <w:spacing w:before="156" w:beforeLines="50" w:after="50"/>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14:paraId="091AD18E">
      <w:pPr>
        <w:snapToGrid w:val="0"/>
        <w:spacing w:before="156" w:beforeLines="50" w:after="50"/>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（资格证明文件）</w:t>
      </w:r>
    </w:p>
    <w:p w14:paraId="01F714A3">
      <w:pPr>
        <w:snapToGrid w:val="0"/>
        <w:spacing w:before="156" w:beforeLines="50" w:after="50"/>
        <w:rPr>
          <w:rFonts w:ascii="宋体" w:hAnsi="宋体" w:cs="宋体"/>
          <w:bCs/>
          <w:color w:val="auto"/>
          <w:szCs w:val="21"/>
          <w:highlight w:val="none"/>
        </w:rPr>
      </w:pPr>
    </w:p>
    <w:p w14:paraId="02685233">
      <w:pPr>
        <w:snapToGrid w:val="0"/>
        <w:spacing w:before="156"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14:paraId="65967418">
      <w:pPr>
        <w:snapToGrid w:val="0"/>
        <w:spacing w:before="156" w:beforeLines="50" w:after="50" w:line="280" w:lineRule="exact"/>
        <w:ind w:firstLine="675" w:firstLineChars="225"/>
        <w:rPr>
          <w:rFonts w:ascii="宋体" w:hAnsi="宋体" w:cs="宋体"/>
          <w:bCs/>
          <w:color w:val="auto"/>
          <w:sz w:val="30"/>
          <w:szCs w:val="30"/>
          <w:highlight w:val="none"/>
        </w:rPr>
      </w:pPr>
    </w:p>
    <w:p w14:paraId="67B2AD8D">
      <w:pPr>
        <w:snapToGrid w:val="0"/>
        <w:spacing w:before="156"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14:paraId="186A6A6D">
      <w:pPr>
        <w:snapToGrid w:val="0"/>
        <w:spacing w:before="156"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 xml:space="preserve"> </w:t>
      </w:r>
    </w:p>
    <w:p w14:paraId="5227F753">
      <w:pPr>
        <w:snapToGrid w:val="0"/>
        <w:spacing w:before="156"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14:paraId="242C96D5">
      <w:pPr>
        <w:snapToGrid w:val="0"/>
        <w:spacing w:before="156" w:beforeLines="50" w:after="50" w:line="280" w:lineRule="exact"/>
        <w:ind w:firstLine="675" w:firstLineChars="225"/>
        <w:rPr>
          <w:rFonts w:ascii="宋体" w:hAnsi="宋体" w:cs="宋体"/>
          <w:bCs/>
          <w:color w:val="auto"/>
          <w:sz w:val="30"/>
          <w:szCs w:val="30"/>
          <w:highlight w:val="none"/>
        </w:rPr>
      </w:pPr>
    </w:p>
    <w:p w14:paraId="47D2EAD9">
      <w:pPr>
        <w:pStyle w:val="2"/>
        <w:snapToGrid w:val="0"/>
        <w:spacing w:before="100" w:beforeAutospacing="1" w:after="100" w:afterAutospacing="1"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w:t>
      </w:r>
      <w:r>
        <w:rPr>
          <w:rFonts w:hint="eastAsia" w:ascii="宋体" w:hAnsi="宋体" w:cs="宋体"/>
          <w:bCs/>
          <w:color w:val="auto"/>
          <w:sz w:val="24"/>
          <w:highlight w:val="none"/>
          <w:u w:val="single"/>
        </w:rPr>
        <w:t xml:space="preserve">                       </w:t>
      </w:r>
      <w:r>
        <w:rPr>
          <w:rFonts w:hint="eastAsia" w:ascii="宋体" w:hAnsi="宋体" w:cs="宋体"/>
          <w:bCs/>
          <w:color w:val="auto"/>
          <w:sz w:val="30"/>
          <w:szCs w:val="30"/>
          <w:highlight w:val="none"/>
        </w:rPr>
        <w:t>（加盖单位电子公章）</w:t>
      </w:r>
    </w:p>
    <w:p w14:paraId="108EA380">
      <w:pPr>
        <w:pStyle w:val="2"/>
        <w:snapToGrid w:val="0"/>
        <w:spacing w:before="100" w:beforeAutospacing="1" w:after="100" w:afterAutospacing="1" w:line="280" w:lineRule="exact"/>
        <w:ind w:firstLine="675" w:firstLineChars="225"/>
        <w:rPr>
          <w:rFonts w:ascii="宋体" w:hAnsi="宋体" w:cs="宋体"/>
          <w:bCs/>
          <w:color w:val="auto"/>
          <w:sz w:val="30"/>
          <w:szCs w:val="30"/>
          <w:highlight w:val="none"/>
        </w:rPr>
      </w:pPr>
    </w:p>
    <w:p w14:paraId="49296A06">
      <w:pPr>
        <w:pStyle w:val="2"/>
        <w:snapToGrid w:val="0"/>
        <w:spacing w:before="100" w:beforeAutospacing="1" w:after="100" w:afterAutospacing="1"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14:paraId="0216FAAE">
      <w:pPr>
        <w:pStyle w:val="2"/>
        <w:snapToGrid w:val="0"/>
        <w:spacing w:before="50" w:after="50" w:line="280" w:lineRule="exact"/>
        <w:ind w:firstLine="675" w:firstLineChars="225"/>
        <w:rPr>
          <w:rFonts w:ascii="宋体" w:hAnsi="宋体" w:cs="宋体"/>
          <w:bCs/>
          <w:color w:val="auto"/>
          <w:sz w:val="30"/>
          <w:szCs w:val="30"/>
          <w:highlight w:val="none"/>
        </w:rPr>
      </w:pPr>
    </w:p>
    <w:p w14:paraId="6D873D67">
      <w:pPr>
        <w:snapToGrid w:val="0"/>
        <w:spacing w:before="156" w:beforeLines="50" w:after="50"/>
        <w:ind w:firstLine="10"/>
        <w:jc w:val="center"/>
        <w:rPr>
          <w:rFonts w:ascii="宋体" w:hAnsi="宋体" w:cs="宋体"/>
          <w:color w:val="auto"/>
          <w:sz w:val="30"/>
          <w:szCs w:val="30"/>
          <w:highlight w:val="none"/>
        </w:rPr>
      </w:pPr>
    </w:p>
    <w:p w14:paraId="48FF6E47">
      <w:pPr>
        <w:snapToGrid w:val="0"/>
        <w:spacing w:before="156" w:beforeLines="50" w:after="50"/>
        <w:ind w:firstLine="10"/>
        <w:jc w:val="center"/>
        <w:rPr>
          <w:rFonts w:ascii="宋体" w:hAnsi="宋体" w:cs="宋体"/>
          <w:color w:val="auto"/>
          <w:sz w:val="30"/>
          <w:szCs w:val="30"/>
          <w:highlight w:val="none"/>
        </w:rPr>
      </w:pPr>
    </w:p>
    <w:p w14:paraId="4C758AA5">
      <w:pPr>
        <w:snapToGrid w:val="0"/>
        <w:spacing w:before="156" w:beforeLines="50" w:after="50"/>
        <w:ind w:firstLine="10"/>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14:paraId="3272B085">
      <w:pPr>
        <w:snapToGrid w:val="0"/>
        <w:spacing w:before="156" w:beforeLines="50" w:after="50" w:line="330" w:lineRule="exact"/>
        <w:jc w:val="center"/>
        <w:rPr>
          <w:rFonts w:ascii="宋体" w:hAnsi="宋体" w:cs="宋体"/>
          <w:b/>
          <w:color w:val="auto"/>
          <w:szCs w:val="21"/>
          <w:highlight w:val="none"/>
        </w:rPr>
      </w:pPr>
      <w:r>
        <w:rPr>
          <w:rFonts w:hint="eastAsia" w:ascii="宋体" w:hAnsi="宋体" w:cs="宋体"/>
          <w:b/>
          <w:color w:val="auto"/>
          <w:szCs w:val="21"/>
          <w:highlight w:val="none"/>
        </w:rPr>
        <w:br w:type="page"/>
      </w:r>
    </w:p>
    <w:p w14:paraId="45D6574B">
      <w:pPr>
        <w:snapToGrid w:val="0"/>
        <w:spacing w:before="156" w:beforeLines="50" w:after="50" w:line="330" w:lineRule="exact"/>
        <w:jc w:val="center"/>
        <w:rPr>
          <w:rFonts w:ascii="宋体" w:hAnsi="宋体" w:cs="宋体"/>
          <w:b/>
          <w:color w:val="auto"/>
          <w:szCs w:val="21"/>
          <w:highlight w:val="none"/>
        </w:rPr>
      </w:pPr>
    </w:p>
    <w:p w14:paraId="686A6BDB">
      <w:pPr>
        <w:snapToGrid w:val="0"/>
        <w:spacing w:before="156" w:beforeLines="50" w:after="50" w:line="33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目录</w:t>
      </w:r>
    </w:p>
    <w:p w14:paraId="7B44762E">
      <w:pPr>
        <w:tabs>
          <w:tab w:val="left" w:pos="2625"/>
        </w:tabs>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(供应商需根据响应文件自行编制目录及页码)</w:t>
      </w:r>
    </w:p>
    <w:p w14:paraId="4F2D89AE">
      <w:pPr>
        <w:widowControl/>
        <w:spacing w:line="360" w:lineRule="exact"/>
        <w:rPr>
          <w:rFonts w:ascii="宋体" w:hAnsi="宋体" w:cs="宋体"/>
          <w:b/>
          <w:bCs/>
          <w:color w:val="auto"/>
          <w:sz w:val="24"/>
          <w:highlight w:val="none"/>
        </w:rPr>
      </w:pPr>
    </w:p>
    <w:p w14:paraId="706336FE">
      <w:pPr>
        <w:tabs>
          <w:tab w:val="left" w:pos="2625"/>
        </w:tabs>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一、谈判声明书格式</w:t>
      </w:r>
    </w:p>
    <w:p w14:paraId="38D5C050">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谈判声明书</w:t>
      </w:r>
    </w:p>
    <w:p w14:paraId="53EB3514">
      <w:pPr>
        <w:pStyle w:val="19"/>
        <w:spacing w:line="360" w:lineRule="exact"/>
        <w:rPr>
          <w:rFonts w:hAnsi="宋体" w:cs="宋体"/>
          <w:color w:val="auto"/>
          <w:sz w:val="21"/>
          <w:szCs w:val="21"/>
          <w:highlight w:val="none"/>
        </w:rPr>
      </w:pPr>
      <w:r>
        <w:rPr>
          <w:rFonts w:hint="eastAsia" w:hAnsi="宋体" w:cs="宋体"/>
          <w:color w:val="auto"/>
          <w:sz w:val="21"/>
          <w:highlight w:val="none"/>
        </w:rPr>
        <w:t>致：</w:t>
      </w:r>
      <w:r>
        <w:rPr>
          <w:rFonts w:hint="eastAsia" w:hAnsi="宋体" w:cs="宋体"/>
          <w:color w:val="auto"/>
          <w:sz w:val="21"/>
          <w:highlight w:val="none"/>
          <w:u w:val="single"/>
        </w:rPr>
        <w:t xml:space="preserve">              </w:t>
      </w:r>
      <w:r>
        <w:rPr>
          <w:rFonts w:hint="eastAsia" w:hAnsi="宋体" w:cs="宋体"/>
          <w:color w:val="auto"/>
          <w:sz w:val="21"/>
          <w:highlight w:val="none"/>
        </w:rPr>
        <w:t>（采购人单位名称）：</w:t>
      </w:r>
    </w:p>
    <w:p w14:paraId="2AD4EFE7">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4C731A5E">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5D0C086E">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51C46BB">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6B05D13A">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（1）将按谈判文件的约定履行合同责任和义务；</w:t>
      </w:r>
    </w:p>
    <w:p w14:paraId="52F3C448">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（2）已详细审查全部谈判文件，包括澄清或者更正公告（如有）；</w:t>
      </w:r>
    </w:p>
    <w:p w14:paraId="4C0782FB">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（3）同意提供按照贵方可能要求的与谈判有关的一切数据或者资料；</w:t>
      </w:r>
    </w:p>
    <w:p w14:paraId="63B0F3D0">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（4）响应谈判文件规定的响应文件有效期。</w:t>
      </w:r>
    </w:p>
    <w:p w14:paraId="31633119">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64C2AA05">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769D402F">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6C008DF5">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1F012B5A">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1D2E8397">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129E3693">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0D5E734C">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1022DB9">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88D5537">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□我方本次响应文件内容中未涉及商业秘密；</w:t>
      </w:r>
    </w:p>
    <w:p w14:paraId="75EFD193">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□我方本次响应文件涉及商业秘密的内容有： </w:t>
      </w:r>
    </w:p>
    <w:p w14:paraId="0681ECAB">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13ABB464">
      <w:pPr>
        <w:pStyle w:val="19"/>
        <w:jc w:val="right"/>
        <w:rPr>
          <w:rFonts w:hAnsi="宋体" w:cs="宋体"/>
          <w:color w:val="auto"/>
          <w:sz w:val="21"/>
          <w:szCs w:val="21"/>
          <w:highlight w:val="none"/>
        </w:rPr>
      </w:pPr>
      <w:r>
        <w:rPr>
          <w:rFonts w:hint="eastAsia" w:hAnsi="宋体" w:cs="宋体"/>
          <w:color w:val="auto"/>
          <w:sz w:val="21"/>
          <w:highlight w:val="none"/>
        </w:rPr>
        <w:t>供应商名称（电子签章）：</w:t>
      </w:r>
    </w:p>
    <w:p w14:paraId="31C7B775">
      <w:pPr>
        <w:snapToGrid w:val="0"/>
        <w:spacing w:before="50" w:after="50"/>
        <w:ind w:left="-6" w:leftChars="-3" w:right="-817" w:rightChars="-389" w:firstLine="6720" w:firstLineChars="3200"/>
        <w:rPr>
          <w:rFonts w:ascii="宋体" w:hAnsi="宋体" w:cs="宋体"/>
          <w:color w:val="auto"/>
          <w:szCs w:val="21"/>
          <w:highlight w:val="none"/>
        </w:rPr>
      </w:pPr>
      <w:r>
        <w:rPr>
          <w:rFonts w:hint="eastAsia" w:ascii="宋体" w:hAnsi="宋体" w:cs="宋体"/>
          <w:color w:val="auto"/>
          <w:szCs w:val="21"/>
          <w:highlight w:val="none"/>
        </w:rPr>
        <w:t>日期：    年   月   日</w:t>
      </w:r>
    </w:p>
    <w:p w14:paraId="48887C88">
      <w:pPr>
        <w:ind w:firstLine="363" w:firstLineChars="202"/>
        <w:rPr>
          <w:rFonts w:ascii="宋体" w:hAnsi="宋体" w:cs="宋体"/>
          <w:color w:val="auto"/>
          <w:sz w:val="18"/>
          <w:szCs w:val="18"/>
          <w:highlight w:val="none"/>
        </w:rPr>
      </w:pPr>
      <w:r>
        <w:rPr>
          <w:rFonts w:hint="eastAsia" w:ascii="宋体" w:hAnsi="宋体" w:cs="宋体"/>
          <w:color w:val="auto"/>
          <w:sz w:val="18"/>
          <w:szCs w:val="18"/>
          <w:highlight w:val="none"/>
        </w:rPr>
        <w:t>说明：</w:t>
      </w:r>
    </w:p>
    <w:p w14:paraId="0B257F88">
      <w:pPr>
        <w:ind w:firstLine="363" w:firstLineChars="202"/>
        <w:rPr>
          <w:rFonts w:ascii="宋体" w:hAnsi="宋体" w:cs="宋体"/>
          <w:color w:val="auto"/>
          <w:sz w:val="18"/>
          <w:szCs w:val="18"/>
          <w:highlight w:val="none"/>
        </w:rPr>
      </w:pPr>
      <w:r>
        <w:rPr>
          <w:rFonts w:hint="eastAsia" w:ascii="宋体" w:hAnsi="宋体" w:cs="宋体"/>
          <w:color w:val="auto"/>
          <w:sz w:val="18"/>
          <w:szCs w:val="18"/>
          <w:highlight w:val="none"/>
        </w:rPr>
        <w:t>1.供应商可以自行通过 “信用中国”（www.creditchina.gov.cn）和“中国政府采购网”网站（www.ccgp.gov.cn）查询供应商相关主体的信用记录。查询时间为本项目投标截止时间前10日至投标截止时间中任意一天。在资格审查阶段经谈判小组查询，对列入失信被执行人、重大税收违法案件当事人名单、政府采购严重违法失信行为记录名单的供应商，将被拒绝参与本项目政府采购活动。</w:t>
      </w:r>
    </w:p>
    <w:p w14:paraId="137B2AD0">
      <w:pPr>
        <w:ind w:firstLine="363" w:firstLineChars="202"/>
        <w:rPr>
          <w:rFonts w:ascii="宋体" w:hAnsi="宋体" w:cs="宋体"/>
          <w:color w:val="auto"/>
          <w:sz w:val="18"/>
          <w:szCs w:val="18"/>
          <w:highlight w:val="none"/>
        </w:rPr>
      </w:pPr>
      <w:r>
        <w:rPr>
          <w:rFonts w:hint="eastAsia" w:ascii="宋体" w:hAnsi="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C024100">
      <w:pPr>
        <w:ind w:firstLine="363" w:firstLineChars="202"/>
        <w:rPr>
          <w:rFonts w:ascii="宋体" w:hAnsi="宋体" w:cs="宋体"/>
          <w:color w:val="auto"/>
          <w:sz w:val="18"/>
          <w:szCs w:val="18"/>
          <w:highlight w:val="none"/>
        </w:rPr>
      </w:pPr>
      <w:r>
        <w:rPr>
          <w:rFonts w:hint="eastAsia" w:ascii="宋体" w:hAnsi="宋体" w:cs="宋体"/>
          <w:color w:val="auto"/>
          <w:sz w:val="18"/>
          <w:szCs w:val="18"/>
          <w:highlight w:val="none"/>
        </w:rPr>
        <w:t>3.如为联合体投标，盖章处须加盖联合体各方公章，否则投标无效。</w:t>
      </w:r>
    </w:p>
    <w:p w14:paraId="1E35014B">
      <w:pPr>
        <w:ind w:firstLine="363" w:firstLineChars="202"/>
        <w:rPr>
          <w:rFonts w:ascii="宋体" w:hAnsi="宋体" w:cs="宋体"/>
          <w:color w:val="auto"/>
          <w:sz w:val="18"/>
          <w:szCs w:val="18"/>
          <w:highlight w:val="none"/>
        </w:rPr>
      </w:pPr>
    </w:p>
    <w:p w14:paraId="18E77BF1">
      <w:pPr>
        <w:ind w:firstLine="363" w:firstLineChars="202"/>
        <w:rPr>
          <w:rFonts w:ascii="宋体" w:hAnsi="宋体" w:cs="宋体"/>
          <w:color w:val="auto"/>
          <w:sz w:val="18"/>
          <w:szCs w:val="18"/>
          <w:highlight w:val="none"/>
        </w:rPr>
      </w:pPr>
    </w:p>
    <w:p w14:paraId="6EB7C856">
      <w:pPr>
        <w:ind w:firstLine="363" w:firstLineChars="202"/>
        <w:rPr>
          <w:rFonts w:ascii="宋体" w:hAnsi="宋体" w:cs="宋体"/>
          <w:color w:val="auto"/>
          <w:sz w:val="18"/>
          <w:szCs w:val="18"/>
          <w:highlight w:val="none"/>
        </w:rPr>
      </w:pPr>
    </w:p>
    <w:p w14:paraId="3D577A2F">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二、政府采购供应商资格信用承诺函格式</w:t>
      </w:r>
    </w:p>
    <w:p w14:paraId="1A22D376">
      <w:pPr>
        <w:autoSpaceDE w:val="0"/>
        <w:autoSpaceDN w:val="0"/>
        <w:adjustRightInd w:val="0"/>
        <w:spacing w:line="400" w:lineRule="exact"/>
        <w:jc w:val="left"/>
        <w:rPr>
          <w:rFonts w:ascii="宋体" w:hAnsi="宋体" w:cs="宋体"/>
          <w:b/>
          <w:bCs/>
          <w:color w:val="auto"/>
          <w:szCs w:val="21"/>
          <w:highlight w:val="none"/>
        </w:rPr>
      </w:pPr>
    </w:p>
    <w:p w14:paraId="4EDE0D8A">
      <w:pPr>
        <w:autoSpaceDE w:val="0"/>
        <w:autoSpaceDN w:val="0"/>
        <w:adjustRightInd w:val="0"/>
        <w:jc w:val="center"/>
        <w:rPr>
          <w:rFonts w:ascii="宋体" w:hAnsi="宋体" w:cs="宋体"/>
          <w:b/>
          <w:bCs/>
          <w:color w:val="auto"/>
          <w:szCs w:val="21"/>
          <w:highlight w:val="none"/>
        </w:rPr>
      </w:pPr>
      <w:r>
        <w:rPr>
          <w:rFonts w:hint="eastAsia" w:ascii="宋体" w:hAnsi="宋体" w:cs="宋体"/>
          <w:b/>
          <w:bCs/>
          <w:color w:val="auto"/>
          <w:szCs w:val="21"/>
          <w:highlight w:val="none"/>
        </w:rPr>
        <w:t>政府采购供应商资格信用承诺函</w:t>
      </w:r>
    </w:p>
    <w:p w14:paraId="032719DB">
      <w:pPr>
        <w:pStyle w:val="28"/>
        <w:rPr>
          <w:rFonts w:ascii="宋体" w:hAnsi="宋体" w:cs="宋体"/>
          <w:color w:val="auto"/>
          <w:sz w:val="21"/>
          <w:szCs w:val="21"/>
          <w:highlight w:val="none"/>
        </w:rPr>
      </w:pPr>
    </w:p>
    <w:p w14:paraId="66F5EF7F">
      <w:pPr>
        <w:autoSpaceDE w:val="0"/>
        <w:autoSpaceDN w:val="0"/>
        <w:adjustRightInd w:val="0"/>
        <w:spacing w:line="400" w:lineRule="exact"/>
        <w:rPr>
          <w:rFonts w:ascii="宋体" w:hAnsi="宋体" w:cs="宋体"/>
          <w:color w:val="auto"/>
          <w:spacing w:val="6"/>
          <w:szCs w:val="21"/>
          <w:highlight w:val="none"/>
        </w:rPr>
      </w:pPr>
      <w:r>
        <w:rPr>
          <w:rFonts w:hint="eastAsia" w:ascii="宋体" w:hAnsi="宋体" w:cs="宋体"/>
          <w:color w:val="auto"/>
          <w:spacing w:val="6"/>
          <w:szCs w:val="21"/>
          <w:highlight w:val="none"/>
        </w:rPr>
        <w:t>致：</w:t>
      </w:r>
      <w:r>
        <w:rPr>
          <w:rFonts w:hint="eastAsia" w:ascii="宋体" w:hAnsi="宋体" w:cs="宋体"/>
          <w:color w:val="auto"/>
          <w:spacing w:val="6"/>
          <w:szCs w:val="21"/>
          <w:highlight w:val="none"/>
          <w:u w:val="single"/>
        </w:rPr>
        <w:t>（采购人名称）、（代理机构名称）</w:t>
      </w:r>
      <w:r>
        <w:rPr>
          <w:rFonts w:hint="eastAsia" w:ascii="宋体" w:hAnsi="宋体" w:cs="宋体"/>
          <w:color w:val="auto"/>
          <w:spacing w:val="6"/>
          <w:szCs w:val="21"/>
          <w:highlight w:val="none"/>
        </w:rPr>
        <w:t>：</w:t>
      </w:r>
    </w:p>
    <w:p w14:paraId="6251D285">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我方自愿参加</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项目（项目编号：</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）的政府采购活动，并郑重承诺我方符合《中华人民共和国政府采购法》第二十二条规定的条件： </w:t>
      </w:r>
    </w:p>
    <w:p w14:paraId="056C3C41">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（一）具有独立承担民事责任的能力； </w:t>
      </w:r>
    </w:p>
    <w:p w14:paraId="0DFFD244">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（二）具有良好的商业信誉和健全的财务会计制度； </w:t>
      </w:r>
    </w:p>
    <w:p w14:paraId="2030FF3C">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（三）具有履行合同所必需的设备和专业技术能力； </w:t>
      </w:r>
    </w:p>
    <w:p w14:paraId="4D515A12">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（四）有依法缴纳税收和社会保障资金的良好记录； </w:t>
      </w:r>
    </w:p>
    <w:p w14:paraId="1DD554F2">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（五）参加政府采购活动前三年内，在经营活动中没有重大违法记录； </w:t>
      </w:r>
    </w:p>
    <w:p w14:paraId="23940831">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（六）法律、行政法规规定的其他条件。 </w:t>
      </w:r>
    </w:p>
    <w:p w14:paraId="3C57DF38">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color w:val="auto"/>
          <w:spacing w:val="6"/>
          <w:szCs w:val="21"/>
          <w:highlight w:val="none"/>
        </w:rPr>
        <w:t xml:space="preserve">我方保证上述承诺事项的真实性，如有弄虚作假或其他违法违规行为，愿意承担一切法律责任，并承担因此所造成的一切损失。 </w:t>
      </w:r>
    </w:p>
    <w:p w14:paraId="33470A4D">
      <w:pPr>
        <w:autoSpaceDE w:val="0"/>
        <w:autoSpaceDN w:val="0"/>
        <w:adjustRightInd w:val="0"/>
        <w:spacing w:line="400" w:lineRule="exact"/>
        <w:ind w:firstLine="640"/>
        <w:rPr>
          <w:rFonts w:ascii="宋体" w:hAnsi="宋体" w:cs="宋体"/>
          <w:color w:val="auto"/>
          <w:spacing w:val="6"/>
          <w:szCs w:val="21"/>
          <w:highlight w:val="none"/>
        </w:rPr>
      </w:pPr>
      <w:r>
        <w:rPr>
          <w:rFonts w:hint="eastAsia" w:ascii="宋体" w:hAnsi="宋体" w:cs="宋体"/>
          <w:b/>
          <w:bCs/>
          <w:color w:val="auto"/>
          <w:spacing w:val="6"/>
          <w:szCs w:val="21"/>
          <w:highlight w:val="none"/>
        </w:rPr>
        <w:t>特此声明！</w:t>
      </w:r>
      <w:r>
        <w:rPr>
          <w:rFonts w:hint="eastAsia" w:ascii="宋体" w:hAnsi="宋体" w:cs="宋体"/>
          <w:color w:val="auto"/>
          <w:spacing w:val="6"/>
          <w:szCs w:val="21"/>
          <w:highlight w:val="none"/>
        </w:rPr>
        <w:t xml:space="preserve"> </w:t>
      </w:r>
    </w:p>
    <w:p w14:paraId="7E4070D6">
      <w:pPr>
        <w:pStyle w:val="34"/>
        <w:spacing w:line="400" w:lineRule="exact"/>
        <w:ind w:firstLine="444"/>
        <w:rPr>
          <w:rFonts w:ascii="宋体" w:hAnsi="宋体" w:cs="宋体"/>
          <w:color w:val="auto"/>
          <w:spacing w:val="6"/>
          <w:szCs w:val="21"/>
          <w:highlight w:val="none"/>
        </w:rPr>
      </w:pPr>
    </w:p>
    <w:p w14:paraId="7DC01CDB">
      <w:pPr>
        <w:spacing w:line="400" w:lineRule="exact"/>
        <w:rPr>
          <w:rFonts w:ascii="宋体" w:hAnsi="宋体" w:cs="宋体"/>
          <w:color w:val="auto"/>
          <w:szCs w:val="21"/>
          <w:highlight w:val="none"/>
        </w:rPr>
      </w:pPr>
    </w:p>
    <w:p w14:paraId="431396EF">
      <w:pPr>
        <w:spacing w:line="400" w:lineRule="exact"/>
        <w:jc w:val="center"/>
        <w:rPr>
          <w:rFonts w:ascii="宋体" w:hAnsi="宋体" w:cs="宋体"/>
          <w:color w:val="auto"/>
          <w:szCs w:val="21"/>
          <w:highlight w:val="none"/>
          <w:u w:val="single"/>
        </w:rPr>
      </w:pPr>
      <w:r>
        <w:rPr>
          <w:rFonts w:hint="eastAsia" w:ascii="宋体" w:hAnsi="宋体" w:cs="宋体"/>
          <w:color w:val="auto"/>
          <w:szCs w:val="21"/>
          <w:highlight w:val="none"/>
        </w:rPr>
        <w:t xml:space="preserve">           法定代表人或委托代理人</w:t>
      </w:r>
      <w:r>
        <w:rPr>
          <w:rFonts w:hint="eastAsia" w:ascii="宋体" w:hAnsi="宋体" w:cs="宋体"/>
          <w:b/>
          <w:bCs/>
          <w:color w:val="auto"/>
          <w:szCs w:val="21"/>
          <w:highlight w:val="none"/>
        </w:rPr>
        <w:t>（签字）：</w:t>
      </w:r>
      <w:r>
        <w:rPr>
          <w:rFonts w:hint="eastAsia" w:ascii="宋体" w:hAnsi="宋体" w:cs="宋体"/>
          <w:color w:val="auto"/>
          <w:szCs w:val="21"/>
          <w:highlight w:val="none"/>
          <w:u w:val="single"/>
        </w:rPr>
        <w:t xml:space="preserve">                  </w:t>
      </w:r>
    </w:p>
    <w:p w14:paraId="3F88001E">
      <w:pPr>
        <w:spacing w:line="400" w:lineRule="exact"/>
        <w:jc w:val="center"/>
        <w:rPr>
          <w:rFonts w:ascii="宋体" w:hAnsi="宋体" w:cs="宋体"/>
          <w:color w:val="auto"/>
          <w:szCs w:val="21"/>
          <w:highlight w:val="none"/>
          <w:u w:val="single"/>
        </w:rPr>
      </w:pPr>
    </w:p>
    <w:p w14:paraId="1C0DBF6D">
      <w:pPr>
        <w:pStyle w:val="19"/>
        <w:spacing w:line="400" w:lineRule="exact"/>
        <w:ind w:firstLine="3570" w:firstLineChars="1700"/>
        <w:rPr>
          <w:rFonts w:hAnsi="宋体" w:cs="宋体"/>
          <w:color w:val="auto"/>
          <w:sz w:val="21"/>
          <w:highlight w:val="none"/>
        </w:rPr>
      </w:pPr>
      <w:r>
        <w:rPr>
          <w:rFonts w:hint="eastAsia" w:hAnsi="宋体" w:cs="宋体"/>
          <w:color w:val="auto"/>
          <w:sz w:val="21"/>
          <w:highlight w:val="none"/>
        </w:rPr>
        <w:t>政府采购供应商</w:t>
      </w:r>
      <w:r>
        <w:rPr>
          <w:rFonts w:hint="eastAsia" w:hAnsi="宋体" w:cs="宋体"/>
          <w:b/>
          <w:bCs/>
          <w:color w:val="auto"/>
          <w:sz w:val="21"/>
          <w:highlight w:val="none"/>
        </w:rPr>
        <w:t>（CA电子签章）</w:t>
      </w:r>
      <w:r>
        <w:rPr>
          <w:rFonts w:hint="eastAsia" w:hAnsi="宋体" w:cs="宋体"/>
          <w:color w:val="auto"/>
          <w:sz w:val="21"/>
          <w:highlight w:val="none"/>
        </w:rPr>
        <w:t>：</w:t>
      </w:r>
      <w:r>
        <w:rPr>
          <w:rFonts w:hint="eastAsia" w:hAnsi="宋体" w:cs="宋体"/>
          <w:color w:val="auto"/>
          <w:sz w:val="21"/>
          <w:highlight w:val="none"/>
          <w:u w:val="single"/>
        </w:rPr>
        <w:t xml:space="preserve">                </w:t>
      </w:r>
    </w:p>
    <w:p w14:paraId="44E7F815">
      <w:pPr>
        <w:pStyle w:val="19"/>
        <w:spacing w:line="400" w:lineRule="exact"/>
        <w:rPr>
          <w:rFonts w:hAnsi="宋体" w:cs="宋体"/>
          <w:color w:val="auto"/>
          <w:sz w:val="21"/>
          <w:highlight w:val="none"/>
        </w:rPr>
      </w:pPr>
    </w:p>
    <w:p w14:paraId="3C383D53">
      <w:pPr>
        <w:pStyle w:val="19"/>
        <w:spacing w:line="400" w:lineRule="exact"/>
        <w:jc w:val="right"/>
        <w:rPr>
          <w:rFonts w:hAnsi="宋体" w:cs="宋体"/>
          <w:color w:val="auto"/>
          <w:sz w:val="21"/>
          <w:highlight w:val="none"/>
        </w:rPr>
      </w:pPr>
      <w:r>
        <w:rPr>
          <w:rFonts w:hint="eastAsia" w:hAnsi="宋体" w:cs="宋体"/>
          <w:color w:val="auto"/>
          <w:sz w:val="21"/>
          <w:highlight w:val="none"/>
        </w:rPr>
        <w:t>日期：       年   月   日</w:t>
      </w:r>
    </w:p>
    <w:p w14:paraId="3B6A0BB7">
      <w:pPr>
        <w:snapToGrid w:val="0"/>
        <w:spacing w:before="156" w:beforeLines="50" w:after="50" w:line="400" w:lineRule="exact"/>
        <w:rPr>
          <w:rFonts w:ascii="宋体" w:hAnsi="宋体" w:cs="宋体"/>
          <w:b/>
          <w:color w:val="auto"/>
          <w:highlight w:val="none"/>
        </w:rPr>
      </w:pPr>
    </w:p>
    <w:p w14:paraId="1034070B">
      <w:pPr>
        <w:snapToGrid w:val="0"/>
        <w:spacing w:before="156" w:beforeLines="50" w:after="50" w:line="400" w:lineRule="exact"/>
        <w:rPr>
          <w:rFonts w:ascii="宋体" w:hAnsi="宋体" w:cs="宋体"/>
          <w:b/>
          <w:color w:val="auto"/>
          <w:highlight w:val="none"/>
        </w:rPr>
      </w:pPr>
    </w:p>
    <w:p w14:paraId="4573BE26">
      <w:pPr>
        <w:snapToGrid w:val="0"/>
        <w:spacing w:before="156" w:beforeLines="50" w:after="50" w:line="400" w:lineRule="exact"/>
        <w:rPr>
          <w:rFonts w:ascii="宋体" w:hAnsi="宋体" w:cs="宋体"/>
          <w:b/>
          <w:color w:val="auto"/>
          <w:highlight w:val="none"/>
        </w:rPr>
      </w:pPr>
    </w:p>
    <w:p w14:paraId="3678A623">
      <w:pPr>
        <w:snapToGrid w:val="0"/>
        <w:spacing w:before="156" w:beforeLines="50" w:after="50" w:line="400" w:lineRule="exact"/>
        <w:rPr>
          <w:rFonts w:ascii="宋体" w:hAnsi="宋体" w:cs="宋体"/>
          <w:b/>
          <w:color w:val="auto"/>
          <w:highlight w:val="none"/>
        </w:rPr>
      </w:pPr>
    </w:p>
    <w:p w14:paraId="3FED274A">
      <w:pPr>
        <w:snapToGrid w:val="0"/>
        <w:spacing w:before="156" w:beforeLines="50" w:after="50" w:line="400" w:lineRule="exact"/>
        <w:rPr>
          <w:rFonts w:ascii="宋体" w:hAnsi="宋体" w:cs="宋体"/>
          <w:b/>
          <w:color w:val="auto"/>
          <w:highlight w:val="none"/>
        </w:rPr>
      </w:pPr>
    </w:p>
    <w:p w14:paraId="720A7D4E">
      <w:pPr>
        <w:snapToGrid w:val="0"/>
        <w:spacing w:before="156" w:beforeLines="50" w:after="50" w:line="400" w:lineRule="exact"/>
        <w:rPr>
          <w:rFonts w:ascii="宋体" w:hAnsi="宋体" w:cs="宋体"/>
          <w:b/>
          <w:color w:val="auto"/>
          <w:highlight w:val="none"/>
        </w:rPr>
      </w:pPr>
    </w:p>
    <w:p w14:paraId="5418711F">
      <w:pPr>
        <w:snapToGrid w:val="0"/>
        <w:spacing w:before="156" w:beforeLines="50" w:after="50" w:line="400" w:lineRule="exact"/>
        <w:rPr>
          <w:rFonts w:ascii="宋体" w:hAnsi="宋体" w:cs="宋体"/>
          <w:b/>
          <w:color w:val="auto"/>
          <w:highlight w:val="none"/>
        </w:rPr>
      </w:pPr>
    </w:p>
    <w:p w14:paraId="0F84E2CA">
      <w:pPr>
        <w:snapToGrid w:val="0"/>
        <w:spacing w:before="156" w:beforeLines="50" w:after="50" w:line="400" w:lineRule="exact"/>
        <w:rPr>
          <w:rFonts w:ascii="宋体" w:hAnsi="宋体" w:cs="宋体"/>
          <w:b/>
          <w:color w:val="auto"/>
          <w:highlight w:val="none"/>
        </w:rPr>
      </w:pPr>
    </w:p>
    <w:p w14:paraId="645211A3">
      <w:pPr>
        <w:snapToGrid w:val="0"/>
        <w:spacing w:before="156" w:beforeLines="50" w:after="50" w:line="400" w:lineRule="exact"/>
        <w:rPr>
          <w:rFonts w:ascii="宋体" w:hAnsi="宋体" w:cs="宋体"/>
          <w:b/>
          <w:color w:val="auto"/>
          <w:highlight w:val="none"/>
        </w:rPr>
      </w:pPr>
    </w:p>
    <w:p w14:paraId="337A4A6F">
      <w:pPr>
        <w:snapToGrid w:val="0"/>
        <w:spacing w:before="156" w:beforeLines="50" w:after="50" w:line="400" w:lineRule="exact"/>
        <w:rPr>
          <w:rFonts w:ascii="宋体" w:hAnsi="宋体" w:cs="宋体"/>
          <w:b/>
          <w:bCs/>
          <w:color w:val="auto"/>
          <w:sz w:val="24"/>
          <w:highlight w:val="none"/>
        </w:rPr>
      </w:pPr>
      <w:r>
        <w:rPr>
          <w:rFonts w:hint="eastAsia" w:ascii="宋体" w:hAnsi="宋体" w:cs="宋体"/>
          <w:b/>
          <w:color w:val="auto"/>
          <w:highlight w:val="none"/>
        </w:rPr>
        <w:t>三、供应商直接控股、管理关系信息表格式</w:t>
      </w:r>
    </w:p>
    <w:p w14:paraId="4E74A1FB">
      <w:pPr>
        <w:snapToGrid w:val="0"/>
        <w:spacing w:before="50" w:after="156" w:afterLines="50"/>
        <w:jc w:val="center"/>
        <w:rPr>
          <w:rFonts w:ascii="宋体" w:hAnsi="宋体" w:cs="宋体"/>
          <w:b/>
          <w:color w:val="auto"/>
          <w:sz w:val="24"/>
          <w:highlight w:val="none"/>
        </w:rPr>
      </w:pPr>
      <w:r>
        <w:rPr>
          <w:rFonts w:hint="eastAsia" w:ascii="宋体" w:hAnsi="宋体" w:cs="宋体"/>
          <w:b/>
          <w:color w:val="auto"/>
          <w:sz w:val="24"/>
          <w:highlight w:val="none"/>
        </w:rPr>
        <w:t>供应商直接控股股东信息表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5EE8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877092F">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2A80679">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42A80FE">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5898232">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1BD9C41">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110E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414939">
            <w:pPr>
              <w:widowControl/>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1148B95">
            <w:pPr>
              <w:widowControl/>
              <w:wordWrap w:val="0"/>
              <w:spacing w:line="360" w:lineRule="auto"/>
              <w:jc w:val="center"/>
              <w:rPr>
                <w:rFonts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2F7F38C">
            <w:pPr>
              <w:widowControl/>
              <w:wordWrap w:val="0"/>
              <w:spacing w:line="360" w:lineRule="auto"/>
              <w:jc w:val="center"/>
              <w:rPr>
                <w:rFonts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5D108B9">
            <w:pPr>
              <w:widowControl/>
              <w:wordWrap w:val="0"/>
              <w:spacing w:line="360" w:lineRule="auto"/>
              <w:jc w:val="center"/>
              <w:rPr>
                <w:rFonts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DA30EF1">
            <w:pPr>
              <w:widowControl/>
              <w:wordWrap w:val="0"/>
              <w:spacing w:line="360" w:lineRule="auto"/>
              <w:jc w:val="center"/>
              <w:rPr>
                <w:rFonts w:ascii="宋体" w:hAnsi="宋体" w:cs="宋体"/>
                <w:color w:val="auto"/>
                <w:szCs w:val="21"/>
                <w:highlight w:val="none"/>
              </w:rPr>
            </w:pPr>
          </w:p>
        </w:tc>
      </w:tr>
      <w:tr w14:paraId="63A2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DE08A7D">
            <w:pPr>
              <w:widowControl/>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779FDD5">
            <w:pPr>
              <w:widowControl/>
              <w:wordWrap w:val="0"/>
              <w:spacing w:line="360" w:lineRule="auto"/>
              <w:jc w:val="center"/>
              <w:rPr>
                <w:rFonts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5F06BF">
            <w:pPr>
              <w:widowControl/>
              <w:wordWrap w:val="0"/>
              <w:spacing w:line="360" w:lineRule="auto"/>
              <w:jc w:val="center"/>
              <w:rPr>
                <w:rFonts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B355E7">
            <w:pPr>
              <w:widowControl/>
              <w:wordWrap w:val="0"/>
              <w:spacing w:line="360" w:lineRule="auto"/>
              <w:jc w:val="center"/>
              <w:rPr>
                <w:rFonts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4F5EAA3">
            <w:pPr>
              <w:widowControl/>
              <w:wordWrap w:val="0"/>
              <w:spacing w:line="360" w:lineRule="auto"/>
              <w:jc w:val="center"/>
              <w:rPr>
                <w:rFonts w:ascii="宋体" w:hAnsi="宋体" w:cs="宋体"/>
                <w:color w:val="auto"/>
                <w:szCs w:val="21"/>
                <w:highlight w:val="none"/>
              </w:rPr>
            </w:pPr>
          </w:p>
        </w:tc>
      </w:tr>
      <w:tr w14:paraId="17A0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9529974">
            <w:pPr>
              <w:widowControl/>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97EAB74">
            <w:pPr>
              <w:widowControl/>
              <w:wordWrap w:val="0"/>
              <w:spacing w:line="360" w:lineRule="auto"/>
              <w:jc w:val="center"/>
              <w:rPr>
                <w:rFonts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9460E48">
            <w:pPr>
              <w:widowControl/>
              <w:wordWrap w:val="0"/>
              <w:spacing w:line="360" w:lineRule="auto"/>
              <w:jc w:val="center"/>
              <w:rPr>
                <w:rFonts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021699B">
            <w:pPr>
              <w:widowControl/>
              <w:wordWrap w:val="0"/>
              <w:spacing w:line="360" w:lineRule="auto"/>
              <w:jc w:val="center"/>
              <w:rPr>
                <w:rFonts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AD9887F">
            <w:pPr>
              <w:widowControl/>
              <w:wordWrap w:val="0"/>
              <w:spacing w:line="360" w:lineRule="auto"/>
              <w:jc w:val="center"/>
              <w:rPr>
                <w:rFonts w:ascii="宋体" w:hAnsi="宋体" w:cs="宋体"/>
                <w:color w:val="auto"/>
                <w:szCs w:val="21"/>
                <w:highlight w:val="none"/>
              </w:rPr>
            </w:pPr>
          </w:p>
        </w:tc>
      </w:tr>
    </w:tbl>
    <w:p w14:paraId="33D7B1A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369B3CF5">
      <w:pPr>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A7943C2">
      <w:pPr>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2150AEA6">
      <w:pPr>
        <w:snapToGrid w:val="0"/>
        <w:spacing w:before="50" w:after="156" w:afterLines="50"/>
        <w:jc w:val="center"/>
        <w:rPr>
          <w:rFonts w:ascii="宋体" w:hAnsi="宋体" w:cs="宋体"/>
          <w:color w:val="auto"/>
          <w:szCs w:val="21"/>
          <w:highlight w:val="none"/>
        </w:rPr>
      </w:pPr>
    </w:p>
    <w:p w14:paraId="22E29D3E">
      <w:pPr>
        <w:snapToGrid w:val="0"/>
        <w:spacing w:before="50" w:after="156" w:afterLines="50"/>
        <w:jc w:val="center"/>
        <w:rPr>
          <w:rFonts w:ascii="宋体" w:hAnsi="宋体" w:cs="宋体"/>
          <w:color w:val="auto"/>
          <w:szCs w:val="21"/>
          <w:highlight w:val="none"/>
        </w:rPr>
      </w:pPr>
      <w:r>
        <w:rPr>
          <w:rFonts w:hint="eastAsia" w:ascii="宋体" w:hAnsi="宋体" w:cs="宋体"/>
          <w:b/>
          <w:color w:val="auto"/>
          <w:sz w:val="24"/>
          <w:highlight w:val="none"/>
        </w:rPr>
        <w:t>供应商直接管理关系信息表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37A9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2814FCF">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8B9860B">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4B1663">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53AACAA">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46E4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CC5523">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0E34F6">
            <w:pPr>
              <w:widowControl/>
              <w:spacing w:line="360" w:lineRule="auto"/>
              <w:jc w:val="center"/>
              <w:rPr>
                <w:rFonts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7368E45">
            <w:pPr>
              <w:widowControl/>
              <w:spacing w:line="360" w:lineRule="auto"/>
              <w:jc w:val="center"/>
              <w:rPr>
                <w:rFonts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C38BE41">
            <w:pPr>
              <w:widowControl/>
              <w:spacing w:line="360" w:lineRule="auto"/>
              <w:jc w:val="center"/>
              <w:rPr>
                <w:rFonts w:ascii="宋体" w:hAnsi="宋体" w:cs="宋体"/>
                <w:color w:val="auto"/>
                <w:szCs w:val="21"/>
                <w:highlight w:val="none"/>
              </w:rPr>
            </w:pPr>
          </w:p>
        </w:tc>
      </w:tr>
      <w:tr w14:paraId="789D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6652898">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458629D">
            <w:pPr>
              <w:widowControl/>
              <w:spacing w:line="360" w:lineRule="auto"/>
              <w:jc w:val="center"/>
              <w:rPr>
                <w:rFonts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3CFEFCE">
            <w:pPr>
              <w:widowControl/>
              <w:spacing w:line="360" w:lineRule="auto"/>
              <w:jc w:val="center"/>
              <w:rPr>
                <w:rFonts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2252781">
            <w:pPr>
              <w:widowControl/>
              <w:spacing w:line="360" w:lineRule="auto"/>
              <w:jc w:val="center"/>
              <w:rPr>
                <w:rFonts w:ascii="宋体" w:hAnsi="宋体" w:cs="宋体"/>
                <w:color w:val="auto"/>
                <w:szCs w:val="21"/>
                <w:highlight w:val="none"/>
              </w:rPr>
            </w:pPr>
          </w:p>
        </w:tc>
      </w:tr>
      <w:tr w14:paraId="4E67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D8C893">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8027D04">
            <w:pPr>
              <w:widowControl/>
              <w:spacing w:line="360" w:lineRule="auto"/>
              <w:jc w:val="center"/>
              <w:rPr>
                <w:rFonts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56669F6">
            <w:pPr>
              <w:widowControl/>
              <w:spacing w:line="360" w:lineRule="auto"/>
              <w:jc w:val="center"/>
              <w:rPr>
                <w:rFonts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F6BB36D">
            <w:pPr>
              <w:widowControl/>
              <w:spacing w:line="360" w:lineRule="auto"/>
              <w:jc w:val="center"/>
              <w:rPr>
                <w:rFonts w:ascii="宋体" w:hAnsi="宋体" w:cs="宋体"/>
                <w:color w:val="auto"/>
                <w:szCs w:val="21"/>
                <w:highlight w:val="none"/>
              </w:rPr>
            </w:pPr>
          </w:p>
        </w:tc>
      </w:tr>
    </w:tbl>
    <w:p w14:paraId="79350CD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590EA98E">
      <w:pPr>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4E3D0277">
      <w:pPr>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7B3729F0">
      <w:pPr>
        <w:pStyle w:val="19"/>
        <w:tabs>
          <w:tab w:val="left" w:pos="5529"/>
        </w:tabs>
        <w:wordWrap w:val="0"/>
        <w:ind w:firstLine="3240" w:firstLineChars="1620"/>
        <w:rPr>
          <w:rFonts w:hAnsi="宋体" w:cs="宋体"/>
          <w:color w:val="auto"/>
          <w:szCs w:val="21"/>
          <w:highlight w:val="none"/>
        </w:rPr>
      </w:pPr>
    </w:p>
    <w:p w14:paraId="3C906119">
      <w:pPr>
        <w:pStyle w:val="19"/>
        <w:tabs>
          <w:tab w:val="left" w:pos="5529"/>
        </w:tabs>
        <w:wordWrap w:val="0"/>
        <w:ind w:firstLine="3240" w:firstLineChars="1620"/>
        <w:rPr>
          <w:rFonts w:hAnsi="宋体" w:cs="宋体"/>
          <w:color w:val="auto"/>
          <w:highlight w:val="none"/>
        </w:rPr>
      </w:pPr>
    </w:p>
    <w:p w14:paraId="1773E7B0">
      <w:pPr>
        <w:spacing w:line="36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4ACFF732">
      <w:pPr>
        <w:spacing w:line="36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1456662D">
      <w:pPr>
        <w:snapToGrid w:val="0"/>
        <w:spacing w:before="50" w:after="50"/>
        <w:ind w:left="-6" w:leftChars="-3" w:right="-817" w:rightChars="-389" w:firstLine="6720" w:firstLineChars="3200"/>
        <w:rPr>
          <w:rFonts w:ascii="宋体" w:hAnsi="宋体" w:cs="宋体"/>
          <w:color w:val="auto"/>
          <w:szCs w:val="21"/>
          <w:highlight w:val="none"/>
        </w:rPr>
      </w:pPr>
    </w:p>
    <w:p w14:paraId="2F3435E1">
      <w:pPr>
        <w:snapToGrid w:val="0"/>
        <w:spacing w:before="156" w:beforeLines="50" w:after="50"/>
        <w:rPr>
          <w:rFonts w:ascii="宋体" w:hAnsi="宋体" w:cs="宋体"/>
          <w:b/>
          <w:bCs/>
          <w:color w:val="auto"/>
          <w:szCs w:val="21"/>
          <w:highlight w:val="none"/>
        </w:rPr>
      </w:pPr>
    </w:p>
    <w:p w14:paraId="77A09976">
      <w:pPr>
        <w:snapToGrid w:val="0"/>
        <w:spacing w:before="156" w:beforeLines="50" w:after="50"/>
        <w:rPr>
          <w:rFonts w:ascii="宋体" w:hAnsi="宋体" w:cs="宋体"/>
          <w:b/>
          <w:bCs/>
          <w:color w:val="auto"/>
          <w:szCs w:val="21"/>
          <w:highlight w:val="none"/>
        </w:rPr>
      </w:pPr>
    </w:p>
    <w:p w14:paraId="0D1D70D0">
      <w:pPr>
        <w:spacing w:line="360" w:lineRule="exact"/>
        <w:rPr>
          <w:rFonts w:ascii="宋体" w:hAnsi="宋体" w:cs="宋体"/>
          <w:b/>
          <w:color w:val="auto"/>
          <w:sz w:val="24"/>
          <w:highlight w:val="none"/>
        </w:rPr>
      </w:pPr>
      <w:r>
        <w:rPr>
          <w:rFonts w:hint="eastAsia" w:ascii="宋体" w:hAnsi="宋体" w:cs="宋体"/>
          <w:b/>
          <w:color w:val="auto"/>
          <w:sz w:val="24"/>
          <w:highlight w:val="none"/>
          <w:lang w:val="en-US" w:eastAsia="zh-CN"/>
        </w:rPr>
        <w:t>四</w:t>
      </w:r>
      <w:r>
        <w:rPr>
          <w:rFonts w:hint="eastAsia" w:ascii="宋体" w:hAnsi="宋体" w:cs="宋体"/>
          <w:b/>
          <w:color w:val="auto"/>
          <w:sz w:val="24"/>
          <w:highlight w:val="none"/>
        </w:rPr>
        <w:t>、中小企业声明函格式</w:t>
      </w:r>
    </w:p>
    <w:p w14:paraId="1701A32D">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中小企业声明函</w:t>
      </w:r>
    </w:p>
    <w:p w14:paraId="180E589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p>
    <w:p w14:paraId="3BDF3DF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1、本声明函主要供参加政府采购活动的中小企业填写，非中小企业无需填写。</w:t>
      </w:r>
    </w:p>
    <w:p w14:paraId="3622D399">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2、小型、微型企业提供中型企业提供的货物的，视同为中型企业。</w:t>
      </w:r>
    </w:p>
    <w:p w14:paraId="0B925903">
      <w:pPr>
        <w:spacing w:line="360" w:lineRule="exact"/>
        <w:ind w:firstLine="420" w:firstLineChars="200"/>
        <w:rPr>
          <w:rFonts w:ascii="宋体" w:hAnsi="宋体" w:cs="宋体"/>
          <w:color w:val="auto"/>
          <w:szCs w:val="21"/>
          <w:highlight w:val="none"/>
        </w:rPr>
      </w:pPr>
    </w:p>
    <w:p w14:paraId="4F215712">
      <w:pPr>
        <w:spacing w:line="360" w:lineRule="exact"/>
        <w:ind w:firstLine="420" w:firstLineChars="200"/>
        <w:rPr>
          <w:rFonts w:ascii="宋体" w:hAnsi="宋体" w:cs="宋体"/>
          <w:color w:val="auto"/>
          <w:szCs w:val="21"/>
          <w:highlight w:val="none"/>
        </w:rPr>
      </w:pPr>
    </w:p>
    <w:p w14:paraId="730E4DE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 xml:space="preserve">    （单位名称）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采购活动，提供的货物全部由符合政策要求的中小企业制造。相关企业（含联合体中的中小企业、签订分包意向协议的中小企业）的具体情况如下：</w:t>
      </w:r>
    </w:p>
    <w:p w14:paraId="02662AC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 （采购文件中明确的所属行业） </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 xml:space="preserve"> （企业名称） </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0A7266A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   （标的名称）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 （采购文件中明确的所属行业） </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 xml:space="preserve"> （企业名称） </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6EFD60E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p>
    <w:p w14:paraId="6FB79DE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168B8B6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774C44C7">
      <w:pPr>
        <w:spacing w:line="360" w:lineRule="exact"/>
        <w:ind w:firstLine="3150" w:firstLineChars="1500"/>
        <w:rPr>
          <w:rFonts w:ascii="宋体" w:hAnsi="宋体" w:cs="宋体"/>
          <w:color w:val="auto"/>
          <w:szCs w:val="21"/>
          <w:highlight w:val="none"/>
        </w:rPr>
      </w:pPr>
    </w:p>
    <w:p w14:paraId="52DAE167">
      <w:pPr>
        <w:spacing w:line="36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6EB85311">
      <w:pPr>
        <w:spacing w:line="36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0B45E98A">
      <w:pPr>
        <w:spacing w:line="360" w:lineRule="exact"/>
        <w:ind w:firstLine="420" w:firstLineChars="200"/>
        <w:rPr>
          <w:rFonts w:ascii="宋体" w:hAnsi="宋体" w:cs="宋体"/>
          <w:color w:val="auto"/>
          <w:szCs w:val="21"/>
          <w:highlight w:val="none"/>
        </w:rPr>
      </w:pPr>
    </w:p>
    <w:p w14:paraId="22D49B29">
      <w:pPr>
        <w:spacing w:line="360" w:lineRule="exact"/>
        <w:ind w:firstLine="420" w:firstLineChars="200"/>
        <w:rPr>
          <w:rFonts w:ascii="宋体" w:hAnsi="宋体" w:cs="宋体"/>
          <w:color w:val="auto"/>
          <w:szCs w:val="21"/>
          <w:highlight w:val="none"/>
        </w:rPr>
      </w:pPr>
    </w:p>
    <w:p w14:paraId="5AF5900C">
      <w:pPr>
        <w:spacing w:line="360" w:lineRule="exact"/>
        <w:ind w:firstLine="420" w:firstLineChars="200"/>
        <w:rPr>
          <w:rFonts w:ascii="宋体" w:hAnsi="宋体" w:cs="宋体"/>
          <w:color w:val="auto"/>
          <w:szCs w:val="21"/>
          <w:highlight w:val="none"/>
        </w:rPr>
      </w:pPr>
    </w:p>
    <w:p w14:paraId="43BDFF9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14:paraId="14FDD94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1、从业人员、营业收入、资产总额填报上一年度数据，无上一年度数据的新成立企业可不填报。</w:t>
      </w:r>
    </w:p>
    <w:p w14:paraId="280AF09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14:paraId="2A815287">
      <w:pPr>
        <w:spacing w:line="360" w:lineRule="exact"/>
        <w:ind w:firstLine="360" w:firstLineChars="200"/>
        <w:jc w:val="left"/>
        <w:rPr>
          <w:rFonts w:ascii="宋体" w:hAnsi="宋体" w:cs="宋体"/>
          <w:color w:val="auto"/>
          <w:sz w:val="18"/>
          <w:szCs w:val="18"/>
          <w:highlight w:val="none"/>
        </w:rPr>
      </w:pPr>
    </w:p>
    <w:p w14:paraId="0512FC40">
      <w:pPr>
        <w:spacing w:line="360" w:lineRule="exact"/>
        <w:ind w:firstLine="360" w:firstLineChars="200"/>
        <w:jc w:val="left"/>
        <w:rPr>
          <w:rFonts w:ascii="宋体" w:hAnsi="宋体" w:cs="宋体"/>
          <w:color w:val="auto"/>
          <w:sz w:val="18"/>
          <w:szCs w:val="18"/>
          <w:highlight w:val="none"/>
        </w:rPr>
      </w:pPr>
    </w:p>
    <w:p w14:paraId="24380911">
      <w:pPr>
        <w:spacing w:line="360" w:lineRule="exact"/>
        <w:jc w:val="left"/>
        <w:rPr>
          <w:rFonts w:ascii="宋体" w:hAnsi="宋体" w:cs="宋体"/>
          <w:color w:val="auto"/>
          <w:sz w:val="18"/>
          <w:szCs w:val="18"/>
          <w:highlight w:val="none"/>
        </w:rPr>
      </w:pPr>
    </w:p>
    <w:p w14:paraId="09666FF7">
      <w:pPr>
        <w:spacing w:line="360" w:lineRule="exact"/>
        <w:jc w:val="left"/>
        <w:rPr>
          <w:rFonts w:ascii="宋体" w:hAnsi="宋体" w:cs="宋体"/>
          <w:color w:val="auto"/>
          <w:sz w:val="18"/>
          <w:szCs w:val="18"/>
          <w:highlight w:val="none"/>
        </w:rPr>
      </w:pPr>
    </w:p>
    <w:p w14:paraId="3AB3FFC5">
      <w:pPr>
        <w:tabs>
          <w:tab w:val="left" w:pos="4860"/>
        </w:tabs>
        <w:spacing w:line="360" w:lineRule="exact"/>
        <w:ind w:right="1560" w:firstLine="420" w:firstLineChars="200"/>
        <w:jc w:val="center"/>
        <w:rPr>
          <w:rFonts w:ascii="宋体" w:hAnsi="宋体" w:cs="宋体"/>
          <w:color w:val="auto"/>
          <w:szCs w:val="21"/>
          <w:highlight w:val="none"/>
        </w:rPr>
      </w:pPr>
    </w:p>
    <w:p w14:paraId="436C666D">
      <w:pPr>
        <w:tabs>
          <w:tab w:val="left" w:pos="4860"/>
        </w:tabs>
        <w:spacing w:line="360" w:lineRule="exact"/>
        <w:ind w:right="1560" w:firstLine="420" w:firstLineChars="200"/>
        <w:jc w:val="center"/>
        <w:rPr>
          <w:rFonts w:ascii="宋体" w:hAnsi="宋体" w:cs="宋体"/>
          <w:color w:val="auto"/>
          <w:szCs w:val="21"/>
          <w:highlight w:val="none"/>
        </w:rPr>
      </w:pPr>
    </w:p>
    <w:p w14:paraId="2F524D7B">
      <w:pPr>
        <w:tabs>
          <w:tab w:val="left" w:pos="4860"/>
        </w:tabs>
        <w:spacing w:line="360" w:lineRule="exact"/>
        <w:ind w:right="1560" w:firstLine="420" w:firstLineChars="200"/>
        <w:jc w:val="center"/>
        <w:rPr>
          <w:rFonts w:ascii="宋体" w:hAnsi="宋体" w:cs="宋体"/>
          <w:color w:val="auto"/>
          <w:szCs w:val="21"/>
          <w:highlight w:val="none"/>
        </w:rPr>
      </w:pPr>
    </w:p>
    <w:p w14:paraId="320718BA">
      <w:pPr>
        <w:tabs>
          <w:tab w:val="left" w:pos="4860"/>
        </w:tabs>
        <w:spacing w:line="360" w:lineRule="exact"/>
        <w:ind w:right="1560" w:firstLine="420" w:firstLineChars="200"/>
        <w:jc w:val="center"/>
        <w:rPr>
          <w:rFonts w:ascii="宋体" w:hAnsi="宋体" w:cs="宋体"/>
          <w:color w:val="auto"/>
          <w:szCs w:val="21"/>
          <w:highlight w:val="none"/>
        </w:rPr>
      </w:pPr>
    </w:p>
    <w:p w14:paraId="05AFFB7E">
      <w:pPr>
        <w:tabs>
          <w:tab w:val="left" w:pos="4860"/>
        </w:tabs>
        <w:spacing w:line="360" w:lineRule="exact"/>
        <w:ind w:right="1560" w:firstLine="420" w:firstLineChars="200"/>
        <w:jc w:val="center"/>
        <w:rPr>
          <w:rFonts w:ascii="宋体" w:hAnsi="宋体" w:cs="宋体"/>
          <w:color w:val="auto"/>
          <w:szCs w:val="21"/>
          <w:highlight w:val="none"/>
        </w:rPr>
      </w:pPr>
    </w:p>
    <w:p w14:paraId="62E41CB7">
      <w:pPr>
        <w:tabs>
          <w:tab w:val="left" w:pos="4860"/>
        </w:tabs>
        <w:spacing w:line="360" w:lineRule="exact"/>
        <w:ind w:right="1560" w:firstLine="420" w:firstLineChars="200"/>
        <w:jc w:val="center"/>
        <w:rPr>
          <w:rFonts w:ascii="宋体" w:hAnsi="宋体" w:cs="宋体"/>
          <w:color w:val="auto"/>
          <w:szCs w:val="21"/>
          <w:highlight w:val="none"/>
        </w:rPr>
      </w:pPr>
    </w:p>
    <w:p w14:paraId="4F47DE4A">
      <w:pPr>
        <w:tabs>
          <w:tab w:val="left" w:pos="4860"/>
        </w:tabs>
        <w:spacing w:line="360" w:lineRule="exact"/>
        <w:ind w:right="1560" w:firstLine="420" w:firstLineChars="200"/>
        <w:jc w:val="center"/>
        <w:rPr>
          <w:rFonts w:ascii="宋体" w:hAnsi="宋体" w:cs="宋体"/>
          <w:color w:val="auto"/>
          <w:szCs w:val="21"/>
          <w:highlight w:val="none"/>
        </w:rPr>
      </w:pPr>
    </w:p>
    <w:p w14:paraId="230DC49B">
      <w:pPr>
        <w:spacing w:line="360" w:lineRule="exact"/>
        <w:rPr>
          <w:rFonts w:ascii="宋体" w:hAnsi="宋体" w:cs="宋体"/>
          <w:b/>
          <w:color w:val="auto"/>
          <w:sz w:val="24"/>
          <w:highlight w:val="none"/>
        </w:rPr>
      </w:pPr>
      <w:r>
        <w:rPr>
          <w:rFonts w:hint="eastAsia" w:ascii="宋体" w:hAnsi="宋体" w:cs="宋体"/>
          <w:b/>
          <w:bCs/>
          <w:color w:val="auto"/>
          <w:szCs w:val="21"/>
          <w:highlight w:val="none"/>
          <w:lang w:val="en-US" w:eastAsia="zh-CN"/>
        </w:rPr>
        <w:t>五</w:t>
      </w:r>
      <w:r>
        <w:rPr>
          <w:rFonts w:hint="eastAsia" w:ascii="宋体" w:hAnsi="宋体" w:cs="宋体"/>
          <w:b/>
          <w:bCs/>
          <w:color w:val="auto"/>
          <w:sz w:val="24"/>
          <w:highlight w:val="none"/>
        </w:rPr>
        <w:t>、</w:t>
      </w:r>
      <w:r>
        <w:rPr>
          <w:rFonts w:hint="eastAsia" w:ascii="宋体" w:hAnsi="宋体" w:cs="宋体"/>
          <w:b/>
          <w:color w:val="auto"/>
          <w:sz w:val="24"/>
          <w:highlight w:val="none"/>
        </w:rPr>
        <w:t>残疾人福利性单位声明函格式</w:t>
      </w:r>
    </w:p>
    <w:p w14:paraId="3AEF1914">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残疾人福利性单位声明函</w:t>
      </w:r>
    </w:p>
    <w:p w14:paraId="7A9A14E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C01C06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48681E99">
      <w:pPr>
        <w:spacing w:line="360" w:lineRule="exact"/>
        <w:ind w:firstLine="420" w:firstLineChars="200"/>
        <w:rPr>
          <w:rFonts w:ascii="宋体" w:hAnsi="宋体" w:cs="宋体"/>
          <w:color w:val="auto"/>
          <w:szCs w:val="21"/>
          <w:highlight w:val="none"/>
        </w:rPr>
      </w:pPr>
    </w:p>
    <w:p w14:paraId="31A92E11">
      <w:pPr>
        <w:spacing w:line="360" w:lineRule="exact"/>
        <w:ind w:firstLine="420" w:firstLineChars="200"/>
        <w:rPr>
          <w:rFonts w:ascii="宋体" w:hAnsi="宋体" w:cs="宋体"/>
          <w:color w:val="auto"/>
          <w:szCs w:val="21"/>
          <w:highlight w:val="none"/>
        </w:rPr>
      </w:pPr>
    </w:p>
    <w:p w14:paraId="25B6EB99">
      <w:pPr>
        <w:spacing w:line="36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1C53C259">
      <w:pPr>
        <w:spacing w:line="36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日期：年月日</w:t>
      </w:r>
    </w:p>
    <w:p w14:paraId="02163A09">
      <w:pPr>
        <w:spacing w:line="360" w:lineRule="exact"/>
        <w:ind w:firstLine="420" w:firstLineChars="200"/>
        <w:rPr>
          <w:rFonts w:ascii="宋体" w:hAnsi="宋体" w:cs="宋体"/>
          <w:color w:val="auto"/>
          <w:szCs w:val="21"/>
          <w:highlight w:val="none"/>
        </w:rPr>
      </w:pPr>
    </w:p>
    <w:p w14:paraId="5BD47AF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注：请根据自己的真实情况出具《残疾人福利性单位声明函》。依法享受中小企业优惠政策的，采购人或者采购代理机构在公告中标结果时，同时公告其《残疾人福利性单位声明函》，接受社会监督。 </w:t>
      </w:r>
    </w:p>
    <w:p w14:paraId="3E611AC6">
      <w:pPr>
        <w:spacing w:line="360" w:lineRule="exact"/>
        <w:jc w:val="center"/>
        <w:rPr>
          <w:rFonts w:ascii="宋体" w:hAnsi="宋体" w:cs="宋体"/>
          <w:color w:val="auto"/>
          <w:sz w:val="32"/>
          <w:szCs w:val="32"/>
          <w:highlight w:val="none"/>
        </w:rPr>
      </w:pPr>
    </w:p>
    <w:p w14:paraId="6E816A56">
      <w:pPr>
        <w:snapToGrid w:val="0"/>
        <w:spacing w:before="156" w:beforeLines="50" w:after="50"/>
        <w:rPr>
          <w:rFonts w:hint="eastAsia" w:ascii="宋体" w:hAnsi="宋体" w:cs="宋体"/>
          <w:b/>
          <w:bCs/>
          <w:color w:val="auto"/>
          <w:szCs w:val="21"/>
          <w:highlight w:val="none"/>
        </w:rPr>
      </w:pPr>
    </w:p>
    <w:p w14:paraId="5CD9672C">
      <w:pPr>
        <w:pStyle w:val="16"/>
        <w:rPr>
          <w:rFonts w:hint="eastAsia" w:ascii="宋体" w:hAnsi="宋体" w:cs="宋体"/>
          <w:b/>
          <w:bCs/>
          <w:color w:val="auto"/>
          <w:szCs w:val="21"/>
          <w:highlight w:val="none"/>
        </w:rPr>
      </w:pPr>
    </w:p>
    <w:p w14:paraId="7215C542">
      <w:pPr>
        <w:rPr>
          <w:rFonts w:hint="eastAsia" w:ascii="宋体" w:hAnsi="宋体" w:cs="宋体"/>
          <w:b/>
          <w:bCs/>
          <w:color w:val="auto"/>
          <w:szCs w:val="21"/>
          <w:highlight w:val="none"/>
        </w:rPr>
      </w:pPr>
    </w:p>
    <w:p w14:paraId="1ED2EAC0">
      <w:pPr>
        <w:pStyle w:val="16"/>
        <w:rPr>
          <w:rFonts w:hint="eastAsia" w:ascii="宋体" w:hAnsi="宋体" w:cs="宋体"/>
          <w:b/>
          <w:bCs/>
          <w:color w:val="auto"/>
          <w:szCs w:val="21"/>
          <w:highlight w:val="none"/>
        </w:rPr>
      </w:pPr>
    </w:p>
    <w:p w14:paraId="19372185">
      <w:pPr>
        <w:rPr>
          <w:rFonts w:hint="eastAsia" w:ascii="宋体" w:hAnsi="宋体" w:cs="宋体"/>
          <w:b/>
          <w:bCs/>
          <w:color w:val="auto"/>
          <w:szCs w:val="21"/>
          <w:highlight w:val="none"/>
        </w:rPr>
      </w:pPr>
    </w:p>
    <w:p w14:paraId="77A914AE">
      <w:pPr>
        <w:pStyle w:val="16"/>
        <w:rPr>
          <w:rFonts w:hint="eastAsia" w:ascii="宋体" w:hAnsi="宋体" w:cs="宋体"/>
          <w:b/>
          <w:bCs/>
          <w:color w:val="auto"/>
          <w:szCs w:val="21"/>
          <w:highlight w:val="none"/>
        </w:rPr>
      </w:pPr>
    </w:p>
    <w:p w14:paraId="05D5897C">
      <w:pPr>
        <w:rPr>
          <w:rFonts w:hint="eastAsia" w:ascii="宋体" w:hAnsi="宋体" w:cs="宋体"/>
          <w:b/>
          <w:bCs/>
          <w:color w:val="auto"/>
          <w:szCs w:val="21"/>
          <w:highlight w:val="none"/>
        </w:rPr>
      </w:pPr>
    </w:p>
    <w:p w14:paraId="342EA115">
      <w:pPr>
        <w:pStyle w:val="16"/>
        <w:rPr>
          <w:rFonts w:hint="eastAsia" w:ascii="宋体" w:hAnsi="宋体" w:cs="宋体"/>
          <w:b/>
          <w:bCs/>
          <w:color w:val="auto"/>
          <w:szCs w:val="21"/>
          <w:highlight w:val="none"/>
        </w:rPr>
      </w:pPr>
    </w:p>
    <w:p w14:paraId="50DB98A6">
      <w:pPr>
        <w:rPr>
          <w:rFonts w:hint="eastAsia" w:ascii="宋体" w:hAnsi="宋体" w:cs="宋体"/>
          <w:b/>
          <w:bCs/>
          <w:color w:val="auto"/>
          <w:szCs w:val="21"/>
          <w:highlight w:val="none"/>
        </w:rPr>
      </w:pPr>
    </w:p>
    <w:p w14:paraId="77D5CBE4">
      <w:pPr>
        <w:pStyle w:val="16"/>
        <w:rPr>
          <w:rFonts w:hint="eastAsia" w:ascii="宋体" w:hAnsi="宋体" w:cs="宋体"/>
          <w:b/>
          <w:bCs/>
          <w:color w:val="auto"/>
          <w:szCs w:val="21"/>
          <w:highlight w:val="none"/>
        </w:rPr>
      </w:pPr>
    </w:p>
    <w:p w14:paraId="2D0FE36C">
      <w:pPr>
        <w:rPr>
          <w:rFonts w:hint="eastAsia" w:ascii="宋体" w:hAnsi="宋体" w:cs="宋体"/>
          <w:b/>
          <w:bCs/>
          <w:color w:val="auto"/>
          <w:szCs w:val="21"/>
          <w:highlight w:val="none"/>
        </w:rPr>
      </w:pPr>
    </w:p>
    <w:p w14:paraId="5E07667B">
      <w:pPr>
        <w:pStyle w:val="16"/>
        <w:rPr>
          <w:rFonts w:hint="eastAsia" w:ascii="宋体" w:hAnsi="宋体" w:cs="宋体"/>
          <w:b/>
          <w:bCs/>
          <w:color w:val="auto"/>
          <w:szCs w:val="21"/>
          <w:highlight w:val="none"/>
        </w:rPr>
      </w:pPr>
    </w:p>
    <w:p w14:paraId="3130214C">
      <w:pPr>
        <w:rPr>
          <w:rFonts w:hint="eastAsia" w:ascii="宋体" w:hAnsi="宋体" w:cs="宋体"/>
          <w:b/>
          <w:bCs/>
          <w:color w:val="auto"/>
          <w:szCs w:val="21"/>
          <w:highlight w:val="none"/>
        </w:rPr>
      </w:pPr>
    </w:p>
    <w:p w14:paraId="460CC957">
      <w:pPr>
        <w:pStyle w:val="16"/>
        <w:rPr>
          <w:rFonts w:hint="eastAsia" w:ascii="宋体" w:hAnsi="宋体" w:cs="宋体"/>
          <w:b/>
          <w:bCs/>
          <w:color w:val="auto"/>
          <w:szCs w:val="21"/>
          <w:highlight w:val="none"/>
        </w:rPr>
      </w:pPr>
    </w:p>
    <w:p w14:paraId="2282FD54">
      <w:pPr>
        <w:rPr>
          <w:rFonts w:hint="eastAsia" w:ascii="宋体" w:hAnsi="宋体" w:cs="宋体"/>
          <w:b/>
          <w:bCs/>
          <w:color w:val="auto"/>
          <w:szCs w:val="21"/>
          <w:highlight w:val="none"/>
        </w:rPr>
      </w:pPr>
    </w:p>
    <w:p w14:paraId="21BCDEB7">
      <w:pPr>
        <w:pStyle w:val="16"/>
        <w:rPr>
          <w:rFonts w:hint="eastAsia"/>
          <w:color w:val="auto"/>
          <w:highlight w:val="none"/>
        </w:rPr>
      </w:pPr>
    </w:p>
    <w:p w14:paraId="5BD0BB2D">
      <w:pPr>
        <w:snapToGrid w:val="0"/>
        <w:spacing w:before="156" w:beforeLines="50" w:after="50"/>
        <w:rPr>
          <w:rFonts w:hint="eastAsia" w:ascii="宋体" w:hAnsi="宋体" w:cs="宋体"/>
          <w:b/>
          <w:bCs/>
          <w:color w:val="auto"/>
          <w:szCs w:val="21"/>
          <w:highlight w:val="none"/>
        </w:rPr>
      </w:pPr>
    </w:p>
    <w:p w14:paraId="61D1DAD6">
      <w:pPr>
        <w:snapToGrid w:val="0"/>
        <w:spacing w:before="156" w:beforeLines="50" w:after="50"/>
        <w:rPr>
          <w:rFonts w:ascii="宋体" w:hAnsi="宋体" w:cs="宋体"/>
          <w:b/>
          <w:bCs/>
          <w:color w:val="auto"/>
          <w:szCs w:val="21"/>
          <w:highlight w:val="none"/>
        </w:rPr>
      </w:pPr>
      <w:r>
        <w:rPr>
          <w:rFonts w:hint="eastAsia" w:ascii="宋体" w:hAnsi="宋体" w:cs="宋体"/>
          <w:b/>
          <w:bCs/>
          <w:color w:val="auto"/>
          <w:szCs w:val="21"/>
          <w:highlight w:val="none"/>
        </w:rPr>
        <w:t>2、商务和技术文件格式：</w:t>
      </w:r>
    </w:p>
    <w:p w14:paraId="0528CE96">
      <w:pPr>
        <w:snapToGrid w:val="0"/>
        <w:spacing w:before="156" w:beforeLines="50" w:after="50" w:line="28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14:paraId="75EC8BD2">
      <w:pPr>
        <w:snapToGrid w:val="0"/>
        <w:spacing w:before="156" w:beforeLines="50" w:after="50" w:line="280" w:lineRule="exact"/>
        <w:ind w:firstLine="9" w:firstLineChars="3"/>
        <w:jc w:val="center"/>
        <w:rPr>
          <w:rFonts w:ascii="宋体" w:hAnsi="宋体" w:cs="宋体"/>
          <w:bCs/>
          <w:color w:val="auto"/>
          <w:sz w:val="32"/>
          <w:szCs w:val="32"/>
          <w:highlight w:val="none"/>
        </w:rPr>
      </w:pPr>
    </w:p>
    <w:p w14:paraId="6927D361">
      <w:pPr>
        <w:snapToGrid w:val="0"/>
        <w:spacing w:before="156" w:beforeLines="50" w:after="50" w:line="280" w:lineRule="exact"/>
        <w:ind w:firstLine="9" w:firstLineChars="3"/>
        <w:jc w:val="center"/>
        <w:rPr>
          <w:rFonts w:ascii="宋体" w:hAnsi="宋体" w:cs="宋体"/>
          <w:bCs/>
          <w:color w:val="auto"/>
          <w:sz w:val="32"/>
          <w:szCs w:val="32"/>
          <w:highlight w:val="none"/>
        </w:rPr>
      </w:pPr>
    </w:p>
    <w:p w14:paraId="6FF933C9">
      <w:pPr>
        <w:snapToGrid w:val="0"/>
        <w:spacing w:before="156" w:beforeLines="50" w:after="50"/>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14:paraId="74E7F24C">
      <w:pPr>
        <w:snapToGrid w:val="0"/>
        <w:spacing w:before="156" w:beforeLines="50" w:after="50"/>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（商务和技术文件）</w:t>
      </w:r>
    </w:p>
    <w:p w14:paraId="3AAA88D8">
      <w:pPr>
        <w:snapToGrid w:val="0"/>
        <w:spacing w:before="156" w:beforeLines="50" w:after="50"/>
        <w:rPr>
          <w:rFonts w:ascii="宋体" w:hAnsi="宋体" w:cs="宋体"/>
          <w:bCs/>
          <w:color w:val="auto"/>
          <w:szCs w:val="21"/>
          <w:highlight w:val="none"/>
        </w:rPr>
      </w:pPr>
    </w:p>
    <w:p w14:paraId="59DFDB55">
      <w:pPr>
        <w:snapToGrid w:val="0"/>
        <w:spacing w:before="156"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14:paraId="278DA4E6">
      <w:pPr>
        <w:snapToGrid w:val="0"/>
        <w:spacing w:before="156" w:beforeLines="50" w:after="50" w:line="280" w:lineRule="exact"/>
        <w:ind w:firstLine="675" w:firstLineChars="225"/>
        <w:rPr>
          <w:rFonts w:ascii="宋体" w:hAnsi="宋体" w:cs="宋体"/>
          <w:bCs/>
          <w:color w:val="auto"/>
          <w:sz w:val="30"/>
          <w:szCs w:val="30"/>
          <w:highlight w:val="none"/>
        </w:rPr>
      </w:pPr>
    </w:p>
    <w:p w14:paraId="10281AFD">
      <w:pPr>
        <w:snapToGrid w:val="0"/>
        <w:spacing w:before="156"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14:paraId="26A8564E">
      <w:pPr>
        <w:snapToGrid w:val="0"/>
        <w:spacing w:before="156"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 xml:space="preserve"> </w:t>
      </w:r>
    </w:p>
    <w:p w14:paraId="194E0405">
      <w:pPr>
        <w:snapToGrid w:val="0"/>
        <w:spacing w:before="156"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14:paraId="49B9735D">
      <w:pPr>
        <w:snapToGrid w:val="0"/>
        <w:spacing w:before="156" w:beforeLines="50" w:after="50" w:line="280" w:lineRule="exact"/>
        <w:ind w:firstLine="675" w:firstLineChars="225"/>
        <w:rPr>
          <w:rFonts w:ascii="宋体" w:hAnsi="宋体" w:cs="宋体"/>
          <w:bCs/>
          <w:color w:val="auto"/>
          <w:sz w:val="30"/>
          <w:szCs w:val="30"/>
          <w:highlight w:val="none"/>
        </w:rPr>
      </w:pPr>
    </w:p>
    <w:p w14:paraId="460C1DD3">
      <w:pPr>
        <w:pStyle w:val="2"/>
        <w:snapToGrid w:val="0"/>
        <w:spacing w:before="100" w:beforeAutospacing="1" w:after="100" w:afterAutospacing="1"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w:t>
      </w:r>
      <w:r>
        <w:rPr>
          <w:rFonts w:hint="eastAsia" w:ascii="宋体" w:hAnsi="宋体" w:cs="宋体"/>
          <w:bCs/>
          <w:color w:val="auto"/>
          <w:sz w:val="24"/>
          <w:highlight w:val="none"/>
          <w:u w:val="single"/>
        </w:rPr>
        <w:t xml:space="preserve">                       </w:t>
      </w:r>
      <w:r>
        <w:rPr>
          <w:rFonts w:hint="eastAsia" w:ascii="宋体" w:hAnsi="宋体" w:cs="宋体"/>
          <w:bCs/>
          <w:color w:val="auto"/>
          <w:sz w:val="30"/>
          <w:szCs w:val="30"/>
          <w:highlight w:val="none"/>
        </w:rPr>
        <w:t>（加盖单位电子公章）</w:t>
      </w:r>
    </w:p>
    <w:p w14:paraId="107BFBDC">
      <w:pPr>
        <w:pStyle w:val="2"/>
        <w:snapToGrid w:val="0"/>
        <w:spacing w:before="100" w:beforeAutospacing="1" w:after="100" w:afterAutospacing="1" w:line="280" w:lineRule="exact"/>
        <w:ind w:firstLine="675" w:firstLineChars="225"/>
        <w:rPr>
          <w:rFonts w:ascii="宋体" w:hAnsi="宋体" w:cs="宋体"/>
          <w:bCs/>
          <w:color w:val="auto"/>
          <w:sz w:val="30"/>
          <w:szCs w:val="30"/>
          <w:highlight w:val="none"/>
        </w:rPr>
      </w:pPr>
    </w:p>
    <w:p w14:paraId="4FE46642">
      <w:pPr>
        <w:pStyle w:val="2"/>
        <w:snapToGrid w:val="0"/>
        <w:spacing w:before="100" w:beforeAutospacing="1" w:after="100" w:afterAutospacing="1"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14:paraId="7C136F7D">
      <w:pPr>
        <w:pStyle w:val="2"/>
        <w:snapToGrid w:val="0"/>
        <w:spacing w:before="50" w:after="50" w:line="280" w:lineRule="exact"/>
        <w:ind w:firstLine="675" w:firstLineChars="225"/>
        <w:rPr>
          <w:rFonts w:ascii="宋体" w:hAnsi="宋体" w:cs="宋体"/>
          <w:bCs/>
          <w:color w:val="auto"/>
          <w:sz w:val="30"/>
          <w:szCs w:val="30"/>
          <w:highlight w:val="none"/>
        </w:rPr>
      </w:pPr>
    </w:p>
    <w:p w14:paraId="328EE5D6">
      <w:pPr>
        <w:snapToGrid w:val="0"/>
        <w:spacing w:before="156" w:beforeLines="50" w:after="50"/>
        <w:ind w:firstLine="10"/>
        <w:jc w:val="center"/>
        <w:rPr>
          <w:rFonts w:ascii="宋体" w:hAnsi="宋体" w:cs="宋体"/>
          <w:color w:val="auto"/>
          <w:sz w:val="30"/>
          <w:szCs w:val="30"/>
          <w:highlight w:val="none"/>
        </w:rPr>
      </w:pPr>
    </w:p>
    <w:p w14:paraId="2F31C685">
      <w:pPr>
        <w:snapToGrid w:val="0"/>
        <w:spacing w:before="156" w:beforeLines="50" w:after="50"/>
        <w:ind w:firstLine="10"/>
        <w:jc w:val="center"/>
        <w:rPr>
          <w:rFonts w:ascii="宋体" w:hAnsi="宋体" w:cs="宋体"/>
          <w:color w:val="auto"/>
          <w:sz w:val="30"/>
          <w:szCs w:val="30"/>
          <w:highlight w:val="none"/>
        </w:rPr>
      </w:pPr>
    </w:p>
    <w:p w14:paraId="42685A1F">
      <w:pPr>
        <w:snapToGrid w:val="0"/>
        <w:spacing w:before="156" w:beforeLines="50" w:after="50"/>
        <w:ind w:firstLine="10"/>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14:paraId="16E0D6A3">
      <w:pPr>
        <w:snapToGrid w:val="0"/>
        <w:spacing w:before="50" w:after="50"/>
        <w:rPr>
          <w:rFonts w:ascii="宋体" w:hAnsi="宋体" w:cs="宋体"/>
          <w:b/>
          <w:color w:val="auto"/>
          <w:szCs w:val="21"/>
          <w:highlight w:val="none"/>
        </w:rPr>
      </w:pPr>
    </w:p>
    <w:p w14:paraId="4D687101">
      <w:pPr>
        <w:snapToGrid w:val="0"/>
        <w:spacing w:before="156" w:beforeLines="50" w:after="50" w:line="330" w:lineRule="exact"/>
        <w:jc w:val="center"/>
        <w:rPr>
          <w:rFonts w:ascii="宋体" w:hAnsi="宋体" w:cs="宋体"/>
          <w:b/>
          <w:color w:val="auto"/>
          <w:szCs w:val="21"/>
          <w:highlight w:val="none"/>
        </w:rPr>
      </w:pPr>
      <w:r>
        <w:rPr>
          <w:rFonts w:hint="eastAsia" w:ascii="宋体" w:hAnsi="宋体" w:cs="宋体"/>
          <w:b/>
          <w:color w:val="auto"/>
          <w:szCs w:val="21"/>
          <w:highlight w:val="none"/>
        </w:rPr>
        <w:br w:type="page"/>
      </w:r>
    </w:p>
    <w:p w14:paraId="4D95C744">
      <w:pPr>
        <w:snapToGrid w:val="0"/>
        <w:spacing w:before="156" w:beforeLines="50" w:after="50" w:line="330" w:lineRule="exact"/>
        <w:jc w:val="center"/>
        <w:rPr>
          <w:rFonts w:ascii="宋体" w:hAnsi="宋体" w:cs="宋体"/>
          <w:b/>
          <w:color w:val="auto"/>
          <w:szCs w:val="21"/>
          <w:highlight w:val="none"/>
        </w:rPr>
      </w:pPr>
    </w:p>
    <w:p w14:paraId="5356BD1E">
      <w:pPr>
        <w:snapToGrid w:val="0"/>
        <w:spacing w:before="156" w:beforeLines="50" w:after="50" w:line="33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目录</w:t>
      </w:r>
    </w:p>
    <w:p w14:paraId="293B2540">
      <w:pPr>
        <w:snapToGrid w:val="0"/>
        <w:spacing w:before="156" w:beforeLines="50" w:after="50" w:line="330" w:lineRule="exact"/>
        <w:jc w:val="center"/>
        <w:rPr>
          <w:rFonts w:ascii="宋体" w:hAnsi="宋体" w:cs="宋体"/>
          <w:color w:val="auto"/>
          <w:sz w:val="28"/>
          <w:szCs w:val="28"/>
          <w:highlight w:val="none"/>
        </w:rPr>
      </w:pPr>
    </w:p>
    <w:p w14:paraId="33007213">
      <w:pPr>
        <w:tabs>
          <w:tab w:val="left" w:pos="2625"/>
        </w:tabs>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(供应商需根据响应文件自行编制目录及页码)</w:t>
      </w:r>
    </w:p>
    <w:p w14:paraId="57CBD272">
      <w:pPr>
        <w:spacing w:line="320" w:lineRule="exact"/>
        <w:rPr>
          <w:rFonts w:ascii="宋体" w:hAnsi="宋体" w:cs="宋体"/>
          <w:color w:val="auto"/>
          <w:szCs w:val="21"/>
          <w:highlight w:val="none"/>
        </w:rPr>
      </w:pPr>
    </w:p>
    <w:p w14:paraId="6D5EE871">
      <w:pPr>
        <w:spacing w:line="320" w:lineRule="exact"/>
        <w:rPr>
          <w:rFonts w:ascii="宋体" w:hAnsi="宋体" w:cs="宋体"/>
          <w:color w:val="auto"/>
          <w:szCs w:val="21"/>
          <w:highlight w:val="none"/>
        </w:rPr>
      </w:pPr>
    </w:p>
    <w:p w14:paraId="0ADF83B6">
      <w:pPr>
        <w:spacing w:line="320" w:lineRule="exact"/>
        <w:rPr>
          <w:rFonts w:ascii="宋体" w:hAnsi="宋体" w:cs="宋体"/>
          <w:color w:val="auto"/>
          <w:szCs w:val="21"/>
          <w:highlight w:val="none"/>
        </w:rPr>
      </w:pPr>
    </w:p>
    <w:p w14:paraId="401D77D5">
      <w:pPr>
        <w:spacing w:line="320" w:lineRule="exact"/>
        <w:rPr>
          <w:rFonts w:ascii="宋体" w:hAnsi="宋体" w:cs="宋体"/>
          <w:color w:val="auto"/>
          <w:szCs w:val="21"/>
          <w:highlight w:val="none"/>
        </w:rPr>
      </w:pPr>
    </w:p>
    <w:p w14:paraId="7493B4AC">
      <w:pPr>
        <w:spacing w:line="320" w:lineRule="exact"/>
        <w:rPr>
          <w:rFonts w:ascii="宋体" w:hAnsi="宋体" w:cs="宋体"/>
          <w:color w:val="auto"/>
          <w:szCs w:val="21"/>
          <w:highlight w:val="none"/>
        </w:rPr>
      </w:pPr>
    </w:p>
    <w:p w14:paraId="67F23A00">
      <w:pPr>
        <w:spacing w:line="320" w:lineRule="exact"/>
        <w:rPr>
          <w:rFonts w:ascii="宋体" w:hAnsi="宋体" w:cs="宋体"/>
          <w:color w:val="auto"/>
          <w:szCs w:val="21"/>
          <w:highlight w:val="none"/>
        </w:rPr>
      </w:pPr>
    </w:p>
    <w:p w14:paraId="19B6AF29">
      <w:pPr>
        <w:spacing w:line="320" w:lineRule="exact"/>
        <w:rPr>
          <w:rFonts w:ascii="宋体" w:hAnsi="宋体" w:cs="宋体"/>
          <w:color w:val="auto"/>
          <w:szCs w:val="21"/>
          <w:highlight w:val="none"/>
        </w:rPr>
      </w:pPr>
    </w:p>
    <w:p w14:paraId="56FFC572">
      <w:pPr>
        <w:spacing w:line="320" w:lineRule="exact"/>
        <w:rPr>
          <w:rFonts w:ascii="宋体" w:hAnsi="宋体" w:cs="宋体"/>
          <w:color w:val="auto"/>
          <w:szCs w:val="21"/>
          <w:highlight w:val="none"/>
        </w:rPr>
      </w:pPr>
    </w:p>
    <w:p w14:paraId="426F8AB3">
      <w:pPr>
        <w:spacing w:line="320" w:lineRule="exact"/>
        <w:rPr>
          <w:rFonts w:ascii="宋体" w:hAnsi="宋体" w:cs="宋体"/>
          <w:color w:val="auto"/>
          <w:szCs w:val="21"/>
          <w:highlight w:val="none"/>
        </w:rPr>
      </w:pPr>
    </w:p>
    <w:p w14:paraId="08F9F5FE">
      <w:pPr>
        <w:spacing w:line="320" w:lineRule="exact"/>
        <w:rPr>
          <w:rFonts w:ascii="宋体" w:hAnsi="宋体" w:cs="宋体"/>
          <w:color w:val="auto"/>
          <w:szCs w:val="21"/>
          <w:highlight w:val="none"/>
        </w:rPr>
      </w:pPr>
    </w:p>
    <w:p w14:paraId="1F7F44E8">
      <w:pPr>
        <w:spacing w:line="320" w:lineRule="exact"/>
        <w:rPr>
          <w:rFonts w:ascii="宋体" w:hAnsi="宋体" w:cs="宋体"/>
          <w:color w:val="auto"/>
          <w:szCs w:val="21"/>
          <w:highlight w:val="none"/>
        </w:rPr>
      </w:pPr>
    </w:p>
    <w:p w14:paraId="63AAD8C2">
      <w:pPr>
        <w:spacing w:line="320" w:lineRule="exact"/>
        <w:rPr>
          <w:rFonts w:ascii="宋体" w:hAnsi="宋体" w:cs="宋体"/>
          <w:color w:val="auto"/>
          <w:szCs w:val="21"/>
          <w:highlight w:val="none"/>
        </w:rPr>
      </w:pPr>
    </w:p>
    <w:p w14:paraId="18BF7A16">
      <w:pPr>
        <w:spacing w:line="320" w:lineRule="exact"/>
        <w:rPr>
          <w:rFonts w:ascii="宋体" w:hAnsi="宋体" w:cs="宋体"/>
          <w:color w:val="auto"/>
          <w:szCs w:val="21"/>
          <w:highlight w:val="none"/>
        </w:rPr>
      </w:pPr>
    </w:p>
    <w:p w14:paraId="6EA3B3FA">
      <w:pPr>
        <w:spacing w:line="320" w:lineRule="exact"/>
        <w:rPr>
          <w:rFonts w:ascii="宋体" w:hAnsi="宋体" w:cs="宋体"/>
          <w:color w:val="auto"/>
          <w:szCs w:val="21"/>
          <w:highlight w:val="none"/>
        </w:rPr>
      </w:pPr>
    </w:p>
    <w:p w14:paraId="052D8457">
      <w:pPr>
        <w:spacing w:line="320" w:lineRule="exact"/>
        <w:rPr>
          <w:rFonts w:ascii="宋体" w:hAnsi="宋体" w:cs="宋体"/>
          <w:color w:val="auto"/>
          <w:szCs w:val="21"/>
          <w:highlight w:val="none"/>
        </w:rPr>
      </w:pPr>
    </w:p>
    <w:p w14:paraId="04D3F729">
      <w:pPr>
        <w:spacing w:line="320" w:lineRule="exact"/>
        <w:rPr>
          <w:rFonts w:ascii="宋体" w:hAnsi="宋体" w:cs="宋体"/>
          <w:color w:val="auto"/>
          <w:szCs w:val="21"/>
          <w:highlight w:val="none"/>
        </w:rPr>
      </w:pPr>
    </w:p>
    <w:p w14:paraId="7254C1B6">
      <w:pPr>
        <w:spacing w:line="320" w:lineRule="exact"/>
        <w:rPr>
          <w:rFonts w:ascii="宋体" w:hAnsi="宋体" w:cs="宋体"/>
          <w:color w:val="auto"/>
          <w:szCs w:val="21"/>
          <w:highlight w:val="none"/>
        </w:rPr>
      </w:pPr>
    </w:p>
    <w:p w14:paraId="28E72CD0">
      <w:pPr>
        <w:spacing w:line="320" w:lineRule="exact"/>
        <w:rPr>
          <w:rFonts w:ascii="宋体" w:hAnsi="宋体" w:cs="宋体"/>
          <w:color w:val="auto"/>
          <w:szCs w:val="21"/>
          <w:highlight w:val="none"/>
        </w:rPr>
      </w:pPr>
    </w:p>
    <w:p w14:paraId="3D8E75A6">
      <w:pPr>
        <w:spacing w:line="320" w:lineRule="exact"/>
        <w:rPr>
          <w:rFonts w:ascii="宋体" w:hAnsi="宋体" w:cs="宋体"/>
          <w:color w:val="auto"/>
          <w:szCs w:val="21"/>
          <w:highlight w:val="none"/>
        </w:rPr>
      </w:pPr>
    </w:p>
    <w:p w14:paraId="4DE373A8">
      <w:pPr>
        <w:spacing w:line="320" w:lineRule="exact"/>
        <w:rPr>
          <w:rFonts w:ascii="宋体" w:hAnsi="宋体" w:cs="宋体"/>
          <w:color w:val="auto"/>
          <w:szCs w:val="21"/>
          <w:highlight w:val="none"/>
        </w:rPr>
      </w:pPr>
    </w:p>
    <w:p w14:paraId="65E4263B">
      <w:pPr>
        <w:spacing w:line="320" w:lineRule="exact"/>
        <w:rPr>
          <w:rFonts w:ascii="宋体" w:hAnsi="宋体" w:cs="宋体"/>
          <w:color w:val="auto"/>
          <w:szCs w:val="21"/>
          <w:highlight w:val="none"/>
        </w:rPr>
      </w:pPr>
    </w:p>
    <w:p w14:paraId="4EA6D196">
      <w:pPr>
        <w:spacing w:line="320" w:lineRule="exact"/>
        <w:rPr>
          <w:rFonts w:ascii="宋体" w:hAnsi="宋体" w:cs="宋体"/>
          <w:color w:val="auto"/>
          <w:szCs w:val="21"/>
          <w:highlight w:val="none"/>
        </w:rPr>
      </w:pPr>
    </w:p>
    <w:p w14:paraId="70D65900">
      <w:pPr>
        <w:pStyle w:val="34"/>
        <w:rPr>
          <w:rFonts w:ascii="宋体" w:hAnsi="宋体" w:cs="宋体"/>
          <w:color w:val="auto"/>
          <w:szCs w:val="21"/>
          <w:highlight w:val="none"/>
        </w:rPr>
      </w:pPr>
    </w:p>
    <w:p w14:paraId="043D5F74">
      <w:pPr>
        <w:pStyle w:val="34"/>
        <w:rPr>
          <w:rFonts w:ascii="宋体" w:hAnsi="宋体" w:cs="宋体"/>
          <w:color w:val="auto"/>
          <w:szCs w:val="21"/>
          <w:highlight w:val="none"/>
        </w:rPr>
      </w:pPr>
    </w:p>
    <w:p w14:paraId="64FC6C8B">
      <w:pPr>
        <w:pStyle w:val="34"/>
        <w:rPr>
          <w:rFonts w:ascii="宋体" w:hAnsi="宋体" w:cs="宋体"/>
          <w:color w:val="auto"/>
          <w:szCs w:val="21"/>
          <w:highlight w:val="none"/>
        </w:rPr>
      </w:pPr>
    </w:p>
    <w:p w14:paraId="05F32232">
      <w:pPr>
        <w:pStyle w:val="34"/>
        <w:rPr>
          <w:rFonts w:ascii="宋体" w:hAnsi="宋体" w:cs="宋体"/>
          <w:color w:val="auto"/>
          <w:szCs w:val="21"/>
          <w:highlight w:val="none"/>
        </w:rPr>
      </w:pPr>
    </w:p>
    <w:p w14:paraId="179A99E5">
      <w:pPr>
        <w:pStyle w:val="34"/>
        <w:rPr>
          <w:rFonts w:ascii="宋体" w:hAnsi="宋体" w:cs="宋体"/>
          <w:color w:val="auto"/>
          <w:szCs w:val="21"/>
          <w:highlight w:val="none"/>
        </w:rPr>
      </w:pPr>
    </w:p>
    <w:p w14:paraId="6834DE98">
      <w:pPr>
        <w:pStyle w:val="34"/>
        <w:rPr>
          <w:rFonts w:ascii="宋体" w:hAnsi="宋体" w:cs="宋体"/>
          <w:color w:val="auto"/>
          <w:szCs w:val="21"/>
          <w:highlight w:val="none"/>
        </w:rPr>
      </w:pPr>
    </w:p>
    <w:p w14:paraId="3FD23DD3">
      <w:pPr>
        <w:pStyle w:val="34"/>
        <w:rPr>
          <w:rFonts w:ascii="宋体" w:hAnsi="宋体" w:cs="宋体"/>
          <w:color w:val="auto"/>
          <w:szCs w:val="21"/>
          <w:highlight w:val="none"/>
        </w:rPr>
      </w:pPr>
    </w:p>
    <w:p w14:paraId="6D564D4F">
      <w:pPr>
        <w:pStyle w:val="34"/>
        <w:rPr>
          <w:rFonts w:ascii="宋体" w:hAnsi="宋体" w:cs="宋体"/>
          <w:color w:val="auto"/>
          <w:szCs w:val="21"/>
          <w:highlight w:val="none"/>
        </w:rPr>
      </w:pPr>
    </w:p>
    <w:p w14:paraId="4C4FF870">
      <w:pPr>
        <w:pStyle w:val="34"/>
        <w:rPr>
          <w:rFonts w:ascii="宋体" w:hAnsi="宋体" w:cs="宋体"/>
          <w:color w:val="auto"/>
          <w:szCs w:val="21"/>
          <w:highlight w:val="none"/>
        </w:rPr>
      </w:pPr>
    </w:p>
    <w:p w14:paraId="4C862BB8">
      <w:pPr>
        <w:pStyle w:val="34"/>
        <w:rPr>
          <w:rFonts w:ascii="宋体" w:hAnsi="宋体" w:cs="宋体"/>
          <w:color w:val="auto"/>
          <w:szCs w:val="21"/>
          <w:highlight w:val="none"/>
        </w:rPr>
      </w:pPr>
    </w:p>
    <w:p w14:paraId="676E1E89">
      <w:pPr>
        <w:spacing w:line="320" w:lineRule="exact"/>
        <w:rPr>
          <w:rFonts w:ascii="宋体" w:hAnsi="宋体" w:cs="宋体"/>
          <w:color w:val="auto"/>
          <w:szCs w:val="21"/>
          <w:highlight w:val="none"/>
        </w:rPr>
      </w:pPr>
    </w:p>
    <w:p w14:paraId="15F72003">
      <w:pPr>
        <w:spacing w:line="320" w:lineRule="exact"/>
        <w:rPr>
          <w:rFonts w:ascii="宋体" w:hAnsi="宋体" w:cs="宋体"/>
          <w:color w:val="auto"/>
          <w:szCs w:val="21"/>
          <w:highlight w:val="none"/>
        </w:rPr>
      </w:pPr>
    </w:p>
    <w:p w14:paraId="527DFE16">
      <w:pPr>
        <w:spacing w:line="320" w:lineRule="exact"/>
        <w:rPr>
          <w:rFonts w:ascii="宋体" w:hAnsi="宋体" w:cs="宋体"/>
          <w:color w:val="auto"/>
          <w:szCs w:val="21"/>
          <w:highlight w:val="none"/>
        </w:rPr>
      </w:pPr>
    </w:p>
    <w:p w14:paraId="3FB62A87">
      <w:pPr>
        <w:spacing w:line="320" w:lineRule="exact"/>
        <w:rPr>
          <w:rFonts w:ascii="宋体" w:hAnsi="宋体" w:cs="宋体"/>
          <w:color w:val="auto"/>
          <w:szCs w:val="21"/>
          <w:highlight w:val="none"/>
        </w:rPr>
      </w:pPr>
    </w:p>
    <w:p w14:paraId="47EFDF24">
      <w:pPr>
        <w:spacing w:line="320" w:lineRule="exact"/>
        <w:rPr>
          <w:rFonts w:ascii="宋体" w:hAnsi="宋体" w:cs="宋体"/>
          <w:color w:val="auto"/>
          <w:szCs w:val="21"/>
          <w:highlight w:val="none"/>
        </w:rPr>
      </w:pPr>
    </w:p>
    <w:p w14:paraId="28196575">
      <w:pPr>
        <w:rPr>
          <w:rFonts w:ascii="宋体" w:hAnsi="宋体" w:cs="宋体"/>
          <w:b/>
          <w:color w:val="auto"/>
          <w:szCs w:val="21"/>
          <w:highlight w:val="none"/>
        </w:rPr>
      </w:pPr>
      <w:r>
        <w:rPr>
          <w:rFonts w:hint="eastAsia" w:ascii="宋体" w:hAnsi="宋体" w:cs="宋体"/>
          <w:b/>
          <w:color w:val="auto"/>
          <w:szCs w:val="21"/>
          <w:highlight w:val="none"/>
        </w:rPr>
        <w:t>一、法定代表人身份证明书格式</w:t>
      </w:r>
    </w:p>
    <w:p w14:paraId="6BBC907A">
      <w:pPr>
        <w:pStyle w:val="19"/>
        <w:ind w:left="-10" w:firstLine="10" w:firstLineChars="3"/>
        <w:jc w:val="center"/>
        <w:rPr>
          <w:rFonts w:hAnsi="宋体" w:cs="宋体"/>
          <w:b/>
          <w:color w:val="auto"/>
          <w:sz w:val="32"/>
          <w:highlight w:val="none"/>
        </w:rPr>
      </w:pPr>
      <w:r>
        <w:rPr>
          <w:rFonts w:hint="eastAsia" w:hAnsi="宋体" w:cs="宋体"/>
          <w:b/>
          <w:color w:val="auto"/>
          <w:sz w:val="32"/>
          <w:highlight w:val="none"/>
        </w:rPr>
        <w:t>法定代表人身份证明书</w:t>
      </w:r>
    </w:p>
    <w:p w14:paraId="7150FDA9">
      <w:pPr>
        <w:pStyle w:val="19"/>
        <w:ind w:left="-10" w:firstLine="13" w:firstLineChars="3"/>
        <w:jc w:val="center"/>
        <w:rPr>
          <w:rFonts w:hAnsi="宋体" w:cs="宋体"/>
          <w:b/>
          <w:color w:val="auto"/>
          <w:sz w:val="44"/>
          <w:highlight w:val="none"/>
        </w:rPr>
      </w:pPr>
    </w:p>
    <w:p w14:paraId="71FDF9B7">
      <w:pPr>
        <w:pStyle w:val="19"/>
        <w:ind w:firstLine="277"/>
        <w:rPr>
          <w:rFonts w:hAnsi="宋体" w:cs="宋体"/>
          <w:color w:val="auto"/>
          <w:sz w:val="21"/>
          <w:highlight w:val="none"/>
          <w:u w:val="single"/>
        </w:rPr>
      </w:pPr>
      <w:r>
        <w:rPr>
          <w:rFonts w:hint="eastAsia" w:hAnsi="宋体" w:cs="宋体"/>
          <w:color w:val="auto"/>
          <w:sz w:val="21"/>
          <w:highlight w:val="none"/>
        </w:rPr>
        <w:t>单位名称：</w:t>
      </w:r>
      <w:r>
        <w:rPr>
          <w:rFonts w:hint="eastAsia" w:hAnsi="宋体" w:cs="宋体"/>
          <w:color w:val="auto"/>
          <w:sz w:val="21"/>
          <w:highlight w:val="none"/>
          <w:u w:val="single"/>
        </w:rPr>
        <w:t xml:space="preserve">                         </w:t>
      </w:r>
    </w:p>
    <w:p w14:paraId="6ACF9EC8">
      <w:pPr>
        <w:pStyle w:val="19"/>
        <w:ind w:firstLine="277"/>
        <w:rPr>
          <w:rFonts w:hAnsi="宋体" w:cs="宋体"/>
          <w:color w:val="auto"/>
          <w:sz w:val="21"/>
          <w:highlight w:val="none"/>
        </w:rPr>
      </w:pPr>
      <w:r>
        <w:rPr>
          <w:rFonts w:hint="eastAsia" w:hAnsi="宋体" w:cs="宋体"/>
          <w:color w:val="auto"/>
          <w:sz w:val="21"/>
          <w:highlight w:val="none"/>
        </w:rPr>
        <w:t>单位性质：</w:t>
      </w:r>
      <w:r>
        <w:rPr>
          <w:rFonts w:hint="eastAsia" w:hAnsi="宋体" w:cs="宋体"/>
          <w:color w:val="auto"/>
          <w:sz w:val="21"/>
          <w:highlight w:val="none"/>
          <w:u w:val="single"/>
        </w:rPr>
        <w:t xml:space="preserve">                         </w:t>
      </w:r>
    </w:p>
    <w:p w14:paraId="23FFC377">
      <w:pPr>
        <w:pStyle w:val="19"/>
        <w:ind w:firstLine="277"/>
        <w:rPr>
          <w:rFonts w:hAnsi="宋体" w:cs="宋体"/>
          <w:color w:val="auto"/>
          <w:sz w:val="21"/>
          <w:highlight w:val="none"/>
        </w:rPr>
      </w:pPr>
      <w:r>
        <w:rPr>
          <w:rFonts w:hint="eastAsia" w:hAnsi="宋体" w:cs="宋体"/>
          <w:color w:val="auto"/>
          <w:sz w:val="21"/>
          <w:highlight w:val="none"/>
        </w:rPr>
        <w:t>地    址：</w:t>
      </w:r>
      <w:r>
        <w:rPr>
          <w:rFonts w:hint="eastAsia" w:hAnsi="宋体" w:cs="宋体"/>
          <w:color w:val="auto"/>
          <w:sz w:val="21"/>
          <w:highlight w:val="none"/>
          <w:u w:val="single"/>
        </w:rPr>
        <w:t xml:space="preserve">                         </w:t>
      </w:r>
    </w:p>
    <w:p w14:paraId="1A8577E0">
      <w:pPr>
        <w:pStyle w:val="19"/>
        <w:ind w:firstLine="277"/>
        <w:rPr>
          <w:rFonts w:hAnsi="宋体" w:cs="宋体"/>
          <w:color w:val="auto"/>
          <w:sz w:val="21"/>
          <w:highlight w:val="none"/>
        </w:rPr>
      </w:pPr>
      <w:r>
        <w:rPr>
          <w:rFonts w:hint="eastAsia" w:hAnsi="宋体" w:cs="宋体"/>
          <w:color w:val="auto"/>
          <w:sz w:val="21"/>
          <w:highlight w:val="none"/>
        </w:rPr>
        <w:t>成立时间：</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w:t>
      </w:r>
    </w:p>
    <w:p w14:paraId="43C72827">
      <w:pPr>
        <w:pStyle w:val="19"/>
        <w:ind w:firstLine="277"/>
        <w:rPr>
          <w:rFonts w:hAnsi="宋体" w:cs="宋体"/>
          <w:color w:val="auto"/>
          <w:sz w:val="21"/>
          <w:highlight w:val="none"/>
          <w:u w:val="single"/>
        </w:rPr>
      </w:pPr>
      <w:r>
        <w:rPr>
          <w:rFonts w:hint="eastAsia" w:hAnsi="宋体" w:cs="宋体"/>
          <w:color w:val="auto"/>
          <w:sz w:val="21"/>
          <w:highlight w:val="none"/>
        </w:rPr>
        <w:t>经营期限：</w:t>
      </w:r>
      <w:r>
        <w:rPr>
          <w:rFonts w:hint="eastAsia" w:hAnsi="宋体" w:cs="宋体"/>
          <w:color w:val="auto"/>
          <w:sz w:val="21"/>
          <w:highlight w:val="none"/>
          <w:u w:val="single"/>
        </w:rPr>
        <w:t xml:space="preserve">                          </w:t>
      </w:r>
    </w:p>
    <w:p w14:paraId="5A9ED3A8">
      <w:pPr>
        <w:pStyle w:val="19"/>
        <w:ind w:firstLine="277"/>
        <w:rPr>
          <w:rFonts w:hAnsi="宋体" w:cs="宋体"/>
          <w:color w:val="auto"/>
          <w:sz w:val="21"/>
          <w:highlight w:val="none"/>
        </w:rPr>
      </w:pPr>
      <w:r>
        <w:rPr>
          <w:rFonts w:hint="eastAsia" w:hAnsi="宋体" w:cs="宋体"/>
          <w:color w:val="auto"/>
          <w:sz w:val="21"/>
          <w:highlight w:val="none"/>
        </w:rPr>
        <w:t>姓名：</w:t>
      </w:r>
      <w:r>
        <w:rPr>
          <w:rFonts w:hint="eastAsia" w:hAnsi="宋体" w:cs="宋体"/>
          <w:color w:val="auto"/>
          <w:sz w:val="21"/>
          <w:highlight w:val="none"/>
          <w:u w:val="single"/>
        </w:rPr>
        <w:t xml:space="preserve">       </w:t>
      </w:r>
      <w:r>
        <w:rPr>
          <w:rFonts w:hint="eastAsia" w:hAnsi="宋体" w:cs="宋体"/>
          <w:color w:val="auto"/>
          <w:sz w:val="21"/>
          <w:highlight w:val="none"/>
        </w:rPr>
        <w:t>性别：</w:t>
      </w:r>
      <w:r>
        <w:rPr>
          <w:rFonts w:hint="eastAsia" w:hAnsi="宋体" w:cs="宋体"/>
          <w:color w:val="auto"/>
          <w:sz w:val="21"/>
          <w:highlight w:val="none"/>
          <w:u w:val="single"/>
        </w:rPr>
        <w:t xml:space="preserve">   </w:t>
      </w:r>
      <w:r>
        <w:rPr>
          <w:rFonts w:hint="eastAsia" w:hAnsi="宋体" w:cs="宋体"/>
          <w:color w:val="auto"/>
          <w:sz w:val="21"/>
          <w:highlight w:val="none"/>
        </w:rPr>
        <w:t>年龄：</w:t>
      </w:r>
      <w:r>
        <w:rPr>
          <w:rFonts w:hint="eastAsia" w:hAnsi="宋体" w:cs="宋体"/>
          <w:color w:val="auto"/>
          <w:sz w:val="21"/>
          <w:highlight w:val="none"/>
          <w:u w:val="single"/>
        </w:rPr>
        <w:t xml:space="preserve">   </w:t>
      </w:r>
      <w:r>
        <w:rPr>
          <w:rFonts w:hint="eastAsia" w:hAnsi="宋体" w:cs="宋体"/>
          <w:color w:val="auto"/>
          <w:sz w:val="21"/>
          <w:highlight w:val="none"/>
        </w:rPr>
        <w:t>职务：</w:t>
      </w:r>
      <w:r>
        <w:rPr>
          <w:rFonts w:hint="eastAsia" w:hAnsi="宋体" w:cs="宋体"/>
          <w:color w:val="auto"/>
          <w:sz w:val="21"/>
          <w:highlight w:val="none"/>
          <w:u w:val="single"/>
        </w:rPr>
        <w:t xml:space="preserve">       </w:t>
      </w:r>
    </w:p>
    <w:p w14:paraId="64BB21ED">
      <w:pPr>
        <w:pStyle w:val="19"/>
        <w:ind w:firstLine="277"/>
        <w:rPr>
          <w:rFonts w:hAnsi="宋体" w:cs="宋体"/>
          <w:color w:val="auto"/>
          <w:sz w:val="21"/>
          <w:highlight w:val="none"/>
        </w:rPr>
      </w:pPr>
      <w:r>
        <w:rPr>
          <w:rFonts w:hint="eastAsia" w:hAnsi="宋体" w:cs="宋体"/>
          <w:color w:val="auto"/>
          <w:sz w:val="21"/>
          <w:highlight w:val="none"/>
        </w:rPr>
        <w:t>系</w:t>
      </w:r>
      <w:r>
        <w:rPr>
          <w:rFonts w:hint="eastAsia" w:hAnsi="宋体" w:cs="宋体"/>
          <w:color w:val="auto"/>
          <w:sz w:val="21"/>
          <w:highlight w:val="none"/>
          <w:u w:val="single"/>
        </w:rPr>
        <w:t xml:space="preserve">     （供应商单位名称）  </w:t>
      </w:r>
      <w:r>
        <w:rPr>
          <w:rFonts w:hint="eastAsia" w:hAnsi="宋体" w:cs="宋体"/>
          <w:color w:val="auto"/>
          <w:sz w:val="21"/>
          <w:highlight w:val="none"/>
        </w:rPr>
        <w:t>的法定代表人。</w:t>
      </w:r>
    </w:p>
    <w:p w14:paraId="29943CDA">
      <w:pPr>
        <w:pStyle w:val="19"/>
        <w:ind w:firstLine="277"/>
        <w:rPr>
          <w:rFonts w:hAnsi="宋体" w:cs="宋体"/>
          <w:color w:val="auto"/>
          <w:sz w:val="21"/>
          <w:highlight w:val="none"/>
        </w:rPr>
      </w:pPr>
      <w:r>
        <w:rPr>
          <w:rFonts w:hint="eastAsia" w:hAnsi="宋体" w:cs="宋体"/>
          <w:color w:val="auto"/>
          <w:sz w:val="21"/>
          <w:highlight w:val="none"/>
        </w:rPr>
        <w:t>特此证明。</w:t>
      </w:r>
    </w:p>
    <w:p w14:paraId="58DBA6D4">
      <w:pPr>
        <w:spacing w:line="36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2850C19D">
      <w:pPr>
        <w:spacing w:line="36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7EEAD241">
      <w:pPr>
        <w:pStyle w:val="19"/>
        <w:spacing w:line="360" w:lineRule="exact"/>
        <w:rPr>
          <w:rFonts w:hAnsi="宋体" w:cs="宋体"/>
          <w:color w:val="auto"/>
          <w:szCs w:val="21"/>
          <w:highlight w:val="none"/>
        </w:rPr>
      </w:pPr>
      <w:r>
        <w:rPr>
          <w:rFonts w:hint="eastAsia" w:hAnsi="宋体" w:cs="宋体"/>
          <w:color w:val="auto"/>
          <w:highlight w:val="none"/>
        </w:rPr>
        <w:t xml:space="preserve">                                                                                                                                                                                        </w:t>
      </w:r>
    </w:p>
    <w:p w14:paraId="559FEE13">
      <w:pPr>
        <w:pStyle w:val="19"/>
        <w:spacing w:line="48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12700</wp:posOffset>
                </wp:positionV>
                <wp:extent cx="3239770" cy="2029460"/>
                <wp:effectExtent l="5080" t="4445" r="12700" b="23495"/>
                <wp:wrapNone/>
                <wp:docPr id="6" name="矩形 8"/>
                <wp:cNvGraphicFramePr/>
                <a:graphic xmlns:a="http://schemas.openxmlformats.org/drawingml/2006/main">
                  <a:graphicData uri="http://schemas.microsoft.com/office/word/2010/wordprocessingShape">
                    <wps:wsp>
                      <wps:cNvSpPr/>
                      <wps:spPr>
                        <a:xfrm>
                          <a:off x="0" y="0"/>
                          <a:ext cx="3239770" cy="2029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940C7F"/>
                          <w:p w14:paraId="172ADEE6"/>
                          <w:p w14:paraId="668872F2"/>
                          <w:p w14:paraId="3439D7FA"/>
                          <w:p w14:paraId="07B25F6D">
                            <w:pPr>
                              <w:jc w:val="center"/>
                            </w:pPr>
                            <w:r>
                              <w:rPr>
                                <w:rFonts w:hint="eastAsia"/>
                              </w:rPr>
                              <w:t>法定代表人第二代居民身份证复印件</w:t>
                            </w:r>
                          </w:p>
                          <w:p w14:paraId="2D08783A">
                            <w:pPr>
                              <w:jc w:val="center"/>
                              <w:rPr>
                                <w:b/>
                              </w:rPr>
                            </w:pPr>
                            <w:r>
                              <w:rPr>
                                <w:rFonts w:hint="eastAsia"/>
                                <w:b/>
                              </w:rPr>
                              <w:t>（正面）</w:t>
                            </w:r>
                          </w:p>
                        </w:txbxContent>
                      </wps:txbx>
                      <wps:bodyPr upright="1"/>
                    </wps:wsp>
                  </a:graphicData>
                </a:graphic>
              </wp:anchor>
            </w:drawing>
          </mc:Choice>
          <mc:Fallback>
            <w:pict>
              <v:rect id="矩形 8" o:spid="_x0000_s1026" o:spt="1" style="position:absolute;left:0pt;margin-left:9pt;margin-top:1pt;height:159.8pt;width:255.1pt;z-index:251664384;mso-width-relative:page;mso-height-relative:page;" fillcolor="#FFFFFF" filled="t" stroked="t" coordsize="21600,21600" o:gfxdata="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HJ5ntYAAAAIAQAADwAAAAAAAAABACAAAAAiAAAAZHJz&#10;L2Rvd25yZXYueG1sUEsBAhQAFAAAAAgAh07iQNJwR4UGAgAAKgQAAA4AAAAAAAAAAQAgAAAAJQEA&#10;AGRycy9lMm9Eb2MueG1sUEsFBgAAAAAGAAYAWQEAAJ0FAAAAAA==&#10;">
                <v:fill on="t" focussize="0,0"/>
                <v:stroke color="#000000" joinstyle="miter"/>
                <v:imagedata o:title=""/>
                <o:lock v:ext="edit" aspectratio="f"/>
                <v:textbox>
                  <w:txbxContent>
                    <w:p w14:paraId="16940C7F"/>
                    <w:p w14:paraId="172ADEE6"/>
                    <w:p w14:paraId="668872F2"/>
                    <w:p w14:paraId="3439D7FA"/>
                    <w:p w14:paraId="07B25F6D">
                      <w:pPr>
                        <w:jc w:val="center"/>
                      </w:pPr>
                      <w:r>
                        <w:rPr>
                          <w:rFonts w:hint="eastAsia"/>
                        </w:rPr>
                        <w:t>法定代表人第二代居民身份证复印件</w:t>
                      </w:r>
                    </w:p>
                    <w:p w14:paraId="2D08783A">
                      <w:pPr>
                        <w:jc w:val="center"/>
                        <w:rPr>
                          <w:b/>
                        </w:rPr>
                      </w:pPr>
                      <w:r>
                        <w:rPr>
                          <w:rFonts w:hint="eastAsia"/>
                          <w:b/>
                        </w:rPr>
                        <w:t>（正面）</w:t>
                      </w:r>
                    </w:p>
                  </w:txbxContent>
                </v:textbox>
              </v:rect>
            </w:pict>
          </mc:Fallback>
        </mc:AlternateContent>
      </w:r>
      <w:r>
        <w:rPr>
          <w:rFonts w:hint="eastAsia" w:hAnsi="宋体" w:cs="宋体"/>
          <w:color w:val="auto"/>
          <w:highlight w:val="none"/>
        </w:rPr>
        <mc:AlternateContent>
          <mc:Choice Requires="wps">
            <w:drawing>
              <wp:anchor distT="180340"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4" name="直线 6"/>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0pt;margin-top:0pt;height:0pt;width:483pt;mso-wrap-distance-bottom:0pt;mso-wrap-distance-top:14.2pt;z-index:251662336;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wHVPfQAAAAAgEAAA8AAAAAAAAA&#10;AQAgAAAAIgAAAGRycy9kb3ducmV2LnhtbFBLAQIUABQAAAAIAIdO4kDWGppO4AEAAM8DAAAOAAAA&#10;AAAAAAEAIAAAAB8BAABkcnMvZTJvRG9jLnhtbFBLBQYAAAAABgAGAFkBAABxBQAAAAA=&#10;">
                <v:fill on="f" focussize="0,0"/>
                <v:stroke color="#000000" joinstyle="round"/>
                <v:imagedata o:title=""/>
                <o:lock v:ext="edit" aspectratio="f"/>
                <w10:wrap type="topAndBottom"/>
              </v:line>
            </w:pict>
          </mc:Fallback>
        </mc:AlternateContent>
      </w:r>
      <w:r>
        <w:rPr>
          <w:rFonts w:hint="eastAsia" w:hAnsi="宋体" w:cs="宋体"/>
          <w:color w:val="auto"/>
          <w:highlight w:val="none"/>
        </w:rPr>
        <w:t xml:space="preserve">  </w:t>
      </w:r>
    </w:p>
    <w:p w14:paraId="5F57FCFA">
      <w:pPr>
        <w:pStyle w:val="19"/>
        <w:spacing w:line="480" w:lineRule="exact"/>
        <w:rPr>
          <w:rFonts w:hAnsi="宋体" w:cs="宋体"/>
          <w:color w:val="auto"/>
          <w:highlight w:val="none"/>
        </w:rPr>
      </w:pPr>
    </w:p>
    <w:p w14:paraId="3433E755">
      <w:pPr>
        <w:pStyle w:val="19"/>
        <w:spacing w:line="480" w:lineRule="exact"/>
        <w:rPr>
          <w:rFonts w:hAnsi="宋体" w:cs="宋体"/>
          <w:color w:val="auto"/>
          <w:highlight w:val="none"/>
        </w:rPr>
      </w:pPr>
    </w:p>
    <w:p w14:paraId="51C51E51">
      <w:pPr>
        <w:pStyle w:val="19"/>
        <w:spacing w:line="480" w:lineRule="exact"/>
        <w:rPr>
          <w:rFonts w:hAnsi="宋体" w:cs="宋体"/>
          <w:color w:val="auto"/>
          <w:highlight w:val="none"/>
        </w:rPr>
      </w:pPr>
    </w:p>
    <w:p w14:paraId="45AF28A8">
      <w:pPr>
        <w:pStyle w:val="19"/>
        <w:spacing w:line="480" w:lineRule="exact"/>
        <w:rPr>
          <w:rFonts w:hAnsi="宋体" w:cs="宋体"/>
          <w:color w:val="auto"/>
          <w:highlight w:val="none"/>
        </w:rPr>
      </w:pPr>
    </w:p>
    <w:p w14:paraId="557BDC68">
      <w:pPr>
        <w:pStyle w:val="19"/>
        <w:spacing w:line="240" w:lineRule="atLeast"/>
        <w:ind w:firstLine="6000" w:firstLineChars="3000"/>
        <w:rPr>
          <w:rFonts w:hAnsi="宋体" w:cs="宋体"/>
          <w:color w:val="auto"/>
          <w:highlight w:val="none"/>
        </w:rPr>
      </w:pPr>
    </w:p>
    <w:p w14:paraId="3A342D74">
      <w:pPr>
        <w:pStyle w:val="19"/>
        <w:spacing w:line="480" w:lineRule="exact"/>
        <w:rPr>
          <w:rFonts w:hAnsi="宋体" w:cs="宋体"/>
          <w:color w:val="auto"/>
          <w:highlight w:val="none"/>
        </w:rPr>
      </w:pPr>
    </w:p>
    <w:p w14:paraId="39555303">
      <w:pPr>
        <w:pStyle w:val="19"/>
        <w:spacing w:line="240" w:lineRule="exact"/>
        <w:rPr>
          <w:rFonts w:hAnsi="宋体" w:cs="宋体"/>
          <w:color w:val="auto"/>
          <w:highlight w:val="none"/>
        </w:rPr>
      </w:pPr>
    </w:p>
    <w:p w14:paraId="709D165D">
      <w:pPr>
        <w:pStyle w:val="19"/>
        <w:spacing w:line="24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66040</wp:posOffset>
                </wp:positionV>
                <wp:extent cx="3239770" cy="2160270"/>
                <wp:effectExtent l="4445" t="4445" r="13335" b="6985"/>
                <wp:wrapNone/>
                <wp:docPr id="5" name="矩形 7"/>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2F6E6D"/>
                          <w:p w14:paraId="779F401B"/>
                          <w:p w14:paraId="1C5F0ADF"/>
                          <w:p w14:paraId="7004AD65"/>
                          <w:p w14:paraId="1197F324">
                            <w:pPr>
                              <w:jc w:val="center"/>
                            </w:pPr>
                            <w:r>
                              <w:rPr>
                                <w:rFonts w:hint="eastAsia"/>
                              </w:rPr>
                              <w:t>法定代表人第二代居民身份证复印件</w:t>
                            </w:r>
                          </w:p>
                          <w:p w14:paraId="63EC6BA7">
                            <w:pPr>
                              <w:jc w:val="center"/>
                              <w:rPr>
                                <w:b/>
                              </w:rPr>
                            </w:pPr>
                            <w:r>
                              <w:rPr>
                                <w:rFonts w:hint="eastAsia"/>
                                <w:b/>
                              </w:rPr>
                              <w:t>（背面）</w:t>
                            </w:r>
                          </w:p>
                        </w:txbxContent>
                      </wps:txbx>
                      <wps:bodyPr upright="1"/>
                    </wps:wsp>
                  </a:graphicData>
                </a:graphic>
              </wp:anchor>
            </w:drawing>
          </mc:Choice>
          <mc:Fallback>
            <w:pict>
              <v:rect id="矩形 7" o:spid="_x0000_s1026" o:spt="1" style="position:absolute;left:0pt;margin-left:9pt;margin-top:5.2pt;height:170.1pt;width:255.1pt;z-index:251663360;mso-width-relative:page;mso-height-relative:page;" fillcolor="#FFFFFF" filled="t" stroked="t" coordsize="21600,21600" o:gfxdata="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7Plr1wAAAAkBAAAPAAAAAAAAAAEAIAAAACIAAABkcnMvZG93&#10;bnJldi54bWxQSwECFAAUAAAACACHTuJAQwBlzgECAAAqBAAADgAAAAAAAAABACAAAAAmAQAAZHJz&#10;L2Uyb0RvYy54bWxQSwUGAAAAAAYABgBZAQAAmQUAAAAA&#10;">
                <v:fill on="t" focussize="0,0"/>
                <v:stroke color="#000000" joinstyle="miter"/>
                <v:imagedata o:title=""/>
                <o:lock v:ext="edit" aspectratio="f"/>
                <v:textbox>
                  <w:txbxContent>
                    <w:p w14:paraId="0C2F6E6D"/>
                    <w:p w14:paraId="779F401B"/>
                    <w:p w14:paraId="1C5F0ADF"/>
                    <w:p w14:paraId="7004AD65"/>
                    <w:p w14:paraId="1197F324">
                      <w:pPr>
                        <w:jc w:val="center"/>
                      </w:pPr>
                      <w:r>
                        <w:rPr>
                          <w:rFonts w:hint="eastAsia"/>
                        </w:rPr>
                        <w:t>法定代表人第二代居民身份证复印件</w:t>
                      </w:r>
                    </w:p>
                    <w:p w14:paraId="63EC6BA7">
                      <w:pPr>
                        <w:jc w:val="center"/>
                        <w:rPr>
                          <w:b/>
                        </w:rPr>
                      </w:pPr>
                      <w:r>
                        <w:rPr>
                          <w:rFonts w:hint="eastAsia"/>
                          <w:b/>
                        </w:rPr>
                        <w:t>（背面）</w:t>
                      </w:r>
                    </w:p>
                  </w:txbxContent>
                </v:textbox>
              </v:rect>
            </w:pict>
          </mc:Fallback>
        </mc:AlternateContent>
      </w:r>
    </w:p>
    <w:p w14:paraId="6BF6289D">
      <w:pPr>
        <w:pStyle w:val="19"/>
        <w:spacing w:line="240" w:lineRule="exact"/>
        <w:rPr>
          <w:rFonts w:hAnsi="宋体" w:cs="宋体"/>
          <w:color w:val="auto"/>
          <w:highlight w:val="none"/>
        </w:rPr>
      </w:pPr>
    </w:p>
    <w:p w14:paraId="139FCFFB">
      <w:pPr>
        <w:pStyle w:val="19"/>
        <w:spacing w:line="240" w:lineRule="exact"/>
        <w:rPr>
          <w:rFonts w:hAnsi="宋体" w:cs="宋体"/>
          <w:color w:val="auto"/>
          <w:highlight w:val="none"/>
        </w:rPr>
      </w:pPr>
    </w:p>
    <w:p w14:paraId="333650C2">
      <w:pPr>
        <w:pStyle w:val="19"/>
        <w:spacing w:line="240" w:lineRule="exact"/>
        <w:rPr>
          <w:rFonts w:hAnsi="宋体" w:cs="宋体"/>
          <w:color w:val="auto"/>
          <w:sz w:val="44"/>
          <w:highlight w:val="none"/>
        </w:rPr>
      </w:pPr>
    </w:p>
    <w:p w14:paraId="45AA0712">
      <w:pPr>
        <w:pStyle w:val="19"/>
        <w:spacing w:line="240" w:lineRule="exact"/>
        <w:rPr>
          <w:rFonts w:hAnsi="宋体" w:cs="宋体"/>
          <w:color w:val="auto"/>
          <w:sz w:val="44"/>
          <w:highlight w:val="none"/>
        </w:rPr>
      </w:pPr>
    </w:p>
    <w:p w14:paraId="5CA497A5">
      <w:pPr>
        <w:pStyle w:val="19"/>
        <w:spacing w:line="240" w:lineRule="exact"/>
        <w:rPr>
          <w:rFonts w:hAnsi="宋体" w:cs="宋体"/>
          <w:color w:val="auto"/>
          <w:sz w:val="44"/>
          <w:highlight w:val="none"/>
        </w:rPr>
      </w:pPr>
    </w:p>
    <w:p w14:paraId="76D3F8CD">
      <w:pPr>
        <w:pStyle w:val="19"/>
        <w:spacing w:line="240" w:lineRule="exact"/>
        <w:rPr>
          <w:rFonts w:hAnsi="宋体" w:cs="宋体"/>
          <w:color w:val="auto"/>
          <w:sz w:val="44"/>
          <w:highlight w:val="none"/>
        </w:rPr>
      </w:pPr>
    </w:p>
    <w:p w14:paraId="10CF0BFD">
      <w:pPr>
        <w:jc w:val="center"/>
        <w:rPr>
          <w:rFonts w:ascii="宋体" w:hAnsi="宋体" w:cs="宋体"/>
          <w:color w:val="auto"/>
          <w:highlight w:val="none"/>
        </w:rPr>
      </w:pPr>
    </w:p>
    <w:p w14:paraId="3665CD20">
      <w:pPr>
        <w:jc w:val="center"/>
        <w:rPr>
          <w:rFonts w:ascii="宋体" w:hAnsi="宋体" w:cs="宋体"/>
          <w:color w:val="auto"/>
          <w:highlight w:val="none"/>
        </w:rPr>
      </w:pPr>
      <w:r>
        <w:rPr>
          <w:rFonts w:hint="eastAsia" w:ascii="宋体" w:hAnsi="宋体" w:cs="宋体"/>
          <w:color w:val="auto"/>
          <w:highlight w:val="none"/>
        </w:rPr>
        <w:t xml:space="preserve">      </w:t>
      </w:r>
    </w:p>
    <w:p w14:paraId="2697E043">
      <w:pPr>
        <w:jc w:val="center"/>
        <w:rPr>
          <w:rFonts w:ascii="宋体" w:hAnsi="宋体" w:cs="宋体"/>
          <w:color w:val="auto"/>
          <w:highlight w:val="none"/>
          <w:u w:val="single"/>
        </w:rPr>
      </w:pPr>
      <w:r>
        <w:rPr>
          <w:rFonts w:hint="eastAsia" w:ascii="宋体" w:hAnsi="宋体" w:cs="宋体"/>
          <w:color w:val="auto"/>
          <w:highlight w:val="none"/>
        </w:rPr>
        <w:t xml:space="preserve">                               </w:t>
      </w:r>
    </w:p>
    <w:p w14:paraId="4E04E0E7">
      <w:pPr>
        <w:pStyle w:val="19"/>
        <w:spacing w:line="240" w:lineRule="exact"/>
        <w:rPr>
          <w:rFonts w:hAnsi="宋体" w:cs="宋体"/>
          <w:color w:val="auto"/>
          <w:sz w:val="44"/>
          <w:highlight w:val="none"/>
        </w:rPr>
      </w:pPr>
    </w:p>
    <w:p w14:paraId="1CA43752">
      <w:pPr>
        <w:pStyle w:val="19"/>
        <w:spacing w:line="240" w:lineRule="atLeast"/>
        <w:ind w:firstLine="5500" w:firstLineChars="2750"/>
        <w:rPr>
          <w:rFonts w:hAnsi="宋体" w:cs="宋体"/>
          <w:color w:val="auto"/>
          <w:highlight w:val="none"/>
        </w:rPr>
      </w:pPr>
    </w:p>
    <w:p w14:paraId="4C8C6416">
      <w:pPr>
        <w:pStyle w:val="19"/>
        <w:spacing w:line="240" w:lineRule="atLeast"/>
        <w:ind w:firstLine="5500" w:firstLineChars="2750"/>
        <w:rPr>
          <w:rFonts w:hAnsi="宋体" w:cs="宋体"/>
          <w:color w:val="auto"/>
          <w:highlight w:val="none"/>
        </w:rPr>
      </w:pPr>
    </w:p>
    <w:p w14:paraId="4457FAA4">
      <w:pPr>
        <w:pStyle w:val="19"/>
        <w:spacing w:line="240" w:lineRule="atLeast"/>
        <w:ind w:firstLine="5500" w:firstLineChars="2750"/>
        <w:rPr>
          <w:rFonts w:hAnsi="宋体" w:cs="宋体"/>
          <w:color w:val="auto"/>
          <w:highlight w:val="none"/>
        </w:rPr>
      </w:pPr>
    </w:p>
    <w:p w14:paraId="53FDFAC6">
      <w:pPr>
        <w:pStyle w:val="19"/>
        <w:spacing w:line="240" w:lineRule="atLeast"/>
        <w:ind w:firstLine="5500" w:firstLineChars="2750"/>
        <w:rPr>
          <w:rFonts w:hAnsi="宋体" w:cs="宋体"/>
          <w:color w:val="auto"/>
          <w:highlight w:val="none"/>
        </w:rPr>
      </w:pPr>
    </w:p>
    <w:p w14:paraId="0D5F0136">
      <w:pPr>
        <w:pStyle w:val="19"/>
        <w:spacing w:line="240" w:lineRule="atLeast"/>
        <w:ind w:firstLine="5500" w:firstLineChars="2750"/>
        <w:rPr>
          <w:rFonts w:hAnsi="宋体" w:cs="宋体"/>
          <w:color w:val="auto"/>
          <w:highlight w:val="none"/>
        </w:rPr>
      </w:pPr>
    </w:p>
    <w:p w14:paraId="77F5CC07">
      <w:pPr>
        <w:pStyle w:val="19"/>
        <w:spacing w:line="240" w:lineRule="atLeast"/>
        <w:ind w:firstLine="5500" w:firstLineChars="2750"/>
        <w:rPr>
          <w:rFonts w:hAnsi="宋体" w:cs="宋体"/>
          <w:color w:val="auto"/>
          <w:highlight w:val="none"/>
        </w:rPr>
      </w:pPr>
      <w:r>
        <w:rPr>
          <w:rFonts w:hint="eastAsia" w:hAnsi="宋体" w:cs="宋体"/>
          <w:color w:val="auto"/>
          <w:highlight w:val="none"/>
        </w:rPr>
        <w:t>法定代表人</w:t>
      </w:r>
      <w:r>
        <w:rPr>
          <w:rFonts w:hint="eastAsia" w:hAnsi="宋体" w:cs="宋体"/>
          <w:b/>
          <w:bCs/>
          <w:color w:val="auto"/>
          <w:highlight w:val="none"/>
        </w:rPr>
        <w:t>签名：</w:t>
      </w:r>
      <w:r>
        <w:rPr>
          <w:rFonts w:hint="eastAsia" w:hAnsi="宋体" w:cs="宋体"/>
          <w:color w:val="auto"/>
          <w:highlight w:val="none"/>
          <w:u w:val="single"/>
        </w:rPr>
        <w:t xml:space="preserve">                   </w:t>
      </w:r>
    </w:p>
    <w:p w14:paraId="63611877">
      <w:pPr>
        <w:spacing w:line="300" w:lineRule="auto"/>
        <w:rPr>
          <w:rFonts w:ascii="宋体" w:hAnsi="宋体" w:cs="宋体"/>
          <w:b/>
          <w:color w:val="auto"/>
          <w:highlight w:val="none"/>
        </w:rPr>
      </w:pPr>
      <w:r>
        <w:rPr>
          <w:rFonts w:hint="eastAsia" w:ascii="宋体" w:hAnsi="宋体" w:cs="宋体"/>
          <w:b/>
          <w:color w:val="auto"/>
          <w:highlight w:val="none"/>
        </w:rPr>
        <w:t>二、法定代表人授权委托书格式</w:t>
      </w:r>
    </w:p>
    <w:p w14:paraId="6192A8C3">
      <w:pPr>
        <w:pStyle w:val="19"/>
        <w:jc w:val="center"/>
        <w:rPr>
          <w:rFonts w:hAnsi="宋体" w:cs="宋体"/>
          <w:b/>
          <w:color w:val="auto"/>
          <w:sz w:val="32"/>
          <w:highlight w:val="none"/>
        </w:rPr>
      </w:pPr>
      <w:r>
        <w:rPr>
          <w:rFonts w:hint="eastAsia" w:hAnsi="宋体" w:cs="宋体"/>
          <w:b/>
          <w:color w:val="auto"/>
          <w:sz w:val="32"/>
          <w:highlight w:val="none"/>
        </w:rPr>
        <w:t>法定代表人授权委托书</w:t>
      </w:r>
    </w:p>
    <w:p w14:paraId="3E6FCA6E">
      <w:pPr>
        <w:snapToGrid w:val="0"/>
        <w:spacing w:line="360" w:lineRule="exact"/>
        <w:rPr>
          <w:rFonts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 xml:space="preserve"> 广西德元工程项目管理有限责任公司</w:t>
      </w:r>
      <w:r>
        <w:rPr>
          <w:rFonts w:hint="eastAsia" w:ascii="宋体" w:hAnsi="宋体" w:cs="宋体"/>
          <w:color w:val="auto"/>
          <w:szCs w:val="21"/>
          <w:highlight w:val="none"/>
        </w:rPr>
        <w:t>：</w:t>
      </w:r>
    </w:p>
    <w:p w14:paraId="690C2F09">
      <w:pPr>
        <w:snapToGrid w:val="0"/>
        <w:spacing w:line="36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 xml:space="preserve">我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（供应商名称）的法定代表人，现授权委托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项目的谈判采购活动，并代表我方全权办理针对上述谈判采购项目的谈判、开标、评标、签约等具体事务和签署相关文件。</w:t>
      </w:r>
    </w:p>
    <w:p w14:paraId="0288A66D">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    我方对被授权人的签名事项负全部责任。代理期限从   年  月  日至   年  月  日止。</w:t>
      </w:r>
    </w:p>
    <w:p w14:paraId="7FE4F99B">
      <w:pPr>
        <w:snapToGrid w:val="0"/>
        <w:spacing w:line="360" w:lineRule="exact"/>
        <w:ind w:firstLine="480"/>
        <w:rPr>
          <w:rFonts w:ascii="宋体" w:hAnsi="宋体" w:cs="宋体"/>
          <w:color w:val="auto"/>
          <w:szCs w:val="21"/>
          <w:highlight w:val="none"/>
        </w:rPr>
      </w:pPr>
      <w:r>
        <w:rPr>
          <w:rFonts w:hint="eastAsia" w:ascii="宋体" w:hAnsi="宋体" w:cs="宋体"/>
          <w:color w:val="auto"/>
          <w:szCs w:val="21"/>
          <w:highlight w:val="none"/>
          <w:u w:val="single"/>
        </w:rPr>
        <w:t>在撤销授权的书面通知以前，本授权书一直有效。</w:t>
      </w:r>
      <w:r>
        <w:rPr>
          <w:rFonts w:hint="eastAsia" w:ascii="宋体" w:hAnsi="宋体" w:cs="宋体"/>
          <w:color w:val="auto"/>
          <w:szCs w:val="21"/>
          <w:highlight w:val="none"/>
        </w:rPr>
        <w:t>被授权人在授权书有效期内签署的所有文件不因授权的撤销而失效。</w:t>
      </w:r>
    </w:p>
    <w:p w14:paraId="2A97BB69">
      <w:pPr>
        <w:snapToGrid w:val="0"/>
        <w:spacing w:line="360" w:lineRule="exact"/>
        <w:ind w:firstLine="480"/>
        <w:rPr>
          <w:rFonts w:ascii="宋体" w:hAnsi="宋体" w:cs="宋体"/>
          <w:color w:val="auto"/>
          <w:szCs w:val="21"/>
          <w:highlight w:val="none"/>
        </w:rPr>
      </w:pPr>
      <w:r>
        <w:rPr>
          <w:rFonts w:hint="eastAsia" w:ascii="宋体" w:hAnsi="宋体" w:cs="宋体"/>
          <w:color w:val="auto"/>
          <w:szCs w:val="21"/>
          <w:highlight w:val="none"/>
        </w:rPr>
        <w:t>被授权人无转委托权，特此委托。</w:t>
      </w:r>
    </w:p>
    <w:p w14:paraId="237C9F3C">
      <w:pPr>
        <w:snapToGrid w:val="0"/>
        <w:spacing w:line="360" w:lineRule="exact"/>
        <w:rPr>
          <w:rFonts w:ascii="宋体" w:hAnsi="宋体" w:cs="宋体"/>
          <w:color w:val="auto"/>
          <w:szCs w:val="21"/>
          <w:highlight w:val="none"/>
        </w:rPr>
      </w:pPr>
    </w:p>
    <w:p w14:paraId="062D8299">
      <w:pPr>
        <w:snapToGrid w:val="0"/>
        <w:spacing w:line="360" w:lineRule="exact"/>
        <w:rPr>
          <w:rFonts w:ascii="宋体" w:hAnsi="宋体" w:cs="宋体"/>
          <w:color w:val="auto"/>
          <w:szCs w:val="21"/>
          <w:highlight w:val="none"/>
          <w:u w:val="single"/>
        </w:rPr>
      </w:pPr>
      <w:r>
        <w:rPr>
          <w:rFonts w:hint="eastAsia" w:ascii="宋体" w:hAnsi="宋体" w:cs="宋体"/>
          <w:color w:val="auto"/>
          <w:szCs w:val="21"/>
          <w:highlight w:val="none"/>
        </w:rPr>
        <w:t>被授权人</w:t>
      </w:r>
      <w:r>
        <w:rPr>
          <w:rFonts w:hint="eastAsia" w:ascii="宋体" w:hAnsi="宋体" w:cs="宋体"/>
          <w:b/>
          <w:color w:val="auto"/>
          <w:szCs w:val="21"/>
          <w:highlight w:val="none"/>
        </w:rPr>
        <w:t>签名</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b/>
          <w:color w:val="auto"/>
          <w:szCs w:val="21"/>
          <w:highlight w:val="none"/>
        </w:rPr>
        <w:t>签名</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6A59EB12">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所在部门职务：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p>
    <w:p w14:paraId="14924220">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被授权人身份证号码：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A7A3F49">
      <w:pPr>
        <w:spacing w:line="360" w:lineRule="exact"/>
        <w:ind w:firstLine="6090" w:firstLineChars="2900"/>
        <w:jc w:val="right"/>
        <w:rPr>
          <w:rFonts w:ascii="宋体" w:hAnsi="宋体" w:cs="宋体"/>
          <w:color w:val="auto"/>
          <w:szCs w:val="21"/>
          <w:highlight w:val="none"/>
        </w:rPr>
      </w:pPr>
      <w:r>
        <w:rPr>
          <w:rFonts w:hint="eastAsia" w:ascii="宋体" w:hAnsi="宋体" w:cs="宋体"/>
          <w:color w:val="auto"/>
          <w:szCs w:val="21"/>
          <w:highlight w:val="none"/>
        </w:rPr>
        <w:t xml:space="preserve">                                   供应商名称(电子签章)：</w:t>
      </w:r>
    </w:p>
    <w:p w14:paraId="61F944B5">
      <w:pPr>
        <w:spacing w:line="360" w:lineRule="exact"/>
        <w:ind w:firstLine="6300" w:firstLineChars="3000"/>
        <w:jc w:val="right"/>
        <w:rPr>
          <w:rFonts w:ascii="宋体" w:hAnsi="宋体" w:cs="宋体"/>
          <w:color w:val="auto"/>
          <w:szCs w:val="21"/>
          <w:highlight w:val="none"/>
        </w:rPr>
      </w:pPr>
      <w:r>
        <w:rPr>
          <w:rFonts w:hint="eastAsia" w:ascii="宋体" w:hAnsi="宋体" w:cs="宋体"/>
          <w:color w:val="auto"/>
          <w:szCs w:val="21"/>
          <w:highlight w:val="none"/>
        </w:rPr>
        <w:t>日期： 年 月 日</w:t>
      </w:r>
    </w:p>
    <w:p w14:paraId="10C905DF">
      <w:pPr>
        <w:snapToGrid w:val="0"/>
        <w:spacing w:line="360" w:lineRule="exact"/>
        <w:jc w:val="center"/>
        <w:rPr>
          <w:rFonts w:ascii="宋体" w:hAnsi="宋体" w:cs="宋体"/>
          <w:color w:val="auto"/>
          <w:highlight w:val="none"/>
        </w:rPr>
      </w:pPr>
      <w:r>
        <w:rPr>
          <w:rFonts w:hint="eastAsia" w:ascii="宋体" w:hAnsi="宋体" w:cs="宋体"/>
          <w:color w:val="auto"/>
          <w:highlight w:val="none"/>
        </w:rPr>
        <w:t xml:space="preserve">                                                                                                                                                                                        </w:t>
      </w:r>
    </w:p>
    <w:p w14:paraId="0E975A15">
      <w:pPr>
        <w:pStyle w:val="19"/>
        <w:spacing w:line="48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12700</wp:posOffset>
                </wp:positionV>
                <wp:extent cx="3239770" cy="2160270"/>
                <wp:effectExtent l="4445" t="4445" r="13335" b="6985"/>
                <wp:wrapNone/>
                <wp:docPr id="9" name="矩形 11"/>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75479A"/>
                          <w:p w14:paraId="4E50016C"/>
                          <w:p w14:paraId="32288F02"/>
                          <w:p w14:paraId="00FA9B35"/>
                          <w:p w14:paraId="44BD0F59"/>
                          <w:p w14:paraId="3AC994CC">
                            <w:pPr>
                              <w:jc w:val="center"/>
                            </w:pPr>
                            <w:r>
                              <w:rPr>
                                <w:rFonts w:hint="eastAsia"/>
                              </w:rPr>
                              <w:t>委托代理人第二代居民身份证复印件</w:t>
                            </w:r>
                          </w:p>
                          <w:p w14:paraId="48B4B0F9">
                            <w:pPr>
                              <w:jc w:val="center"/>
                            </w:pPr>
                            <w:r>
                              <w:rPr>
                                <w:rFonts w:hint="eastAsia"/>
                                <w:b/>
                              </w:rPr>
                              <w:t>（正面）</w:t>
                            </w:r>
                          </w:p>
                          <w:p w14:paraId="0AD6A1A8">
                            <w:pPr>
                              <w:jc w:val="center"/>
                            </w:pPr>
                          </w:p>
                        </w:txbxContent>
                      </wps:txbx>
                      <wps:bodyPr upright="1"/>
                    </wps:wsp>
                  </a:graphicData>
                </a:graphic>
              </wp:anchor>
            </w:drawing>
          </mc:Choice>
          <mc:Fallback>
            <w:pict>
              <v:rect id="矩形 11" o:spid="_x0000_s1026" o:spt="1" style="position:absolute;left:0pt;margin-left:9pt;margin-top:1pt;height:170.1pt;width:255.1pt;z-index:251667456;mso-width-relative:page;mso-height-relative:page;" fillcolor="#FFFFFF" filled="t" stroked="t" coordsize="21600,21600" o:gfxdata="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I3hS7WAAAACAEAAA8AAAAAAAAAAQAgAAAAIgAAAGRycy9kb3du&#10;cmV2LnhtbFBLAQIUABQAAAAIAIdO4kBaE6wjAQIAACsEAAAOAAAAAAAAAAEAIAAAACUBAABkcnMv&#10;ZTJvRG9jLnhtbFBLBQYAAAAABgAGAFkBAACYBQAAAAA=&#10;">
                <v:fill on="t" focussize="0,0"/>
                <v:stroke color="#000000" joinstyle="miter"/>
                <v:imagedata o:title=""/>
                <o:lock v:ext="edit" aspectratio="f"/>
                <v:textbox>
                  <w:txbxContent>
                    <w:p w14:paraId="0875479A"/>
                    <w:p w14:paraId="4E50016C"/>
                    <w:p w14:paraId="32288F02"/>
                    <w:p w14:paraId="00FA9B35"/>
                    <w:p w14:paraId="44BD0F59"/>
                    <w:p w14:paraId="3AC994CC">
                      <w:pPr>
                        <w:jc w:val="center"/>
                      </w:pPr>
                      <w:r>
                        <w:rPr>
                          <w:rFonts w:hint="eastAsia"/>
                        </w:rPr>
                        <w:t>委托代理人第二代居民身份证复印件</w:t>
                      </w:r>
                    </w:p>
                    <w:p w14:paraId="48B4B0F9">
                      <w:pPr>
                        <w:jc w:val="center"/>
                      </w:pPr>
                      <w:r>
                        <w:rPr>
                          <w:rFonts w:hint="eastAsia"/>
                          <w:b/>
                        </w:rPr>
                        <w:t>（正面）</w:t>
                      </w:r>
                    </w:p>
                    <w:p w14:paraId="0AD6A1A8">
                      <w:pPr>
                        <w:jc w:val="center"/>
                      </w:pPr>
                    </w:p>
                  </w:txbxContent>
                </v:textbox>
              </v:rect>
            </w:pict>
          </mc:Fallback>
        </mc:AlternateContent>
      </w:r>
      <w:r>
        <w:rPr>
          <w:rFonts w:hint="eastAsia" w:hAnsi="宋体" w:cs="宋体"/>
          <w:color w:val="auto"/>
          <w:highlight w:val="none"/>
        </w:rPr>
        <mc:AlternateContent>
          <mc:Choice Requires="wps">
            <w:drawing>
              <wp:anchor distT="180340" distB="0" distL="114300" distR="114300" simplePos="0" relativeHeight="251665408"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7" name="直线 9"/>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0pt;margin-top:0pt;height:0pt;width:483pt;mso-wrap-distance-bottom:0pt;mso-wrap-distance-top:14.2pt;z-index:251665408;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wHVPfQAAAAAgEAAA8AAAAAAAAA&#10;AQAgAAAAIgAAAGRycy9kb3ducmV2LnhtbFBLAQIUABQAAAAIAIdO4kC6wEeC4AEAAM8DAAAOAAAA&#10;AAAAAAEAIAAAAB8BAABkcnMvZTJvRG9jLnhtbFBLBQYAAAAABgAGAFkBAABxBQAAAAA=&#10;">
                <v:fill on="f" focussize="0,0"/>
                <v:stroke color="#000000" joinstyle="round"/>
                <v:imagedata o:title=""/>
                <o:lock v:ext="edit" aspectratio="f"/>
                <w10:wrap type="topAndBottom"/>
              </v:line>
            </w:pict>
          </mc:Fallback>
        </mc:AlternateContent>
      </w:r>
      <w:r>
        <w:rPr>
          <w:rFonts w:hint="eastAsia" w:hAnsi="宋体" w:cs="宋体"/>
          <w:color w:val="auto"/>
          <w:highlight w:val="none"/>
        </w:rPr>
        <w:t xml:space="preserve">  </w:t>
      </w:r>
    </w:p>
    <w:p w14:paraId="0721A601">
      <w:pPr>
        <w:pStyle w:val="19"/>
        <w:spacing w:line="480" w:lineRule="exact"/>
        <w:rPr>
          <w:rFonts w:hAnsi="宋体" w:cs="宋体"/>
          <w:color w:val="auto"/>
          <w:highlight w:val="none"/>
        </w:rPr>
      </w:pPr>
    </w:p>
    <w:p w14:paraId="1D2B2D96">
      <w:pPr>
        <w:pStyle w:val="19"/>
        <w:spacing w:line="480" w:lineRule="exact"/>
        <w:rPr>
          <w:rFonts w:hAnsi="宋体" w:cs="宋体"/>
          <w:color w:val="auto"/>
          <w:highlight w:val="none"/>
        </w:rPr>
      </w:pPr>
    </w:p>
    <w:p w14:paraId="27FF18AF">
      <w:pPr>
        <w:pStyle w:val="19"/>
        <w:spacing w:line="480" w:lineRule="exact"/>
        <w:rPr>
          <w:rFonts w:hAnsi="宋体" w:cs="宋体"/>
          <w:color w:val="auto"/>
          <w:highlight w:val="none"/>
        </w:rPr>
      </w:pPr>
    </w:p>
    <w:p w14:paraId="119B8F68">
      <w:pPr>
        <w:pStyle w:val="19"/>
        <w:spacing w:line="480" w:lineRule="exact"/>
        <w:rPr>
          <w:rFonts w:hAnsi="宋体" w:cs="宋体"/>
          <w:color w:val="auto"/>
          <w:highlight w:val="none"/>
        </w:rPr>
      </w:pPr>
    </w:p>
    <w:p w14:paraId="5B8BE652">
      <w:pPr>
        <w:pStyle w:val="19"/>
        <w:spacing w:line="240" w:lineRule="atLeast"/>
        <w:ind w:firstLine="5200" w:firstLineChars="2600"/>
        <w:rPr>
          <w:rFonts w:hAnsi="宋体" w:cs="宋体"/>
          <w:color w:val="auto"/>
          <w:highlight w:val="none"/>
          <w:u w:val="single"/>
        </w:rPr>
      </w:pPr>
    </w:p>
    <w:p w14:paraId="41F13771">
      <w:pPr>
        <w:pStyle w:val="19"/>
        <w:spacing w:line="240" w:lineRule="atLeast"/>
        <w:ind w:firstLine="5200" w:firstLineChars="2600"/>
        <w:rPr>
          <w:rFonts w:hAnsi="宋体" w:cs="宋体"/>
          <w:color w:val="auto"/>
          <w:highlight w:val="none"/>
          <w:u w:val="single"/>
        </w:rPr>
      </w:pPr>
    </w:p>
    <w:p w14:paraId="78E0905B">
      <w:pPr>
        <w:pStyle w:val="19"/>
        <w:spacing w:line="240" w:lineRule="atLeast"/>
        <w:ind w:firstLine="6000" w:firstLineChars="3000"/>
        <w:rPr>
          <w:rFonts w:hAnsi="宋体" w:cs="宋体"/>
          <w:color w:val="auto"/>
          <w:highlight w:val="none"/>
        </w:rPr>
      </w:pPr>
    </w:p>
    <w:p w14:paraId="63481027">
      <w:pPr>
        <w:pStyle w:val="19"/>
        <w:spacing w:line="48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107950</wp:posOffset>
                </wp:positionH>
                <wp:positionV relativeFrom="paragraph">
                  <wp:posOffset>248285</wp:posOffset>
                </wp:positionV>
                <wp:extent cx="3239770" cy="2160270"/>
                <wp:effectExtent l="4445" t="4445" r="13335" b="6985"/>
                <wp:wrapNone/>
                <wp:docPr id="8" name="矩形 10"/>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B508C3"/>
                          <w:p w14:paraId="03DA085B"/>
                          <w:p w14:paraId="41F60887"/>
                          <w:p w14:paraId="6E996B59"/>
                          <w:p w14:paraId="6F6DA9B5"/>
                          <w:p w14:paraId="7B21CEF6">
                            <w:pPr>
                              <w:jc w:val="center"/>
                            </w:pPr>
                            <w:r>
                              <w:rPr>
                                <w:rFonts w:hint="eastAsia"/>
                              </w:rPr>
                              <w:t>委托代理人第二代居民身份证复印件</w:t>
                            </w:r>
                          </w:p>
                          <w:p w14:paraId="6F9543B3">
                            <w:pPr>
                              <w:jc w:val="center"/>
                            </w:pPr>
                            <w:r>
                              <w:rPr>
                                <w:rFonts w:hint="eastAsia"/>
                                <w:b/>
                              </w:rPr>
                              <w:t>（背面）</w:t>
                            </w:r>
                          </w:p>
                        </w:txbxContent>
                      </wps:txbx>
                      <wps:bodyPr upright="1"/>
                    </wps:wsp>
                  </a:graphicData>
                </a:graphic>
              </wp:anchor>
            </w:drawing>
          </mc:Choice>
          <mc:Fallback>
            <w:pict>
              <v:rect id="矩形 10" o:spid="_x0000_s1026" o:spt="1" style="position:absolute;left:0pt;margin-left:8.5pt;margin-top:19.55pt;height:170.1pt;width:255.1pt;z-index:251666432;mso-width-relative:page;mso-height-relative:page;" fillcolor="#FFFFFF" filled="t" stroked="t" coordsize="21600,21600" o:gfxdata="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BEqw1wAAAAkBAAAPAAAAAAAAAAEAIAAAACIAAABkcnMvZG93&#10;bnJldi54bWxQSwECFAAUAAAACACHTuJACfWrBQECAAArBAAADgAAAAAAAAABACAAAAAmAQAAZHJz&#10;L2Uyb0RvYy54bWxQSwUGAAAAAAYABgBZAQAAmQUAAAAA&#10;">
                <v:fill on="t" focussize="0,0"/>
                <v:stroke color="#000000" joinstyle="miter"/>
                <v:imagedata o:title=""/>
                <o:lock v:ext="edit" aspectratio="f"/>
                <v:textbox>
                  <w:txbxContent>
                    <w:p w14:paraId="68B508C3"/>
                    <w:p w14:paraId="03DA085B"/>
                    <w:p w14:paraId="41F60887"/>
                    <w:p w14:paraId="6E996B59"/>
                    <w:p w14:paraId="6F6DA9B5"/>
                    <w:p w14:paraId="7B21CEF6">
                      <w:pPr>
                        <w:jc w:val="center"/>
                      </w:pPr>
                      <w:r>
                        <w:rPr>
                          <w:rFonts w:hint="eastAsia"/>
                        </w:rPr>
                        <w:t>委托代理人第二代居民身份证复印件</w:t>
                      </w:r>
                    </w:p>
                    <w:p w14:paraId="6F9543B3">
                      <w:pPr>
                        <w:jc w:val="center"/>
                      </w:pPr>
                      <w:r>
                        <w:rPr>
                          <w:rFonts w:hint="eastAsia"/>
                          <w:b/>
                        </w:rPr>
                        <w:t>（背面）</w:t>
                      </w:r>
                    </w:p>
                  </w:txbxContent>
                </v:textbox>
              </v:rect>
            </w:pict>
          </mc:Fallback>
        </mc:AlternateContent>
      </w:r>
    </w:p>
    <w:p w14:paraId="73F403CD">
      <w:pPr>
        <w:pStyle w:val="19"/>
        <w:spacing w:line="240" w:lineRule="exact"/>
        <w:rPr>
          <w:rFonts w:hAnsi="宋体" w:cs="宋体"/>
          <w:color w:val="auto"/>
          <w:highlight w:val="none"/>
        </w:rPr>
      </w:pPr>
    </w:p>
    <w:p w14:paraId="532BD812">
      <w:pPr>
        <w:pStyle w:val="19"/>
        <w:spacing w:line="240" w:lineRule="exact"/>
        <w:rPr>
          <w:rFonts w:hAnsi="宋体" w:cs="宋体"/>
          <w:color w:val="auto"/>
          <w:highlight w:val="none"/>
        </w:rPr>
      </w:pPr>
    </w:p>
    <w:p w14:paraId="79625B35">
      <w:pPr>
        <w:pStyle w:val="19"/>
        <w:spacing w:line="240" w:lineRule="exact"/>
        <w:rPr>
          <w:rFonts w:hAnsi="宋体" w:cs="宋体"/>
          <w:color w:val="auto"/>
          <w:highlight w:val="none"/>
        </w:rPr>
      </w:pPr>
    </w:p>
    <w:p w14:paraId="4F628B6D">
      <w:pPr>
        <w:pStyle w:val="19"/>
        <w:spacing w:line="240" w:lineRule="exact"/>
        <w:rPr>
          <w:rFonts w:hAnsi="宋体" w:cs="宋体"/>
          <w:color w:val="auto"/>
          <w:sz w:val="44"/>
          <w:highlight w:val="none"/>
        </w:rPr>
      </w:pPr>
    </w:p>
    <w:p w14:paraId="67913BDE">
      <w:pPr>
        <w:pStyle w:val="19"/>
        <w:spacing w:line="240" w:lineRule="exact"/>
        <w:rPr>
          <w:rFonts w:hAnsi="宋体" w:cs="宋体"/>
          <w:color w:val="auto"/>
          <w:sz w:val="44"/>
          <w:highlight w:val="none"/>
        </w:rPr>
      </w:pPr>
    </w:p>
    <w:p w14:paraId="564A1127">
      <w:pPr>
        <w:pStyle w:val="19"/>
        <w:spacing w:line="240" w:lineRule="exact"/>
        <w:rPr>
          <w:rFonts w:hAnsi="宋体" w:cs="宋体"/>
          <w:color w:val="auto"/>
          <w:sz w:val="44"/>
          <w:highlight w:val="none"/>
        </w:rPr>
      </w:pPr>
    </w:p>
    <w:p w14:paraId="379EE0C5">
      <w:pPr>
        <w:pStyle w:val="19"/>
        <w:spacing w:line="240" w:lineRule="exact"/>
        <w:rPr>
          <w:rFonts w:hAnsi="宋体" w:cs="宋体"/>
          <w:color w:val="auto"/>
          <w:sz w:val="44"/>
          <w:highlight w:val="none"/>
        </w:rPr>
      </w:pPr>
    </w:p>
    <w:p w14:paraId="33600BDE">
      <w:pPr>
        <w:pStyle w:val="19"/>
        <w:spacing w:line="240" w:lineRule="exact"/>
        <w:rPr>
          <w:rFonts w:hAnsi="宋体" w:cs="宋体"/>
          <w:color w:val="auto"/>
          <w:sz w:val="44"/>
          <w:highlight w:val="none"/>
        </w:rPr>
      </w:pPr>
    </w:p>
    <w:p w14:paraId="59794F51">
      <w:pPr>
        <w:pStyle w:val="19"/>
        <w:spacing w:line="240" w:lineRule="exact"/>
        <w:rPr>
          <w:rFonts w:hAnsi="宋体" w:cs="宋体"/>
          <w:color w:val="auto"/>
          <w:sz w:val="44"/>
          <w:highlight w:val="none"/>
        </w:rPr>
      </w:pPr>
    </w:p>
    <w:p w14:paraId="050F2D14">
      <w:pPr>
        <w:pStyle w:val="19"/>
        <w:spacing w:line="240" w:lineRule="exact"/>
        <w:rPr>
          <w:rFonts w:hAnsi="宋体" w:cs="宋体"/>
          <w:color w:val="auto"/>
          <w:sz w:val="44"/>
          <w:highlight w:val="none"/>
        </w:rPr>
      </w:pPr>
    </w:p>
    <w:p w14:paraId="636EF949">
      <w:pPr>
        <w:pStyle w:val="19"/>
        <w:spacing w:line="240" w:lineRule="exact"/>
        <w:rPr>
          <w:rFonts w:hAnsi="宋体" w:cs="宋体"/>
          <w:color w:val="auto"/>
          <w:sz w:val="44"/>
          <w:highlight w:val="none"/>
        </w:rPr>
      </w:pPr>
    </w:p>
    <w:p w14:paraId="6718DB3A">
      <w:pPr>
        <w:pStyle w:val="19"/>
        <w:spacing w:line="240" w:lineRule="exact"/>
        <w:rPr>
          <w:rFonts w:hAnsi="宋体" w:cs="宋体"/>
          <w:color w:val="auto"/>
          <w:sz w:val="44"/>
          <w:highlight w:val="none"/>
        </w:rPr>
      </w:pPr>
    </w:p>
    <w:p w14:paraId="5F4BD307">
      <w:pPr>
        <w:jc w:val="center"/>
        <w:rPr>
          <w:rFonts w:ascii="宋体" w:hAnsi="宋体" w:cs="宋体"/>
          <w:color w:val="auto"/>
          <w:highlight w:val="none"/>
        </w:rPr>
      </w:pPr>
    </w:p>
    <w:p w14:paraId="2656E3CE">
      <w:pPr>
        <w:spacing w:line="320" w:lineRule="exact"/>
        <w:rPr>
          <w:rFonts w:ascii="宋体" w:hAnsi="宋体" w:cs="宋体"/>
          <w:b/>
          <w:color w:val="auto"/>
          <w:szCs w:val="21"/>
          <w:highlight w:val="none"/>
        </w:rPr>
      </w:pPr>
      <w:r>
        <w:rPr>
          <w:rFonts w:hint="eastAsia" w:ascii="宋体" w:hAnsi="宋体" w:cs="宋体"/>
          <w:color w:val="auto"/>
          <w:highlight w:val="none"/>
        </w:rPr>
        <w:br w:type="page"/>
      </w:r>
      <w:r>
        <w:rPr>
          <w:rFonts w:hint="eastAsia" w:ascii="宋体" w:hAnsi="宋体" w:cs="宋体"/>
          <w:b/>
          <w:color w:val="auto"/>
          <w:szCs w:val="21"/>
          <w:highlight w:val="none"/>
        </w:rPr>
        <w:t>三、保证金证明格式</w:t>
      </w:r>
    </w:p>
    <w:p w14:paraId="2ADE65DB">
      <w:pPr>
        <w:spacing w:line="360" w:lineRule="exact"/>
        <w:rPr>
          <w:rFonts w:ascii="宋体" w:hAnsi="宋体" w:cs="宋体"/>
          <w:color w:val="auto"/>
          <w:szCs w:val="21"/>
          <w:highlight w:val="none"/>
        </w:rPr>
      </w:pPr>
    </w:p>
    <w:p w14:paraId="155D3A6B">
      <w:pPr>
        <w:pStyle w:val="19"/>
        <w:spacing w:line="440" w:lineRule="exact"/>
        <w:ind w:firstLine="420"/>
        <w:jc w:val="center"/>
        <w:rPr>
          <w:rFonts w:hAnsi="宋体" w:cs="宋体"/>
          <w:b/>
          <w:color w:val="auto"/>
          <w:kern w:val="2"/>
          <w:sz w:val="21"/>
          <w:szCs w:val="21"/>
          <w:highlight w:val="none"/>
        </w:rPr>
      </w:pPr>
      <w:r>
        <w:rPr>
          <w:rFonts w:hint="eastAsia" w:hAnsi="宋体" w:cs="宋体"/>
          <w:b/>
          <w:color w:val="auto"/>
          <w:kern w:val="2"/>
          <w:sz w:val="21"/>
          <w:highlight w:val="none"/>
        </w:rPr>
        <w:t>竞标保证金缴纳证明材料复印件</w:t>
      </w:r>
    </w:p>
    <w:p w14:paraId="687C794C">
      <w:pPr>
        <w:pStyle w:val="19"/>
        <w:spacing w:line="36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76200</wp:posOffset>
                </wp:positionV>
                <wp:extent cx="6120130" cy="2879725"/>
                <wp:effectExtent l="4445" t="4445" r="9525" b="11430"/>
                <wp:wrapNone/>
                <wp:docPr id="10"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675DA6">
                            <w:pPr>
                              <w:jc w:val="center"/>
                              <w:rPr>
                                <w:color w:val="000000"/>
                              </w:rPr>
                            </w:pPr>
                          </w:p>
                          <w:p w14:paraId="144227F2">
                            <w:pPr>
                              <w:jc w:val="center"/>
                              <w:rPr>
                                <w:color w:val="000000"/>
                              </w:rPr>
                            </w:pPr>
                          </w:p>
                          <w:p w14:paraId="40D73645">
                            <w:pPr>
                              <w:jc w:val="center"/>
                              <w:rPr>
                                <w:color w:val="000000"/>
                              </w:rPr>
                            </w:pPr>
                          </w:p>
                          <w:p w14:paraId="1EFD35F8">
                            <w:pPr>
                              <w:jc w:val="center"/>
                              <w:rPr>
                                <w:color w:val="000000"/>
                              </w:rPr>
                            </w:pPr>
                          </w:p>
                          <w:p w14:paraId="52BE8C8E">
                            <w:pPr>
                              <w:jc w:val="center"/>
                              <w:rPr>
                                <w:color w:val="000000"/>
                              </w:rPr>
                            </w:pPr>
                          </w:p>
                          <w:p w14:paraId="4E844E60">
                            <w:pPr>
                              <w:jc w:val="center"/>
                            </w:pPr>
                          </w:p>
                          <w:p w14:paraId="421DA0DC">
                            <w:pPr>
                              <w:jc w:val="center"/>
                              <w:rPr>
                                <w:szCs w:val="21"/>
                              </w:rPr>
                            </w:pPr>
                            <w:r>
                              <w:rPr>
                                <w:rFonts w:hint="eastAsia" w:hAnsi="宋体"/>
                              </w:rPr>
                              <w:t>转账底单、电汇单、支票、汇票、本票或银行、保险机构出具的保函复印件</w:t>
                            </w:r>
                          </w:p>
                        </w:txbxContent>
                      </wps:txbx>
                      <wps:bodyPr upright="1"/>
                    </wps:wsp>
                  </a:graphicData>
                </a:graphic>
              </wp:anchor>
            </w:drawing>
          </mc:Choice>
          <mc:Fallback>
            <w:pict>
              <v:rect id="Rectangle 44" o:spid="_x0000_s1026" o:spt="1" style="position:absolute;left:0pt;margin-left:0pt;margin-top:6pt;height:226.75pt;width:481.9pt;z-index:251668480;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sBJ2d1gAAAAcBAAAPAAAAAAAAAAEAIAAAACIAAABkcnMvZG93bnJldi54bWxQSwEC&#10;FAAUAAAACACHTuJAlZFzrPYBAAAvBAAADgAAAAAAAAABACAAAAAlAQAAZHJzL2Uyb0RvYy54bWxQ&#10;SwUGAAAAAAYABgBZAQAAjQUAAAAA&#10;">
                <v:fill on="t" focussize="0,0"/>
                <v:stroke color="#000000" joinstyle="miter"/>
                <v:imagedata o:title=""/>
                <o:lock v:ext="edit" aspectratio="f"/>
                <v:textbox>
                  <w:txbxContent>
                    <w:p w14:paraId="26675DA6">
                      <w:pPr>
                        <w:jc w:val="center"/>
                        <w:rPr>
                          <w:color w:val="000000"/>
                        </w:rPr>
                      </w:pPr>
                    </w:p>
                    <w:p w14:paraId="144227F2">
                      <w:pPr>
                        <w:jc w:val="center"/>
                        <w:rPr>
                          <w:color w:val="000000"/>
                        </w:rPr>
                      </w:pPr>
                    </w:p>
                    <w:p w14:paraId="40D73645">
                      <w:pPr>
                        <w:jc w:val="center"/>
                        <w:rPr>
                          <w:color w:val="000000"/>
                        </w:rPr>
                      </w:pPr>
                    </w:p>
                    <w:p w14:paraId="1EFD35F8">
                      <w:pPr>
                        <w:jc w:val="center"/>
                        <w:rPr>
                          <w:color w:val="000000"/>
                        </w:rPr>
                      </w:pPr>
                    </w:p>
                    <w:p w14:paraId="52BE8C8E">
                      <w:pPr>
                        <w:jc w:val="center"/>
                        <w:rPr>
                          <w:color w:val="000000"/>
                        </w:rPr>
                      </w:pPr>
                    </w:p>
                    <w:p w14:paraId="4E844E60">
                      <w:pPr>
                        <w:jc w:val="center"/>
                      </w:pPr>
                    </w:p>
                    <w:p w14:paraId="421DA0DC">
                      <w:pPr>
                        <w:jc w:val="center"/>
                        <w:rPr>
                          <w:szCs w:val="21"/>
                        </w:rPr>
                      </w:pPr>
                      <w:r>
                        <w:rPr>
                          <w:rFonts w:hint="eastAsia" w:hAnsi="宋体"/>
                        </w:rPr>
                        <w:t>转账底单、电汇单、支票、汇票、本票或银行、保险机构出具的保函复印件</w:t>
                      </w:r>
                    </w:p>
                  </w:txbxContent>
                </v:textbox>
              </v:rect>
            </w:pict>
          </mc:Fallback>
        </mc:AlternateContent>
      </w:r>
    </w:p>
    <w:p w14:paraId="62AA2737">
      <w:pPr>
        <w:pStyle w:val="19"/>
        <w:spacing w:line="360" w:lineRule="exact"/>
        <w:rPr>
          <w:rFonts w:hAnsi="宋体" w:cs="宋体"/>
          <w:color w:val="auto"/>
          <w:highlight w:val="none"/>
        </w:rPr>
      </w:pPr>
    </w:p>
    <w:p w14:paraId="558C3E8D">
      <w:pPr>
        <w:pStyle w:val="19"/>
        <w:spacing w:line="360" w:lineRule="exact"/>
        <w:rPr>
          <w:rFonts w:hAnsi="宋体" w:cs="宋体"/>
          <w:color w:val="auto"/>
          <w:highlight w:val="none"/>
        </w:rPr>
      </w:pPr>
    </w:p>
    <w:p w14:paraId="7AC4819F">
      <w:pPr>
        <w:pStyle w:val="19"/>
        <w:spacing w:line="360" w:lineRule="exact"/>
        <w:rPr>
          <w:rFonts w:hAnsi="宋体" w:cs="宋体"/>
          <w:color w:val="auto"/>
          <w:sz w:val="44"/>
          <w:highlight w:val="none"/>
        </w:rPr>
      </w:pPr>
    </w:p>
    <w:p w14:paraId="60F706E6">
      <w:pPr>
        <w:pStyle w:val="19"/>
        <w:spacing w:line="360" w:lineRule="exact"/>
        <w:rPr>
          <w:rFonts w:hAnsi="宋体" w:cs="宋体"/>
          <w:color w:val="auto"/>
          <w:sz w:val="44"/>
          <w:highlight w:val="none"/>
        </w:rPr>
      </w:pPr>
    </w:p>
    <w:p w14:paraId="28FCF045">
      <w:pPr>
        <w:pStyle w:val="19"/>
        <w:spacing w:line="360" w:lineRule="exact"/>
        <w:rPr>
          <w:rFonts w:hAnsi="宋体" w:cs="宋体"/>
          <w:color w:val="auto"/>
          <w:sz w:val="44"/>
          <w:highlight w:val="none"/>
        </w:rPr>
      </w:pPr>
    </w:p>
    <w:p w14:paraId="0D474C4F">
      <w:pPr>
        <w:pStyle w:val="19"/>
        <w:spacing w:line="360" w:lineRule="exact"/>
        <w:rPr>
          <w:rFonts w:hAnsi="宋体" w:cs="宋体"/>
          <w:color w:val="auto"/>
          <w:sz w:val="44"/>
          <w:highlight w:val="none"/>
        </w:rPr>
      </w:pPr>
    </w:p>
    <w:p w14:paraId="0C099A19">
      <w:pPr>
        <w:pStyle w:val="19"/>
        <w:spacing w:line="360" w:lineRule="exact"/>
        <w:rPr>
          <w:rFonts w:hAnsi="宋体" w:cs="宋体"/>
          <w:color w:val="auto"/>
          <w:sz w:val="44"/>
          <w:highlight w:val="none"/>
        </w:rPr>
      </w:pPr>
    </w:p>
    <w:p w14:paraId="0757351D">
      <w:pPr>
        <w:pStyle w:val="19"/>
        <w:spacing w:line="360" w:lineRule="exact"/>
        <w:ind w:firstLine="4600" w:firstLineChars="2300"/>
        <w:rPr>
          <w:rFonts w:hAnsi="宋体" w:cs="宋体"/>
          <w:color w:val="auto"/>
          <w:highlight w:val="none"/>
        </w:rPr>
      </w:pPr>
    </w:p>
    <w:p w14:paraId="1C789F43">
      <w:pPr>
        <w:pStyle w:val="19"/>
        <w:spacing w:line="360" w:lineRule="exact"/>
        <w:ind w:firstLine="4600" w:firstLineChars="2300"/>
        <w:rPr>
          <w:rFonts w:hAnsi="宋体" w:cs="宋体"/>
          <w:color w:val="auto"/>
          <w:highlight w:val="none"/>
        </w:rPr>
      </w:pPr>
    </w:p>
    <w:p w14:paraId="234B88F5">
      <w:pPr>
        <w:pStyle w:val="19"/>
        <w:spacing w:line="360" w:lineRule="exact"/>
        <w:ind w:firstLine="4600" w:firstLineChars="2300"/>
        <w:rPr>
          <w:rFonts w:hAnsi="宋体" w:cs="宋体"/>
          <w:color w:val="auto"/>
          <w:highlight w:val="none"/>
        </w:rPr>
      </w:pPr>
    </w:p>
    <w:p w14:paraId="67F1A032">
      <w:pPr>
        <w:pStyle w:val="19"/>
        <w:spacing w:line="360" w:lineRule="exact"/>
        <w:ind w:firstLine="4600" w:firstLineChars="2300"/>
        <w:rPr>
          <w:rFonts w:hAnsi="宋体" w:cs="宋体"/>
          <w:color w:val="auto"/>
          <w:highlight w:val="none"/>
        </w:rPr>
      </w:pPr>
    </w:p>
    <w:p w14:paraId="6CF88A09">
      <w:pPr>
        <w:pStyle w:val="19"/>
        <w:spacing w:line="360" w:lineRule="exact"/>
        <w:ind w:firstLine="4600" w:firstLineChars="2300"/>
        <w:rPr>
          <w:rFonts w:hAnsi="宋体" w:cs="宋体"/>
          <w:color w:val="auto"/>
          <w:highlight w:val="none"/>
        </w:rPr>
      </w:pPr>
    </w:p>
    <w:p w14:paraId="1861524A">
      <w:pPr>
        <w:pStyle w:val="19"/>
        <w:spacing w:line="360" w:lineRule="exact"/>
        <w:ind w:firstLine="4600" w:firstLineChars="2300"/>
        <w:rPr>
          <w:rFonts w:hAnsi="宋体" w:cs="宋体"/>
          <w:color w:val="auto"/>
          <w:highlight w:val="none"/>
        </w:rPr>
      </w:pPr>
    </w:p>
    <w:p w14:paraId="536B1BC9">
      <w:pPr>
        <w:pStyle w:val="19"/>
        <w:spacing w:line="360" w:lineRule="exact"/>
        <w:ind w:firstLine="4600" w:firstLineChars="2300"/>
        <w:rPr>
          <w:rFonts w:hAnsi="宋体" w:cs="宋体"/>
          <w:color w:val="auto"/>
          <w:highlight w:val="none"/>
        </w:rPr>
      </w:pPr>
    </w:p>
    <w:p w14:paraId="6DE31A76">
      <w:pPr>
        <w:spacing w:line="36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6A8F1AA7">
      <w:pPr>
        <w:spacing w:line="36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47F23B79">
      <w:pPr>
        <w:pStyle w:val="19"/>
        <w:spacing w:line="240" w:lineRule="exact"/>
        <w:rPr>
          <w:rFonts w:hAnsi="宋体" w:cs="宋体"/>
          <w:color w:val="auto"/>
          <w:szCs w:val="21"/>
          <w:highlight w:val="none"/>
          <w:u w:val="single"/>
        </w:rPr>
      </w:pPr>
    </w:p>
    <w:p w14:paraId="5C8C4FE3">
      <w:pPr>
        <w:pStyle w:val="19"/>
        <w:spacing w:line="240" w:lineRule="exact"/>
        <w:rPr>
          <w:rFonts w:hAnsi="宋体" w:cs="宋体"/>
          <w:color w:val="auto"/>
          <w:highlight w:val="none"/>
          <w:u w:val="single"/>
        </w:rPr>
      </w:pPr>
    </w:p>
    <w:p w14:paraId="4C809DC9">
      <w:pPr>
        <w:pStyle w:val="19"/>
        <w:spacing w:line="240" w:lineRule="exact"/>
        <w:rPr>
          <w:rFonts w:hAnsi="宋体" w:cs="宋体"/>
          <w:color w:val="auto"/>
          <w:highlight w:val="none"/>
          <w:u w:val="single"/>
        </w:rPr>
      </w:pPr>
    </w:p>
    <w:p w14:paraId="4AE439CD">
      <w:pPr>
        <w:pStyle w:val="19"/>
        <w:spacing w:line="240" w:lineRule="exact"/>
        <w:rPr>
          <w:rFonts w:hAnsi="宋体" w:cs="宋体"/>
          <w:color w:val="auto"/>
          <w:highlight w:val="none"/>
          <w:u w:val="single"/>
        </w:rPr>
      </w:pPr>
    </w:p>
    <w:p w14:paraId="15101991">
      <w:pPr>
        <w:pStyle w:val="19"/>
        <w:spacing w:line="240" w:lineRule="exact"/>
        <w:rPr>
          <w:rFonts w:hAnsi="宋体" w:cs="宋体"/>
          <w:color w:val="auto"/>
          <w:highlight w:val="none"/>
          <w:u w:val="single"/>
        </w:rPr>
      </w:pPr>
    </w:p>
    <w:p w14:paraId="0B04D9D7">
      <w:pPr>
        <w:pStyle w:val="19"/>
        <w:spacing w:line="240" w:lineRule="exact"/>
        <w:rPr>
          <w:rFonts w:hAnsi="宋体" w:cs="宋体"/>
          <w:color w:val="auto"/>
          <w:highlight w:val="none"/>
          <w:u w:val="single"/>
        </w:rPr>
      </w:pPr>
    </w:p>
    <w:p w14:paraId="7E01CE8E">
      <w:pPr>
        <w:pStyle w:val="19"/>
        <w:spacing w:line="240" w:lineRule="exact"/>
        <w:rPr>
          <w:rFonts w:hAnsi="宋体" w:cs="宋体"/>
          <w:color w:val="auto"/>
          <w:sz w:val="44"/>
          <w:highlight w:val="none"/>
        </w:rPr>
      </w:pPr>
    </w:p>
    <w:p w14:paraId="5460A3F3">
      <w:pPr>
        <w:rPr>
          <w:rFonts w:ascii="宋体" w:hAnsi="宋体" w:cs="宋体"/>
          <w:b/>
          <w:color w:val="auto"/>
          <w:szCs w:val="21"/>
          <w:highlight w:val="none"/>
        </w:rPr>
      </w:pPr>
    </w:p>
    <w:p w14:paraId="6077ADFE">
      <w:pPr>
        <w:rPr>
          <w:rFonts w:ascii="宋体" w:hAnsi="宋体" w:cs="宋体"/>
          <w:b/>
          <w:color w:val="auto"/>
          <w:szCs w:val="21"/>
          <w:highlight w:val="none"/>
        </w:rPr>
      </w:pPr>
    </w:p>
    <w:p w14:paraId="51422F74">
      <w:pPr>
        <w:rPr>
          <w:rFonts w:ascii="宋体" w:hAnsi="宋体" w:cs="宋体"/>
          <w:b/>
          <w:color w:val="auto"/>
          <w:szCs w:val="21"/>
          <w:highlight w:val="none"/>
        </w:rPr>
      </w:pPr>
    </w:p>
    <w:p w14:paraId="5CBFA7C8">
      <w:pPr>
        <w:rPr>
          <w:rFonts w:ascii="宋体" w:hAnsi="宋体" w:cs="宋体"/>
          <w:b/>
          <w:color w:val="auto"/>
          <w:szCs w:val="21"/>
          <w:highlight w:val="none"/>
        </w:rPr>
      </w:pPr>
    </w:p>
    <w:p w14:paraId="4FA20AAB">
      <w:pPr>
        <w:rPr>
          <w:rFonts w:ascii="宋体" w:hAnsi="宋体" w:cs="宋体"/>
          <w:b/>
          <w:color w:val="auto"/>
          <w:szCs w:val="21"/>
          <w:highlight w:val="none"/>
        </w:rPr>
      </w:pPr>
    </w:p>
    <w:p w14:paraId="6526AA32">
      <w:pPr>
        <w:rPr>
          <w:rFonts w:ascii="宋体" w:hAnsi="宋体" w:cs="宋体"/>
          <w:b/>
          <w:color w:val="auto"/>
          <w:szCs w:val="21"/>
          <w:highlight w:val="none"/>
        </w:rPr>
      </w:pPr>
    </w:p>
    <w:p w14:paraId="58FA6BD2">
      <w:pPr>
        <w:rPr>
          <w:rFonts w:ascii="宋体" w:hAnsi="宋体" w:cs="宋体"/>
          <w:b/>
          <w:color w:val="auto"/>
          <w:szCs w:val="21"/>
          <w:highlight w:val="none"/>
        </w:rPr>
      </w:pPr>
    </w:p>
    <w:p w14:paraId="02C76487">
      <w:pPr>
        <w:rPr>
          <w:rFonts w:ascii="宋体" w:hAnsi="宋体" w:cs="宋体"/>
          <w:b/>
          <w:color w:val="auto"/>
          <w:szCs w:val="21"/>
          <w:highlight w:val="none"/>
        </w:rPr>
      </w:pPr>
    </w:p>
    <w:p w14:paraId="65BCB5F7">
      <w:pPr>
        <w:rPr>
          <w:rFonts w:ascii="宋体" w:hAnsi="宋体" w:cs="宋体"/>
          <w:b/>
          <w:color w:val="auto"/>
          <w:szCs w:val="21"/>
          <w:highlight w:val="none"/>
        </w:rPr>
      </w:pPr>
    </w:p>
    <w:p w14:paraId="011566A7">
      <w:pPr>
        <w:rPr>
          <w:rFonts w:ascii="宋体" w:hAnsi="宋体" w:cs="宋体"/>
          <w:b/>
          <w:color w:val="auto"/>
          <w:szCs w:val="21"/>
          <w:highlight w:val="none"/>
        </w:rPr>
      </w:pPr>
    </w:p>
    <w:p w14:paraId="5DFA5321">
      <w:pPr>
        <w:rPr>
          <w:rFonts w:ascii="宋体" w:hAnsi="宋体" w:cs="宋体"/>
          <w:b/>
          <w:color w:val="auto"/>
          <w:szCs w:val="21"/>
          <w:highlight w:val="none"/>
        </w:rPr>
      </w:pPr>
    </w:p>
    <w:p w14:paraId="11D3A928">
      <w:pPr>
        <w:rPr>
          <w:rFonts w:ascii="宋体" w:hAnsi="宋体" w:cs="宋体"/>
          <w:b/>
          <w:color w:val="auto"/>
          <w:szCs w:val="21"/>
          <w:highlight w:val="none"/>
        </w:rPr>
      </w:pPr>
    </w:p>
    <w:p w14:paraId="17A9355A">
      <w:pPr>
        <w:spacing w:line="320" w:lineRule="exact"/>
        <w:rPr>
          <w:rFonts w:ascii="宋体" w:hAnsi="宋体" w:cs="宋体"/>
          <w:color w:val="auto"/>
          <w:szCs w:val="21"/>
          <w:highlight w:val="none"/>
        </w:rPr>
      </w:pPr>
    </w:p>
    <w:p w14:paraId="57C09658">
      <w:pPr>
        <w:pStyle w:val="45"/>
        <w:rPr>
          <w:rFonts w:ascii="宋体" w:hAnsi="宋体" w:cs="宋体"/>
          <w:color w:val="auto"/>
          <w:highlight w:val="none"/>
        </w:rPr>
      </w:pPr>
    </w:p>
    <w:p w14:paraId="58C8C623">
      <w:pPr>
        <w:pStyle w:val="45"/>
        <w:rPr>
          <w:rFonts w:ascii="宋体" w:hAnsi="宋体" w:cs="宋体"/>
          <w:color w:val="auto"/>
          <w:highlight w:val="none"/>
        </w:rPr>
      </w:pPr>
    </w:p>
    <w:p w14:paraId="1E65C6D7">
      <w:pPr>
        <w:pStyle w:val="45"/>
        <w:rPr>
          <w:rFonts w:ascii="宋体" w:hAnsi="宋体" w:cs="宋体"/>
          <w:color w:val="auto"/>
          <w:highlight w:val="none"/>
        </w:rPr>
      </w:pPr>
    </w:p>
    <w:p w14:paraId="5DEFA4DD">
      <w:pPr>
        <w:spacing w:line="320" w:lineRule="exact"/>
        <w:rPr>
          <w:rFonts w:ascii="宋体" w:hAnsi="宋体" w:cs="宋体"/>
          <w:color w:val="auto"/>
          <w:szCs w:val="21"/>
          <w:highlight w:val="none"/>
        </w:rPr>
      </w:pPr>
    </w:p>
    <w:p w14:paraId="6015647E">
      <w:pPr>
        <w:spacing w:line="320" w:lineRule="exact"/>
        <w:rPr>
          <w:rFonts w:ascii="宋体" w:hAnsi="宋体" w:cs="宋体"/>
          <w:color w:val="auto"/>
          <w:szCs w:val="21"/>
          <w:highlight w:val="none"/>
        </w:rPr>
      </w:pPr>
    </w:p>
    <w:p w14:paraId="21DA2D35">
      <w:pPr>
        <w:rPr>
          <w:rFonts w:ascii="宋体" w:hAnsi="宋体" w:cs="宋体"/>
          <w:b/>
          <w:color w:val="auto"/>
          <w:szCs w:val="21"/>
          <w:highlight w:val="none"/>
        </w:rPr>
      </w:pPr>
      <w:r>
        <w:rPr>
          <w:rFonts w:hint="eastAsia" w:ascii="宋体" w:hAnsi="宋体" w:cs="宋体"/>
          <w:b/>
          <w:color w:val="auto"/>
          <w:szCs w:val="21"/>
          <w:highlight w:val="none"/>
        </w:rPr>
        <w:t>四、商务响应表格式</w:t>
      </w:r>
    </w:p>
    <w:p w14:paraId="53C1AEDB">
      <w:pPr>
        <w:spacing w:line="360" w:lineRule="exact"/>
        <w:jc w:val="center"/>
        <w:rPr>
          <w:rFonts w:ascii="宋体" w:hAnsi="宋体" w:cs="宋体"/>
          <w:b/>
          <w:bCs/>
          <w:color w:val="auto"/>
          <w:kern w:val="0"/>
          <w:sz w:val="30"/>
          <w:highlight w:val="none"/>
        </w:rPr>
      </w:pPr>
      <w:r>
        <w:rPr>
          <w:rFonts w:hint="eastAsia" w:ascii="宋体" w:hAnsi="宋体" w:cs="宋体"/>
          <w:b/>
          <w:bCs/>
          <w:color w:val="auto"/>
          <w:kern w:val="0"/>
          <w:sz w:val="30"/>
          <w:highlight w:val="none"/>
        </w:rPr>
        <w:t>商务响应表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977"/>
        <w:gridCol w:w="1275"/>
        <w:gridCol w:w="3119"/>
      </w:tblGrid>
      <w:tr w14:paraId="321B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54C07044">
            <w:pPr>
              <w:pStyle w:val="19"/>
              <w:jc w:val="center"/>
              <w:rPr>
                <w:rFonts w:hAnsi="宋体" w:cs="宋体"/>
                <w:color w:val="auto"/>
                <w:kern w:val="2"/>
                <w:sz w:val="24"/>
                <w:szCs w:val="24"/>
                <w:highlight w:val="none"/>
              </w:rPr>
            </w:pPr>
            <w:r>
              <w:rPr>
                <w:rFonts w:hint="eastAsia" w:hAnsi="宋体" w:cs="宋体"/>
                <w:color w:val="auto"/>
                <w:kern w:val="2"/>
                <w:sz w:val="24"/>
                <w:szCs w:val="24"/>
                <w:highlight w:val="none"/>
              </w:rPr>
              <w:t>项目</w:t>
            </w:r>
          </w:p>
        </w:tc>
        <w:tc>
          <w:tcPr>
            <w:tcW w:w="2977" w:type="dxa"/>
            <w:tcBorders>
              <w:top w:val="single" w:color="auto" w:sz="4" w:space="0"/>
              <w:left w:val="single" w:color="auto" w:sz="4" w:space="0"/>
              <w:bottom w:val="single" w:color="auto" w:sz="4" w:space="0"/>
              <w:right w:val="single" w:color="auto" w:sz="4" w:space="0"/>
            </w:tcBorders>
            <w:vAlign w:val="center"/>
          </w:tcPr>
          <w:p w14:paraId="2838E749">
            <w:pPr>
              <w:pStyle w:val="19"/>
              <w:jc w:val="center"/>
              <w:rPr>
                <w:rFonts w:hAnsi="宋体" w:cs="宋体"/>
                <w:color w:val="auto"/>
                <w:kern w:val="2"/>
                <w:sz w:val="24"/>
                <w:szCs w:val="24"/>
                <w:highlight w:val="none"/>
              </w:rPr>
            </w:pPr>
            <w:r>
              <w:rPr>
                <w:rFonts w:hint="eastAsia" w:hAnsi="宋体" w:cs="宋体"/>
                <w:color w:val="auto"/>
                <w:kern w:val="2"/>
                <w:sz w:val="24"/>
                <w:szCs w:val="24"/>
                <w:highlight w:val="none"/>
              </w:rPr>
              <w:t>谈判文件的商务条款</w:t>
            </w:r>
          </w:p>
        </w:tc>
        <w:tc>
          <w:tcPr>
            <w:tcW w:w="1275" w:type="dxa"/>
            <w:tcBorders>
              <w:top w:val="single" w:color="auto" w:sz="4" w:space="0"/>
              <w:left w:val="single" w:color="auto" w:sz="4" w:space="0"/>
              <w:bottom w:val="single" w:color="auto" w:sz="4" w:space="0"/>
              <w:right w:val="single" w:color="auto" w:sz="4" w:space="0"/>
            </w:tcBorders>
            <w:vAlign w:val="center"/>
          </w:tcPr>
          <w:p w14:paraId="32FE6CF4">
            <w:pPr>
              <w:pStyle w:val="19"/>
              <w:jc w:val="center"/>
              <w:rPr>
                <w:rFonts w:hAnsi="宋体" w:cs="宋体"/>
                <w:color w:val="auto"/>
                <w:kern w:val="2"/>
                <w:sz w:val="24"/>
                <w:szCs w:val="24"/>
                <w:highlight w:val="none"/>
              </w:rPr>
            </w:pPr>
            <w:r>
              <w:rPr>
                <w:rFonts w:hint="eastAsia" w:hAnsi="宋体" w:cs="宋体"/>
                <w:color w:val="auto"/>
                <w:kern w:val="2"/>
                <w:sz w:val="24"/>
                <w:szCs w:val="24"/>
                <w:highlight w:val="none"/>
              </w:rPr>
              <w:t>是否响应</w:t>
            </w:r>
          </w:p>
        </w:tc>
        <w:tc>
          <w:tcPr>
            <w:tcW w:w="3119" w:type="dxa"/>
            <w:tcBorders>
              <w:top w:val="single" w:color="auto" w:sz="4" w:space="0"/>
              <w:left w:val="single" w:color="auto" w:sz="4" w:space="0"/>
              <w:bottom w:val="single" w:color="auto" w:sz="4" w:space="0"/>
              <w:right w:val="single" w:color="auto" w:sz="4" w:space="0"/>
            </w:tcBorders>
            <w:vAlign w:val="center"/>
          </w:tcPr>
          <w:p w14:paraId="122A34A3">
            <w:pPr>
              <w:pStyle w:val="19"/>
              <w:jc w:val="center"/>
              <w:rPr>
                <w:rFonts w:hAnsi="宋体" w:cs="宋体"/>
                <w:color w:val="auto"/>
                <w:kern w:val="2"/>
                <w:sz w:val="24"/>
                <w:szCs w:val="24"/>
                <w:highlight w:val="none"/>
              </w:rPr>
            </w:pPr>
            <w:r>
              <w:rPr>
                <w:rFonts w:hint="eastAsia" w:hAnsi="宋体" w:cs="宋体"/>
                <w:color w:val="auto"/>
                <w:kern w:val="2"/>
                <w:sz w:val="24"/>
                <w:szCs w:val="24"/>
                <w:highlight w:val="none"/>
              </w:rPr>
              <w:t>响应文件的承诺或说明</w:t>
            </w:r>
          </w:p>
        </w:tc>
      </w:tr>
      <w:tr w14:paraId="3FA6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20E20D69">
            <w:pPr>
              <w:widowControl/>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基本要求</w:t>
            </w:r>
          </w:p>
        </w:tc>
        <w:tc>
          <w:tcPr>
            <w:tcW w:w="2977" w:type="dxa"/>
            <w:tcBorders>
              <w:top w:val="single" w:color="auto" w:sz="4" w:space="0"/>
              <w:left w:val="single" w:color="auto" w:sz="4" w:space="0"/>
              <w:bottom w:val="single" w:color="auto" w:sz="4" w:space="0"/>
              <w:right w:val="single" w:color="auto" w:sz="4" w:space="0"/>
            </w:tcBorders>
            <w:vAlign w:val="center"/>
          </w:tcPr>
          <w:p w14:paraId="415FCFE1">
            <w:pPr>
              <w:pStyle w:val="19"/>
              <w:jc w:val="left"/>
              <w:rPr>
                <w:rFonts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39C80E57">
            <w:pPr>
              <w:pStyle w:val="19"/>
              <w:jc w:val="left"/>
              <w:rPr>
                <w:rFonts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0BFAD5F9">
            <w:pPr>
              <w:pStyle w:val="19"/>
              <w:jc w:val="left"/>
              <w:rPr>
                <w:rFonts w:hAnsi="宋体" w:cs="宋体"/>
                <w:color w:val="auto"/>
                <w:kern w:val="2"/>
                <w:sz w:val="24"/>
                <w:szCs w:val="24"/>
                <w:highlight w:val="none"/>
              </w:rPr>
            </w:pPr>
          </w:p>
        </w:tc>
      </w:tr>
      <w:tr w14:paraId="4D56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6E27C5FF">
            <w:pPr>
              <w:widowControl/>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交货时间及地点</w:t>
            </w:r>
          </w:p>
        </w:tc>
        <w:tc>
          <w:tcPr>
            <w:tcW w:w="2977" w:type="dxa"/>
            <w:tcBorders>
              <w:top w:val="single" w:color="auto" w:sz="4" w:space="0"/>
              <w:left w:val="single" w:color="auto" w:sz="4" w:space="0"/>
              <w:bottom w:val="single" w:color="auto" w:sz="4" w:space="0"/>
              <w:right w:val="single" w:color="auto" w:sz="4" w:space="0"/>
            </w:tcBorders>
            <w:vAlign w:val="center"/>
          </w:tcPr>
          <w:p w14:paraId="1AE0AC8C">
            <w:pPr>
              <w:pStyle w:val="19"/>
              <w:jc w:val="left"/>
              <w:rPr>
                <w:rFonts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6BEA3FD6">
            <w:pPr>
              <w:pStyle w:val="19"/>
              <w:jc w:val="left"/>
              <w:rPr>
                <w:rFonts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5BCE70F9">
            <w:pPr>
              <w:pStyle w:val="19"/>
              <w:jc w:val="left"/>
              <w:rPr>
                <w:rFonts w:hAnsi="宋体" w:cs="宋体"/>
                <w:color w:val="auto"/>
                <w:kern w:val="2"/>
                <w:sz w:val="24"/>
                <w:szCs w:val="24"/>
                <w:highlight w:val="none"/>
              </w:rPr>
            </w:pPr>
          </w:p>
        </w:tc>
      </w:tr>
      <w:tr w14:paraId="67F0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44C04854">
            <w:pPr>
              <w:widowControl/>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安装、调试、验收、培训等技术服务要求</w:t>
            </w:r>
          </w:p>
        </w:tc>
        <w:tc>
          <w:tcPr>
            <w:tcW w:w="2977" w:type="dxa"/>
            <w:tcBorders>
              <w:top w:val="single" w:color="auto" w:sz="4" w:space="0"/>
              <w:left w:val="single" w:color="auto" w:sz="4" w:space="0"/>
              <w:bottom w:val="single" w:color="auto" w:sz="4" w:space="0"/>
              <w:right w:val="single" w:color="auto" w:sz="4" w:space="0"/>
            </w:tcBorders>
            <w:vAlign w:val="center"/>
          </w:tcPr>
          <w:p w14:paraId="38AE0C0F">
            <w:pPr>
              <w:pStyle w:val="19"/>
              <w:jc w:val="left"/>
              <w:rPr>
                <w:rFonts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37218F52">
            <w:pPr>
              <w:pStyle w:val="19"/>
              <w:jc w:val="left"/>
              <w:rPr>
                <w:rFonts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672B0433">
            <w:pPr>
              <w:pStyle w:val="19"/>
              <w:jc w:val="left"/>
              <w:rPr>
                <w:rFonts w:hAnsi="宋体" w:cs="宋体"/>
                <w:color w:val="auto"/>
                <w:kern w:val="2"/>
                <w:sz w:val="24"/>
                <w:szCs w:val="24"/>
                <w:highlight w:val="none"/>
              </w:rPr>
            </w:pPr>
          </w:p>
        </w:tc>
      </w:tr>
      <w:tr w14:paraId="172F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2F930B19">
            <w:pPr>
              <w:widowControl/>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质保期</w:t>
            </w:r>
          </w:p>
        </w:tc>
        <w:tc>
          <w:tcPr>
            <w:tcW w:w="2977" w:type="dxa"/>
            <w:tcBorders>
              <w:top w:val="single" w:color="auto" w:sz="4" w:space="0"/>
              <w:left w:val="single" w:color="auto" w:sz="4" w:space="0"/>
              <w:bottom w:val="single" w:color="auto" w:sz="4" w:space="0"/>
              <w:right w:val="single" w:color="auto" w:sz="4" w:space="0"/>
            </w:tcBorders>
            <w:vAlign w:val="center"/>
          </w:tcPr>
          <w:p w14:paraId="3805DC4A">
            <w:pPr>
              <w:pStyle w:val="19"/>
              <w:jc w:val="left"/>
              <w:rPr>
                <w:rFonts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7E662D8B">
            <w:pPr>
              <w:pStyle w:val="19"/>
              <w:jc w:val="left"/>
              <w:rPr>
                <w:rFonts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42FD75D8">
            <w:pPr>
              <w:pStyle w:val="19"/>
              <w:jc w:val="left"/>
              <w:rPr>
                <w:rFonts w:hAnsi="宋体" w:cs="宋体"/>
                <w:color w:val="auto"/>
                <w:kern w:val="2"/>
                <w:sz w:val="24"/>
                <w:szCs w:val="24"/>
                <w:highlight w:val="none"/>
              </w:rPr>
            </w:pPr>
          </w:p>
        </w:tc>
      </w:tr>
      <w:tr w14:paraId="779E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1080E317">
            <w:pPr>
              <w:widowControl/>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售后服务保障或维修响应时间要求</w:t>
            </w:r>
          </w:p>
        </w:tc>
        <w:tc>
          <w:tcPr>
            <w:tcW w:w="2977" w:type="dxa"/>
            <w:tcBorders>
              <w:top w:val="single" w:color="auto" w:sz="4" w:space="0"/>
              <w:left w:val="single" w:color="auto" w:sz="4" w:space="0"/>
              <w:bottom w:val="single" w:color="auto" w:sz="4" w:space="0"/>
              <w:right w:val="single" w:color="auto" w:sz="4" w:space="0"/>
            </w:tcBorders>
            <w:vAlign w:val="center"/>
          </w:tcPr>
          <w:p w14:paraId="69FA989D">
            <w:pPr>
              <w:pStyle w:val="19"/>
              <w:jc w:val="left"/>
              <w:rPr>
                <w:rFonts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0B61DE15">
            <w:pPr>
              <w:pStyle w:val="19"/>
              <w:jc w:val="left"/>
              <w:rPr>
                <w:rFonts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6CD41EC3">
            <w:pPr>
              <w:pStyle w:val="19"/>
              <w:jc w:val="left"/>
              <w:rPr>
                <w:rFonts w:hAnsi="宋体" w:cs="宋体"/>
                <w:color w:val="auto"/>
                <w:kern w:val="2"/>
                <w:sz w:val="24"/>
                <w:szCs w:val="24"/>
                <w:highlight w:val="none"/>
              </w:rPr>
            </w:pPr>
          </w:p>
        </w:tc>
      </w:tr>
      <w:tr w14:paraId="3061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5347E798">
            <w:pPr>
              <w:widowControl/>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付款条件</w:t>
            </w:r>
          </w:p>
        </w:tc>
        <w:tc>
          <w:tcPr>
            <w:tcW w:w="2977" w:type="dxa"/>
            <w:tcBorders>
              <w:top w:val="single" w:color="auto" w:sz="4" w:space="0"/>
              <w:left w:val="single" w:color="auto" w:sz="4" w:space="0"/>
              <w:bottom w:val="single" w:color="auto" w:sz="4" w:space="0"/>
              <w:right w:val="single" w:color="auto" w:sz="4" w:space="0"/>
            </w:tcBorders>
            <w:vAlign w:val="center"/>
          </w:tcPr>
          <w:p w14:paraId="7EF6CB0B">
            <w:pPr>
              <w:pStyle w:val="19"/>
              <w:jc w:val="left"/>
              <w:rPr>
                <w:rFonts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4ECF9F7A">
            <w:pPr>
              <w:pStyle w:val="19"/>
              <w:jc w:val="left"/>
              <w:rPr>
                <w:rFonts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0EC9F763">
            <w:pPr>
              <w:pStyle w:val="19"/>
              <w:jc w:val="left"/>
              <w:rPr>
                <w:rFonts w:hAnsi="宋体" w:cs="宋体"/>
                <w:color w:val="auto"/>
                <w:kern w:val="2"/>
                <w:sz w:val="24"/>
                <w:szCs w:val="24"/>
                <w:highlight w:val="none"/>
              </w:rPr>
            </w:pPr>
          </w:p>
        </w:tc>
      </w:tr>
      <w:tr w14:paraId="1EB8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01080C73">
            <w:pPr>
              <w:widowControl/>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履约保证金</w:t>
            </w:r>
          </w:p>
        </w:tc>
        <w:tc>
          <w:tcPr>
            <w:tcW w:w="2977" w:type="dxa"/>
            <w:tcBorders>
              <w:top w:val="single" w:color="auto" w:sz="4" w:space="0"/>
              <w:left w:val="single" w:color="auto" w:sz="4" w:space="0"/>
              <w:bottom w:val="single" w:color="auto" w:sz="4" w:space="0"/>
              <w:right w:val="single" w:color="auto" w:sz="4" w:space="0"/>
            </w:tcBorders>
            <w:vAlign w:val="center"/>
          </w:tcPr>
          <w:p w14:paraId="16243BEF">
            <w:pPr>
              <w:pStyle w:val="19"/>
              <w:jc w:val="left"/>
              <w:rPr>
                <w:rFonts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6000669F">
            <w:pPr>
              <w:pStyle w:val="19"/>
              <w:jc w:val="left"/>
              <w:rPr>
                <w:rFonts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2780E1BC">
            <w:pPr>
              <w:pStyle w:val="19"/>
              <w:jc w:val="left"/>
              <w:rPr>
                <w:rFonts w:hAnsi="宋体" w:cs="宋体"/>
                <w:color w:val="auto"/>
                <w:kern w:val="2"/>
                <w:sz w:val="24"/>
                <w:szCs w:val="24"/>
                <w:highlight w:val="none"/>
              </w:rPr>
            </w:pPr>
          </w:p>
        </w:tc>
      </w:tr>
    </w:tbl>
    <w:p w14:paraId="179CB478">
      <w:pPr>
        <w:spacing w:line="360" w:lineRule="exact"/>
        <w:ind w:firstLine="6090" w:firstLineChars="2900"/>
        <w:rPr>
          <w:rFonts w:ascii="宋体" w:hAnsi="宋体" w:cs="宋体"/>
          <w:color w:val="auto"/>
          <w:szCs w:val="21"/>
          <w:highlight w:val="none"/>
        </w:rPr>
      </w:pPr>
    </w:p>
    <w:p w14:paraId="778D26AB">
      <w:pPr>
        <w:spacing w:line="360" w:lineRule="exact"/>
        <w:ind w:firstLine="6090" w:firstLineChars="2900"/>
        <w:rPr>
          <w:rFonts w:ascii="宋体" w:hAnsi="宋体" w:cs="宋体"/>
          <w:color w:val="auto"/>
          <w:szCs w:val="21"/>
          <w:highlight w:val="none"/>
        </w:rPr>
      </w:pPr>
    </w:p>
    <w:p w14:paraId="36220E9C">
      <w:pPr>
        <w:spacing w:line="36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72EC9580">
      <w:pPr>
        <w:spacing w:line="36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0E579378">
      <w:pPr>
        <w:rPr>
          <w:rFonts w:ascii="宋体" w:hAnsi="宋体" w:cs="宋体"/>
          <w:b/>
          <w:color w:val="auto"/>
          <w:szCs w:val="21"/>
          <w:highlight w:val="none"/>
        </w:rPr>
      </w:pPr>
    </w:p>
    <w:p w14:paraId="2D6E25CC">
      <w:pPr>
        <w:rPr>
          <w:rFonts w:ascii="宋体" w:hAnsi="宋体" w:cs="宋体"/>
          <w:b/>
          <w:color w:val="auto"/>
          <w:szCs w:val="21"/>
          <w:highlight w:val="none"/>
        </w:rPr>
      </w:pPr>
    </w:p>
    <w:p w14:paraId="64BB7759">
      <w:pPr>
        <w:rPr>
          <w:rFonts w:ascii="宋体" w:hAnsi="宋体" w:cs="宋体"/>
          <w:b/>
          <w:color w:val="auto"/>
          <w:szCs w:val="21"/>
          <w:highlight w:val="none"/>
        </w:rPr>
      </w:pPr>
    </w:p>
    <w:p w14:paraId="1D85A626">
      <w:pPr>
        <w:rPr>
          <w:rFonts w:ascii="宋体" w:hAnsi="宋体" w:cs="宋体"/>
          <w:b/>
          <w:color w:val="auto"/>
          <w:szCs w:val="21"/>
          <w:highlight w:val="none"/>
        </w:rPr>
      </w:pPr>
    </w:p>
    <w:p w14:paraId="45F12FB2">
      <w:pPr>
        <w:rPr>
          <w:rFonts w:ascii="宋体" w:hAnsi="宋体" w:cs="宋体"/>
          <w:b/>
          <w:color w:val="auto"/>
          <w:szCs w:val="21"/>
          <w:highlight w:val="none"/>
        </w:rPr>
      </w:pPr>
    </w:p>
    <w:p w14:paraId="77A583B5">
      <w:pPr>
        <w:rPr>
          <w:rFonts w:ascii="宋体" w:hAnsi="宋体" w:cs="宋体"/>
          <w:b/>
          <w:color w:val="auto"/>
          <w:szCs w:val="21"/>
          <w:highlight w:val="none"/>
        </w:rPr>
      </w:pPr>
    </w:p>
    <w:p w14:paraId="782E5C4D">
      <w:pPr>
        <w:rPr>
          <w:rFonts w:ascii="宋体" w:hAnsi="宋体" w:cs="宋体"/>
          <w:b/>
          <w:color w:val="auto"/>
          <w:szCs w:val="21"/>
          <w:highlight w:val="none"/>
        </w:rPr>
      </w:pPr>
    </w:p>
    <w:p w14:paraId="430263F9">
      <w:pPr>
        <w:rPr>
          <w:rFonts w:ascii="宋体" w:hAnsi="宋体" w:cs="宋体"/>
          <w:b/>
          <w:color w:val="auto"/>
          <w:szCs w:val="21"/>
          <w:highlight w:val="none"/>
        </w:rPr>
      </w:pPr>
    </w:p>
    <w:p w14:paraId="2FA47E08">
      <w:pPr>
        <w:rPr>
          <w:rFonts w:ascii="宋体" w:hAnsi="宋体" w:cs="宋体"/>
          <w:b/>
          <w:color w:val="auto"/>
          <w:szCs w:val="21"/>
          <w:highlight w:val="none"/>
        </w:rPr>
      </w:pPr>
    </w:p>
    <w:p w14:paraId="6A39C88C">
      <w:pPr>
        <w:rPr>
          <w:rFonts w:ascii="宋体" w:hAnsi="宋体" w:cs="宋体"/>
          <w:b/>
          <w:color w:val="auto"/>
          <w:szCs w:val="21"/>
          <w:highlight w:val="none"/>
        </w:rPr>
      </w:pPr>
    </w:p>
    <w:p w14:paraId="4EB45B18">
      <w:pPr>
        <w:rPr>
          <w:rFonts w:ascii="宋体" w:hAnsi="宋体" w:cs="宋体"/>
          <w:b/>
          <w:color w:val="auto"/>
          <w:szCs w:val="21"/>
          <w:highlight w:val="none"/>
        </w:rPr>
      </w:pPr>
    </w:p>
    <w:p w14:paraId="22BCBC66">
      <w:pPr>
        <w:rPr>
          <w:rFonts w:ascii="宋体" w:hAnsi="宋体" w:cs="宋体"/>
          <w:b/>
          <w:color w:val="auto"/>
          <w:szCs w:val="21"/>
          <w:highlight w:val="none"/>
        </w:rPr>
      </w:pPr>
    </w:p>
    <w:p w14:paraId="3927F956">
      <w:pPr>
        <w:rPr>
          <w:rFonts w:ascii="宋体" w:hAnsi="宋体" w:cs="宋体"/>
          <w:b/>
          <w:color w:val="auto"/>
          <w:szCs w:val="21"/>
          <w:highlight w:val="none"/>
        </w:rPr>
      </w:pPr>
    </w:p>
    <w:p w14:paraId="5B6E243D">
      <w:pPr>
        <w:pStyle w:val="45"/>
        <w:rPr>
          <w:rFonts w:ascii="宋体" w:hAnsi="宋体" w:cs="宋体"/>
          <w:b/>
          <w:color w:val="auto"/>
          <w:highlight w:val="none"/>
        </w:rPr>
      </w:pPr>
    </w:p>
    <w:p w14:paraId="6AA9B7E5">
      <w:pPr>
        <w:pStyle w:val="45"/>
        <w:rPr>
          <w:rFonts w:ascii="宋体" w:hAnsi="宋体" w:cs="宋体"/>
          <w:b/>
          <w:color w:val="auto"/>
          <w:highlight w:val="none"/>
        </w:rPr>
      </w:pPr>
    </w:p>
    <w:p w14:paraId="6199FD36">
      <w:pPr>
        <w:pStyle w:val="45"/>
        <w:rPr>
          <w:rFonts w:ascii="宋体" w:hAnsi="宋体" w:cs="宋体"/>
          <w:b/>
          <w:color w:val="auto"/>
          <w:highlight w:val="none"/>
        </w:rPr>
      </w:pPr>
    </w:p>
    <w:p w14:paraId="4BB798CE">
      <w:pPr>
        <w:pStyle w:val="45"/>
        <w:rPr>
          <w:rFonts w:ascii="宋体" w:hAnsi="宋体" w:cs="宋体"/>
          <w:b/>
          <w:color w:val="auto"/>
          <w:highlight w:val="none"/>
        </w:rPr>
      </w:pPr>
    </w:p>
    <w:p w14:paraId="1F606F33">
      <w:pPr>
        <w:pStyle w:val="45"/>
        <w:rPr>
          <w:rFonts w:ascii="宋体" w:hAnsi="宋体" w:cs="宋体"/>
          <w:b/>
          <w:color w:val="auto"/>
          <w:highlight w:val="none"/>
        </w:rPr>
      </w:pPr>
    </w:p>
    <w:p w14:paraId="0AD59185">
      <w:pPr>
        <w:pStyle w:val="45"/>
        <w:rPr>
          <w:rFonts w:ascii="宋体" w:hAnsi="宋体" w:cs="宋体"/>
          <w:b/>
          <w:color w:val="auto"/>
          <w:highlight w:val="none"/>
        </w:rPr>
      </w:pPr>
    </w:p>
    <w:p w14:paraId="49CB274D">
      <w:pPr>
        <w:pStyle w:val="45"/>
        <w:rPr>
          <w:rFonts w:ascii="宋体" w:hAnsi="宋体" w:cs="宋体"/>
          <w:b/>
          <w:color w:val="auto"/>
          <w:highlight w:val="none"/>
        </w:rPr>
      </w:pPr>
    </w:p>
    <w:p w14:paraId="724280F8">
      <w:pPr>
        <w:rPr>
          <w:rFonts w:ascii="宋体" w:hAnsi="宋体" w:cs="宋体"/>
          <w:b/>
          <w:color w:val="auto"/>
          <w:szCs w:val="21"/>
          <w:highlight w:val="none"/>
        </w:rPr>
      </w:pPr>
    </w:p>
    <w:p w14:paraId="34732C25">
      <w:pPr>
        <w:spacing w:line="320" w:lineRule="exact"/>
        <w:rPr>
          <w:rFonts w:ascii="宋体" w:hAnsi="宋体" w:cs="宋体"/>
          <w:b/>
          <w:color w:val="auto"/>
          <w:sz w:val="24"/>
          <w:highlight w:val="none"/>
        </w:rPr>
      </w:pPr>
      <w:r>
        <w:rPr>
          <w:rFonts w:hint="eastAsia" w:ascii="宋体" w:hAnsi="宋体" w:cs="宋体"/>
          <w:b/>
          <w:color w:val="auto"/>
          <w:sz w:val="24"/>
          <w:highlight w:val="none"/>
        </w:rPr>
        <w:t>五、技术响应表格式</w:t>
      </w:r>
    </w:p>
    <w:p w14:paraId="01A07D73">
      <w:pPr>
        <w:jc w:val="center"/>
        <w:rPr>
          <w:rFonts w:ascii="宋体" w:hAnsi="宋体" w:cs="宋体"/>
          <w:b/>
          <w:bCs/>
          <w:color w:val="auto"/>
          <w:kern w:val="0"/>
          <w:sz w:val="30"/>
          <w:highlight w:val="none"/>
        </w:rPr>
      </w:pPr>
      <w:r>
        <w:rPr>
          <w:rFonts w:hint="eastAsia" w:ascii="宋体" w:hAnsi="宋体" w:cs="宋体"/>
          <w:b/>
          <w:bCs/>
          <w:color w:val="auto"/>
          <w:kern w:val="0"/>
          <w:sz w:val="30"/>
          <w:highlight w:val="none"/>
        </w:rPr>
        <w:t>技术响应表</w:t>
      </w:r>
    </w:p>
    <w:tbl>
      <w:tblPr>
        <w:tblStyle w:val="35"/>
        <w:tblW w:w="8963"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363"/>
        <w:gridCol w:w="1680"/>
        <w:gridCol w:w="2118"/>
        <w:gridCol w:w="2976"/>
      </w:tblGrid>
      <w:tr w14:paraId="0A345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exact"/>
        </w:trPr>
        <w:tc>
          <w:tcPr>
            <w:tcW w:w="826" w:type="dxa"/>
            <w:vAlign w:val="center"/>
          </w:tcPr>
          <w:p w14:paraId="4316846D">
            <w:pPr>
              <w:pStyle w:val="84"/>
              <w:ind w:left="174" w:right="181"/>
              <w:jc w:val="center"/>
              <w:rPr>
                <w:color w:val="auto"/>
                <w:sz w:val="21"/>
                <w:highlight w:val="none"/>
              </w:rPr>
            </w:pPr>
            <w:r>
              <w:rPr>
                <w:rFonts w:hint="eastAsia"/>
                <w:color w:val="auto"/>
                <w:sz w:val="21"/>
                <w:highlight w:val="none"/>
              </w:rPr>
              <w:t>项号</w:t>
            </w:r>
          </w:p>
        </w:tc>
        <w:tc>
          <w:tcPr>
            <w:tcW w:w="1363" w:type="dxa"/>
            <w:vAlign w:val="center"/>
          </w:tcPr>
          <w:p w14:paraId="4FFA7228">
            <w:pPr>
              <w:pStyle w:val="84"/>
              <w:ind w:left="174" w:right="181"/>
              <w:jc w:val="center"/>
              <w:rPr>
                <w:color w:val="auto"/>
                <w:sz w:val="21"/>
                <w:highlight w:val="none"/>
              </w:rPr>
            </w:pPr>
            <w:r>
              <w:rPr>
                <w:rFonts w:hint="eastAsia"/>
                <w:color w:val="auto"/>
                <w:sz w:val="21"/>
                <w:highlight w:val="none"/>
              </w:rPr>
              <w:t>货物名称</w:t>
            </w:r>
          </w:p>
        </w:tc>
        <w:tc>
          <w:tcPr>
            <w:tcW w:w="1680" w:type="dxa"/>
            <w:tcBorders>
              <w:right w:val="single" w:color="auto" w:sz="4" w:space="0"/>
            </w:tcBorders>
            <w:vAlign w:val="center"/>
          </w:tcPr>
          <w:p w14:paraId="4E9B967F">
            <w:pPr>
              <w:pStyle w:val="84"/>
              <w:ind w:left="174" w:right="181"/>
              <w:jc w:val="center"/>
              <w:rPr>
                <w:color w:val="auto"/>
                <w:sz w:val="21"/>
                <w:highlight w:val="none"/>
                <w:lang w:eastAsia="zh-CN"/>
              </w:rPr>
            </w:pPr>
            <w:r>
              <w:rPr>
                <w:rFonts w:hint="eastAsia"/>
                <w:color w:val="auto"/>
                <w:sz w:val="21"/>
                <w:highlight w:val="none"/>
                <w:lang w:eastAsia="zh-CN"/>
              </w:rPr>
              <w:t>竞争性谈判文件的要求</w:t>
            </w:r>
          </w:p>
        </w:tc>
        <w:tc>
          <w:tcPr>
            <w:tcW w:w="2118" w:type="dxa"/>
            <w:tcBorders>
              <w:left w:val="single" w:color="auto" w:sz="4" w:space="0"/>
            </w:tcBorders>
            <w:vAlign w:val="center"/>
          </w:tcPr>
          <w:p w14:paraId="3F43F5FD">
            <w:pPr>
              <w:pStyle w:val="84"/>
              <w:ind w:left="174" w:right="181"/>
              <w:jc w:val="center"/>
              <w:rPr>
                <w:color w:val="auto"/>
                <w:sz w:val="21"/>
                <w:highlight w:val="none"/>
              </w:rPr>
            </w:pPr>
            <w:r>
              <w:rPr>
                <w:rFonts w:hint="eastAsia"/>
                <w:color w:val="auto"/>
                <w:sz w:val="21"/>
                <w:highlight w:val="none"/>
                <w:lang w:eastAsia="zh-CN"/>
              </w:rPr>
              <w:t>响应</w:t>
            </w:r>
            <w:r>
              <w:rPr>
                <w:rFonts w:hint="eastAsia"/>
                <w:color w:val="auto"/>
                <w:sz w:val="21"/>
                <w:highlight w:val="none"/>
              </w:rPr>
              <w:t>文件响应</w:t>
            </w:r>
          </w:p>
        </w:tc>
        <w:tc>
          <w:tcPr>
            <w:tcW w:w="2976" w:type="dxa"/>
            <w:vAlign w:val="center"/>
          </w:tcPr>
          <w:p w14:paraId="18A6E573">
            <w:pPr>
              <w:pStyle w:val="84"/>
              <w:ind w:left="174" w:right="181"/>
              <w:jc w:val="center"/>
              <w:rPr>
                <w:color w:val="auto"/>
                <w:sz w:val="21"/>
                <w:highlight w:val="none"/>
              </w:rPr>
            </w:pPr>
            <w:r>
              <w:rPr>
                <w:rFonts w:hint="eastAsia"/>
                <w:color w:val="auto"/>
                <w:sz w:val="21"/>
                <w:highlight w:val="none"/>
              </w:rPr>
              <w:t>偏离情况说明</w:t>
            </w:r>
          </w:p>
        </w:tc>
      </w:tr>
      <w:tr w14:paraId="54AF9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6" w:type="dxa"/>
          </w:tcPr>
          <w:p w14:paraId="26498BCC">
            <w:pPr>
              <w:pStyle w:val="84"/>
              <w:spacing w:before="167"/>
              <w:ind w:left="0" w:right="7"/>
              <w:jc w:val="center"/>
              <w:rPr>
                <w:color w:val="auto"/>
                <w:sz w:val="21"/>
                <w:highlight w:val="none"/>
              </w:rPr>
            </w:pPr>
            <w:r>
              <w:rPr>
                <w:rFonts w:hint="eastAsia"/>
                <w:color w:val="auto"/>
                <w:sz w:val="21"/>
                <w:highlight w:val="none"/>
              </w:rPr>
              <w:t>1</w:t>
            </w:r>
          </w:p>
        </w:tc>
        <w:tc>
          <w:tcPr>
            <w:tcW w:w="1363" w:type="dxa"/>
          </w:tcPr>
          <w:p w14:paraId="03026889">
            <w:pPr>
              <w:rPr>
                <w:rFonts w:ascii="宋体" w:hAnsi="宋体" w:cs="宋体"/>
                <w:color w:val="auto"/>
                <w:highlight w:val="none"/>
              </w:rPr>
            </w:pPr>
          </w:p>
        </w:tc>
        <w:tc>
          <w:tcPr>
            <w:tcW w:w="1680" w:type="dxa"/>
            <w:tcBorders>
              <w:right w:val="single" w:color="auto" w:sz="4" w:space="0"/>
            </w:tcBorders>
          </w:tcPr>
          <w:p w14:paraId="468EFA5E">
            <w:pPr>
              <w:rPr>
                <w:rFonts w:ascii="宋体" w:hAnsi="宋体" w:cs="宋体"/>
                <w:color w:val="auto"/>
                <w:highlight w:val="none"/>
              </w:rPr>
            </w:pPr>
          </w:p>
        </w:tc>
        <w:tc>
          <w:tcPr>
            <w:tcW w:w="2118" w:type="dxa"/>
            <w:tcBorders>
              <w:left w:val="single" w:color="auto" w:sz="4" w:space="0"/>
            </w:tcBorders>
          </w:tcPr>
          <w:p w14:paraId="6C80AB4F">
            <w:pPr>
              <w:rPr>
                <w:rFonts w:ascii="宋体" w:hAnsi="宋体" w:cs="宋体"/>
                <w:color w:val="auto"/>
                <w:highlight w:val="none"/>
              </w:rPr>
            </w:pPr>
          </w:p>
        </w:tc>
        <w:tc>
          <w:tcPr>
            <w:tcW w:w="2976" w:type="dxa"/>
          </w:tcPr>
          <w:p w14:paraId="68845EF5">
            <w:pPr>
              <w:rPr>
                <w:rFonts w:ascii="宋体" w:hAnsi="宋体" w:cs="宋体"/>
                <w:color w:val="auto"/>
                <w:highlight w:val="none"/>
              </w:rPr>
            </w:pPr>
          </w:p>
        </w:tc>
      </w:tr>
      <w:tr w14:paraId="54311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trPr>
        <w:tc>
          <w:tcPr>
            <w:tcW w:w="826" w:type="dxa"/>
          </w:tcPr>
          <w:p w14:paraId="0B69B4AD">
            <w:pPr>
              <w:pStyle w:val="84"/>
              <w:spacing w:before="167"/>
              <w:ind w:left="0" w:right="7"/>
              <w:jc w:val="center"/>
              <w:rPr>
                <w:color w:val="auto"/>
                <w:sz w:val="21"/>
                <w:highlight w:val="none"/>
              </w:rPr>
            </w:pPr>
            <w:r>
              <w:rPr>
                <w:rFonts w:hint="eastAsia"/>
                <w:color w:val="auto"/>
                <w:sz w:val="21"/>
                <w:highlight w:val="none"/>
              </w:rPr>
              <w:t>2</w:t>
            </w:r>
          </w:p>
        </w:tc>
        <w:tc>
          <w:tcPr>
            <w:tcW w:w="1363" w:type="dxa"/>
          </w:tcPr>
          <w:p w14:paraId="56CF5863">
            <w:pPr>
              <w:rPr>
                <w:rFonts w:ascii="宋体" w:hAnsi="宋体" w:cs="宋体"/>
                <w:color w:val="auto"/>
                <w:highlight w:val="none"/>
              </w:rPr>
            </w:pPr>
          </w:p>
        </w:tc>
        <w:tc>
          <w:tcPr>
            <w:tcW w:w="1680" w:type="dxa"/>
            <w:tcBorders>
              <w:right w:val="single" w:color="auto" w:sz="4" w:space="0"/>
            </w:tcBorders>
          </w:tcPr>
          <w:p w14:paraId="277CA166">
            <w:pPr>
              <w:rPr>
                <w:rFonts w:ascii="宋体" w:hAnsi="宋体" w:cs="宋体"/>
                <w:color w:val="auto"/>
                <w:highlight w:val="none"/>
              </w:rPr>
            </w:pPr>
          </w:p>
        </w:tc>
        <w:tc>
          <w:tcPr>
            <w:tcW w:w="2118" w:type="dxa"/>
            <w:tcBorders>
              <w:left w:val="single" w:color="auto" w:sz="4" w:space="0"/>
            </w:tcBorders>
          </w:tcPr>
          <w:p w14:paraId="767F77EC">
            <w:pPr>
              <w:rPr>
                <w:rFonts w:ascii="宋体" w:hAnsi="宋体" w:cs="宋体"/>
                <w:color w:val="auto"/>
                <w:highlight w:val="none"/>
              </w:rPr>
            </w:pPr>
          </w:p>
        </w:tc>
        <w:tc>
          <w:tcPr>
            <w:tcW w:w="2976" w:type="dxa"/>
          </w:tcPr>
          <w:p w14:paraId="237B3D56">
            <w:pPr>
              <w:rPr>
                <w:rFonts w:ascii="宋体" w:hAnsi="宋体" w:cs="宋体"/>
                <w:color w:val="auto"/>
                <w:highlight w:val="none"/>
              </w:rPr>
            </w:pPr>
          </w:p>
        </w:tc>
      </w:tr>
      <w:tr w14:paraId="00E06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trPr>
        <w:tc>
          <w:tcPr>
            <w:tcW w:w="826" w:type="dxa"/>
          </w:tcPr>
          <w:p w14:paraId="5F80519C">
            <w:pPr>
              <w:pStyle w:val="84"/>
              <w:spacing w:before="177"/>
              <w:ind w:left="0" w:right="7"/>
              <w:jc w:val="center"/>
              <w:rPr>
                <w:color w:val="auto"/>
                <w:sz w:val="21"/>
                <w:highlight w:val="none"/>
              </w:rPr>
            </w:pPr>
            <w:r>
              <w:rPr>
                <w:rFonts w:hint="eastAsia"/>
                <w:color w:val="auto"/>
                <w:sz w:val="21"/>
                <w:highlight w:val="none"/>
              </w:rPr>
              <w:t>…</w:t>
            </w:r>
          </w:p>
        </w:tc>
        <w:tc>
          <w:tcPr>
            <w:tcW w:w="1363" w:type="dxa"/>
          </w:tcPr>
          <w:p w14:paraId="7C07BB34">
            <w:pPr>
              <w:rPr>
                <w:rFonts w:ascii="宋体" w:hAnsi="宋体" w:cs="宋体"/>
                <w:color w:val="auto"/>
                <w:highlight w:val="none"/>
              </w:rPr>
            </w:pPr>
          </w:p>
        </w:tc>
        <w:tc>
          <w:tcPr>
            <w:tcW w:w="1680" w:type="dxa"/>
            <w:tcBorders>
              <w:right w:val="single" w:color="auto" w:sz="4" w:space="0"/>
            </w:tcBorders>
          </w:tcPr>
          <w:p w14:paraId="305AEB7C">
            <w:pPr>
              <w:rPr>
                <w:rFonts w:ascii="宋体" w:hAnsi="宋体" w:cs="宋体"/>
                <w:color w:val="auto"/>
                <w:highlight w:val="none"/>
              </w:rPr>
            </w:pPr>
          </w:p>
        </w:tc>
        <w:tc>
          <w:tcPr>
            <w:tcW w:w="2118" w:type="dxa"/>
            <w:tcBorders>
              <w:left w:val="single" w:color="auto" w:sz="4" w:space="0"/>
            </w:tcBorders>
          </w:tcPr>
          <w:p w14:paraId="2F022B17">
            <w:pPr>
              <w:rPr>
                <w:rFonts w:ascii="宋体" w:hAnsi="宋体" w:cs="宋体"/>
                <w:color w:val="auto"/>
                <w:highlight w:val="none"/>
              </w:rPr>
            </w:pPr>
          </w:p>
        </w:tc>
        <w:tc>
          <w:tcPr>
            <w:tcW w:w="2976" w:type="dxa"/>
          </w:tcPr>
          <w:p w14:paraId="1BCC3C39">
            <w:pPr>
              <w:rPr>
                <w:rFonts w:ascii="宋体" w:hAnsi="宋体" w:cs="宋体"/>
                <w:color w:val="auto"/>
                <w:highlight w:val="none"/>
              </w:rPr>
            </w:pPr>
          </w:p>
        </w:tc>
      </w:tr>
      <w:tr w14:paraId="584E7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6" w:type="dxa"/>
          </w:tcPr>
          <w:p w14:paraId="5C222A3B">
            <w:pPr>
              <w:pStyle w:val="84"/>
              <w:spacing w:before="167"/>
              <w:ind w:left="0" w:right="7"/>
              <w:jc w:val="center"/>
              <w:rPr>
                <w:color w:val="auto"/>
                <w:sz w:val="21"/>
                <w:highlight w:val="none"/>
              </w:rPr>
            </w:pPr>
            <w:r>
              <w:rPr>
                <w:rFonts w:hint="eastAsia"/>
                <w:color w:val="auto"/>
                <w:sz w:val="21"/>
                <w:highlight w:val="none"/>
              </w:rPr>
              <w:t>N</w:t>
            </w:r>
          </w:p>
        </w:tc>
        <w:tc>
          <w:tcPr>
            <w:tcW w:w="1363" w:type="dxa"/>
          </w:tcPr>
          <w:p w14:paraId="2C43477F">
            <w:pPr>
              <w:rPr>
                <w:rFonts w:ascii="宋体" w:hAnsi="宋体" w:cs="宋体"/>
                <w:color w:val="auto"/>
                <w:highlight w:val="none"/>
              </w:rPr>
            </w:pPr>
          </w:p>
        </w:tc>
        <w:tc>
          <w:tcPr>
            <w:tcW w:w="1680" w:type="dxa"/>
            <w:tcBorders>
              <w:right w:val="single" w:color="auto" w:sz="4" w:space="0"/>
            </w:tcBorders>
          </w:tcPr>
          <w:p w14:paraId="0BD030B1">
            <w:pPr>
              <w:rPr>
                <w:rFonts w:ascii="宋体" w:hAnsi="宋体" w:cs="宋体"/>
                <w:color w:val="auto"/>
                <w:highlight w:val="none"/>
              </w:rPr>
            </w:pPr>
          </w:p>
        </w:tc>
        <w:tc>
          <w:tcPr>
            <w:tcW w:w="2118" w:type="dxa"/>
            <w:tcBorders>
              <w:left w:val="single" w:color="auto" w:sz="4" w:space="0"/>
            </w:tcBorders>
          </w:tcPr>
          <w:p w14:paraId="5539007F">
            <w:pPr>
              <w:rPr>
                <w:rFonts w:ascii="宋体" w:hAnsi="宋体" w:cs="宋体"/>
                <w:color w:val="auto"/>
                <w:highlight w:val="none"/>
              </w:rPr>
            </w:pPr>
          </w:p>
        </w:tc>
        <w:tc>
          <w:tcPr>
            <w:tcW w:w="2976" w:type="dxa"/>
          </w:tcPr>
          <w:p w14:paraId="3E4A674B">
            <w:pPr>
              <w:rPr>
                <w:rFonts w:ascii="宋体" w:hAnsi="宋体" w:cs="宋体"/>
                <w:color w:val="auto"/>
                <w:highlight w:val="none"/>
              </w:rPr>
            </w:pPr>
          </w:p>
        </w:tc>
      </w:tr>
    </w:tbl>
    <w:p w14:paraId="2CC4276D">
      <w:pPr>
        <w:pStyle w:val="15"/>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注：1、供应商应根据投标设备的性能指标、对照谈判文件技术参数要求在“偏离情况”栏注明“正偏离”、“负偏离”或“无偏离”。</w:t>
      </w:r>
    </w:p>
    <w:p w14:paraId="19AA6C62">
      <w:pPr>
        <w:pStyle w:val="15"/>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   2、供应商应将投标货物的性能指标中与</w:t>
      </w:r>
      <w:r>
        <w:rPr>
          <w:rFonts w:hint="eastAsia" w:ascii="宋体" w:hAnsi="宋体" w:cs="宋体"/>
          <w:color w:val="auto"/>
          <w:sz w:val="21"/>
          <w:highlight w:val="none"/>
        </w:rPr>
        <w:t>竞争性谈判文件</w:t>
      </w:r>
      <w:r>
        <w:rPr>
          <w:rFonts w:hint="eastAsia" w:ascii="宋体" w:hAnsi="宋体" w:cs="宋体"/>
          <w:color w:val="auto"/>
          <w:sz w:val="21"/>
          <w:szCs w:val="21"/>
          <w:highlight w:val="none"/>
        </w:rPr>
        <w:t>要求的性能指标有偏离的地方用明显标识，以便于评委评审，否则如给评审造成困难，其可能导致评委作出不利于供应商的评价，是供应商的责任。</w:t>
      </w:r>
    </w:p>
    <w:p w14:paraId="33ECA4FE">
      <w:pPr>
        <w:spacing w:line="36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04BF6A09">
      <w:pPr>
        <w:spacing w:line="36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1CAB091C">
      <w:pPr>
        <w:snapToGrid w:val="0"/>
        <w:spacing w:before="50" w:after="50" w:line="360" w:lineRule="exact"/>
        <w:rPr>
          <w:rFonts w:ascii="宋体" w:hAnsi="宋体" w:cs="宋体"/>
          <w:color w:val="auto"/>
          <w:spacing w:val="20"/>
          <w:szCs w:val="21"/>
          <w:highlight w:val="none"/>
        </w:rPr>
      </w:pPr>
      <w:r>
        <w:rPr>
          <w:rFonts w:hint="eastAsia" w:ascii="宋体" w:hAnsi="宋体" w:cs="宋体"/>
          <w:color w:val="auto"/>
          <w:szCs w:val="21"/>
          <w:highlight w:val="none"/>
        </w:rPr>
        <w:t>技术响应表附件</w:t>
      </w:r>
      <w:r>
        <w:rPr>
          <w:rFonts w:hint="eastAsia" w:ascii="宋体" w:hAnsi="宋体" w:cs="宋体"/>
          <w:color w:val="auto"/>
          <w:spacing w:val="20"/>
          <w:szCs w:val="21"/>
          <w:highlight w:val="none"/>
        </w:rPr>
        <w:t>：</w:t>
      </w:r>
    </w:p>
    <w:tbl>
      <w:tblPr>
        <w:tblStyle w:val="35"/>
        <w:tblW w:w="88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2834"/>
        <w:gridCol w:w="2550"/>
        <w:gridCol w:w="2551"/>
      </w:tblGrid>
      <w:tr w14:paraId="497AE9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8897" w:type="dxa"/>
            <w:gridSpan w:val="4"/>
            <w:tcBorders>
              <w:top w:val="single" w:color="auto" w:sz="4" w:space="0"/>
              <w:left w:val="single" w:color="auto" w:sz="4" w:space="0"/>
              <w:bottom w:val="single" w:color="auto" w:sz="4" w:space="0"/>
              <w:right w:val="single" w:color="auto" w:sz="4" w:space="0"/>
            </w:tcBorders>
            <w:vAlign w:val="center"/>
          </w:tcPr>
          <w:p w14:paraId="73D379CD">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附件资料汇总表</w:t>
            </w:r>
          </w:p>
        </w:tc>
      </w:tr>
      <w:tr w14:paraId="318C5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7FF0B796">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835" w:type="dxa"/>
            <w:tcBorders>
              <w:top w:val="single" w:color="auto" w:sz="4" w:space="0"/>
              <w:left w:val="single" w:color="auto" w:sz="4" w:space="0"/>
              <w:bottom w:val="single" w:color="auto" w:sz="4" w:space="0"/>
              <w:right w:val="single" w:color="auto" w:sz="4" w:space="0"/>
            </w:tcBorders>
            <w:vAlign w:val="center"/>
          </w:tcPr>
          <w:p w14:paraId="60755626">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2551" w:type="dxa"/>
            <w:tcBorders>
              <w:top w:val="single" w:color="auto" w:sz="4" w:space="0"/>
              <w:left w:val="single" w:color="auto" w:sz="4" w:space="0"/>
              <w:bottom w:val="single" w:color="auto" w:sz="4" w:space="0"/>
              <w:right w:val="single" w:color="auto" w:sz="4" w:space="0"/>
            </w:tcBorders>
            <w:vAlign w:val="center"/>
          </w:tcPr>
          <w:p w14:paraId="15604A55">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资料名称</w:t>
            </w:r>
          </w:p>
        </w:tc>
        <w:tc>
          <w:tcPr>
            <w:tcW w:w="2552" w:type="dxa"/>
            <w:tcBorders>
              <w:top w:val="single" w:color="auto" w:sz="4" w:space="0"/>
              <w:left w:val="single" w:color="auto" w:sz="4" w:space="0"/>
              <w:bottom w:val="single" w:color="auto" w:sz="4" w:space="0"/>
              <w:right w:val="single" w:color="auto" w:sz="4" w:space="0"/>
            </w:tcBorders>
            <w:vAlign w:val="center"/>
          </w:tcPr>
          <w:p w14:paraId="058D8716">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附件页码</w:t>
            </w:r>
          </w:p>
        </w:tc>
      </w:tr>
      <w:tr w14:paraId="57FAD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959" w:type="dxa"/>
            <w:tcBorders>
              <w:top w:val="single" w:color="auto" w:sz="4" w:space="0"/>
              <w:left w:val="single" w:color="auto" w:sz="4" w:space="0"/>
              <w:bottom w:val="single" w:color="auto" w:sz="4" w:space="0"/>
              <w:right w:val="single" w:color="auto" w:sz="4" w:space="0"/>
            </w:tcBorders>
          </w:tcPr>
          <w:p w14:paraId="4A9E616F">
            <w:pPr>
              <w:snapToGrid w:val="0"/>
              <w:spacing w:line="360" w:lineRule="exact"/>
              <w:jc w:val="left"/>
              <w:rPr>
                <w:rFonts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5820DFCB">
            <w:pPr>
              <w:snapToGrid w:val="0"/>
              <w:spacing w:line="360" w:lineRule="exact"/>
              <w:jc w:val="left"/>
              <w:rPr>
                <w:rFonts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73D73E6D">
            <w:pPr>
              <w:snapToGrid w:val="0"/>
              <w:spacing w:line="360" w:lineRule="exact"/>
              <w:jc w:val="left"/>
              <w:rPr>
                <w:rFonts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412F83C7">
            <w:pPr>
              <w:snapToGrid w:val="0"/>
              <w:spacing w:line="360" w:lineRule="exact"/>
              <w:jc w:val="left"/>
              <w:rPr>
                <w:rFonts w:ascii="宋体" w:hAnsi="宋体" w:cs="宋体"/>
                <w:color w:val="auto"/>
                <w:szCs w:val="21"/>
                <w:highlight w:val="none"/>
              </w:rPr>
            </w:pPr>
          </w:p>
        </w:tc>
      </w:tr>
      <w:tr w14:paraId="12AE3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210B5FB3">
            <w:pPr>
              <w:snapToGrid w:val="0"/>
              <w:spacing w:before="50" w:after="156" w:afterLines="50" w:line="360" w:lineRule="exact"/>
              <w:jc w:val="left"/>
              <w:rPr>
                <w:rFonts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75C3B521">
            <w:pPr>
              <w:snapToGrid w:val="0"/>
              <w:spacing w:before="50" w:after="156" w:afterLines="50" w:line="360" w:lineRule="exact"/>
              <w:jc w:val="left"/>
              <w:rPr>
                <w:rFonts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435E0A51">
            <w:pPr>
              <w:snapToGrid w:val="0"/>
              <w:spacing w:before="50" w:after="156" w:afterLines="50" w:line="360" w:lineRule="exact"/>
              <w:jc w:val="left"/>
              <w:rPr>
                <w:rFonts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231B515E">
            <w:pPr>
              <w:snapToGrid w:val="0"/>
              <w:spacing w:before="50" w:after="156" w:afterLines="50" w:line="360" w:lineRule="exact"/>
              <w:jc w:val="left"/>
              <w:rPr>
                <w:rFonts w:ascii="宋体" w:hAnsi="宋体" w:cs="宋体"/>
                <w:color w:val="auto"/>
                <w:szCs w:val="21"/>
                <w:highlight w:val="none"/>
              </w:rPr>
            </w:pPr>
          </w:p>
        </w:tc>
      </w:tr>
      <w:tr w14:paraId="22033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59" w:type="dxa"/>
            <w:tcBorders>
              <w:top w:val="single" w:color="auto" w:sz="4" w:space="0"/>
              <w:left w:val="single" w:color="auto" w:sz="4" w:space="0"/>
              <w:bottom w:val="single" w:color="auto" w:sz="4" w:space="0"/>
              <w:right w:val="single" w:color="auto" w:sz="4" w:space="0"/>
            </w:tcBorders>
          </w:tcPr>
          <w:p w14:paraId="24F2187E">
            <w:pPr>
              <w:snapToGrid w:val="0"/>
              <w:spacing w:before="50" w:after="156" w:afterLines="50" w:line="360" w:lineRule="exact"/>
              <w:jc w:val="left"/>
              <w:rPr>
                <w:rFonts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48730A91">
            <w:pPr>
              <w:snapToGrid w:val="0"/>
              <w:spacing w:before="50" w:after="156" w:afterLines="50" w:line="360" w:lineRule="exact"/>
              <w:jc w:val="left"/>
              <w:rPr>
                <w:rFonts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D6C24E9">
            <w:pPr>
              <w:snapToGrid w:val="0"/>
              <w:spacing w:before="50" w:after="156" w:afterLines="50" w:line="360" w:lineRule="exact"/>
              <w:jc w:val="left"/>
              <w:rPr>
                <w:rFonts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20F1F1E5">
            <w:pPr>
              <w:snapToGrid w:val="0"/>
              <w:spacing w:before="50" w:after="156" w:afterLines="50" w:line="360" w:lineRule="exact"/>
              <w:jc w:val="left"/>
              <w:rPr>
                <w:rFonts w:ascii="宋体" w:hAnsi="宋体" w:cs="宋体"/>
                <w:color w:val="auto"/>
                <w:szCs w:val="21"/>
                <w:highlight w:val="none"/>
              </w:rPr>
            </w:pPr>
          </w:p>
        </w:tc>
      </w:tr>
      <w:tr w14:paraId="4E916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248F4712">
            <w:pPr>
              <w:snapToGrid w:val="0"/>
              <w:spacing w:before="50" w:after="156" w:afterLines="50" w:line="360" w:lineRule="exact"/>
              <w:jc w:val="left"/>
              <w:rPr>
                <w:rFonts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02EFA76F">
            <w:pPr>
              <w:snapToGrid w:val="0"/>
              <w:spacing w:before="50" w:after="156" w:afterLines="50" w:line="360" w:lineRule="exact"/>
              <w:jc w:val="left"/>
              <w:rPr>
                <w:rFonts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217D0F1B">
            <w:pPr>
              <w:snapToGrid w:val="0"/>
              <w:spacing w:before="50" w:after="156" w:afterLines="50" w:line="360" w:lineRule="exact"/>
              <w:jc w:val="left"/>
              <w:rPr>
                <w:rFonts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3B70C648">
            <w:pPr>
              <w:snapToGrid w:val="0"/>
              <w:spacing w:before="50" w:after="156" w:afterLines="50" w:line="360" w:lineRule="exact"/>
              <w:jc w:val="left"/>
              <w:rPr>
                <w:rFonts w:ascii="宋体" w:hAnsi="宋体" w:cs="宋体"/>
                <w:color w:val="auto"/>
                <w:szCs w:val="21"/>
                <w:highlight w:val="none"/>
              </w:rPr>
            </w:pPr>
          </w:p>
        </w:tc>
      </w:tr>
      <w:tr w14:paraId="340A2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71B12142">
            <w:pPr>
              <w:snapToGrid w:val="0"/>
              <w:spacing w:before="50" w:after="156" w:afterLines="50" w:line="360" w:lineRule="exact"/>
              <w:jc w:val="left"/>
              <w:rPr>
                <w:rFonts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75A13EFB">
            <w:pPr>
              <w:snapToGrid w:val="0"/>
              <w:spacing w:before="50" w:after="156" w:afterLines="50" w:line="360" w:lineRule="exact"/>
              <w:jc w:val="left"/>
              <w:rPr>
                <w:rFonts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7D3863F">
            <w:pPr>
              <w:snapToGrid w:val="0"/>
              <w:spacing w:before="50" w:after="156" w:afterLines="50" w:line="360" w:lineRule="exact"/>
              <w:jc w:val="left"/>
              <w:rPr>
                <w:rFonts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6F36C304">
            <w:pPr>
              <w:snapToGrid w:val="0"/>
              <w:spacing w:before="50" w:after="156" w:afterLines="50" w:line="360" w:lineRule="exact"/>
              <w:jc w:val="left"/>
              <w:rPr>
                <w:rFonts w:ascii="宋体" w:hAnsi="宋体" w:cs="宋体"/>
                <w:color w:val="auto"/>
                <w:szCs w:val="21"/>
                <w:highlight w:val="none"/>
              </w:rPr>
            </w:pPr>
          </w:p>
        </w:tc>
      </w:tr>
    </w:tbl>
    <w:p w14:paraId="726C2E54">
      <w:pPr>
        <w:snapToGrid w:val="0"/>
        <w:spacing w:before="156" w:beforeLines="50" w:after="50" w:line="360" w:lineRule="exact"/>
        <w:jc w:val="left"/>
        <w:rPr>
          <w:rFonts w:ascii="宋体" w:hAnsi="宋体" w:cs="宋体"/>
          <w:b/>
          <w:color w:val="auto"/>
          <w:szCs w:val="21"/>
          <w:highlight w:val="none"/>
        </w:rPr>
      </w:pPr>
      <w:r>
        <w:rPr>
          <w:rFonts w:hint="eastAsia" w:ascii="宋体" w:hAnsi="宋体" w:cs="宋体"/>
          <w:b/>
          <w:color w:val="auto"/>
          <w:szCs w:val="21"/>
          <w:highlight w:val="none"/>
        </w:rPr>
        <w:t>注：此表后附“第三章采购需求”中要求必须提供的资料，也可附供应商认为需要提供的投标货物相关资料。</w:t>
      </w:r>
    </w:p>
    <w:p w14:paraId="76943643">
      <w:pPr>
        <w:spacing w:line="500" w:lineRule="exact"/>
        <w:jc w:val="center"/>
        <w:rPr>
          <w:rFonts w:ascii="宋体" w:hAnsi="宋体" w:cs="宋体"/>
          <w:b/>
          <w:color w:val="auto"/>
          <w:sz w:val="32"/>
          <w:szCs w:val="32"/>
          <w:highlight w:val="none"/>
        </w:rPr>
      </w:pPr>
    </w:p>
    <w:p w14:paraId="6A74477A">
      <w:pPr>
        <w:spacing w:line="320" w:lineRule="exact"/>
        <w:rPr>
          <w:rFonts w:ascii="宋体" w:hAnsi="宋体" w:cs="宋体"/>
          <w:b/>
          <w:color w:val="auto"/>
          <w:sz w:val="24"/>
          <w:highlight w:val="none"/>
        </w:rPr>
      </w:pPr>
    </w:p>
    <w:p w14:paraId="3DFED54B">
      <w:pPr>
        <w:spacing w:line="320" w:lineRule="exact"/>
        <w:rPr>
          <w:rFonts w:ascii="宋体" w:hAnsi="宋体" w:cs="宋体"/>
          <w:b/>
          <w:color w:val="auto"/>
          <w:sz w:val="24"/>
          <w:highlight w:val="none"/>
        </w:rPr>
      </w:pPr>
    </w:p>
    <w:p w14:paraId="3456FA58">
      <w:pPr>
        <w:spacing w:line="320" w:lineRule="exact"/>
        <w:rPr>
          <w:rFonts w:ascii="宋体" w:hAnsi="宋体" w:cs="宋体"/>
          <w:b/>
          <w:color w:val="auto"/>
          <w:sz w:val="24"/>
          <w:highlight w:val="none"/>
        </w:rPr>
      </w:pPr>
    </w:p>
    <w:p w14:paraId="260DB0C2">
      <w:pPr>
        <w:spacing w:line="320" w:lineRule="exact"/>
        <w:rPr>
          <w:rFonts w:ascii="宋体" w:hAnsi="宋体" w:cs="宋体"/>
          <w:b/>
          <w:color w:val="auto"/>
          <w:sz w:val="24"/>
          <w:highlight w:val="none"/>
        </w:rPr>
      </w:pPr>
    </w:p>
    <w:p w14:paraId="61C3E33E">
      <w:pPr>
        <w:spacing w:line="320" w:lineRule="exact"/>
        <w:rPr>
          <w:rFonts w:ascii="宋体" w:hAnsi="宋体" w:cs="宋体"/>
          <w:b/>
          <w:color w:val="auto"/>
          <w:sz w:val="24"/>
          <w:highlight w:val="none"/>
        </w:rPr>
      </w:pPr>
    </w:p>
    <w:p w14:paraId="28B377B1">
      <w:pPr>
        <w:rPr>
          <w:rFonts w:ascii="宋体" w:hAnsi="宋体" w:cs="宋体"/>
          <w:b/>
          <w:color w:val="auto"/>
          <w:szCs w:val="21"/>
          <w:highlight w:val="none"/>
        </w:rPr>
      </w:pPr>
      <w:r>
        <w:rPr>
          <w:rFonts w:hint="eastAsia" w:ascii="宋体" w:hAnsi="宋体" w:cs="宋体"/>
          <w:b/>
          <w:color w:val="auto"/>
          <w:szCs w:val="21"/>
          <w:highlight w:val="none"/>
        </w:rPr>
        <w:t>六、设备配置清单格式</w:t>
      </w:r>
    </w:p>
    <w:p w14:paraId="574D8478">
      <w:pPr>
        <w:spacing w:line="360" w:lineRule="exact"/>
        <w:jc w:val="center"/>
        <w:rPr>
          <w:rFonts w:ascii="宋体" w:hAnsi="宋体" w:cs="宋体"/>
          <w:color w:val="auto"/>
          <w:szCs w:val="21"/>
          <w:highlight w:val="none"/>
        </w:rPr>
      </w:pPr>
      <w:r>
        <w:rPr>
          <w:rFonts w:hint="eastAsia" w:ascii="宋体" w:hAnsi="宋体" w:cs="宋体"/>
          <w:b/>
          <w:color w:val="auto"/>
          <w:sz w:val="28"/>
          <w:szCs w:val="28"/>
          <w:highlight w:val="none"/>
        </w:rPr>
        <w:t>设备配置清单</w:t>
      </w:r>
    </w:p>
    <w:tbl>
      <w:tblPr>
        <w:tblStyle w:val="35"/>
        <w:tblW w:w="99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681"/>
        <w:gridCol w:w="839"/>
        <w:gridCol w:w="1281"/>
        <w:gridCol w:w="1419"/>
        <w:gridCol w:w="2004"/>
        <w:gridCol w:w="1080"/>
        <w:gridCol w:w="782"/>
      </w:tblGrid>
      <w:tr w14:paraId="417EC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98B788E">
            <w:pPr>
              <w:snapToGrid w:val="0"/>
              <w:spacing w:before="50" w:after="50"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5CDE48A5">
            <w:pPr>
              <w:snapToGrid w:val="0"/>
              <w:spacing w:before="50" w:after="50" w:line="360" w:lineRule="exact"/>
              <w:jc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14:paraId="2A65300A">
            <w:pPr>
              <w:snapToGrid w:val="0"/>
              <w:spacing w:before="50" w:after="50" w:line="360" w:lineRule="exact"/>
              <w:jc w:val="center"/>
              <w:rPr>
                <w:rFonts w:ascii="宋体" w:hAnsi="宋体" w:cs="宋体"/>
                <w:color w:val="auto"/>
                <w:szCs w:val="21"/>
                <w:highlight w:val="none"/>
              </w:rPr>
            </w:pPr>
            <w:r>
              <w:rPr>
                <w:rFonts w:hint="eastAsia" w:ascii="宋体" w:hAnsi="宋体" w:cs="宋体"/>
                <w:color w:val="auto"/>
                <w:szCs w:val="21"/>
                <w:highlight w:val="none"/>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7568D897">
            <w:pPr>
              <w:snapToGrid w:val="0"/>
              <w:spacing w:before="50" w:after="50" w:line="360" w:lineRule="exact"/>
              <w:jc w:val="center"/>
              <w:rPr>
                <w:rFonts w:ascii="宋体" w:hAnsi="宋体" w:cs="宋体"/>
                <w:color w:val="auto"/>
                <w:szCs w:val="21"/>
                <w:highlight w:val="none"/>
              </w:rPr>
            </w:pPr>
            <w:r>
              <w:rPr>
                <w:rFonts w:hint="eastAsia" w:ascii="宋体" w:hAnsi="宋体" w:cs="宋体"/>
                <w:color w:val="auto"/>
                <w:szCs w:val="21"/>
                <w:highlight w:val="none"/>
              </w:rPr>
              <w:t>规格型号</w:t>
            </w:r>
          </w:p>
        </w:tc>
        <w:tc>
          <w:tcPr>
            <w:tcW w:w="1419" w:type="dxa"/>
            <w:tcBorders>
              <w:top w:val="single" w:color="auto" w:sz="4" w:space="0"/>
              <w:left w:val="single" w:color="auto" w:sz="4" w:space="0"/>
              <w:bottom w:val="single" w:color="auto" w:sz="4" w:space="0"/>
              <w:right w:val="single" w:color="auto" w:sz="4" w:space="0"/>
            </w:tcBorders>
            <w:vAlign w:val="center"/>
          </w:tcPr>
          <w:p w14:paraId="62F7D473">
            <w:pPr>
              <w:snapToGrid w:val="0"/>
              <w:spacing w:before="50" w:after="50" w:line="360" w:lineRule="exact"/>
              <w:jc w:val="center"/>
              <w:rPr>
                <w:rFonts w:ascii="宋体" w:hAnsi="宋体" w:cs="宋体"/>
                <w:color w:val="auto"/>
                <w:szCs w:val="21"/>
                <w:highlight w:val="none"/>
              </w:rPr>
            </w:pPr>
            <w:r>
              <w:rPr>
                <w:rFonts w:hint="eastAsia" w:ascii="宋体" w:hAnsi="宋体" w:cs="宋体"/>
                <w:color w:val="auto"/>
                <w:szCs w:val="21"/>
                <w:highlight w:val="none"/>
              </w:rPr>
              <w:t>单位及数量</w:t>
            </w:r>
          </w:p>
        </w:tc>
        <w:tc>
          <w:tcPr>
            <w:tcW w:w="2004" w:type="dxa"/>
            <w:tcBorders>
              <w:top w:val="single" w:color="auto" w:sz="4" w:space="0"/>
              <w:left w:val="single" w:color="auto" w:sz="4" w:space="0"/>
              <w:bottom w:val="single" w:color="auto" w:sz="4" w:space="0"/>
              <w:right w:val="single" w:color="auto" w:sz="4" w:space="0"/>
            </w:tcBorders>
            <w:vAlign w:val="center"/>
          </w:tcPr>
          <w:p w14:paraId="786BA099">
            <w:pPr>
              <w:snapToGrid w:val="0"/>
              <w:spacing w:before="50" w:after="50" w:line="360" w:lineRule="exact"/>
              <w:jc w:val="center"/>
              <w:rPr>
                <w:rFonts w:ascii="宋体" w:hAnsi="宋体" w:cs="宋体"/>
                <w:color w:val="auto"/>
                <w:szCs w:val="21"/>
                <w:highlight w:val="none"/>
              </w:rPr>
            </w:pPr>
            <w:r>
              <w:rPr>
                <w:rFonts w:hint="eastAsia" w:ascii="宋体" w:hAnsi="宋体" w:cs="宋体"/>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41CBED92">
            <w:pPr>
              <w:snapToGrid w:val="0"/>
              <w:spacing w:before="50" w:after="50" w:line="360" w:lineRule="exact"/>
              <w:jc w:val="center"/>
              <w:rPr>
                <w:rFonts w:ascii="宋体" w:hAnsi="宋体" w:cs="宋体"/>
                <w:color w:val="auto"/>
                <w:szCs w:val="21"/>
                <w:highlight w:val="none"/>
              </w:rPr>
            </w:pPr>
            <w:r>
              <w:rPr>
                <w:rFonts w:hint="eastAsia" w:ascii="宋体" w:hAnsi="宋体" w:cs="宋体"/>
                <w:color w:val="auto"/>
                <w:szCs w:val="21"/>
                <w:highlight w:val="none"/>
              </w:rPr>
              <w:t>生产厂家</w:t>
            </w:r>
          </w:p>
        </w:tc>
        <w:tc>
          <w:tcPr>
            <w:tcW w:w="782" w:type="dxa"/>
            <w:tcBorders>
              <w:top w:val="single" w:color="auto" w:sz="4" w:space="0"/>
              <w:left w:val="single" w:color="auto" w:sz="4" w:space="0"/>
              <w:bottom w:val="single" w:color="auto" w:sz="4" w:space="0"/>
              <w:right w:val="single" w:color="auto" w:sz="4" w:space="0"/>
            </w:tcBorders>
            <w:vAlign w:val="center"/>
          </w:tcPr>
          <w:p w14:paraId="0F02CA0F">
            <w:pPr>
              <w:snapToGrid w:val="0"/>
              <w:spacing w:before="50" w:after="50" w:line="360" w:lineRule="exact"/>
              <w:jc w:val="center"/>
              <w:rPr>
                <w:rFonts w:ascii="宋体" w:hAnsi="宋体" w:cs="宋体"/>
                <w:color w:val="auto"/>
                <w:szCs w:val="21"/>
                <w:highlight w:val="none"/>
              </w:rPr>
            </w:pPr>
            <w:r>
              <w:rPr>
                <w:rFonts w:hint="eastAsia" w:ascii="宋体" w:hAnsi="宋体" w:cs="宋体"/>
                <w:color w:val="auto"/>
                <w:szCs w:val="21"/>
                <w:highlight w:val="none"/>
              </w:rPr>
              <w:t>产地</w:t>
            </w:r>
          </w:p>
        </w:tc>
      </w:tr>
      <w:tr w14:paraId="7F3BC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BE5F3FF">
            <w:pPr>
              <w:snapToGrid w:val="0"/>
              <w:spacing w:before="50" w:after="50" w:line="360" w:lineRule="exact"/>
              <w:jc w:val="center"/>
              <w:rPr>
                <w:rFonts w:ascii="宋体" w:hAnsi="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6CF883DA">
            <w:pPr>
              <w:snapToGrid w:val="0"/>
              <w:spacing w:before="50" w:after="50" w:line="360" w:lineRule="exact"/>
              <w:rPr>
                <w:rFonts w:ascii="宋体" w:hAnsi="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1DF8B51F">
            <w:pPr>
              <w:snapToGrid w:val="0"/>
              <w:spacing w:before="50" w:after="50" w:line="360" w:lineRule="exact"/>
              <w:jc w:val="center"/>
              <w:rPr>
                <w:rFonts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0FEA5997">
            <w:pPr>
              <w:snapToGrid w:val="0"/>
              <w:spacing w:before="50" w:after="50" w:line="360" w:lineRule="exact"/>
              <w:jc w:val="center"/>
              <w:rPr>
                <w:rFonts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57F3559E">
            <w:pPr>
              <w:snapToGrid w:val="0"/>
              <w:spacing w:before="50" w:after="50" w:line="360" w:lineRule="exact"/>
              <w:jc w:val="center"/>
              <w:rPr>
                <w:rFonts w:ascii="宋体" w:hAnsi="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0B09A5DC">
            <w:pPr>
              <w:snapToGrid w:val="0"/>
              <w:spacing w:before="50" w:after="50" w:line="360" w:lineRule="exact"/>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23797EC">
            <w:pPr>
              <w:snapToGrid w:val="0"/>
              <w:spacing w:before="50" w:after="50" w:line="360" w:lineRule="exact"/>
              <w:jc w:val="center"/>
              <w:rPr>
                <w:rFonts w:ascii="宋体" w:hAnsi="宋体" w:cs="宋体"/>
                <w:color w:val="auto"/>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2D0B5413">
            <w:pPr>
              <w:snapToGrid w:val="0"/>
              <w:spacing w:before="50" w:after="50" w:line="360" w:lineRule="exact"/>
              <w:jc w:val="center"/>
              <w:rPr>
                <w:rFonts w:ascii="宋体" w:hAnsi="宋体" w:cs="宋体"/>
                <w:color w:val="auto"/>
                <w:szCs w:val="21"/>
                <w:highlight w:val="none"/>
              </w:rPr>
            </w:pPr>
          </w:p>
        </w:tc>
      </w:tr>
      <w:tr w14:paraId="33FBB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2CE1BF8E">
            <w:pPr>
              <w:snapToGrid w:val="0"/>
              <w:spacing w:before="50" w:after="50" w:line="360" w:lineRule="exact"/>
              <w:jc w:val="center"/>
              <w:rPr>
                <w:rFonts w:ascii="宋体" w:hAnsi="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318E75EC">
            <w:pPr>
              <w:snapToGrid w:val="0"/>
              <w:spacing w:before="50" w:after="50" w:line="360" w:lineRule="exact"/>
              <w:jc w:val="center"/>
              <w:rPr>
                <w:rFonts w:ascii="宋体" w:hAnsi="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7AD15830">
            <w:pPr>
              <w:snapToGrid w:val="0"/>
              <w:spacing w:before="50" w:after="50" w:line="360" w:lineRule="exact"/>
              <w:jc w:val="center"/>
              <w:rPr>
                <w:rFonts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2079F24C">
            <w:pPr>
              <w:snapToGrid w:val="0"/>
              <w:spacing w:before="50" w:after="50" w:line="360" w:lineRule="exact"/>
              <w:jc w:val="center"/>
              <w:rPr>
                <w:rFonts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1B0C48C5">
            <w:pPr>
              <w:snapToGrid w:val="0"/>
              <w:spacing w:before="50" w:after="50" w:line="360" w:lineRule="exact"/>
              <w:jc w:val="center"/>
              <w:rPr>
                <w:rFonts w:ascii="宋体" w:hAnsi="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09072E11">
            <w:pPr>
              <w:snapToGrid w:val="0"/>
              <w:spacing w:before="50" w:after="50" w:line="360" w:lineRule="exact"/>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6238592">
            <w:pPr>
              <w:snapToGrid w:val="0"/>
              <w:spacing w:before="50" w:after="50" w:line="360" w:lineRule="exact"/>
              <w:jc w:val="center"/>
              <w:rPr>
                <w:rFonts w:ascii="宋体" w:hAnsi="宋体" w:cs="宋体"/>
                <w:color w:val="auto"/>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6AFBE895">
            <w:pPr>
              <w:snapToGrid w:val="0"/>
              <w:spacing w:before="50" w:after="50" w:line="360" w:lineRule="exact"/>
              <w:jc w:val="center"/>
              <w:rPr>
                <w:rFonts w:ascii="宋体" w:hAnsi="宋体" w:cs="宋体"/>
                <w:color w:val="auto"/>
                <w:szCs w:val="21"/>
                <w:highlight w:val="none"/>
              </w:rPr>
            </w:pPr>
          </w:p>
        </w:tc>
      </w:tr>
      <w:tr w14:paraId="534AA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7A0A6DE9">
            <w:pPr>
              <w:snapToGrid w:val="0"/>
              <w:spacing w:before="50" w:after="50" w:line="360" w:lineRule="exact"/>
              <w:jc w:val="center"/>
              <w:rPr>
                <w:rFonts w:ascii="宋体" w:hAnsi="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2F05CC17">
            <w:pPr>
              <w:snapToGrid w:val="0"/>
              <w:spacing w:before="50" w:after="50" w:line="360" w:lineRule="exact"/>
              <w:jc w:val="center"/>
              <w:rPr>
                <w:rFonts w:ascii="宋体" w:hAnsi="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315C7EA6">
            <w:pPr>
              <w:snapToGrid w:val="0"/>
              <w:spacing w:before="50" w:after="50" w:line="360" w:lineRule="exact"/>
              <w:jc w:val="center"/>
              <w:rPr>
                <w:rFonts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71B84942">
            <w:pPr>
              <w:snapToGrid w:val="0"/>
              <w:spacing w:before="50" w:after="50" w:line="360" w:lineRule="exact"/>
              <w:jc w:val="center"/>
              <w:rPr>
                <w:rFonts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2DE171DD">
            <w:pPr>
              <w:snapToGrid w:val="0"/>
              <w:spacing w:before="50" w:after="50" w:line="360" w:lineRule="exact"/>
              <w:jc w:val="center"/>
              <w:rPr>
                <w:rFonts w:ascii="宋体" w:hAnsi="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59B237AD">
            <w:pPr>
              <w:snapToGrid w:val="0"/>
              <w:spacing w:before="50" w:after="50" w:line="360" w:lineRule="exact"/>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A4A34E7">
            <w:pPr>
              <w:snapToGrid w:val="0"/>
              <w:spacing w:before="50" w:after="50" w:line="360" w:lineRule="exact"/>
              <w:jc w:val="center"/>
              <w:rPr>
                <w:rFonts w:ascii="宋体" w:hAnsi="宋体" w:cs="宋体"/>
                <w:color w:val="auto"/>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7A2A6C24">
            <w:pPr>
              <w:snapToGrid w:val="0"/>
              <w:spacing w:before="50" w:after="50" w:line="360" w:lineRule="exact"/>
              <w:jc w:val="center"/>
              <w:rPr>
                <w:rFonts w:ascii="宋体" w:hAnsi="宋体" w:cs="宋体"/>
                <w:color w:val="auto"/>
                <w:szCs w:val="21"/>
                <w:highlight w:val="none"/>
              </w:rPr>
            </w:pPr>
          </w:p>
        </w:tc>
      </w:tr>
      <w:tr w14:paraId="1965C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60210461">
            <w:pPr>
              <w:snapToGrid w:val="0"/>
              <w:spacing w:before="50" w:after="50" w:line="360" w:lineRule="exact"/>
              <w:jc w:val="center"/>
              <w:rPr>
                <w:rFonts w:ascii="宋体" w:hAnsi="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0B27077B">
            <w:pPr>
              <w:snapToGrid w:val="0"/>
              <w:spacing w:before="50" w:after="50" w:line="360" w:lineRule="exact"/>
              <w:jc w:val="center"/>
              <w:rPr>
                <w:rFonts w:ascii="宋体" w:hAnsi="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63CFBD80">
            <w:pPr>
              <w:snapToGrid w:val="0"/>
              <w:spacing w:before="50" w:after="50" w:line="360" w:lineRule="exact"/>
              <w:jc w:val="center"/>
              <w:rPr>
                <w:rFonts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606963F7">
            <w:pPr>
              <w:snapToGrid w:val="0"/>
              <w:spacing w:before="50" w:after="50" w:line="360" w:lineRule="exact"/>
              <w:jc w:val="center"/>
              <w:rPr>
                <w:rFonts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231B8FD2">
            <w:pPr>
              <w:snapToGrid w:val="0"/>
              <w:spacing w:before="50" w:after="50" w:line="360" w:lineRule="exact"/>
              <w:jc w:val="center"/>
              <w:rPr>
                <w:rFonts w:ascii="宋体" w:hAnsi="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15BBBFA0">
            <w:pPr>
              <w:snapToGrid w:val="0"/>
              <w:spacing w:before="50" w:after="50" w:line="360" w:lineRule="exact"/>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DA235BD">
            <w:pPr>
              <w:snapToGrid w:val="0"/>
              <w:spacing w:before="50" w:after="50" w:line="360" w:lineRule="exact"/>
              <w:jc w:val="center"/>
              <w:rPr>
                <w:rFonts w:ascii="宋体" w:hAnsi="宋体" w:cs="宋体"/>
                <w:color w:val="auto"/>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67008B86">
            <w:pPr>
              <w:snapToGrid w:val="0"/>
              <w:spacing w:before="50" w:after="50" w:line="360" w:lineRule="exact"/>
              <w:jc w:val="center"/>
              <w:rPr>
                <w:rFonts w:ascii="宋体" w:hAnsi="宋体" w:cs="宋体"/>
                <w:color w:val="auto"/>
                <w:szCs w:val="21"/>
                <w:highlight w:val="none"/>
              </w:rPr>
            </w:pPr>
          </w:p>
        </w:tc>
      </w:tr>
      <w:tr w14:paraId="7F1C4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5E2F1AFA">
            <w:pPr>
              <w:snapToGrid w:val="0"/>
              <w:spacing w:before="50" w:after="50" w:line="360" w:lineRule="exact"/>
              <w:jc w:val="center"/>
              <w:rPr>
                <w:rFonts w:ascii="宋体" w:hAnsi="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4628ACA9">
            <w:pPr>
              <w:snapToGrid w:val="0"/>
              <w:spacing w:before="50" w:after="50" w:line="360" w:lineRule="exact"/>
              <w:jc w:val="center"/>
              <w:rPr>
                <w:rFonts w:ascii="宋体" w:hAnsi="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3EF75E79">
            <w:pPr>
              <w:snapToGrid w:val="0"/>
              <w:spacing w:before="50" w:after="50" w:line="360" w:lineRule="exact"/>
              <w:jc w:val="center"/>
              <w:rPr>
                <w:rFonts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1DF9EBA2">
            <w:pPr>
              <w:snapToGrid w:val="0"/>
              <w:spacing w:before="50" w:after="50" w:line="360" w:lineRule="exact"/>
              <w:jc w:val="center"/>
              <w:rPr>
                <w:rFonts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3C3B1435">
            <w:pPr>
              <w:snapToGrid w:val="0"/>
              <w:spacing w:before="50" w:after="50" w:line="360" w:lineRule="exact"/>
              <w:jc w:val="center"/>
              <w:rPr>
                <w:rFonts w:ascii="宋体" w:hAnsi="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5867B24E">
            <w:pPr>
              <w:snapToGrid w:val="0"/>
              <w:spacing w:before="50" w:after="50" w:line="360" w:lineRule="exact"/>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3958D4E">
            <w:pPr>
              <w:snapToGrid w:val="0"/>
              <w:spacing w:before="50" w:after="50" w:line="360" w:lineRule="exact"/>
              <w:jc w:val="center"/>
              <w:rPr>
                <w:rFonts w:ascii="宋体" w:hAnsi="宋体" w:cs="宋体"/>
                <w:color w:val="auto"/>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235993AD">
            <w:pPr>
              <w:snapToGrid w:val="0"/>
              <w:spacing w:before="50" w:after="50" w:line="360" w:lineRule="exact"/>
              <w:jc w:val="center"/>
              <w:rPr>
                <w:rFonts w:ascii="宋体" w:hAnsi="宋体" w:cs="宋体"/>
                <w:color w:val="auto"/>
                <w:szCs w:val="21"/>
                <w:highlight w:val="none"/>
              </w:rPr>
            </w:pPr>
          </w:p>
        </w:tc>
      </w:tr>
      <w:tr w14:paraId="6A359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373EA493">
            <w:pPr>
              <w:snapToGrid w:val="0"/>
              <w:spacing w:before="50" w:after="50" w:line="360" w:lineRule="exact"/>
              <w:jc w:val="center"/>
              <w:rPr>
                <w:rFonts w:ascii="宋体" w:hAnsi="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3F5FCA0D">
            <w:pPr>
              <w:snapToGrid w:val="0"/>
              <w:spacing w:before="50" w:after="50" w:line="360" w:lineRule="exact"/>
              <w:jc w:val="center"/>
              <w:rPr>
                <w:rFonts w:ascii="宋体" w:hAnsi="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72FCBE14">
            <w:pPr>
              <w:snapToGrid w:val="0"/>
              <w:spacing w:before="50" w:after="50" w:line="360" w:lineRule="exact"/>
              <w:jc w:val="center"/>
              <w:rPr>
                <w:rFonts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2D50CAD2">
            <w:pPr>
              <w:snapToGrid w:val="0"/>
              <w:spacing w:before="50" w:after="50" w:line="360" w:lineRule="exact"/>
              <w:jc w:val="center"/>
              <w:rPr>
                <w:rFonts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154C26C9">
            <w:pPr>
              <w:snapToGrid w:val="0"/>
              <w:spacing w:before="50" w:after="50" w:line="360" w:lineRule="exact"/>
              <w:jc w:val="center"/>
              <w:rPr>
                <w:rFonts w:ascii="宋体" w:hAnsi="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2F7031D4">
            <w:pPr>
              <w:snapToGrid w:val="0"/>
              <w:spacing w:before="50" w:after="50" w:line="360" w:lineRule="exact"/>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6E372EC">
            <w:pPr>
              <w:snapToGrid w:val="0"/>
              <w:spacing w:before="50" w:after="50" w:line="360" w:lineRule="exact"/>
              <w:jc w:val="center"/>
              <w:rPr>
                <w:rFonts w:ascii="宋体" w:hAnsi="宋体" w:cs="宋体"/>
                <w:color w:val="auto"/>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57CE50A3">
            <w:pPr>
              <w:snapToGrid w:val="0"/>
              <w:spacing w:before="50" w:after="50" w:line="360" w:lineRule="exact"/>
              <w:jc w:val="center"/>
              <w:rPr>
                <w:rFonts w:ascii="宋体" w:hAnsi="宋体" w:cs="宋体"/>
                <w:color w:val="auto"/>
                <w:szCs w:val="21"/>
                <w:highlight w:val="none"/>
              </w:rPr>
            </w:pPr>
          </w:p>
        </w:tc>
      </w:tr>
      <w:tr w14:paraId="09007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1E2043C9">
            <w:pPr>
              <w:snapToGrid w:val="0"/>
              <w:spacing w:before="50" w:after="50" w:line="360" w:lineRule="exact"/>
              <w:jc w:val="center"/>
              <w:rPr>
                <w:rFonts w:ascii="宋体" w:hAnsi="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07B31DDC">
            <w:pPr>
              <w:snapToGrid w:val="0"/>
              <w:spacing w:before="50" w:after="50" w:line="360" w:lineRule="exact"/>
              <w:jc w:val="center"/>
              <w:rPr>
                <w:rFonts w:ascii="宋体" w:hAnsi="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5A1A7646">
            <w:pPr>
              <w:snapToGrid w:val="0"/>
              <w:spacing w:before="50" w:after="50" w:line="360" w:lineRule="exact"/>
              <w:jc w:val="center"/>
              <w:rPr>
                <w:rFonts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69D0DC43">
            <w:pPr>
              <w:snapToGrid w:val="0"/>
              <w:spacing w:before="50" w:after="50" w:line="360" w:lineRule="exact"/>
              <w:jc w:val="center"/>
              <w:rPr>
                <w:rFonts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14203A68">
            <w:pPr>
              <w:snapToGrid w:val="0"/>
              <w:spacing w:before="50" w:after="50" w:line="360" w:lineRule="exact"/>
              <w:jc w:val="center"/>
              <w:rPr>
                <w:rFonts w:ascii="宋体" w:hAnsi="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5E0F50C7">
            <w:pPr>
              <w:snapToGrid w:val="0"/>
              <w:spacing w:before="50" w:after="50" w:line="360" w:lineRule="exact"/>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FEA0BBE">
            <w:pPr>
              <w:snapToGrid w:val="0"/>
              <w:spacing w:before="50" w:after="50" w:line="360" w:lineRule="exact"/>
              <w:jc w:val="center"/>
              <w:rPr>
                <w:rFonts w:ascii="宋体" w:hAnsi="宋体" w:cs="宋体"/>
                <w:color w:val="auto"/>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77A75076">
            <w:pPr>
              <w:snapToGrid w:val="0"/>
              <w:spacing w:before="50" w:after="50" w:line="360" w:lineRule="exact"/>
              <w:jc w:val="center"/>
              <w:rPr>
                <w:rFonts w:ascii="宋体" w:hAnsi="宋体" w:cs="宋体"/>
                <w:color w:val="auto"/>
                <w:szCs w:val="21"/>
                <w:highlight w:val="none"/>
              </w:rPr>
            </w:pPr>
          </w:p>
        </w:tc>
      </w:tr>
    </w:tbl>
    <w:p w14:paraId="642DA27E">
      <w:pPr>
        <w:spacing w:line="360" w:lineRule="exact"/>
        <w:ind w:firstLine="6090" w:firstLineChars="2900"/>
        <w:rPr>
          <w:rFonts w:ascii="宋体" w:hAnsi="宋体" w:cs="宋体"/>
          <w:color w:val="auto"/>
          <w:szCs w:val="21"/>
          <w:highlight w:val="none"/>
        </w:rPr>
      </w:pPr>
    </w:p>
    <w:p w14:paraId="29454A75">
      <w:pPr>
        <w:spacing w:line="36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758ACEEB">
      <w:pPr>
        <w:spacing w:line="36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45C8AC6B">
      <w:pPr>
        <w:spacing w:line="320" w:lineRule="exact"/>
        <w:rPr>
          <w:rFonts w:ascii="宋体" w:hAnsi="宋体" w:cs="宋体"/>
          <w:b/>
          <w:color w:val="auto"/>
          <w:sz w:val="24"/>
          <w:highlight w:val="none"/>
        </w:rPr>
      </w:pPr>
      <w:r>
        <w:rPr>
          <w:rFonts w:hint="eastAsia" w:ascii="宋体" w:hAnsi="宋体" w:cs="宋体"/>
          <w:b/>
          <w:color w:val="auto"/>
          <w:sz w:val="24"/>
          <w:highlight w:val="none"/>
        </w:rPr>
        <w:br w:type="page"/>
      </w:r>
    </w:p>
    <w:p w14:paraId="57F1E92B">
      <w:pPr>
        <w:snapToGrid w:val="0"/>
        <w:spacing w:before="50" w:line="340" w:lineRule="exact"/>
        <w:jc w:val="left"/>
        <w:rPr>
          <w:rFonts w:ascii="宋体" w:hAnsi="宋体" w:cs="宋体"/>
          <w:b/>
          <w:color w:val="auto"/>
          <w:szCs w:val="21"/>
          <w:highlight w:val="none"/>
        </w:rPr>
      </w:pPr>
      <w:r>
        <w:rPr>
          <w:rFonts w:hint="eastAsia" w:ascii="宋体" w:hAnsi="宋体" w:cs="宋体"/>
          <w:b/>
          <w:color w:val="auto"/>
          <w:szCs w:val="21"/>
          <w:highlight w:val="none"/>
        </w:rPr>
        <w:t>七、项目实施方案格式：</w:t>
      </w:r>
    </w:p>
    <w:p w14:paraId="7C5CABF6">
      <w:pPr>
        <w:pStyle w:val="19"/>
        <w:spacing w:line="400" w:lineRule="exact"/>
        <w:jc w:val="center"/>
        <w:rPr>
          <w:rFonts w:hAnsi="宋体" w:cs="宋体"/>
          <w:b/>
          <w:bCs/>
          <w:color w:val="auto"/>
          <w:sz w:val="28"/>
          <w:szCs w:val="28"/>
          <w:highlight w:val="none"/>
        </w:rPr>
      </w:pPr>
      <w:r>
        <w:rPr>
          <w:rFonts w:hint="eastAsia" w:hAnsi="宋体" w:cs="宋体"/>
          <w:b/>
          <w:bCs/>
          <w:color w:val="auto"/>
          <w:sz w:val="28"/>
          <w:szCs w:val="28"/>
          <w:highlight w:val="none"/>
        </w:rPr>
        <w:t>项目实施方案</w:t>
      </w:r>
    </w:p>
    <w:p w14:paraId="5C299DE8">
      <w:pPr>
        <w:pStyle w:val="19"/>
        <w:ind w:firstLine="480" w:firstLineChars="200"/>
        <w:rPr>
          <w:rFonts w:hAnsi="宋体" w:cs="宋体"/>
          <w:color w:val="auto"/>
          <w:sz w:val="24"/>
          <w:szCs w:val="24"/>
          <w:highlight w:val="none"/>
        </w:rPr>
      </w:pPr>
      <w:r>
        <w:rPr>
          <w:rFonts w:hint="eastAsia" w:hAnsi="宋体" w:cs="宋体"/>
          <w:color w:val="auto"/>
          <w:sz w:val="24"/>
          <w:szCs w:val="24"/>
          <w:highlight w:val="none"/>
        </w:rPr>
        <w:t>由供应商按第三章《采购需求》所投采购需求自行填写，所作的项目实施方案作为构成合同不可分割的部分，必须真实、诚信。</w:t>
      </w:r>
    </w:p>
    <w:p w14:paraId="708B935A">
      <w:pPr>
        <w:pStyle w:val="19"/>
        <w:rPr>
          <w:rFonts w:hAnsi="宋体" w:cs="宋体"/>
          <w:color w:val="auto"/>
          <w:sz w:val="24"/>
          <w:szCs w:val="24"/>
          <w:highlight w:val="none"/>
        </w:rPr>
      </w:pPr>
    </w:p>
    <w:p w14:paraId="2ABE4680">
      <w:pPr>
        <w:pStyle w:val="19"/>
        <w:rPr>
          <w:rFonts w:hAnsi="宋体" w:cs="宋体"/>
          <w:color w:val="auto"/>
          <w:sz w:val="24"/>
          <w:szCs w:val="24"/>
          <w:highlight w:val="none"/>
        </w:rPr>
      </w:pPr>
    </w:p>
    <w:p w14:paraId="6DC1A08D">
      <w:pPr>
        <w:pStyle w:val="19"/>
        <w:rPr>
          <w:rFonts w:hAnsi="宋体" w:cs="宋体"/>
          <w:color w:val="auto"/>
          <w:sz w:val="24"/>
          <w:szCs w:val="24"/>
          <w:highlight w:val="none"/>
        </w:rPr>
      </w:pPr>
    </w:p>
    <w:p w14:paraId="034C34D4">
      <w:pPr>
        <w:pStyle w:val="19"/>
        <w:rPr>
          <w:rFonts w:hAnsi="宋体" w:cs="宋体"/>
          <w:color w:val="auto"/>
          <w:sz w:val="24"/>
          <w:szCs w:val="24"/>
          <w:highlight w:val="none"/>
        </w:rPr>
      </w:pPr>
    </w:p>
    <w:p w14:paraId="48F72DAA">
      <w:pPr>
        <w:pStyle w:val="19"/>
        <w:rPr>
          <w:rFonts w:hAnsi="宋体" w:cs="宋体"/>
          <w:color w:val="auto"/>
          <w:sz w:val="24"/>
          <w:szCs w:val="24"/>
          <w:highlight w:val="none"/>
        </w:rPr>
      </w:pPr>
    </w:p>
    <w:p w14:paraId="4D59C02B">
      <w:pPr>
        <w:pStyle w:val="19"/>
        <w:rPr>
          <w:rFonts w:hAnsi="宋体" w:cs="宋体"/>
          <w:color w:val="auto"/>
          <w:sz w:val="24"/>
          <w:szCs w:val="24"/>
          <w:highlight w:val="none"/>
        </w:rPr>
      </w:pPr>
    </w:p>
    <w:p w14:paraId="3B533FB4">
      <w:pPr>
        <w:pStyle w:val="19"/>
        <w:rPr>
          <w:rFonts w:hAnsi="宋体" w:cs="宋体"/>
          <w:color w:val="auto"/>
          <w:sz w:val="24"/>
          <w:szCs w:val="24"/>
          <w:highlight w:val="none"/>
        </w:rPr>
      </w:pPr>
    </w:p>
    <w:p w14:paraId="4CCA4687">
      <w:pPr>
        <w:pStyle w:val="19"/>
        <w:rPr>
          <w:rFonts w:hAnsi="宋体" w:cs="宋体"/>
          <w:color w:val="auto"/>
          <w:sz w:val="24"/>
          <w:szCs w:val="24"/>
          <w:highlight w:val="none"/>
        </w:rPr>
      </w:pPr>
    </w:p>
    <w:p w14:paraId="395C8872">
      <w:pPr>
        <w:pStyle w:val="19"/>
        <w:rPr>
          <w:rFonts w:hAnsi="宋体" w:cs="宋体"/>
          <w:color w:val="auto"/>
          <w:sz w:val="24"/>
          <w:szCs w:val="24"/>
          <w:highlight w:val="none"/>
        </w:rPr>
      </w:pPr>
    </w:p>
    <w:p w14:paraId="6116E47B">
      <w:pPr>
        <w:pStyle w:val="19"/>
        <w:rPr>
          <w:rFonts w:hAnsi="宋体" w:cs="宋体"/>
          <w:color w:val="auto"/>
          <w:sz w:val="24"/>
          <w:szCs w:val="24"/>
          <w:highlight w:val="none"/>
        </w:rPr>
      </w:pPr>
    </w:p>
    <w:p w14:paraId="44CA8EE8">
      <w:pPr>
        <w:pStyle w:val="19"/>
        <w:rPr>
          <w:rFonts w:hAnsi="宋体" w:cs="宋体"/>
          <w:color w:val="auto"/>
          <w:sz w:val="24"/>
          <w:szCs w:val="24"/>
          <w:highlight w:val="none"/>
        </w:rPr>
      </w:pPr>
    </w:p>
    <w:p w14:paraId="7A736D41">
      <w:pPr>
        <w:pStyle w:val="19"/>
        <w:rPr>
          <w:rFonts w:hAnsi="宋体" w:cs="宋体"/>
          <w:color w:val="auto"/>
          <w:sz w:val="24"/>
          <w:szCs w:val="24"/>
          <w:highlight w:val="none"/>
        </w:rPr>
      </w:pPr>
    </w:p>
    <w:p w14:paraId="53422081">
      <w:pPr>
        <w:pStyle w:val="19"/>
        <w:rPr>
          <w:rFonts w:hAnsi="宋体" w:cs="宋体"/>
          <w:color w:val="auto"/>
          <w:sz w:val="24"/>
          <w:szCs w:val="24"/>
          <w:highlight w:val="none"/>
        </w:rPr>
      </w:pPr>
    </w:p>
    <w:p w14:paraId="645EE83F">
      <w:pPr>
        <w:spacing w:line="360" w:lineRule="exact"/>
        <w:ind w:firstLine="6960" w:firstLineChars="2900"/>
        <w:jc w:val="right"/>
        <w:rPr>
          <w:rFonts w:ascii="宋体" w:hAnsi="宋体" w:cs="宋体"/>
          <w:color w:val="auto"/>
          <w:sz w:val="24"/>
          <w:highlight w:val="none"/>
        </w:rPr>
      </w:pPr>
      <w:r>
        <w:rPr>
          <w:rFonts w:hint="eastAsia" w:ascii="宋体" w:hAnsi="宋体" w:cs="宋体"/>
          <w:color w:val="auto"/>
          <w:sz w:val="24"/>
          <w:highlight w:val="none"/>
        </w:rPr>
        <w:t>供应商名称(电子签章)：</w:t>
      </w:r>
    </w:p>
    <w:p w14:paraId="3EAA2BD9">
      <w:pPr>
        <w:spacing w:line="360" w:lineRule="exact"/>
        <w:ind w:firstLine="7200" w:firstLineChars="3000"/>
        <w:jc w:val="right"/>
        <w:rPr>
          <w:rFonts w:ascii="宋体" w:hAnsi="宋体" w:cs="宋体"/>
          <w:color w:val="auto"/>
          <w:sz w:val="24"/>
          <w:highlight w:val="none"/>
        </w:rPr>
      </w:pPr>
      <w:r>
        <w:rPr>
          <w:rFonts w:hint="eastAsia" w:ascii="宋体" w:hAnsi="宋体" w:cs="宋体"/>
          <w:color w:val="auto"/>
          <w:sz w:val="24"/>
          <w:highlight w:val="none"/>
        </w:rPr>
        <w:t>日期： 年 月 日</w:t>
      </w:r>
    </w:p>
    <w:p w14:paraId="2558A9B0">
      <w:pPr>
        <w:pStyle w:val="19"/>
        <w:jc w:val="left"/>
        <w:rPr>
          <w:rFonts w:hAnsi="宋体" w:cs="宋体"/>
          <w:b/>
          <w:color w:val="auto"/>
          <w:sz w:val="24"/>
          <w:szCs w:val="24"/>
          <w:highlight w:val="none"/>
        </w:rPr>
      </w:pPr>
    </w:p>
    <w:p w14:paraId="4F8A9210">
      <w:pPr>
        <w:pStyle w:val="19"/>
        <w:jc w:val="left"/>
        <w:rPr>
          <w:rFonts w:hAnsi="宋体" w:cs="宋体"/>
          <w:b/>
          <w:color w:val="auto"/>
          <w:highlight w:val="none"/>
        </w:rPr>
      </w:pPr>
    </w:p>
    <w:p w14:paraId="3B4BC953">
      <w:pPr>
        <w:spacing w:line="320" w:lineRule="exact"/>
        <w:rPr>
          <w:rFonts w:ascii="宋体" w:hAnsi="宋体" w:cs="宋体"/>
          <w:b/>
          <w:color w:val="auto"/>
          <w:szCs w:val="21"/>
          <w:highlight w:val="none"/>
        </w:rPr>
      </w:pPr>
    </w:p>
    <w:p w14:paraId="15FC9A64">
      <w:pPr>
        <w:spacing w:line="320" w:lineRule="exact"/>
        <w:rPr>
          <w:rFonts w:ascii="宋体" w:hAnsi="宋体" w:cs="宋体"/>
          <w:b/>
          <w:color w:val="auto"/>
          <w:sz w:val="24"/>
          <w:highlight w:val="none"/>
        </w:rPr>
      </w:pPr>
    </w:p>
    <w:p w14:paraId="27D62FEA">
      <w:pPr>
        <w:spacing w:line="320" w:lineRule="exact"/>
        <w:rPr>
          <w:rFonts w:ascii="宋体" w:hAnsi="宋体" w:cs="宋体"/>
          <w:b/>
          <w:color w:val="auto"/>
          <w:sz w:val="24"/>
          <w:highlight w:val="none"/>
        </w:rPr>
      </w:pPr>
    </w:p>
    <w:p w14:paraId="1594B3C1">
      <w:pPr>
        <w:spacing w:line="320" w:lineRule="exact"/>
        <w:rPr>
          <w:rFonts w:ascii="宋体" w:hAnsi="宋体" w:cs="宋体"/>
          <w:b/>
          <w:color w:val="auto"/>
          <w:sz w:val="24"/>
          <w:highlight w:val="none"/>
        </w:rPr>
      </w:pPr>
    </w:p>
    <w:p w14:paraId="392E309C">
      <w:pPr>
        <w:spacing w:line="320" w:lineRule="exact"/>
        <w:rPr>
          <w:rFonts w:ascii="宋体" w:hAnsi="宋体" w:cs="宋体"/>
          <w:b/>
          <w:color w:val="auto"/>
          <w:sz w:val="24"/>
          <w:highlight w:val="none"/>
        </w:rPr>
      </w:pPr>
    </w:p>
    <w:p w14:paraId="71CB3735">
      <w:pPr>
        <w:spacing w:line="320" w:lineRule="exact"/>
        <w:rPr>
          <w:rFonts w:ascii="宋体" w:hAnsi="宋体" w:cs="宋体"/>
          <w:b/>
          <w:color w:val="auto"/>
          <w:sz w:val="24"/>
          <w:highlight w:val="none"/>
        </w:rPr>
      </w:pPr>
    </w:p>
    <w:p w14:paraId="472C70C3">
      <w:pPr>
        <w:spacing w:line="320" w:lineRule="exact"/>
        <w:rPr>
          <w:rFonts w:ascii="宋体" w:hAnsi="宋体" w:cs="宋体"/>
          <w:b/>
          <w:color w:val="auto"/>
          <w:sz w:val="24"/>
          <w:highlight w:val="none"/>
        </w:rPr>
      </w:pPr>
    </w:p>
    <w:p w14:paraId="1305D4D5">
      <w:pPr>
        <w:spacing w:line="320" w:lineRule="exact"/>
        <w:rPr>
          <w:rFonts w:ascii="宋体" w:hAnsi="宋体" w:cs="宋体"/>
          <w:b/>
          <w:color w:val="auto"/>
          <w:sz w:val="24"/>
          <w:highlight w:val="none"/>
        </w:rPr>
      </w:pPr>
    </w:p>
    <w:p w14:paraId="523BF21D">
      <w:pPr>
        <w:spacing w:line="320" w:lineRule="exact"/>
        <w:rPr>
          <w:rFonts w:ascii="宋体" w:hAnsi="宋体" w:cs="宋体"/>
          <w:b/>
          <w:color w:val="auto"/>
          <w:sz w:val="24"/>
          <w:highlight w:val="none"/>
        </w:rPr>
      </w:pPr>
    </w:p>
    <w:p w14:paraId="47C68E42">
      <w:pPr>
        <w:spacing w:line="320" w:lineRule="exact"/>
        <w:rPr>
          <w:rFonts w:ascii="宋体" w:hAnsi="宋体" w:cs="宋体"/>
          <w:b/>
          <w:color w:val="auto"/>
          <w:sz w:val="24"/>
          <w:highlight w:val="none"/>
        </w:rPr>
      </w:pPr>
    </w:p>
    <w:p w14:paraId="26973FD8">
      <w:pPr>
        <w:spacing w:line="320" w:lineRule="exact"/>
        <w:rPr>
          <w:rFonts w:ascii="宋体" w:hAnsi="宋体" w:cs="宋体"/>
          <w:b/>
          <w:color w:val="auto"/>
          <w:sz w:val="24"/>
          <w:highlight w:val="none"/>
        </w:rPr>
      </w:pPr>
    </w:p>
    <w:p w14:paraId="71C1CF7E">
      <w:pPr>
        <w:spacing w:line="320" w:lineRule="exact"/>
        <w:rPr>
          <w:rFonts w:ascii="宋体" w:hAnsi="宋体" w:cs="宋体"/>
          <w:b/>
          <w:color w:val="auto"/>
          <w:sz w:val="24"/>
          <w:highlight w:val="none"/>
        </w:rPr>
      </w:pPr>
    </w:p>
    <w:p w14:paraId="0DF522A8">
      <w:pPr>
        <w:spacing w:line="320" w:lineRule="exact"/>
        <w:rPr>
          <w:rFonts w:ascii="宋体" w:hAnsi="宋体" w:cs="宋体"/>
          <w:b/>
          <w:color w:val="auto"/>
          <w:sz w:val="24"/>
          <w:highlight w:val="none"/>
        </w:rPr>
      </w:pPr>
    </w:p>
    <w:p w14:paraId="6079E706">
      <w:pPr>
        <w:spacing w:line="320" w:lineRule="exact"/>
        <w:rPr>
          <w:rFonts w:ascii="宋体" w:hAnsi="宋体" w:cs="宋体"/>
          <w:b/>
          <w:color w:val="auto"/>
          <w:sz w:val="24"/>
          <w:highlight w:val="none"/>
        </w:rPr>
      </w:pPr>
    </w:p>
    <w:p w14:paraId="30FF4785">
      <w:pPr>
        <w:spacing w:line="320" w:lineRule="exact"/>
        <w:rPr>
          <w:rFonts w:ascii="宋体" w:hAnsi="宋体" w:cs="宋体"/>
          <w:b/>
          <w:color w:val="auto"/>
          <w:sz w:val="24"/>
          <w:highlight w:val="none"/>
        </w:rPr>
      </w:pPr>
    </w:p>
    <w:p w14:paraId="4A8FF179">
      <w:pPr>
        <w:spacing w:line="320" w:lineRule="exact"/>
        <w:rPr>
          <w:rFonts w:ascii="宋体" w:hAnsi="宋体" w:cs="宋体"/>
          <w:b/>
          <w:color w:val="auto"/>
          <w:sz w:val="24"/>
          <w:highlight w:val="none"/>
        </w:rPr>
      </w:pPr>
    </w:p>
    <w:p w14:paraId="51E5D704">
      <w:pPr>
        <w:spacing w:line="320" w:lineRule="exact"/>
        <w:rPr>
          <w:rFonts w:ascii="宋体" w:hAnsi="宋体" w:cs="宋体"/>
          <w:b/>
          <w:color w:val="auto"/>
          <w:sz w:val="24"/>
          <w:highlight w:val="none"/>
        </w:rPr>
      </w:pPr>
    </w:p>
    <w:p w14:paraId="3ED179AF">
      <w:pPr>
        <w:spacing w:line="320" w:lineRule="exact"/>
        <w:rPr>
          <w:rFonts w:ascii="宋体" w:hAnsi="宋体" w:cs="宋体"/>
          <w:b/>
          <w:color w:val="auto"/>
          <w:sz w:val="24"/>
          <w:highlight w:val="none"/>
        </w:rPr>
      </w:pPr>
    </w:p>
    <w:p w14:paraId="152D4ACF">
      <w:pPr>
        <w:spacing w:line="320" w:lineRule="exact"/>
        <w:rPr>
          <w:rFonts w:ascii="宋体" w:hAnsi="宋体" w:cs="宋体"/>
          <w:b/>
          <w:color w:val="auto"/>
          <w:sz w:val="24"/>
          <w:highlight w:val="none"/>
        </w:rPr>
      </w:pPr>
    </w:p>
    <w:p w14:paraId="5DBCE544">
      <w:pPr>
        <w:spacing w:line="320" w:lineRule="exact"/>
        <w:rPr>
          <w:rFonts w:ascii="宋体" w:hAnsi="宋体" w:cs="宋体"/>
          <w:b/>
          <w:color w:val="auto"/>
          <w:sz w:val="24"/>
          <w:highlight w:val="none"/>
        </w:rPr>
      </w:pPr>
    </w:p>
    <w:p w14:paraId="0AB7989C">
      <w:pPr>
        <w:spacing w:line="320" w:lineRule="exact"/>
        <w:rPr>
          <w:rFonts w:ascii="宋体" w:hAnsi="宋体" w:cs="宋体"/>
          <w:b/>
          <w:color w:val="auto"/>
          <w:sz w:val="24"/>
          <w:highlight w:val="none"/>
        </w:rPr>
      </w:pPr>
    </w:p>
    <w:p w14:paraId="3CDE7828">
      <w:pPr>
        <w:spacing w:line="320" w:lineRule="exact"/>
        <w:rPr>
          <w:rFonts w:ascii="宋体" w:hAnsi="宋体" w:cs="宋体"/>
          <w:b/>
          <w:color w:val="auto"/>
          <w:sz w:val="24"/>
          <w:highlight w:val="none"/>
        </w:rPr>
      </w:pPr>
    </w:p>
    <w:p w14:paraId="3FAEF2A9">
      <w:pPr>
        <w:spacing w:line="320" w:lineRule="exact"/>
        <w:rPr>
          <w:rFonts w:ascii="宋体" w:hAnsi="宋体" w:cs="宋体"/>
          <w:b/>
          <w:color w:val="auto"/>
          <w:sz w:val="24"/>
          <w:highlight w:val="none"/>
        </w:rPr>
      </w:pPr>
    </w:p>
    <w:p w14:paraId="00D0922B">
      <w:pPr>
        <w:spacing w:line="320" w:lineRule="exact"/>
        <w:rPr>
          <w:rFonts w:ascii="宋体" w:hAnsi="宋体" w:cs="宋体"/>
          <w:b/>
          <w:color w:val="auto"/>
          <w:sz w:val="24"/>
          <w:highlight w:val="none"/>
        </w:rPr>
      </w:pPr>
    </w:p>
    <w:p w14:paraId="25919C12">
      <w:pPr>
        <w:snapToGrid w:val="0"/>
        <w:spacing w:before="50" w:after="50" w:line="360" w:lineRule="exact"/>
        <w:rPr>
          <w:rFonts w:ascii="宋体" w:hAnsi="宋体" w:cs="宋体"/>
          <w:b/>
          <w:color w:val="auto"/>
          <w:highlight w:val="none"/>
        </w:rPr>
      </w:pPr>
      <w:r>
        <w:rPr>
          <w:rFonts w:hint="eastAsia" w:ascii="宋体" w:hAnsi="宋体" w:cs="宋体"/>
          <w:b/>
          <w:color w:val="auto"/>
          <w:highlight w:val="none"/>
        </w:rPr>
        <w:t>八、售后服务方案及承诺书格式：</w:t>
      </w:r>
    </w:p>
    <w:p w14:paraId="51D605ED">
      <w:pPr>
        <w:snapToGrid w:val="0"/>
        <w:spacing w:before="50" w:after="50" w:line="360" w:lineRule="exact"/>
        <w:jc w:val="center"/>
        <w:rPr>
          <w:rFonts w:ascii="宋体" w:hAnsi="宋体" w:cs="宋体"/>
          <w:color w:val="auto"/>
          <w:sz w:val="30"/>
          <w:szCs w:val="30"/>
          <w:highlight w:val="none"/>
        </w:rPr>
      </w:pPr>
      <w:r>
        <w:rPr>
          <w:rFonts w:hint="eastAsia" w:ascii="宋体" w:hAnsi="宋体" w:cs="宋体"/>
          <w:color w:val="auto"/>
          <w:sz w:val="30"/>
          <w:szCs w:val="30"/>
          <w:highlight w:val="none"/>
        </w:rPr>
        <w:t>售后服务方案及承诺书</w:t>
      </w:r>
    </w:p>
    <w:p w14:paraId="03ECBBE7">
      <w:pPr>
        <w:pStyle w:val="19"/>
        <w:spacing w:line="440" w:lineRule="exact"/>
        <w:rPr>
          <w:rFonts w:hAnsi="宋体" w:cs="宋体"/>
          <w:color w:val="auto"/>
          <w:sz w:val="21"/>
          <w:szCs w:val="21"/>
          <w:highlight w:val="none"/>
        </w:rPr>
      </w:pPr>
      <w:r>
        <w:rPr>
          <w:rFonts w:hint="eastAsia" w:hAnsi="宋体" w:cs="宋体"/>
          <w:color w:val="auto"/>
          <w:sz w:val="21"/>
          <w:szCs w:val="21"/>
          <w:highlight w:val="none"/>
        </w:rPr>
        <w:t xml:space="preserve">第1条 </w:t>
      </w:r>
      <w:r>
        <w:rPr>
          <w:rFonts w:hint="eastAsia" w:hAnsi="宋体" w:cs="宋体"/>
          <w:b/>
          <w:color w:val="auto"/>
          <w:sz w:val="21"/>
          <w:szCs w:val="21"/>
          <w:highlight w:val="none"/>
        </w:rPr>
        <w:t>对合同条款、付款方式全部予以响应。</w:t>
      </w:r>
    </w:p>
    <w:p w14:paraId="1E543632">
      <w:pPr>
        <w:pStyle w:val="19"/>
        <w:jc w:val="left"/>
        <w:rPr>
          <w:rFonts w:hAnsi="宋体" w:cs="宋体"/>
          <w:color w:val="auto"/>
          <w:sz w:val="21"/>
          <w:szCs w:val="21"/>
          <w:highlight w:val="none"/>
        </w:rPr>
      </w:pPr>
      <w:r>
        <w:rPr>
          <w:rFonts w:hint="eastAsia" w:hAnsi="宋体" w:cs="宋体"/>
          <w:color w:val="auto"/>
          <w:sz w:val="21"/>
          <w:szCs w:val="21"/>
          <w:highlight w:val="none"/>
        </w:rPr>
        <w:t>第2条</w:t>
      </w:r>
      <w:r>
        <w:rPr>
          <w:rFonts w:hint="eastAsia" w:hAnsi="宋体" w:cs="宋体"/>
          <w:b/>
          <w:color w:val="auto"/>
          <w:sz w:val="21"/>
          <w:szCs w:val="21"/>
          <w:highlight w:val="none"/>
        </w:rPr>
        <w:t xml:space="preserve"> </w:t>
      </w:r>
      <w:r>
        <w:rPr>
          <w:rFonts w:hint="eastAsia" w:hAnsi="宋体" w:cs="宋体"/>
          <w:color w:val="auto"/>
          <w:sz w:val="21"/>
          <w:szCs w:val="21"/>
          <w:highlight w:val="none"/>
        </w:rPr>
        <w:t>（由供应商按第三章《采购需求》要求自行填写，所作的承诺作为构成合同不可分割的部分，必须真实、诚信，如提供虚假承诺或在中标、成交后不按其承诺履行的，将依法追究违约责任，并按《中华人民共和国政府采购法》规定予以处罚。）</w:t>
      </w:r>
    </w:p>
    <w:p w14:paraId="121D6A44">
      <w:pPr>
        <w:pStyle w:val="19"/>
        <w:rPr>
          <w:rFonts w:hAnsi="宋体" w:cs="宋体"/>
          <w:color w:val="auto"/>
          <w:sz w:val="21"/>
          <w:szCs w:val="21"/>
          <w:highlight w:val="none"/>
        </w:rPr>
      </w:pPr>
      <w:r>
        <w:rPr>
          <w:rFonts w:hint="eastAsia" w:hAnsi="宋体" w:cs="宋体"/>
          <w:color w:val="auto"/>
          <w:sz w:val="21"/>
          <w:szCs w:val="21"/>
          <w:highlight w:val="none"/>
        </w:rPr>
        <w:t xml:space="preserve">第3条  </w:t>
      </w:r>
    </w:p>
    <w:p w14:paraId="0A002FA0">
      <w:pPr>
        <w:pStyle w:val="19"/>
        <w:ind w:firstLine="480" w:firstLineChars="200"/>
        <w:jc w:val="left"/>
        <w:rPr>
          <w:rFonts w:hAnsi="宋体" w:cs="宋体"/>
          <w:color w:val="auto"/>
          <w:sz w:val="24"/>
          <w:szCs w:val="24"/>
          <w:highlight w:val="none"/>
        </w:rPr>
      </w:pPr>
    </w:p>
    <w:p w14:paraId="6038023A">
      <w:pPr>
        <w:pStyle w:val="19"/>
        <w:ind w:firstLine="480" w:firstLineChars="200"/>
        <w:rPr>
          <w:rFonts w:hAnsi="宋体" w:cs="宋体"/>
          <w:color w:val="auto"/>
          <w:sz w:val="24"/>
          <w:szCs w:val="24"/>
          <w:highlight w:val="none"/>
        </w:rPr>
      </w:pPr>
    </w:p>
    <w:p w14:paraId="6C0774D1">
      <w:pPr>
        <w:pStyle w:val="19"/>
        <w:ind w:firstLine="480" w:firstLineChars="200"/>
        <w:rPr>
          <w:rFonts w:hAnsi="宋体" w:cs="宋体"/>
          <w:color w:val="auto"/>
          <w:sz w:val="24"/>
          <w:szCs w:val="24"/>
          <w:highlight w:val="none"/>
        </w:rPr>
      </w:pPr>
    </w:p>
    <w:p w14:paraId="2EFBECFC">
      <w:pPr>
        <w:pStyle w:val="19"/>
        <w:ind w:firstLine="480" w:firstLineChars="200"/>
        <w:rPr>
          <w:rFonts w:hAnsi="宋体" w:cs="宋体"/>
          <w:color w:val="auto"/>
          <w:sz w:val="24"/>
          <w:szCs w:val="24"/>
          <w:highlight w:val="none"/>
        </w:rPr>
      </w:pPr>
    </w:p>
    <w:p w14:paraId="3CE8F585">
      <w:pPr>
        <w:pStyle w:val="19"/>
        <w:ind w:firstLine="480" w:firstLineChars="200"/>
        <w:rPr>
          <w:rFonts w:hAnsi="宋体" w:cs="宋体"/>
          <w:color w:val="auto"/>
          <w:sz w:val="24"/>
          <w:szCs w:val="24"/>
          <w:highlight w:val="none"/>
        </w:rPr>
      </w:pPr>
    </w:p>
    <w:p w14:paraId="5ACF5ECC">
      <w:pPr>
        <w:pStyle w:val="19"/>
        <w:ind w:firstLine="480" w:firstLineChars="200"/>
        <w:rPr>
          <w:rFonts w:hAnsi="宋体" w:cs="宋体"/>
          <w:color w:val="auto"/>
          <w:sz w:val="24"/>
          <w:szCs w:val="24"/>
          <w:highlight w:val="none"/>
        </w:rPr>
      </w:pPr>
    </w:p>
    <w:p w14:paraId="438B98C1">
      <w:pPr>
        <w:pStyle w:val="19"/>
        <w:ind w:firstLine="480" w:firstLineChars="200"/>
        <w:rPr>
          <w:rFonts w:hAnsi="宋体" w:cs="宋体"/>
          <w:color w:val="auto"/>
          <w:sz w:val="24"/>
          <w:szCs w:val="24"/>
          <w:highlight w:val="none"/>
        </w:rPr>
      </w:pPr>
    </w:p>
    <w:p w14:paraId="64D8DFE1">
      <w:pPr>
        <w:pStyle w:val="19"/>
        <w:ind w:firstLine="480" w:firstLineChars="200"/>
        <w:jc w:val="right"/>
        <w:rPr>
          <w:rFonts w:hAnsi="宋体" w:cs="宋体"/>
          <w:color w:val="auto"/>
          <w:sz w:val="24"/>
          <w:szCs w:val="24"/>
          <w:highlight w:val="none"/>
        </w:rPr>
      </w:pPr>
    </w:p>
    <w:p w14:paraId="26AEA40F">
      <w:pPr>
        <w:spacing w:line="36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供应商名称(电子签章)：</w:t>
      </w:r>
    </w:p>
    <w:p w14:paraId="772BB350">
      <w:pPr>
        <w:spacing w:line="36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日期： 年 月 日</w:t>
      </w:r>
    </w:p>
    <w:p w14:paraId="0F36CFDC">
      <w:pPr>
        <w:snapToGrid w:val="0"/>
        <w:spacing w:before="50"/>
        <w:jc w:val="right"/>
        <w:rPr>
          <w:rFonts w:ascii="宋体" w:hAnsi="宋体" w:cs="宋体"/>
          <w:color w:val="auto"/>
          <w:szCs w:val="21"/>
          <w:highlight w:val="none"/>
          <w:u w:val="single"/>
        </w:rPr>
      </w:pPr>
    </w:p>
    <w:p w14:paraId="57D25446">
      <w:pPr>
        <w:spacing w:line="320" w:lineRule="exact"/>
        <w:rPr>
          <w:rFonts w:ascii="宋体" w:hAnsi="宋体" w:cs="宋体"/>
          <w:color w:val="auto"/>
          <w:szCs w:val="21"/>
          <w:highlight w:val="none"/>
        </w:rPr>
      </w:pPr>
    </w:p>
    <w:p w14:paraId="1BB4F9C1">
      <w:pPr>
        <w:spacing w:line="320" w:lineRule="exact"/>
        <w:rPr>
          <w:rFonts w:ascii="宋体" w:hAnsi="宋体" w:cs="宋体"/>
          <w:color w:val="auto"/>
          <w:szCs w:val="21"/>
          <w:highlight w:val="none"/>
        </w:rPr>
      </w:pPr>
    </w:p>
    <w:p w14:paraId="19D80E3F">
      <w:pPr>
        <w:spacing w:line="320" w:lineRule="exact"/>
        <w:rPr>
          <w:rFonts w:ascii="宋体" w:hAnsi="宋体" w:cs="宋体"/>
          <w:color w:val="auto"/>
          <w:szCs w:val="21"/>
          <w:highlight w:val="none"/>
        </w:rPr>
      </w:pPr>
    </w:p>
    <w:p w14:paraId="20E145EA">
      <w:pPr>
        <w:spacing w:line="320" w:lineRule="exact"/>
        <w:rPr>
          <w:rFonts w:ascii="宋体" w:hAnsi="宋体" w:cs="宋体"/>
          <w:color w:val="auto"/>
          <w:szCs w:val="21"/>
          <w:highlight w:val="none"/>
        </w:rPr>
      </w:pPr>
    </w:p>
    <w:p w14:paraId="19AE5C72">
      <w:pPr>
        <w:spacing w:line="320" w:lineRule="exact"/>
        <w:rPr>
          <w:rFonts w:ascii="宋体" w:hAnsi="宋体" w:cs="宋体"/>
          <w:color w:val="auto"/>
          <w:szCs w:val="21"/>
          <w:highlight w:val="none"/>
        </w:rPr>
      </w:pPr>
    </w:p>
    <w:p w14:paraId="39D3AA42">
      <w:pPr>
        <w:spacing w:line="320" w:lineRule="exact"/>
        <w:rPr>
          <w:rFonts w:ascii="宋体" w:hAnsi="宋体" w:cs="宋体"/>
          <w:color w:val="auto"/>
          <w:szCs w:val="21"/>
          <w:highlight w:val="none"/>
        </w:rPr>
      </w:pPr>
    </w:p>
    <w:p w14:paraId="1A681C36">
      <w:pPr>
        <w:spacing w:line="320" w:lineRule="exact"/>
        <w:rPr>
          <w:rFonts w:ascii="宋体" w:hAnsi="宋体" w:cs="宋体"/>
          <w:color w:val="auto"/>
          <w:szCs w:val="21"/>
          <w:highlight w:val="none"/>
        </w:rPr>
      </w:pPr>
    </w:p>
    <w:p w14:paraId="017CE444">
      <w:pPr>
        <w:spacing w:line="320" w:lineRule="exact"/>
        <w:rPr>
          <w:rFonts w:ascii="宋体" w:hAnsi="宋体" w:cs="宋体"/>
          <w:color w:val="auto"/>
          <w:szCs w:val="21"/>
          <w:highlight w:val="none"/>
        </w:rPr>
      </w:pPr>
    </w:p>
    <w:p w14:paraId="4B4EB99F">
      <w:pPr>
        <w:spacing w:line="320" w:lineRule="exact"/>
        <w:rPr>
          <w:rFonts w:ascii="宋体" w:hAnsi="宋体" w:cs="宋体"/>
          <w:color w:val="auto"/>
          <w:szCs w:val="21"/>
          <w:highlight w:val="none"/>
        </w:rPr>
      </w:pPr>
    </w:p>
    <w:p w14:paraId="72AA9823">
      <w:pPr>
        <w:spacing w:line="320" w:lineRule="exact"/>
        <w:rPr>
          <w:rFonts w:ascii="宋体" w:hAnsi="宋体" w:cs="宋体"/>
          <w:color w:val="auto"/>
          <w:szCs w:val="21"/>
          <w:highlight w:val="none"/>
        </w:rPr>
      </w:pPr>
    </w:p>
    <w:p w14:paraId="536F1DF2">
      <w:pPr>
        <w:spacing w:line="320" w:lineRule="exact"/>
        <w:rPr>
          <w:rFonts w:ascii="宋体" w:hAnsi="宋体" w:cs="宋体"/>
          <w:color w:val="auto"/>
          <w:szCs w:val="21"/>
          <w:highlight w:val="none"/>
        </w:rPr>
      </w:pPr>
    </w:p>
    <w:p w14:paraId="2B73B447">
      <w:pPr>
        <w:spacing w:line="320" w:lineRule="exact"/>
        <w:rPr>
          <w:rFonts w:ascii="宋体" w:hAnsi="宋体" w:cs="宋体"/>
          <w:color w:val="auto"/>
          <w:szCs w:val="21"/>
          <w:highlight w:val="none"/>
        </w:rPr>
      </w:pPr>
    </w:p>
    <w:p w14:paraId="0923BF96">
      <w:pPr>
        <w:spacing w:line="320" w:lineRule="exact"/>
        <w:rPr>
          <w:rFonts w:ascii="宋体" w:hAnsi="宋体" w:cs="宋体"/>
          <w:color w:val="auto"/>
          <w:szCs w:val="21"/>
          <w:highlight w:val="none"/>
        </w:rPr>
      </w:pPr>
    </w:p>
    <w:p w14:paraId="3847720B">
      <w:pPr>
        <w:spacing w:line="320" w:lineRule="exact"/>
        <w:rPr>
          <w:rFonts w:ascii="宋体" w:hAnsi="宋体" w:cs="宋体"/>
          <w:color w:val="auto"/>
          <w:szCs w:val="21"/>
          <w:highlight w:val="none"/>
        </w:rPr>
      </w:pPr>
    </w:p>
    <w:p w14:paraId="0AB3A4C7">
      <w:pPr>
        <w:spacing w:line="320" w:lineRule="exact"/>
        <w:rPr>
          <w:rFonts w:ascii="宋体" w:hAnsi="宋体" w:cs="宋体"/>
          <w:color w:val="auto"/>
          <w:szCs w:val="21"/>
          <w:highlight w:val="none"/>
        </w:rPr>
      </w:pPr>
    </w:p>
    <w:p w14:paraId="12F892A2">
      <w:pPr>
        <w:pStyle w:val="26"/>
        <w:rPr>
          <w:rFonts w:ascii="宋体" w:hAnsi="宋体" w:cs="宋体"/>
          <w:color w:val="auto"/>
          <w:szCs w:val="21"/>
          <w:highlight w:val="none"/>
        </w:rPr>
      </w:pPr>
    </w:p>
    <w:p w14:paraId="0D1E6370">
      <w:pPr>
        <w:rPr>
          <w:rFonts w:ascii="宋体" w:hAnsi="宋体" w:cs="宋体"/>
          <w:color w:val="auto"/>
          <w:szCs w:val="21"/>
          <w:highlight w:val="none"/>
        </w:rPr>
      </w:pPr>
    </w:p>
    <w:p w14:paraId="15FE5396">
      <w:pPr>
        <w:pStyle w:val="26"/>
        <w:rPr>
          <w:rFonts w:ascii="宋体" w:hAnsi="宋体" w:cs="宋体"/>
          <w:color w:val="auto"/>
          <w:szCs w:val="21"/>
          <w:highlight w:val="none"/>
        </w:rPr>
      </w:pPr>
    </w:p>
    <w:p w14:paraId="44B82F8B">
      <w:pPr>
        <w:rPr>
          <w:rFonts w:ascii="宋体" w:hAnsi="宋体" w:cs="宋体"/>
          <w:color w:val="auto"/>
          <w:szCs w:val="21"/>
          <w:highlight w:val="none"/>
        </w:rPr>
      </w:pPr>
    </w:p>
    <w:p w14:paraId="39787934">
      <w:pPr>
        <w:pStyle w:val="26"/>
        <w:rPr>
          <w:rFonts w:ascii="宋体" w:hAnsi="宋体" w:cs="宋体"/>
          <w:color w:val="auto"/>
          <w:szCs w:val="21"/>
          <w:highlight w:val="none"/>
        </w:rPr>
      </w:pPr>
    </w:p>
    <w:p w14:paraId="372B9461">
      <w:pPr>
        <w:rPr>
          <w:rFonts w:ascii="宋体" w:hAnsi="宋体" w:cs="宋体"/>
          <w:color w:val="auto"/>
          <w:szCs w:val="21"/>
          <w:highlight w:val="none"/>
        </w:rPr>
      </w:pPr>
    </w:p>
    <w:p w14:paraId="3AC0FFB2">
      <w:pPr>
        <w:pStyle w:val="26"/>
        <w:rPr>
          <w:rFonts w:ascii="宋体" w:hAnsi="宋体" w:cs="宋体"/>
          <w:color w:val="auto"/>
          <w:szCs w:val="21"/>
          <w:highlight w:val="none"/>
        </w:rPr>
      </w:pPr>
    </w:p>
    <w:p w14:paraId="6FC6E54C">
      <w:pPr>
        <w:rPr>
          <w:rFonts w:ascii="宋体" w:hAnsi="宋体" w:cs="宋体"/>
          <w:color w:val="auto"/>
          <w:highlight w:val="none"/>
        </w:rPr>
      </w:pPr>
    </w:p>
    <w:p w14:paraId="2C251CD5">
      <w:pPr>
        <w:spacing w:line="320" w:lineRule="exact"/>
        <w:rPr>
          <w:rFonts w:ascii="宋体" w:hAnsi="宋体" w:cs="宋体"/>
          <w:color w:val="auto"/>
          <w:szCs w:val="21"/>
          <w:highlight w:val="none"/>
        </w:rPr>
      </w:pPr>
    </w:p>
    <w:p w14:paraId="3A85E386">
      <w:pPr>
        <w:snapToGrid w:val="0"/>
        <w:spacing w:before="50" w:after="156" w:afterLines="50" w:line="360" w:lineRule="exact"/>
        <w:jc w:val="left"/>
        <w:rPr>
          <w:rFonts w:ascii="宋体" w:hAnsi="宋体" w:cs="宋体"/>
          <w:b/>
          <w:color w:val="auto"/>
          <w:szCs w:val="21"/>
          <w:highlight w:val="none"/>
        </w:rPr>
      </w:pPr>
      <w:r>
        <w:rPr>
          <w:rFonts w:hint="eastAsia" w:ascii="宋体" w:hAnsi="宋体" w:cs="宋体"/>
          <w:b/>
          <w:color w:val="auto"/>
          <w:szCs w:val="21"/>
          <w:highlight w:val="none"/>
        </w:rPr>
        <w:t>九、选配件、专用耗材、售后服务优惠表格式：</w:t>
      </w:r>
    </w:p>
    <w:p w14:paraId="4DD2496A">
      <w:pPr>
        <w:tabs>
          <w:tab w:val="left" w:pos="315"/>
        </w:tabs>
        <w:snapToGrid w:val="0"/>
        <w:spacing w:before="50" w:after="50" w:line="360" w:lineRule="exact"/>
        <w:rPr>
          <w:rFonts w:ascii="宋体" w:hAnsi="宋体" w:cs="宋体"/>
          <w:color w:val="auto"/>
          <w:sz w:val="24"/>
          <w:highlight w:val="none"/>
        </w:rPr>
      </w:pPr>
    </w:p>
    <w:p w14:paraId="767B2983">
      <w:pPr>
        <w:tabs>
          <w:tab w:val="left" w:pos="315"/>
        </w:tabs>
        <w:snapToGrid w:val="0"/>
        <w:spacing w:before="50" w:after="50" w:line="360" w:lineRule="exact"/>
        <w:jc w:val="center"/>
        <w:rPr>
          <w:rFonts w:ascii="宋体" w:hAnsi="宋体" w:cs="宋体"/>
          <w:color w:val="auto"/>
          <w:sz w:val="30"/>
          <w:szCs w:val="30"/>
          <w:highlight w:val="none"/>
        </w:rPr>
      </w:pPr>
      <w:r>
        <w:rPr>
          <w:rFonts w:hint="eastAsia" w:ascii="宋体" w:hAnsi="宋体" w:cs="宋体"/>
          <w:color w:val="auto"/>
          <w:sz w:val="30"/>
          <w:szCs w:val="30"/>
          <w:highlight w:val="none"/>
        </w:rPr>
        <w:t>选配件、专用耗材、售后服务优惠表</w:t>
      </w:r>
    </w:p>
    <w:tbl>
      <w:tblPr>
        <w:tblStyle w:val="3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7F9BA3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71" w:hRule="exact"/>
          <w:jc w:val="center"/>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09EDC3FE">
            <w:pPr>
              <w:pStyle w:val="19"/>
              <w:snapToGrid w:val="0"/>
              <w:spacing w:before="295" w:after="295" w:line="360" w:lineRule="exact"/>
              <w:jc w:val="center"/>
              <w:rPr>
                <w:rFonts w:hAnsi="宋体" w:cs="宋体"/>
                <w:color w:val="auto"/>
                <w:sz w:val="24"/>
                <w:szCs w:val="24"/>
                <w:highlight w:val="none"/>
              </w:rPr>
            </w:pPr>
            <w:r>
              <w:rPr>
                <w:rFonts w:hint="eastAsia" w:hAnsi="宋体" w:cs="宋体"/>
                <w:color w:val="auto"/>
                <w:sz w:val="24"/>
                <w:szCs w:val="24"/>
                <w:highlight w:val="none"/>
              </w:rPr>
              <w:t>序号</w:t>
            </w:r>
          </w:p>
        </w:tc>
        <w:tc>
          <w:tcPr>
            <w:tcW w:w="2700" w:type="dxa"/>
            <w:tcBorders>
              <w:top w:val="single" w:color="auto" w:sz="4" w:space="0"/>
              <w:left w:val="single" w:color="auto" w:sz="4" w:space="0"/>
              <w:bottom w:val="single" w:color="auto" w:sz="2" w:space="0"/>
              <w:right w:val="single" w:color="auto" w:sz="4" w:space="0"/>
            </w:tcBorders>
          </w:tcPr>
          <w:p w14:paraId="7F63D0A7">
            <w:pPr>
              <w:pStyle w:val="19"/>
              <w:snapToGrid w:val="0"/>
              <w:spacing w:before="295" w:after="295" w:line="360" w:lineRule="exact"/>
              <w:jc w:val="center"/>
              <w:rPr>
                <w:rFonts w:hAnsi="宋体" w:cs="宋体"/>
                <w:color w:val="auto"/>
                <w:sz w:val="24"/>
                <w:szCs w:val="24"/>
                <w:highlight w:val="none"/>
              </w:rPr>
            </w:pPr>
            <w:r>
              <w:rPr>
                <w:rFonts w:hint="eastAsia" w:hAnsi="宋体" w:cs="宋体"/>
                <w:color w:val="auto"/>
                <w:sz w:val="24"/>
                <w:szCs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tcPr>
          <w:p w14:paraId="528E8F39">
            <w:pPr>
              <w:pStyle w:val="19"/>
              <w:snapToGrid w:val="0"/>
              <w:spacing w:before="295" w:after="295" w:line="360" w:lineRule="exact"/>
              <w:jc w:val="center"/>
              <w:rPr>
                <w:rFonts w:hAnsi="宋体" w:cs="宋体"/>
                <w:color w:val="auto"/>
                <w:sz w:val="24"/>
                <w:szCs w:val="24"/>
                <w:highlight w:val="none"/>
              </w:rPr>
            </w:pPr>
            <w:r>
              <w:rPr>
                <w:rFonts w:hint="eastAsia" w:hAnsi="宋体" w:cs="宋体"/>
                <w:color w:val="auto"/>
                <w:sz w:val="24"/>
                <w:szCs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tcPr>
          <w:p w14:paraId="04989ED9">
            <w:pPr>
              <w:pStyle w:val="19"/>
              <w:snapToGrid w:val="0"/>
              <w:spacing w:before="295" w:after="295" w:line="360" w:lineRule="exact"/>
              <w:jc w:val="center"/>
              <w:rPr>
                <w:rFonts w:hAnsi="宋体" w:cs="宋体"/>
                <w:color w:val="auto"/>
                <w:sz w:val="24"/>
                <w:szCs w:val="24"/>
                <w:highlight w:val="none"/>
              </w:rPr>
            </w:pPr>
            <w:r>
              <w:rPr>
                <w:rFonts w:hint="eastAsia" w:hAnsi="宋体" w:cs="宋体"/>
                <w:color w:val="auto"/>
                <w:sz w:val="24"/>
                <w:szCs w:val="24"/>
                <w:highlight w:val="none"/>
              </w:rPr>
              <w:t>单价</w:t>
            </w:r>
          </w:p>
        </w:tc>
        <w:tc>
          <w:tcPr>
            <w:tcW w:w="2340" w:type="dxa"/>
            <w:tcBorders>
              <w:top w:val="single" w:color="auto" w:sz="4" w:space="0"/>
              <w:left w:val="single" w:color="auto" w:sz="4" w:space="0"/>
              <w:bottom w:val="single" w:color="auto" w:sz="2" w:space="0"/>
              <w:right w:val="single" w:color="auto" w:sz="4" w:space="0"/>
            </w:tcBorders>
          </w:tcPr>
          <w:p w14:paraId="1139B3F8">
            <w:pPr>
              <w:pStyle w:val="19"/>
              <w:snapToGrid w:val="0"/>
              <w:spacing w:before="295" w:after="295" w:line="360" w:lineRule="exact"/>
              <w:jc w:val="center"/>
              <w:rPr>
                <w:rFonts w:hAnsi="宋体" w:cs="宋体"/>
                <w:color w:val="auto"/>
                <w:sz w:val="24"/>
                <w:szCs w:val="24"/>
                <w:highlight w:val="none"/>
              </w:rPr>
            </w:pPr>
            <w:r>
              <w:rPr>
                <w:rFonts w:hint="eastAsia" w:hAnsi="宋体" w:cs="宋体"/>
                <w:color w:val="auto"/>
                <w:sz w:val="24"/>
                <w:szCs w:val="24"/>
                <w:highlight w:val="none"/>
              </w:rPr>
              <w:t>比投标报价优惠率</w:t>
            </w:r>
          </w:p>
        </w:tc>
      </w:tr>
      <w:tr w14:paraId="2FBB2C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34"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6CBBA59A">
            <w:pPr>
              <w:pStyle w:val="19"/>
              <w:snapToGrid w:val="0"/>
              <w:spacing w:before="295" w:after="295" w:line="360" w:lineRule="exact"/>
              <w:ind w:firstLine="240" w:firstLineChars="100"/>
              <w:rPr>
                <w:rFonts w:hAnsi="宋体" w:cs="宋体"/>
                <w:color w:val="auto"/>
                <w:sz w:val="24"/>
                <w:szCs w:val="24"/>
                <w:highlight w:val="none"/>
              </w:rPr>
            </w:pPr>
            <w:r>
              <w:rPr>
                <w:rFonts w:hint="eastAsia" w:hAnsi="宋体" w:cs="宋体"/>
                <w:color w:val="auto"/>
                <w:sz w:val="24"/>
                <w:szCs w:val="24"/>
                <w:highlight w:val="none"/>
              </w:rPr>
              <w:t>1</w:t>
            </w:r>
          </w:p>
        </w:tc>
        <w:tc>
          <w:tcPr>
            <w:tcW w:w="2700" w:type="dxa"/>
            <w:tcBorders>
              <w:top w:val="single" w:color="auto" w:sz="2" w:space="0"/>
              <w:left w:val="single" w:color="auto" w:sz="2" w:space="0"/>
              <w:bottom w:val="single" w:color="auto" w:sz="6" w:space="0"/>
              <w:right w:val="single" w:color="auto" w:sz="4" w:space="0"/>
            </w:tcBorders>
          </w:tcPr>
          <w:p w14:paraId="4444CC87">
            <w:pPr>
              <w:pStyle w:val="19"/>
              <w:snapToGrid w:val="0"/>
              <w:spacing w:before="295" w:after="295" w:line="360" w:lineRule="exact"/>
              <w:jc w:val="center"/>
              <w:rPr>
                <w:rFonts w:hAnsi="宋体" w:cs="宋体"/>
                <w:color w:val="auto"/>
                <w:sz w:val="24"/>
                <w:szCs w:val="24"/>
                <w:highlight w:val="none"/>
              </w:rPr>
            </w:pPr>
          </w:p>
        </w:tc>
        <w:tc>
          <w:tcPr>
            <w:tcW w:w="1440" w:type="dxa"/>
            <w:tcBorders>
              <w:top w:val="single" w:color="auto" w:sz="2" w:space="0"/>
              <w:left w:val="single" w:color="auto" w:sz="4" w:space="0"/>
              <w:bottom w:val="single" w:color="auto" w:sz="6" w:space="0"/>
              <w:right w:val="single" w:color="auto" w:sz="6" w:space="0"/>
            </w:tcBorders>
          </w:tcPr>
          <w:p w14:paraId="52F79091">
            <w:pPr>
              <w:pStyle w:val="19"/>
              <w:snapToGrid w:val="0"/>
              <w:spacing w:before="295" w:after="295" w:line="360" w:lineRule="exact"/>
              <w:jc w:val="center"/>
              <w:rPr>
                <w:rFonts w:hAnsi="宋体" w:cs="宋体"/>
                <w:color w:val="auto"/>
                <w:sz w:val="24"/>
                <w:szCs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tcPr>
          <w:p w14:paraId="1FF22C82">
            <w:pPr>
              <w:pStyle w:val="19"/>
              <w:snapToGrid w:val="0"/>
              <w:spacing w:before="295" w:after="295" w:line="360" w:lineRule="exact"/>
              <w:jc w:val="center"/>
              <w:rPr>
                <w:rFonts w:hAnsi="宋体" w:cs="宋体"/>
                <w:color w:val="auto"/>
                <w:sz w:val="24"/>
                <w:szCs w:val="24"/>
                <w:highlight w:val="none"/>
              </w:rPr>
            </w:pPr>
          </w:p>
        </w:tc>
        <w:tc>
          <w:tcPr>
            <w:tcW w:w="2340" w:type="dxa"/>
            <w:tcBorders>
              <w:top w:val="single" w:color="auto" w:sz="2" w:space="0"/>
              <w:left w:val="single" w:color="auto" w:sz="6" w:space="0"/>
              <w:bottom w:val="single" w:color="auto" w:sz="6" w:space="0"/>
              <w:right w:val="single" w:color="auto" w:sz="2" w:space="0"/>
            </w:tcBorders>
          </w:tcPr>
          <w:p w14:paraId="41906BFA">
            <w:pPr>
              <w:pStyle w:val="19"/>
              <w:snapToGrid w:val="0"/>
              <w:spacing w:before="295" w:after="295" w:line="360" w:lineRule="exact"/>
              <w:jc w:val="center"/>
              <w:rPr>
                <w:rFonts w:hAnsi="宋体" w:cs="宋体"/>
                <w:color w:val="auto"/>
                <w:sz w:val="24"/>
                <w:szCs w:val="24"/>
                <w:highlight w:val="none"/>
              </w:rPr>
            </w:pPr>
            <w:r>
              <w:rPr>
                <w:rFonts w:hint="eastAsia" w:hAnsi="宋体" w:cs="宋体"/>
                <w:color w:val="auto"/>
                <w:sz w:val="24"/>
                <w:szCs w:val="24"/>
                <w:highlight w:val="none"/>
              </w:rPr>
              <w:t>%</w:t>
            </w:r>
          </w:p>
        </w:tc>
      </w:tr>
      <w:tr w14:paraId="06395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26"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67417DEE">
            <w:pPr>
              <w:pStyle w:val="19"/>
              <w:snapToGrid w:val="0"/>
              <w:spacing w:before="295" w:after="295" w:line="360" w:lineRule="exact"/>
              <w:jc w:val="center"/>
              <w:rPr>
                <w:rFonts w:hAnsi="宋体" w:cs="宋体"/>
                <w:color w:val="auto"/>
                <w:sz w:val="24"/>
                <w:szCs w:val="24"/>
                <w:highlight w:val="none"/>
              </w:rPr>
            </w:pPr>
            <w:r>
              <w:rPr>
                <w:rFonts w:hint="eastAsia" w:hAnsi="宋体" w:cs="宋体"/>
                <w:color w:val="auto"/>
                <w:sz w:val="24"/>
                <w:szCs w:val="24"/>
                <w:highlight w:val="none"/>
              </w:rPr>
              <w:t>2</w:t>
            </w:r>
          </w:p>
        </w:tc>
        <w:tc>
          <w:tcPr>
            <w:tcW w:w="2700" w:type="dxa"/>
            <w:tcBorders>
              <w:top w:val="single" w:color="auto" w:sz="6" w:space="0"/>
              <w:left w:val="single" w:color="auto" w:sz="2" w:space="0"/>
              <w:bottom w:val="single" w:color="auto" w:sz="6" w:space="0"/>
              <w:right w:val="single" w:color="auto" w:sz="4" w:space="0"/>
            </w:tcBorders>
          </w:tcPr>
          <w:p w14:paraId="5EFB031F">
            <w:pPr>
              <w:pStyle w:val="19"/>
              <w:snapToGrid w:val="0"/>
              <w:spacing w:before="295" w:after="295" w:line="360" w:lineRule="exact"/>
              <w:jc w:val="center"/>
              <w:rPr>
                <w:rFonts w:hAnsi="宋体" w:cs="宋体"/>
                <w:color w:val="auto"/>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tcPr>
          <w:p w14:paraId="630BD683">
            <w:pPr>
              <w:pStyle w:val="19"/>
              <w:snapToGrid w:val="0"/>
              <w:spacing w:before="295" w:after="295" w:line="360" w:lineRule="exact"/>
              <w:jc w:val="center"/>
              <w:rPr>
                <w:rFonts w:hAnsi="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5964550A">
            <w:pPr>
              <w:pStyle w:val="19"/>
              <w:snapToGrid w:val="0"/>
              <w:spacing w:before="295" w:after="295" w:line="360" w:lineRule="exact"/>
              <w:jc w:val="center"/>
              <w:rPr>
                <w:rFonts w:hAnsi="宋体" w:cs="宋体"/>
                <w:color w:val="auto"/>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tcPr>
          <w:p w14:paraId="7D2E2FEF">
            <w:pPr>
              <w:pStyle w:val="19"/>
              <w:snapToGrid w:val="0"/>
              <w:spacing w:before="295" w:after="295" w:line="360" w:lineRule="exact"/>
              <w:jc w:val="center"/>
              <w:rPr>
                <w:rFonts w:hAnsi="宋体" w:cs="宋体"/>
                <w:color w:val="auto"/>
                <w:sz w:val="24"/>
                <w:szCs w:val="24"/>
                <w:highlight w:val="none"/>
              </w:rPr>
            </w:pPr>
            <w:r>
              <w:rPr>
                <w:rFonts w:hint="eastAsia" w:hAnsi="宋体" w:cs="宋体"/>
                <w:color w:val="auto"/>
                <w:sz w:val="24"/>
                <w:szCs w:val="24"/>
                <w:highlight w:val="none"/>
              </w:rPr>
              <w:t>%</w:t>
            </w:r>
          </w:p>
        </w:tc>
      </w:tr>
      <w:tr w14:paraId="69391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49"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178C864A">
            <w:pPr>
              <w:pStyle w:val="19"/>
              <w:snapToGrid w:val="0"/>
              <w:spacing w:before="295" w:after="295" w:line="360" w:lineRule="exact"/>
              <w:jc w:val="center"/>
              <w:rPr>
                <w:rFonts w:hAnsi="宋体" w:cs="宋体"/>
                <w:color w:val="auto"/>
                <w:sz w:val="24"/>
                <w:szCs w:val="24"/>
                <w:highlight w:val="none"/>
              </w:rPr>
            </w:pPr>
            <w:r>
              <w:rPr>
                <w:rFonts w:hint="eastAsia" w:hAnsi="宋体" w:cs="宋体"/>
                <w:color w:val="auto"/>
                <w:sz w:val="24"/>
                <w:szCs w:val="24"/>
                <w:highlight w:val="none"/>
              </w:rPr>
              <w:t>3</w:t>
            </w:r>
          </w:p>
        </w:tc>
        <w:tc>
          <w:tcPr>
            <w:tcW w:w="2700" w:type="dxa"/>
            <w:tcBorders>
              <w:top w:val="single" w:color="auto" w:sz="6" w:space="0"/>
              <w:left w:val="single" w:color="auto" w:sz="2" w:space="0"/>
              <w:bottom w:val="single" w:color="auto" w:sz="6" w:space="0"/>
              <w:right w:val="single" w:color="auto" w:sz="4" w:space="0"/>
            </w:tcBorders>
          </w:tcPr>
          <w:p w14:paraId="475C2842">
            <w:pPr>
              <w:pStyle w:val="19"/>
              <w:snapToGrid w:val="0"/>
              <w:spacing w:before="295" w:after="295" w:line="360" w:lineRule="exact"/>
              <w:jc w:val="center"/>
              <w:rPr>
                <w:rFonts w:hAnsi="宋体" w:cs="宋体"/>
                <w:color w:val="auto"/>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tcPr>
          <w:p w14:paraId="5ECA13E1">
            <w:pPr>
              <w:pStyle w:val="19"/>
              <w:snapToGrid w:val="0"/>
              <w:spacing w:before="295" w:after="295" w:line="360" w:lineRule="exact"/>
              <w:jc w:val="center"/>
              <w:rPr>
                <w:rFonts w:hAnsi="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6AFC1E35">
            <w:pPr>
              <w:pStyle w:val="19"/>
              <w:snapToGrid w:val="0"/>
              <w:spacing w:before="295" w:after="295" w:line="360" w:lineRule="exact"/>
              <w:jc w:val="center"/>
              <w:rPr>
                <w:rFonts w:hAnsi="宋体" w:cs="宋体"/>
                <w:color w:val="auto"/>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tcPr>
          <w:p w14:paraId="5571A12C">
            <w:pPr>
              <w:pStyle w:val="19"/>
              <w:snapToGrid w:val="0"/>
              <w:spacing w:before="295" w:after="295" w:line="360" w:lineRule="exact"/>
              <w:jc w:val="center"/>
              <w:rPr>
                <w:rFonts w:hAnsi="宋体" w:cs="宋体"/>
                <w:color w:val="auto"/>
                <w:sz w:val="24"/>
                <w:szCs w:val="24"/>
                <w:highlight w:val="none"/>
              </w:rPr>
            </w:pPr>
            <w:r>
              <w:rPr>
                <w:rFonts w:hint="eastAsia" w:hAnsi="宋体" w:cs="宋体"/>
                <w:color w:val="auto"/>
                <w:sz w:val="24"/>
                <w:szCs w:val="24"/>
                <w:highlight w:val="none"/>
              </w:rPr>
              <w:t>%</w:t>
            </w:r>
          </w:p>
        </w:tc>
      </w:tr>
    </w:tbl>
    <w:p w14:paraId="5B227841">
      <w:pPr>
        <w:snapToGrid w:val="0"/>
        <w:spacing w:before="50" w:after="50" w:line="360" w:lineRule="exact"/>
        <w:ind w:firstLine="210" w:firstLineChars="100"/>
        <w:rPr>
          <w:rFonts w:ascii="宋体" w:hAnsi="宋体" w:cs="宋体"/>
          <w:color w:val="auto"/>
          <w:szCs w:val="21"/>
          <w:highlight w:val="none"/>
        </w:rPr>
      </w:pPr>
    </w:p>
    <w:p w14:paraId="31B67F6C">
      <w:pPr>
        <w:spacing w:line="36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005CCD47">
      <w:pPr>
        <w:spacing w:line="36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3EB1DD48">
      <w:pPr>
        <w:snapToGrid w:val="0"/>
        <w:spacing w:before="50" w:line="340" w:lineRule="exact"/>
        <w:jc w:val="left"/>
        <w:rPr>
          <w:rFonts w:ascii="宋体" w:hAnsi="宋体" w:cs="宋体"/>
          <w:b/>
          <w:color w:val="auto"/>
          <w:szCs w:val="21"/>
          <w:highlight w:val="none"/>
        </w:rPr>
      </w:pPr>
    </w:p>
    <w:p w14:paraId="7CB94674">
      <w:pPr>
        <w:spacing w:line="320" w:lineRule="exact"/>
        <w:rPr>
          <w:rFonts w:ascii="宋体" w:hAnsi="宋体" w:cs="宋体"/>
          <w:color w:val="auto"/>
          <w:szCs w:val="21"/>
          <w:highlight w:val="none"/>
        </w:rPr>
      </w:pPr>
    </w:p>
    <w:p w14:paraId="3F0EFB38">
      <w:pPr>
        <w:spacing w:line="320" w:lineRule="exact"/>
        <w:rPr>
          <w:rFonts w:ascii="宋体" w:hAnsi="宋体" w:cs="宋体"/>
          <w:color w:val="auto"/>
          <w:szCs w:val="21"/>
          <w:highlight w:val="none"/>
        </w:rPr>
      </w:pPr>
    </w:p>
    <w:p w14:paraId="4E02B127">
      <w:pPr>
        <w:spacing w:line="320" w:lineRule="exact"/>
        <w:rPr>
          <w:rFonts w:ascii="宋体" w:hAnsi="宋体" w:cs="宋体"/>
          <w:color w:val="auto"/>
          <w:szCs w:val="21"/>
          <w:highlight w:val="none"/>
        </w:rPr>
      </w:pPr>
    </w:p>
    <w:p w14:paraId="1B5CBECA">
      <w:pPr>
        <w:spacing w:line="320" w:lineRule="exact"/>
        <w:rPr>
          <w:rFonts w:ascii="宋体" w:hAnsi="宋体" w:cs="宋体"/>
          <w:color w:val="auto"/>
          <w:szCs w:val="21"/>
          <w:highlight w:val="none"/>
        </w:rPr>
      </w:pPr>
    </w:p>
    <w:p w14:paraId="4B131255">
      <w:pPr>
        <w:spacing w:line="320" w:lineRule="exact"/>
        <w:rPr>
          <w:rFonts w:ascii="宋体" w:hAnsi="宋体" w:cs="宋体"/>
          <w:color w:val="auto"/>
          <w:szCs w:val="21"/>
          <w:highlight w:val="none"/>
        </w:rPr>
      </w:pPr>
    </w:p>
    <w:p w14:paraId="6D7C4F29">
      <w:pPr>
        <w:spacing w:line="320" w:lineRule="exact"/>
        <w:rPr>
          <w:rFonts w:ascii="宋体" w:hAnsi="宋体" w:cs="宋体"/>
          <w:color w:val="auto"/>
          <w:szCs w:val="21"/>
          <w:highlight w:val="none"/>
        </w:rPr>
      </w:pPr>
    </w:p>
    <w:p w14:paraId="1BA75781">
      <w:pPr>
        <w:pStyle w:val="26"/>
        <w:rPr>
          <w:rFonts w:ascii="宋体" w:hAnsi="宋体" w:cs="宋体"/>
          <w:color w:val="auto"/>
          <w:szCs w:val="21"/>
          <w:highlight w:val="none"/>
        </w:rPr>
      </w:pPr>
    </w:p>
    <w:p w14:paraId="41A14013">
      <w:pPr>
        <w:rPr>
          <w:rFonts w:ascii="宋体" w:hAnsi="宋体" w:cs="宋体"/>
          <w:color w:val="auto"/>
          <w:szCs w:val="21"/>
          <w:highlight w:val="none"/>
        </w:rPr>
      </w:pPr>
    </w:p>
    <w:p w14:paraId="3FA67A61">
      <w:pPr>
        <w:pStyle w:val="26"/>
        <w:rPr>
          <w:rFonts w:ascii="宋体" w:hAnsi="宋体" w:cs="宋体"/>
          <w:color w:val="auto"/>
          <w:szCs w:val="21"/>
          <w:highlight w:val="none"/>
        </w:rPr>
      </w:pPr>
    </w:p>
    <w:p w14:paraId="47C2899A">
      <w:pPr>
        <w:rPr>
          <w:rFonts w:ascii="宋体" w:hAnsi="宋体" w:cs="宋体"/>
          <w:color w:val="auto"/>
          <w:szCs w:val="21"/>
          <w:highlight w:val="none"/>
        </w:rPr>
      </w:pPr>
    </w:p>
    <w:p w14:paraId="34B2DF23">
      <w:pPr>
        <w:pStyle w:val="26"/>
        <w:rPr>
          <w:rFonts w:ascii="宋体" w:hAnsi="宋体" w:cs="宋体"/>
          <w:color w:val="auto"/>
          <w:szCs w:val="21"/>
          <w:highlight w:val="none"/>
        </w:rPr>
      </w:pPr>
    </w:p>
    <w:p w14:paraId="56D98119">
      <w:pPr>
        <w:rPr>
          <w:rFonts w:ascii="宋体" w:hAnsi="宋体" w:cs="宋体"/>
          <w:color w:val="auto"/>
          <w:szCs w:val="21"/>
          <w:highlight w:val="none"/>
        </w:rPr>
      </w:pPr>
    </w:p>
    <w:p w14:paraId="4D6028CC">
      <w:pPr>
        <w:pStyle w:val="26"/>
        <w:rPr>
          <w:rFonts w:ascii="宋体" w:hAnsi="宋体" w:cs="宋体"/>
          <w:color w:val="auto"/>
          <w:szCs w:val="21"/>
          <w:highlight w:val="none"/>
        </w:rPr>
      </w:pPr>
    </w:p>
    <w:p w14:paraId="520C4706">
      <w:pPr>
        <w:rPr>
          <w:rFonts w:ascii="宋体" w:hAnsi="宋体" w:cs="宋体"/>
          <w:color w:val="auto"/>
          <w:szCs w:val="21"/>
          <w:highlight w:val="none"/>
        </w:rPr>
      </w:pPr>
    </w:p>
    <w:p w14:paraId="785A3C9F">
      <w:pPr>
        <w:pStyle w:val="26"/>
        <w:rPr>
          <w:rFonts w:ascii="宋体" w:hAnsi="宋体" w:cs="宋体"/>
          <w:color w:val="auto"/>
          <w:szCs w:val="21"/>
          <w:highlight w:val="none"/>
        </w:rPr>
      </w:pPr>
    </w:p>
    <w:p w14:paraId="255C8111">
      <w:pPr>
        <w:rPr>
          <w:rFonts w:ascii="宋体" w:hAnsi="宋体" w:cs="宋体"/>
          <w:color w:val="auto"/>
          <w:szCs w:val="21"/>
          <w:highlight w:val="none"/>
        </w:rPr>
      </w:pPr>
    </w:p>
    <w:p w14:paraId="549F605F">
      <w:pPr>
        <w:pStyle w:val="26"/>
        <w:rPr>
          <w:rFonts w:ascii="宋体" w:hAnsi="宋体" w:cs="宋体"/>
          <w:color w:val="auto"/>
          <w:szCs w:val="21"/>
          <w:highlight w:val="none"/>
        </w:rPr>
      </w:pPr>
    </w:p>
    <w:p w14:paraId="076C7C72">
      <w:pPr>
        <w:rPr>
          <w:rFonts w:ascii="宋体" w:hAnsi="宋体" w:cs="宋体"/>
          <w:color w:val="auto"/>
          <w:szCs w:val="21"/>
          <w:highlight w:val="none"/>
        </w:rPr>
      </w:pPr>
    </w:p>
    <w:p w14:paraId="44B69C19">
      <w:pPr>
        <w:pStyle w:val="26"/>
        <w:rPr>
          <w:rFonts w:ascii="宋体" w:hAnsi="宋体" w:cs="宋体"/>
          <w:color w:val="auto"/>
          <w:szCs w:val="21"/>
          <w:highlight w:val="none"/>
        </w:rPr>
      </w:pPr>
    </w:p>
    <w:p w14:paraId="4D669BE1">
      <w:pPr>
        <w:rPr>
          <w:rFonts w:ascii="宋体" w:hAnsi="宋体" w:cs="宋体"/>
          <w:color w:val="auto"/>
          <w:highlight w:val="none"/>
        </w:rPr>
      </w:pPr>
    </w:p>
    <w:p w14:paraId="5CD8643F">
      <w:pPr>
        <w:snapToGrid w:val="0"/>
        <w:spacing w:before="50" w:line="360" w:lineRule="exact"/>
        <w:jc w:val="left"/>
        <w:rPr>
          <w:rFonts w:ascii="宋体" w:hAnsi="宋体" w:cs="宋体"/>
          <w:b/>
          <w:color w:val="auto"/>
          <w:sz w:val="24"/>
          <w:highlight w:val="none"/>
        </w:rPr>
      </w:pPr>
      <w:r>
        <w:rPr>
          <w:rFonts w:hint="eastAsia" w:ascii="宋体" w:hAnsi="宋体" w:cs="宋体"/>
          <w:b/>
          <w:color w:val="auto"/>
          <w:sz w:val="24"/>
          <w:highlight w:val="none"/>
        </w:rPr>
        <w:t>十、 代理服务费承诺书格式</w:t>
      </w:r>
    </w:p>
    <w:p w14:paraId="1975F229">
      <w:pPr>
        <w:snapToGrid w:val="0"/>
        <w:spacing w:before="156" w:beforeLines="50" w:after="50" w:line="360" w:lineRule="exact"/>
        <w:jc w:val="center"/>
        <w:rPr>
          <w:rFonts w:ascii="宋体" w:hAnsi="宋体" w:cs="宋体"/>
          <w:color w:val="auto"/>
          <w:szCs w:val="21"/>
          <w:highlight w:val="none"/>
        </w:rPr>
      </w:pPr>
      <w:r>
        <w:rPr>
          <w:rFonts w:hint="eastAsia" w:ascii="宋体" w:hAnsi="宋体" w:cs="宋体"/>
          <w:b/>
          <w:color w:val="auto"/>
          <w:sz w:val="24"/>
          <w:highlight w:val="none"/>
        </w:rPr>
        <w:t>代理服务费承诺书</w:t>
      </w:r>
    </w:p>
    <w:p w14:paraId="4F6DDE61">
      <w:pPr>
        <w:snapToGrid w:val="0"/>
        <w:spacing w:before="156" w:beforeLines="50" w:after="50" w:line="360" w:lineRule="exact"/>
        <w:rPr>
          <w:rFonts w:ascii="宋体" w:hAnsi="宋体" w:cs="宋体"/>
          <w:color w:val="auto"/>
          <w:szCs w:val="21"/>
          <w:highlight w:val="none"/>
        </w:rPr>
      </w:pPr>
      <w:r>
        <w:rPr>
          <w:rFonts w:hint="eastAsia" w:ascii="宋体" w:hAnsi="宋体" w:cs="宋体"/>
          <w:color w:val="auto"/>
          <w:szCs w:val="21"/>
          <w:highlight w:val="none"/>
        </w:rPr>
        <w:t>致：广西德元工程项目管理有限责任公司</w:t>
      </w:r>
    </w:p>
    <w:p w14:paraId="2B2DD86B">
      <w:pPr>
        <w:snapToGrid w:val="0"/>
        <w:spacing w:before="156" w:beforeLines="50" w:after="50"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我单位参加了贵方组织的采购项目编号为（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）的谈判，并递交了竞标保证金（¥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），在此我方说明如下：</w:t>
      </w:r>
    </w:p>
    <w:p w14:paraId="6C39FAA6">
      <w:pPr>
        <w:snapToGrid w:val="0"/>
        <w:spacing w:before="156" w:beforeLines="50" w:after="50"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我方承诺，若我单位中标，保证在领取成交通知书之前，按本项目谈判文件的规定标准向贵单位支付代理服务费。如我单位未按规定缴纳代理服务费，贵方可不退还我单位提交的竞标保证金，并从中扣除代理服务费，余款按下列账户退回。</w:t>
      </w:r>
    </w:p>
    <w:p w14:paraId="3E398DA5">
      <w:pPr>
        <w:snapToGrid w:val="0"/>
        <w:spacing w:before="156" w:beforeLines="50" w:after="50"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我公司选择第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种方式缴纳代理服务费。</w:t>
      </w:r>
    </w:p>
    <w:p w14:paraId="1154517D">
      <w:pPr>
        <w:snapToGrid w:val="0"/>
        <w:spacing w:before="156" w:beforeLines="50" w:after="50"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第一种方式：一次性足额缴纳代理服务费。</w:t>
      </w:r>
    </w:p>
    <w:p w14:paraId="5AE77E3C">
      <w:pPr>
        <w:snapToGrid w:val="0"/>
        <w:spacing w:before="156" w:beforeLines="50" w:after="50"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第二种方式：从响应保证金中抵扣代理服务费，不足部分补交。</w:t>
      </w:r>
    </w:p>
    <w:p w14:paraId="0756453D">
      <w:pPr>
        <w:snapToGrid w:val="0"/>
        <w:spacing w:before="156" w:beforeLines="50" w:after="50"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2.如我单位竞标保证金无法原路返回，请按下表账户信息无息退还。</w:t>
      </w:r>
    </w:p>
    <w:tbl>
      <w:tblPr>
        <w:tblStyle w:val="3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3"/>
        <w:gridCol w:w="4814"/>
      </w:tblGrid>
      <w:tr w14:paraId="43E8E2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20124D7">
            <w:pPr>
              <w:snapToGrid w:val="0"/>
              <w:spacing w:before="50" w:after="156" w:afterLines="50" w:line="360" w:lineRule="exact"/>
              <w:jc w:val="center"/>
              <w:rPr>
                <w:rFonts w:ascii="宋体" w:hAnsi="宋体" w:cs="宋体"/>
                <w:color w:val="auto"/>
                <w:szCs w:val="21"/>
                <w:highlight w:val="none"/>
              </w:rPr>
            </w:pPr>
            <w:r>
              <w:rPr>
                <w:rFonts w:hint="eastAsia" w:ascii="宋体" w:hAnsi="宋体" w:cs="宋体"/>
                <w:color w:val="auto"/>
                <w:szCs w:val="21"/>
                <w:highlight w:val="none"/>
              </w:rPr>
              <w:t>收款户名</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62A7EEB">
            <w:pPr>
              <w:snapToGrid w:val="0"/>
              <w:spacing w:before="50" w:after="156" w:afterLines="50" w:line="360" w:lineRule="exact"/>
              <w:jc w:val="left"/>
              <w:rPr>
                <w:rFonts w:ascii="宋体" w:hAnsi="宋体" w:cs="宋体"/>
                <w:b/>
                <w:color w:val="auto"/>
                <w:szCs w:val="21"/>
                <w:highlight w:val="none"/>
              </w:rPr>
            </w:pPr>
          </w:p>
        </w:tc>
      </w:tr>
      <w:tr w14:paraId="63DA84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A7BC0CF">
            <w:pPr>
              <w:snapToGrid w:val="0"/>
              <w:spacing w:before="50" w:after="156" w:afterLines="50" w:line="360" w:lineRule="exact"/>
              <w:jc w:val="center"/>
              <w:rPr>
                <w:rFonts w:ascii="宋体" w:hAnsi="宋体" w:cs="宋体"/>
                <w:color w:val="auto"/>
                <w:szCs w:val="21"/>
                <w:highlight w:val="none"/>
              </w:rPr>
            </w:pPr>
            <w:r>
              <w:rPr>
                <w:rFonts w:hint="eastAsia" w:ascii="宋体" w:hAnsi="宋体" w:cs="宋体"/>
                <w:color w:val="auto"/>
                <w:szCs w:val="21"/>
                <w:highlight w:val="none"/>
              </w:rPr>
              <w:t>账    号</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D55277C">
            <w:pPr>
              <w:snapToGrid w:val="0"/>
              <w:spacing w:before="50" w:after="156" w:afterLines="50" w:line="360" w:lineRule="exact"/>
              <w:jc w:val="left"/>
              <w:rPr>
                <w:rFonts w:ascii="宋体" w:hAnsi="宋体" w:cs="宋体"/>
                <w:b/>
                <w:color w:val="auto"/>
                <w:szCs w:val="21"/>
                <w:highlight w:val="none"/>
              </w:rPr>
            </w:pPr>
          </w:p>
        </w:tc>
      </w:tr>
      <w:tr w14:paraId="047378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D3C657E">
            <w:pPr>
              <w:snapToGrid w:val="0"/>
              <w:spacing w:before="50" w:after="156" w:afterLines="50" w:line="36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BC6F23B">
            <w:pPr>
              <w:snapToGrid w:val="0"/>
              <w:spacing w:before="50" w:after="156" w:afterLines="50" w:line="360" w:lineRule="exact"/>
              <w:jc w:val="left"/>
              <w:rPr>
                <w:rFonts w:ascii="宋体" w:hAnsi="宋体" w:cs="宋体"/>
                <w:b/>
                <w:color w:val="auto"/>
                <w:szCs w:val="21"/>
                <w:highlight w:val="none"/>
              </w:rPr>
            </w:pPr>
          </w:p>
        </w:tc>
      </w:tr>
      <w:tr w14:paraId="3AAE42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0D79D5D">
            <w:pPr>
              <w:snapToGrid w:val="0"/>
              <w:spacing w:before="50" w:after="156" w:afterLines="50" w:line="360" w:lineRule="exact"/>
              <w:jc w:val="center"/>
              <w:rPr>
                <w:rFonts w:ascii="宋体" w:hAnsi="宋体" w:cs="宋体"/>
                <w:color w:val="auto"/>
                <w:szCs w:val="21"/>
                <w:highlight w:val="none"/>
              </w:rPr>
            </w:pPr>
            <w:r>
              <w:rPr>
                <w:rFonts w:hint="eastAsia" w:ascii="宋体" w:hAnsi="宋体" w:cs="宋体"/>
                <w:color w:val="auto"/>
                <w:szCs w:val="21"/>
                <w:highlight w:val="none"/>
              </w:rPr>
              <w:t>银行行号</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B1A7F3B">
            <w:pPr>
              <w:snapToGrid w:val="0"/>
              <w:spacing w:before="50" w:after="156" w:afterLines="50" w:line="360" w:lineRule="exact"/>
              <w:jc w:val="left"/>
              <w:rPr>
                <w:rFonts w:ascii="宋体" w:hAnsi="宋体" w:cs="宋体"/>
                <w:b/>
                <w:color w:val="auto"/>
                <w:szCs w:val="21"/>
                <w:highlight w:val="none"/>
              </w:rPr>
            </w:pPr>
          </w:p>
        </w:tc>
      </w:tr>
    </w:tbl>
    <w:p w14:paraId="24A78E75">
      <w:pPr>
        <w:snapToGrid w:val="0"/>
        <w:spacing w:before="156" w:beforeLines="50" w:after="50"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3．如果我单位未遵守有关竞争性谈判文件关于竞标保证金的规定，贵方可以没收我单位竞标保证金。</w:t>
      </w:r>
    </w:p>
    <w:p w14:paraId="20FC5926">
      <w:pPr>
        <w:snapToGrid w:val="0"/>
        <w:spacing w:before="156" w:beforeLines="50" w:after="50"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我单位选择第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种方式作为代理服务费开票类型：</w:t>
      </w:r>
    </w:p>
    <w:p w14:paraId="2195A10B">
      <w:pPr>
        <w:snapToGrid w:val="0"/>
        <w:spacing w:before="156" w:beforeLines="50" w:after="50"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第一种方式：开具收据。</w:t>
      </w:r>
    </w:p>
    <w:p w14:paraId="0602703C">
      <w:pPr>
        <w:snapToGrid w:val="0"/>
        <w:spacing w:before="156" w:beforeLines="50" w:after="50"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第二种方式：开具增值税普通发票。开票信息如下：1.公司名称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；2.纳税人识别号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03A5EE3">
      <w:pPr>
        <w:snapToGrid w:val="0"/>
        <w:spacing w:before="156" w:beforeLines="50" w:after="50"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第三种方式：开具增值税专用发票，开票信息如下：1.公司名称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；2.纳税人识别号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；3.税局登记地址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；4.税局登记电话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；5.开户银行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；6.银行账户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FE66BD5">
      <w:pPr>
        <w:snapToGrid w:val="0"/>
        <w:spacing w:before="50" w:after="156" w:afterLines="50" w:line="360" w:lineRule="exact"/>
        <w:jc w:val="left"/>
        <w:rPr>
          <w:rFonts w:ascii="宋体" w:hAnsi="宋体" w:cs="宋体"/>
          <w:b/>
          <w:color w:val="auto"/>
          <w:sz w:val="24"/>
          <w:highlight w:val="none"/>
        </w:rPr>
      </w:pPr>
    </w:p>
    <w:p w14:paraId="1D1ADF8B">
      <w:pPr>
        <w:spacing w:line="36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71FEF49B">
      <w:pPr>
        <w:spacing w:line="36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3FCD4B2F">
      <w:pPr>
        <w:spacing w:line="320" w:lineRule="exact"/>
        <w:rPr>
          <w:rFonts w:ascii="宋体" w:hAnsi="宋体" w:cs="宋体"/>
          <w:color w:val="auto"/>
          <w:szCs w:val="21"/>
          <w:highlight w:val="none"/>
        </w:rPr>
      </w:pPr>
    </w:p>
    <w:p w14:paraId="21663039">
      <w:pPr>
        <w:tabs>
          <w:tab w:val="left" w:pos="1427"/>
        </w:tabs>
        <w:spacing w:line="320" w:lineRule="exact"/>
        <w:rPr>
          <w:rFonts w:ascii="宋体" w:hAnsi="宋体" w:cs="宋体"/>
          <w:color w:val="auto"/>
          <w:szCs w:val="21"/>
          <w:highlight w:val="none"/>
        </w:rPr>
      </w:pPr>
      <w:r>
        <w:rPr>
          <w:rFonts w:hint="eastAsia" w:ascii="宋体" w:hAnsi="宋体" w:cs="宋体"/>
          <w:color w:val="auto"/>
          <w:szCs w:val="21"/>
          <w:highlight w:val="none"/>
        </w:rPr>
        <w:tab/>
      </w:r>
    </w:p>
    <w:p w14:paraId="163BD1C8">
      <w:pPr>
        <w:spacing w:line="320" w:lineRule="exact"/>
        <w:rPr>
          <w:rFonts w:ascii="宋体" w:hAnsi="宋体" w:cs="宋体"/>
          <w:color w:val="auto"/>
          <w:szCs w:val="21"/>
          <w:highlight w:val="none"/>
        </w:rPr>
      </w:pPr>
    </w:p>
    <w:p w14:paraId="23F4922D">
      <w:pPr>
        <w:spacing w:line="320" w:lineRule="exact"/>
        <w:rPr>
          <w:rFonts w:ascii="宋体" w:hAnsi="宋体" w:cs="宋体"/>
          <w:color w:val="auto"/>
          <w:szCs w:val="21"/>
          <w:highlight w:val="none"/>
        </w:rPr>
      </w:pPr>
    </w:p>
    <w:p w14:paraId="55F0EC79">
      <w:pPr>
        <w:spacing w:line="320" w:lineRule="exact"/>
        <w:rPr>
          <w:rFonts w:ascii="宋体" w:hAnsi="宋体" w:cs="宋体"/>
          <w:color w:val="auto"/>
          <w:szCs w:val="21"/>
          <w:highlight w:val="none"/>
        </w:rPr>
      </w:pPr>
    </w:p>
    <w:p w14:paraId="53F006A0">
      <w:pPr>
        <w:snapToGrid w:val="0"/>
        <w:spacing w:before="50" w:line="340" w:lineRule="exact"/>
        <w:jc w:val="left"/>
        <w:rPr>
          <w:rFonts w:ascii="宋体" w:hAnsi="宋体" w:cs="宋体"/>
          <w:b/>
          <w:color w:val="auto"/>
          <w:szCs w:val="21"/>
          <w:highlight w:val="none"/>
        </w:rPr>
      </w:pPr>
      <w:r>
        <w:rPr>
          <w:rFonts w:hint="eastAsia" w:ascii="宋体" w:hAnsi="宋体" w:cs="宋体"/>
          <w:b/>
          <w:color w:val="auto"/>
          <w:szCs w:val="21"/>
          <w:highlight w:val="none"/>
        </w:rPr>
        <w:t>十一、供应商同类项目业绩证明一览表（格式）</w:t>
      </w:r>
    </w:p>
    <w:p w14:paraId="26D3ED20">
      <w:pPr>
        <w:pStyle w:val="27"/>
        <w:snapToGrid w:val="0"/>
        <w:spacing w:line="360" w:lineRule="exact"/>
        <w:ind w:left="643" w:hanging="643"/>
        <w:jc w:val="center"/>
        <w:rPr>
          <w:rFonts w:ascii="宋体" w:hAnsi="宋体" w:cs="宋体"/>
          <w:b/>
          <w:bCs/>
          <w:color w:val="auto"/>
          <w:sz w:val="32"/>
          <w:szCs w:val="32"/>
          <w:highlight w:val="none"/>
        </w:rPr>
      </w:pPr>
    </w:p>
    <w:p w14:paraId="059DAC54">
      <w:pPr>
        <w:pStyle w:val="27"/>
        <w:snapToGrid w:val="0"/>
        <w:spacing w:line="360" w:lineRule="exact"/>
        <w:ind w:left="643" w:hanging="643"/>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供应商同类项目业绩一览表</w:t>
      </w:r>
    </w:p>
    <w:tbl>
      <w:tblPr>
        <w:tblStyle w:val="35"/>
        <w:tblW w:w="89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2"/>
        <w:gridCol w:w="1277"/>
        <w:gridCol w:w="1081"/>
        <w:gridCol w:w="1080"/>
        <w:gridCol w:w="958"/>
        <w:gridCol w:w="720"/>
        <w:gridCol w:w="720"/>
        <w:gridCol w:w="720"/>
        <w:gridCol w:w="1327"/>
      </w:tblGrid>
      <w:tr w14:paraId="0EC1D0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31C4EC83">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采购单位名称</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55B92A73">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7705BA2">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w:t>
            </w:r>
          </w:p>
          <w:p w14:paraId="22931507">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211749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单价</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14:paraId="2DFC1054">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合同</w:t>
            </w:r>
          </w:p>
          <w:p w14:paraId="6551CE85">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金额</w:t>
            </w:r>
          </w:p>
          <w:p w14:paraId="07DFAFC0">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5E4F9332">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附件页码</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14:paraId="4A73B6FA">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采购单位联系人及</w:t>
            </w:r>
          </w:p>
          <w:p w14:paraId="4B78CA86">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r>
      <w:tr w14:paraId="49B46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0B512911">
            <w:pPr>
              <w:widowControl/>
              <w:jc w:val="left"/>
              <w:rPr>
                <w:rFonts w:ascii="宋体" w:hAnsi="宋体" w:cs="宋体"/>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1095E60">
            <w:pPr>
              <w:widowControl/>
              <w:jc w:val="left"/>
              <w:rPr>
                <w:rFonts w:ascii="宋体" w:hAnsi="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4E68A9E">
            <w:pPr>
              <w:widowControl/>
              <w:jc w:val="left"/>
              <w:rPr>
                <w:rFonts w:ascii="宋体" w:hAnsi="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A8C3D5C">
            <w:pPr>
              <w:widowControl/>
              <w:jc w:val="left"/>
              <w:rPr>
                <w:rFonts w:ascii="宋体" w:hAnsi="宋体" w:cs="宋体"/>
                <w:color w:val="auto"/>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14:paraId="2A0D7ECC">
            <w:pPr>
              <w:widowControl/>
              <w:jc w:val="left"/>
              <w:rPr>
                <w:rFonts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29A9481">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14:paraId="37672270">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验收报告</w:t>
            </w:r>
          </w:p>
        </w:tc>
        <w:tc>
          <w:tcPr>
            <w:tcW w:w="720" w:type="dxa"/>
            <w:tcBorders>
              <w:top w:val="single" w:color="auto" w:sz="4" w:space="0"/>
              <w:left w:val="single" w:color="auto" w:sz="4" w:space="0"/>
              <w:bottom w:val="single" w:color="auto" w:sz="4" w:space="0"/>
              <w:right w:val="single" w:color="auto" w:sz="4" w:space="0"/>
            </w:tcBorders>
            <w:vAlign w:val="center"/>
          </w:tcPr>
          <w:p w14:paraId="5C86C6E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用户评价</w:t>
            </w: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08141BBB">
            <w:pPr>
              <w:widowControl/>
              <w:jc w:val="left"/>
              <w:rPr>
                <w:rFonts w:ascii="宋体" w:hAnsi="宋体" w:cs="宋体"/>
                <w:color w:val="auto"/>
                <w:szCs w:val="21"/>
                <w:highlight w:val="none"/>
              </w:rPr>
            </w:pPr>
          </w:p>
        </w:tc>
      </w:tr>
      <w:tr w14:paraId="75E7B2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101" w:type="dxa"/>
            <w:tcBorders>
              <w:top w:val="single" w:color="auto" w:sz="4" w:space="0"/>
              <w:left w:val="single" w:color="auto" w:sz="4" w:space="0"/>
              <w:bottom w:val="single" w:color="auto" w:sz="4" w:space="0"/>
              <w:right w:val="single" w:color="auto" w:sz="4" w:space="0"/>
            </w:tcBorders>
          </w:tcPr>
          <w:p w14:paraId="46BDF63D">
            <w:pPr>
              <w:snapToGrid w:val="0"/>
              <w:spacing w:line="360" w:lineRule="exact"/>
              <w:jc w:val="left"/>
              <w:rPr>
                <w:rFonts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0474B072">
            <w:pPr>
              <w:snapToGrid w:val="0"/>
              <w:spacing w:line="36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BB35B2A">
            <w:pPr>
              <w:snapToGrid w:val="0"/>
              <w:spacing w:line="36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BCECA9E">
            <w:pPr>
              <w:snapToGrid w:val="0"/>
              <w:spacing w:line="36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94A00C9">
            <w:pPr>
              <w:snapToGrid w:val="0"/>
              <w:spacing w:line="360" w:lineRule="exact"/>
              <w:jc w:val="left"/>
              <w:rPr>
                <w:rFonts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8EFF88F">
            <w:pPr>
              <w:snapToGrid w:val="0"/>
              <w:spacing w:line="360" w:lineRule="exact"/>
              <w:jc w:val="left"/>
              <w:rPr>
                <w:rFonts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7DC6778">
            <w:pPr>
              <w:snapToGrid w:val="0"/>
              <w:spacing w:line="360" w:lineRule="exact"/>
              <w:jc w:val="left"/>
              <w:rPr>
                <w:rFonts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6FB4935">
            <w:pPr>
              <w:snapToGrid w:val="0"/>
              <w:spacing w:line="36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0F298BEC">
            <w:pPr>
              <w:snapToGrid w:val="0"/>
              <w:spacing w:line="360" w:lineRule="exact"/>
              <w:jc w:val="left"/>
              <w:rPr>
                <w:rFonts w:ascii="宋体" w:hAnsi="宋体" w:cs="宋体"/>
                <w:color w:val="auto"/>
                <w:szCs w:val="21"/>
                <w:highlight w:val="none"/>
              </w:rPr>
            </w:pPr>
          </w:p>
        </w:tc>
      </w:tr>
      <w:tr w14:paraId="4FAE7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5FA9E7F1">
            <w:pPr>
              <w:snapToGrid w:val="0"/>
              <w:spacing w:before="50" w:after="156" w:afterLines="50" w:line="360" w:lineRule="exact"/>
              <w:jc w:val="left"/>
              <w:rPr>
                <w:rFonts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4B59B221">
            <w:pPr>
              <w:snapToGrid w:val="0"/>
              <w:spacing w:before="50" w:after="156" w:afterLines="50" w:line="36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594A8A7">
            <w:pPr>
              <w:snapToGrid w:val="0"/>
              <w:spacing w:before="50" w:after="156" w:afterLines="50" w:line="36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039B2D37">
            <w:pPr>
              <w:snapToGrid w:val="0"/>
              <w:spacing w:before="50" w:after="156" w:afterLines="50" w:line="36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8231598">
            <w:pPr>
              <w:snapToGrid w:val="0"/>
              <w:spacing w:before="50" w:after="156" w:afterLines="50" w:line="360" w:lineRule="exact"/>
              <w:jc w:val="left"/>
              <w:rPr>
                <w:rFonts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990A35B">
            <w:pPr>
              <w:snapToGrid w:val="0"/>
              <w:spacing w:before="50" w:after="156" w:afterLines="50" w:line="360" w:lineRule="exact"/>
              <w:jc w:val="left"/>
              <w:rPr>
                <w:rFonts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55C16A3">
            <w:pPr>
              <w:snapToGrid w:val="0"/>
              <w:spacing w:before="50" w:after="156" w:afterLines="50" w:line="360" w:lineRule="exact"/>
              <w:jc w:val="left"/>
              <w:rPr>
                <w:rFonts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4515060">
            <w:pPr>
              <w:snapToGrid w:val="0"/>
              <w:spacing w:before="50" w:after="156" w:afterLines="50" w:line="36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040E55A9">
            <w:pPr>
              <w:snapToGrid w:val="0"/>
              <w:spacing w:before="50" w:after="156" w:afterLines="50" w:line="360" w:lineRule="exact"/>
              <w:jc w:val="left"/>
              <w:rPr>
                <w:rFonts w:ascii="宋体" w:hAnsi="宋体" w:cs="宋体"/>
                <w:color w:val="auto"/>
                <w:szCs w:val="21"/>
                <w:highlight w:val="none"/>
              </w:rPr>
            </w:pPr>
          </w:p>
        </w:tc>
      </w:tr>
      <w:tr w14:paraId="1370F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101" w:type="dxa"/>
            <w:tcBorders>
              <w:top w:val="single" w:color="auto" w:sz="4" w:space="0"/>
              <w:left w:val="single" w:color="auto" w:sz="4" w:space="0"/>
              <w:bottom w:val="single" w:color="auto" w:sz="4" w:space="0"/>
              <w:right w:val="single" w:color="auto" w:sz="4" w:space="0"/>
            </w:tcBorders>
          </w:tcPr>
          <w:p w14:paraId="20390567">
            <w:pPr>
              <w:snapToGrid w:val="0"/>
              <w:spacing w:before="50" w:after="156" w:afterLines="50" w:line="360" w:lineRule="exact"/>
              <w:jc w:val="left"/>
              <w:rPr>
                <w:rFonts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128C2559">
            <w:pPr>
              <w:snapToGrid w:val="0"/>
              <w:spacing w:before="50" w:after="156" w:afterLines="50" w:line="36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76888324">
            <w:pPr>
              <w:snapToGrid w:val="0"/>
              <w:spacing w:before="50" w:after="156" w:afterLines="50" w:line="36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0947B61">
            <w:pPr>
              <w:snapToGrid w:val="0"/>
              <w:spacing w:before="50" w:after="156" w:afterLines="50" w:line="36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372BC968">
            <w:pPr>
              <w:snapToGrid w:val="0"/>
              <w:spacing w:before="50" w:after="156" w:afterLines="50" w:line="360" w:lineRule="exact"/>
              <w:jc w:val="left"/>
              <w:rPr>
                <w:rFonts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59B30B0">
            <w:pPr>
              <w:snapToGrid w:val="0"/>
              <w:spacing w:before="50" w:after="156" w:afterLines="50" w:line="360" w:lineRule="exact"/>
              <w:jc w:val="left"/>
              <w:rPr>
                <w:rFonts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EE262F8">
            <w:pPr>
              <w:snapToGrid w:val="0"/>
              <w:spacing w:before="50" w:after="156" w:afterLines="50" w:line="360" w:lineRule="exact"/>
              <w:jc w:val="left"/>
              <w:rPr>
                <w:rFonts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3E890B0">
            <w:pPr>
              <w:snapToGrid w:val="0"/>
              <w:spacing w:before="50" w:after="156" w:afterLines="50" w:line="36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79EC55FF">
            <w:pPr>
              <w:snapToGrid w:val="0"/>
              <w:spacing w:before="50" w:after="156" w:afterLines="50" w:line="360" w:lineRule="exact"/>
              <w:jc w:val="left"/>
              <w:rPr>
                <w:rFonts w:ascii="宋体" w:hAnsi="宋体" w:cs="宋体"/>
                <w:color w:val="auto"/>
                <w:szCs w:val="21"/>
                <w:highlight w:val="none"/>
              </w:rPr>
            </w:pPr>
          </w:p>
        </w:tc>
      </w:tr>
      <w:tr w14:paraId="6CAFD0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416F1EF1">
            <w:pPr>
              <w:snapToGrid w:val="0"/>
              <w:spacing w:before="50" w:after="156" w:afterLines="50" w:line="360" w:lineRule="exact"/>
              <w:jc w:val="left"/>
              <w:rPr>
                <w:rFonts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CB697E9">
            <w:pPr>
              <w:snapToGrid w:val="0"/>
              <w:spacing w:before="50" w:after="156" w:afterLines="50" w:line="36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7701AB5">
            <w:pPr>
              <w:snapToGrid w:val="0"/>
              <w:spacing w:before="50" w:after="156" w:afterLines="50" w:line="36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EB67ADC">
            <w:pPr>
              <w:snapToGrid w:val="0"/>
              <w:spacing w:before="50" w:after="156" w:afterLines="50" w:line="36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45E9B44E">
            <w:pPr>
              <w:snapToGrid w:val="0"/>
              <w:spacing w:before="50" w:after="156" w:afterLines="50" w:line="360" w:lineRule="exact"/>
              <w:jc w:val="left"/>
              <w:rPr>
                <w:rFonts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A5F83C6">
            <w:pPr>
              <w:snapToGrid w:val="0"/>
              <w:spacing w:before="50" w:after="156" w:afterLines="50" w:line="360" w:lineRule="exact"/>
              <w:jc w:val="left"/>
              <w:rPr>
                <w:rFonts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A5F59F6">
            <w:pPr>
              <w:snapToGrid w:val="0"/>
              <w:spacing w:before="50" w:after="156" w:afterLines="50" w:line="360" w:lineRule="exact"/>
              <w:jc w:val="left"/>
              <w:rPr>
                <w:rFonts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44B9832">
            <w:pPr>
              <w:snapToGrid w:val="0"/>
              <w:spacing w:before="50" w:after="156" w:afterLines="50" w:line="36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61370B1C">
            <w:pPr>
              <w:snapToGrid w:val="0"/>
              <w:spacing w:before="50" w:after="156" w:afterLines="50" w:line="360" w:lineRule="exact"/>
              <w:jc w:val="left"/>
              <w:rPr>
                <w:rFonts w:ascii="宋体" w:hAnsi="宋体" w:cs="宋体"/>
                <w:color w:val="auto"/>
                <w:szCs w:val="21"/>
                <w:highlight w:val="none"/>
              </w:rPr>
            </w:pPr>
          </w:p>
        </w:tc>
      </w:tr>
      <w:tr w14:paraId="2396A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2EE2C282">
            <w:pPr>
              <w:snapToGrid w:val="0"/>
              <w:spacing w:before="50" w:after="156" w:afterLines="50" w:line="360" w:lineRule="exact"/>
              <w:jc w:val="left"/>
              <w:rPr>
                <w:rFonts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489766C6">
            <w:pPr>
              <w:snapToGrid w:val="0"/>
              <w:spacing w:before="50" w:after="156" w:afterLines="50" w:line="36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69DBCBD3">
            <w:pPr>
              <w:snapToGrid w:val="0"/>
              <w:spacing w:before="50" w:after="156" w:afterLines="50" w:line="36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28BB3F5">
            <w:pPr>
              <w:snapToGrid w:val="0"/>
              <w:spacing w:before="50" w:after="156" w:afterLines="50" w:line="36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FC9ED6F">
            <w:pPr>
              <w:snapToGrid w:val="0"/>
              <w:spacing w:before="50" w:after="156" w:afterLines="50" w:line="360" w:lineRule="exact"/>
              <w:jc w:val="left"/>
              <w:rPr>
                <w:rFonts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6C2FAEB">
            <w:pPr>
              <w:snapToGrid w:val="0"/>
              <w:spacing w:before="50" w:after="156" w:afterLines="50" w:line="360" w:lineRule="exact"/>
              <w:jc w:val="left"/>
              <w:rPr>
                <w:rFonts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1FF8D2D">
            <w:pPr>
              <w:snapToGrid w:val="0"/>
              <w:spacing w:before="50" w:after="156" w:afterLines="50" w:line="360" w:lineRule="exact"/>
              <w:jc w:val="left"/>
              <w:rPr>
                <w:rFonts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DEA69FE">
            <w:pPr>
              <w:snapToGrid w:val="0"/>
              <w:spacing w:before="50" w:after="156" w:afterLines="50" w:line="360" w:lineRule="exact"/>
              <w:jc w:val="left"/>
              <w:rPr>
                <w:rFonts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6DEA76D0">
            <w:pPr>
              <w:snapToGrid w:val="0"/>
              <w:spacing w:before="50" w:after="156" w:afterLines="50" w:line="360" w:lineRule="exact"/>
              <w:jc w:val="left"/>
              <w:rPr>
                <w:rFonts w:ascii="宋体" w:hAnsi="宋体" w:cs="宋体"/>
                <w:color w:val="auto"/>
                <w:szCs w:val="21"/>
                <w:highlight w:val="none"/>
              </w:rPr>
            </w:pPr>
          </w:p>
        </w:tc>
      </w:tr>
    </w:tbl>
    <w:p w14:paraId="391C0C96">
      <w:pPr>
        <w:pStyle w:val="27"/>
        <w:snapToGrid w:val="0"/>
        <w:spacing w:line="360" w:lineRule="exact"/>
        <w:ind w:left="420" w:leftChars="200"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注：供应商同类项目合同复印件、用户验收报告、用户评价意见格式自拟，请提供相关证明材料扫描件并加盖供应商电子公章（如有）</w:t>
      </w:r>
    </w:p>
    <w:p w14:paraId="20EAB4AF">
      <w:pPr>
        <w:pStyle w:val="12"/>
        <w:snapToGrid w:val="0"/>
        <w:spacing w:line="360" w:lineRule="exact"/>
        <w:rPr>
          <w:rFonts w:ascii="宋体" w:hAnsi="宋体" w:eastAsia="宋体" w:cs="宋体"/>
          <w:color w:val="auto"/>
          <w:sz w:val="21"/>
          <w:szCs w:val="21"/>
          <w:highlight w:val="none"/>
        </w:rPr>
      </w:pPr>
    </w:p>
    <w:p w14:paraId="71654E4C">
      <w:pPr>
        <w:spacing w:line="36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53FFD672">
      <w:pPr>
        <w:spacing w:line="36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406A9C6F">
      <w:pPr>
        <w:snapToGrid w:val="0"/>
        <w:spacing w:before="156" w:beforeLines="50" w:after="50"/>
        <w:rPr>
          <w:rFonts w:ascii="宋体" w:hAnsi="宋体" w:cs="宋体"/>
          <w:b/>
          <w:bCs/>
          <w:color w:val="auto"/>
          <w:szCs w:val="21"/>
          <w:highlight w:val="none"/>
        </w:rPr>
      </w:pPr>
    </w:p>
    <w:p w14:paraId="0C68DF24">
      <w:pPr>
        <w:snapToGrid w:val="0"/>
        <w:spacing w:before="156" w:beforeLines="50" w:after="50"/>
        <w:rPr>
          <w:rFonts w:ascii="宋体" w:hAnsi="宋体" w:cs="宋体"/>
          <w:b/>
          <w:bCs/>
          <w:color w:val="auto"/>
          <w:szCs w:val="21"/>
          <w:highlight w:val="none"/>
        </w:rPr>
      </w:pPr>
    </w:p>
    <w:p w14:paraId="750EE7C2">
      <w:pPr>
        <w:snapToGrid w:val="0"/>
        <w:spacing w:before="156" w:beforeLines="50" w:after="50"/>
        <w:rPr>
          <w:rFonts w:ascii="宋体" w:hAnsi="宋体" w:cs="宋体"/>
          <w:b/>
          <w:bCs/>
          <w:color w:val="auto"/>
          <w:szCs w:val="21"/>
          <w:highlight w:val="none"/>
        </w:rPr>
      </w:pPr>
    </w:p>
    <w:p w14:paraId="5D71C433">
      <w:pPr>
        <w:snapToGrid w:val="0"/>
        <w:spacing w:before="156" w:beforeLines="50" w:after="50"/>
        <w:rPr>
          <w:rFonts w:ascii="宋体" w:hAnsi="宋体" w:cs="宋体"/>
          <w:b/>
          <w:bCs/>
          <w:color w:val="auto"/>
          <w:szCs w:val="21"/>
          <w:highlight w:val="none"/>
        </w:rPr>
      </w:pPr>
    </w:p>
    <w:p w14:paraId="799F7BC0">
      <w:pPr>
        <w:snapToGrid w:val="0"/>
        <w:spacing w:before="156" w:beforeLines="50" w:after="50"/>
        <w:rPr>
          <w:rFonts w:ascii="宋体" w:hAnsi="宋体" w:cs="宋体"/>
          <w:b/>
          <w:bCs/>
          <w:color w:val="auto"/>
          <w:szCs w:val="21"/>
          <w:highlight w:val="none"/>
        </w:rPr>
      </w:pPr>
    </w:p>
    <w:p w14:paraId="28AFA1A2">
      <w:pPr>
        <w:snapToGrid w:val="0"/>
        <w:spacing w:before="156" w:beforeLines="50" w:after="50"/>
        <w:rPr>
          <w:rFonts w:ascii="宋体" w:hAnsi="宋体" w:cs="宋体"/>
          <w:b/>
          <w:bCs/>
          <w:color w:val="auto"/>
          <w:szCs w:val="21"/>
          <w:highlight w:val="none"/>
        </w:rPr>
      </w:pPr>
    </w:p>
    <w:p w14:paraId="4483F845">
      <w:pPr>
        <w:snapToGrid w:val="0"/>
        <w:spacing w:before="156" w:beforeLines="50" w:after="50"/>
        <w:rPr>
          <w:rFonts w:ascii="宋体" w:hAnsi="宋体" w:cs="宋体"/>
          <w:b/>
          <w:bCs/>
          <w:color w:val="auto"/>
          <w:szCs w:val="21"/>
          <w:highlight w:val="none"/>
        </w:rPr>
      </w:pPr>
    </w:p>
    <w:p w14:paraId="1A8A9CB5">
      <w:pPr>
        <w:snapToGrid w:val="0"/>
        <w:spacing w:before="156" w:beforeLines="50" w:after="50"/>
        <w:rPr>
          <w:rFonts w:ascii="宋体" w:hAnsi="宋体" w:cs="宋体"/>
          <w:b/>
          <w:bCs/>
          <w:color w:val="auto"/>
          <w:szCs w:val="21"/>
          <w:highlight w:val="none"/>
        </w:rPr>
      </w:pPr>
    </w:p>
    <w:p w14:paraId="59E96C91">
      <w:pPr>
        <w:snapToGrid w:val="0"/>
        <w:spacing w:before="156" w:beforeLines="50" w:after="50"/>
        <w:rPr>
          <w:rFonts w:ascii="宋体" w:hAnsi="宋体" w:cs="宋体"/>
          <w:b/>
          <w:bCs/>
          <w:color w:val="auto"/>
          <w:szCs w:val="21"/>
          <w:highlight w:val="none"/>
        </w:rPr>
      </w:pPr>
    </w:p>
    <w:p w14:paraId="35CDE69F">
      <w:pPr>
        <w:snapToGrid w:val="0"/>
        <w:spacing w:before="156" w:beforeLines="50" w:after="50"/>
        <w:rPr>
          <w:rFonts w:ascii="宋体" w:hAnsi="宋体" w:cs="宋体"/>
          <w:b/>
          <w:bCs/>
          <w:color w:val="auto"/>
          <w:szCs w:val="21"/>
          <w:highlight w:val="none"/>
        </w:rPr>
      </w:pPr>
    </w:p>
    <w:p w14:paraId="20501F92">
      <w:pPr>
        <w:snapToGrid w:val="0"/>
        <w:spacing w:before="156" w:beforeLines="50" w:after="50"/>
        <w:rPr>
          <w:rFonts w:ascii="宋体" w:hAnsi="宋体" w:cs="宋体"/>
          <w:b/>
          <w:bCs/>
          <w:color w:val="auto"/>
          <w:szCs w:val="21"/>
          <w:highlight w:val="none"/>
        </w:rPr>
      </w:pPr>
    </w:p>
    <w:p w14:paraId="22C2399F">
      <w:pPr>
        <w:snapToGrid w:val="0"/>
        <w:spacing w:before="156" w:beforeLines="50" w:after="50"/>
        <w:rPr>
          <w:rFonts w:ascii="宋体" w:hAnsi="宋体" w:cs="宋体"/>
          <w:b/>
          <w:bCs/>
          <w:color w:val="auto"/>
          <w:szCs w:val="21"/>
          <w:highlight w:val="none"/>
        </w:rPr>
      </w:pPr>
    </w:p>
    <w:p w14:paraId="398E203B">
      <w:pPr>
        <w:snapToGrid w:val="0"/>
        <w:spacing w:before="156" w:beforeLines="50" w:after="50"/>
        <w:rPr>
          <w:rFonts w:ascii="宋体" w:hAnsi="宋体" w:cs="宋体"/>
          <w:b/>
          <w:bCs/>
          <w:color w:val="auto"/>
          <w:szCs w:val="21"/>
          <w:highlight w:val="none"/>
        </w:rPr>
      </w:pPr>
    </w:p>
    <w:p w14:paraId="47F4C8A3">
      <w:pPr>
        <w:snapToGrid w:val="0"/>
        <w:spacing w:before="156" w:beforeLines="50" w:after="50"/>
        <w:rPr>
          <w:rFonts w:ascii="宋体" w:hAnsi="宋体" w:cs="宋体"/>
          <w:b/>
          <w:bCs/>
          <w:color w:val="auto"/>
          <w:szCs w:val="21"/>
          <w:highlight w:val="none"/>
        </w:rPr>
      </w:pPr>
    </w:p>
    <w:p w14:paraId="1071ACB1">
      <w:pPr>
        <w:snapToGrid w:val="0"/>
        <w:spacing w:before="156" w:beforeLines="50" w:after="50"/>
        <w:rPr>
          <w:rFonts w:ascii="宋体" w:hAnsi="宋体" w:cs="宋体"/>
          <w:b/>
          <w:bCs/>
          <w:color w:val="auto"/>
          <w:szCs w:val="21"/>
          <w:highlight w:val="none"/>
        </w:rPr>
      </w:pPr>
    </w:p>
    <w:p w14:paraId="73A8D8FC">
      <w:pPr>
        <w:snapToGrid w:val="0"/>
        <w:spacing w:before="156" w:beforeLines="50" w:after="50"/>
        <w:rPr>
          <w:rFonts w:ascii="宋体" w:hAnsi="宋体" w:cs="宋体"/>
          <w:b/>
          <w:bCs/>
          <w:color w:val="auto"/>
          <w:szCs w:val="21"/>
          <w:highlight w:val="none"/>
        </w:rPr>
      </w:pPr>
    </w:p>
    <w:p w14:paraId="311B7F7A">
      <w:pPr>
        <w:snapToGrid w:val="0"/>
        <w:spacing w:before="156" w:beforeLines="50" w:after="50"/>
        <w:rPr>
          <w:rFonts w:ascii="宋体" w:hAnsi="宋体" w:cs="宋体"/>
          <w:b/>
          <w:bCs/>
          <w:color w:val="auto"/>
          <w:szCs w:val="21"/>
          <w:highlight w:val="none"/>
        </w:rPr>
      </w:pPr>
      <w:r>
        <w:rPr>
          <w:rFonts w:hint="eastAsia" w:ascii="宋体" w:hAnsi="宋体" w:cs="宋体"/>
          <w:b/>
          <w:bCs/>
          <w:color w:val="auto"/>
          <w:szCs w:val="21"/>
          <w:highlight w:val="none"/>
        </w:rPr>
        <w:t>3、报价文件格式：</w:t>
      </w:r>
    </w:p>
    <w:p w14:paraId="2DBC55CC">
      <w:pPr>
        <w:spacing w:line="240" w:lineRule="atLeast"/>
        <w:jc w:val="center"/>
        <w:rPr>
          <w:rFonts w:ascii="宋体" w:hAnsi="宋体" w:cs="宋体"/>
          <w:b/>
          <w:color w:val="auto"/>
          <w:sz w:val="32"/>
          <w:szCs w:val="32"/>
          <w:highlight w:val="none"/>
        </w:rPr>
      </w:pPr>
    </w:p>
    <w:p w14:paraId="1967B952">
      <w:pPr>
        <w:spacing w:line="240" w:lineRule="atLeast"/>
        <w:jc w:val="center"/>
        <w:rPr>
          <w:rFonts w:ascii="宋体" w:hAnsi="宋体" w:cs="宋体"/>
          <w:b/>
          <w:color w:val="auto"/>
          <w:sz w:val="32"/>
          <w:szCs w:val="32"/>
          <w:highlight w:val="none"/>
        </w:rPr>
      </w:pPr>
    </w:p>
    <w:p w14:paraId="548817EF">
      <w:pPr>
        <w:snapToGrid w:val="0"/>
        <w:spacing w:before="156" w:beforeLines="50" w:after="50" w:line="28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14:paraId="78914123">
      <w:pPr>
        <w:snapToGrid w:val="0"/>
        <w:spacing w:before="156" w:beforeLines="50" w:after="50" w:line="280" w:lineRule="exact"/>
        <w:ind w:firstLine="9" w:firstLineChars="3"/>
        <w:jc w:val="center"/>
        <w:rPr>
          <w:rFonts w:ascii="宋体" w:hAnsi="宋体" w:cs="宋体"/>
          <w:bCs/>
          <w:color w:val="auto"/>
          <w:sz w:val="32"/>
          <w:szCs w:val="32"/>
          <w:highlight w:val="none"/>
        </w:rPr>
      </w:pPr>
    </w:p>
    <w:p w14:paraId="56071E52">
      <w:pPr>
        <w:snapToGrid w:val="0"/>
        <w:spacing w:before="156" w:beforeLines="50" w:after="50" w:line="280" w:lineRule="exact"/>
        <w:ind w:firstLine="9" w:firstLineChars="3"/>
        <w:jc w:val="center"/>
        <w:rPr>
          <w:rFonts w:ascii="宋体" w:hAnsi="宋体" w:cs="宋体"/>
          <w:bCs/>
          <w:color w:val="auto"/>
          <w:sz w:val="32"/>
          <w:szCs w:val="32"/>
          <w:highlight w:val="none"/>
        </w:rPr>
      </w:pPr>
    </w:p>
    <w:p w14:paraId="1D667A85">
      <w:pPr>
        <w:snapToGrid w:val="0"/>
        <w:spacing w:before="156" w:beforeLines="50" w:after="50" w:line="280" w:lineRule="exact"/>
        <w:ind w:firstLine="9" w:firstLineChars="3"/>
        <w:jc w:val="center"/>
        <w:rPr>
          <w:rFonts w:ascii="宋体" w:hAnsi="宋体" w:cs="宋体"/>
          <w:bCs/>
          <w:color w:val="auto"/>
          <w:sz w:val="32"/>
          <w:szCs w:val="32"/>
          <w:highlight w:val="none"/>
        </w:rPr>
      </w:pPr>
    </w:p>
    <w:p w14:paraId="678FF63A">
      <w:pPr>
        <w:snapToGrid w:val="0"/>
        <w:spacing w:before="156" w:beforeLines="50" w:after="50"/>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14:paraId="754A0D56">
      <w:pPr>
        <w:snapToGrid w:val="0"/>
        <w:spacing w:before="156" w:beforeLines="50" w:after="50"/>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（报价文件）</w:t>
      </w:r>
    </w:p>
    <w:p w14:paraId="1CDD38A7">
      <w:pPr>
        <w:snapToGrid w:val="0"/>
        <w:spacing w:before="156" w:beforeLines="50" w:after="50"/>
        <w:rPr>
          <w:rFonts w:ascii="宋体" w:hAnsi="宋体" w:cs="宋体"/>
          <w:bCs/>
          <w:color w:val="auto"/>
          <w:szCs w:val="21"/>
          <w:highlight w:val="none"/>
        </w:rPr>
      </w:pPr>
    </w:p>
    <w:p w14:paraId="716D7F31">
      <w:pPr>
        <w:snapToGrid w:val="0"/>
        <w:spacing w:before="156"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14:paraId="6113426F">
      <w:pPr>
        <w:snapToGrid w:val="0"/>
        <w:spacing w:before="156" w:beforeLines="50" w:after="50" w:line="280" w:lineRule="exact"/>
        <w:ind w:firstLine="675" w:firstLineChars="225"/>
        <w:rPr>
          <w:rFonts w:ascii="宋体" w:hAnsi="宋体" w:cs="宋体"/>
          <w:bCs/>
          <w:color w:val="auto"/>
          <w:sz w:val="30"/>
          <w:szCs w:val="30"/>
          <w:highlight w:val="none"/>
        </w:rPr>
      </w:pPr>
    </w:p>
    <w:p w14:paraId="57CA103E">
      <w:pPr>
        <w:snapToGrid w:val="0"/>
        <w:spacing w:before="156"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14:paraId="6870C3F6">
      <w:pPr>
        <w:snapToGrid w:val="0"/>
        <w:spacing w:before="156"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 xml:space="preserve"> </w:t>
      </w:r>
    </w:p>
    <w:p w14:paraId="71EDFF8D">
      <w:pPr>
        <w:snapToGrid w:val="0"/>
        <w:spacing w:before="156" w:beforeLines="50" w:after="50"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14:paraId="5735F7BD">
      <w:pPr>
        <w:snapToGrid w:val="0"/>
        <w:spacing w:before="156" w:beforeLines="50" w:after="50" w:line="280" w:lineRule="exact"/>
        <w:ind w:firstLine="675" w:firstLineChars="225"/>
        <w:rPr>
          <w:rFonts w:ascii="宋体" w:hAnsi="宋体" w:cs="宋体"/>
          <w:bCs/>
          <w:color w:val="auto"/>
          <w:sz w:val="30"/>
          <w:szCs w:val="30"/>
          <w:highlight w:val="none"/>
        </w:rPr>
      </w:pPr>
    </w:p>
    <w:p w14:paraId="676FE7BD">
      <w:pPr>
        <w:pStyle w:val="2"/>
        <w:snapToGrid w:val="0"/>
        <w:spacing w:before="100" w:beforeAutospacing="1" w:after="100" w:afterAutospacing="1"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w:t>
      </w:r>
      <w:r>
        <w:rPr>
          <w:rFonts w:hint="eastAsia" w:ascii="宋体" w:hAnsi="宋体" w:cs="宋体"/>
          <w:bCs/>
          <w:color w:val="auto"/>
          <w:sz w:val="24"/>
          <w:highlight w:val="none"/>
          <w:u w:val="single"/>
        </w:rPr>
        <w:t xml:space="preserve">                       </w:t>
      </w:r>
      <w:r>
        <w:rPr>
          <w:rFonts w:hint="eastAsia" w:ascii="宋体" w:hAnsi="宋体" w:cs="宋体"/>
          <w:bCs/>
          <w:color w:val="auto"/>
          <w:sz w:val="30"/>
          <w:szCs w:val="30"/>
          <w:highlight w:val="none"/>
        </w:rPr>
        <w:t>（加盖单位电子公章）</w:t>
      </w:r>
    </w:p>
    <w:p w14:paraId="0ED611A2">
      <w:pPr>
        <w:pStyle w:val="2"/>
        <w:snapToGrid w:val="0"/>
        <w:spacing w:before="100" w:beforeAutospacing="1" w:after="100" w:afterAutospacing="1" w:line="280" w:lineRule="exact"/>
        <w:ind w:firstLine="675" w:firstLineChars="225"/>
        <w:rPr>
          <w:rFonts w:ascii="宋体" w:hAnsi="宋体" w:cs="宋体"/>
          <w:bCs/>
          <w:color w:val="auto"/>
          <w:sz w:val="30"/>
          <w:szCs w:val="30"/>
          <w:highlight w:val="none"/>
        </w:rPr>
      </w:pPr>
    </w:p>
    <w:p w14:paraId="7F925237">
      <w:pPr>
        <w:pStyle w:val="2"/>
        <w:snapToGrid w:val="0"/>
        <w:spacing w:before="100" w:beforeAutospacing="1" w:after="100" w:afterAutospacing="1" w:line="28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14:paraId="55A1CE9F">
      <w:pPr>
        <w:pStyle w:val="2"/>
        <w:snapToGrid w:val="0"/>
        <w:spacing w:before="50" w:after="50" w:line="280" w:lineRule="exact"/>
        <w:ind w:firstLine="675" w:firstLineChars="225"/>
        <w:rPr>
          <w:rFonts w:ascii="宋体" w:hAnsi="宋体" w:cs="宋体"/>
          <w:bCs/>
          <w:color w:val="auto"/>
          <w:sz w:val="30"/>
          <w:szCs w:val="30"/>
          <w:highlight w:val="none"/>
        </w:rPr>
      </w:pPr>
    </w:p>
    <w:p w14:paraId="2FCBBC87">
      <w:pPr>
        <w:snapToGrid w:val="0"/>
        <w:spacing w:before="156" w:beforeLines="50" w:after="50"/>
        <w:ind w:firstLine="10"/>
        <w:jc w:val="center"/>
        <w:rPr>
          <w:rFonts w:ascii="宋体" w:hAnsi="宋体" w:cs="宋体"/>
          <w:color w:val="auto"/>
          <w:sz w:val="30"/>
          <w:szCs w:val="30"/>
          <w:highlight w:val="none"/>
        </w:rPr>
      </w:pPr>
    </w:p>
    <w:p w14:paraId="518FF0C3">
      <w:pPr>
        <w:snapToGrid w:val="0"/>
        <w:spacing w:before="156" w:beforeLines="50" w:after="50"/>
        <w:ind w:firstLine="10"/>
        <w:jc w:val="center"/>
        <w:rPr>
          <w:rFonts w:ascii="宋体" w:hAnsi="宋体" w:cs="宋体"/>
          <w:color w:val="auto"/>
          <w:sz w:val="30"/>
          <w:szCs w:val="30"/>
          <w:highlight w:val="none"/>
        </w:rPr>
      </w:pPr>
    </w:p>
    <w:p w14:paraId="1A2D6E9C">
      <w:pPr>
        <w:snapToGrid w:val="0"/>
        <w:spacing w:before="156" w:beforeLines="50" w:after="50"/>
        <w:ind w:firstLine="10"/>
        <w:jc w:val="center"/>
        <w:rPr>
          <w:rFonts w:ascii="宋体" w:hAnsi="宋体" w:cs="宋体"/>
          <w:color w:val="auto"/>
          <w:sz w:val="30"/>
          <w:szCs w:val="30"/>
          <w:highlight w:val="none"/>
        </w:rPr>
      </w:pPr>
    </w:p>
    <w:p w14:paraId="21D2FDC9">
      <w:pPr>
        <w:snapToGrid w:val="0"/>
        <w:spacing w:before="156" w:beforeLines="50" w:after="50"/>
        <w:ind w:firstLine="10"/>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14:paraId="5BBB8ADD">
      <w:pPr>
        <w:spacing w:line="320" w:lineRule="exact"/>
        <w:rPr>
          <w:rFonts w:ascii="宋体" w:hAnsi="宋体" w:cs="宋体"/>
          <w:b/>
          <w:color w:val="auto"/>
          <w:szCs w:val="21"/>
          <w:highlight w:val="none"/>
        </w:rPr>
      </w:pPr>
    </w:p>
    <w:p w14:paraId="628599AA">
      <w:pPr>
        <w:spacing w:line="320" w:lineRule="exact"/>
        <w:rPr>
          <w:rFonts w:ascii="宋体" w:hAnsi="宋体" w:cs="宋体"/>
          <w:b/>
          <w:color w:val="auto"/>
          <w:szCs w:val="21"/>
          <w:highlight w:val="none"/>
        </w:rPr>
      </w:pPr>
    </w:p>
    <w:p w14:paraId="51F5127D">
      <w:pPr>
        <w:spacing w:line="320" w:lineRule="exact"/>
        <w:rPr>
          <w:rFonts w:ascii="宋体" w:hAnsi="宋体" w:cs="宋体"/>
          <w:b/>
          <w:color w:val="auto"/>
          <w:szCs w:val="21"/>
          <w:highlight w:val="none"/>
        </w:rPr>
      </w:pPr>
    </w:p>
    <w:p w14:paraId="114AC86E">
      <w:pPr>
        <w:pStyle w:val="26"/>
        <w:rPr>
          <w:rFonts w:ascii="宋体" w:hAnsi="宋体" w:cs="宋体"/>
          <w:color w:val="auto"/>
          <w:highlight w:val="none"/>
        </w:rPr>
      </w:pPr>
    </w:p>
    <w:p w14:paraId="77D24C26">
      <w:pPr>
        <w:spacing w:line="320" w:lineRule="exact"/>
        <w:rPr>
          <w:rFonts w:ascii="宋体" w:hAnsi="宋体" w:cs="宋体"/>
          <w:b/>
          <w:color w:val="auto"/>
          <w:szCs w:val="21"/>
          <w:highlight w:val="none"/>
        </w:rPr>
      </w:pPr>
    </w:p>
    <w:p w14:paraId="1837AA01">
      <w:pPr>
        <w:spacing w:line="320" w:lineRule="exact"/>
        <w:rPr>
          <w:rFonts w:ascii="宋体" w:hAnsi="宋体" w:cs="宋体"/>
          <w:b/>
          <w:color w:val="auto"/>
          <w:szCs w:val="21"/>
          <w:highlight w:val="none"/>
        </w:rPr>
      </w:pPr>
    </w:p>
    <w:p w14:paraId="7002DD05">
      <w:pPr>
        <w:spacing w:line="320" w:lineRule="exact"/>
        <w:rPr>
          <w:rFonts w:ascii="宋体" w:hAnsi="宋体" w:cs="宋体"/>
          <w:b/>
          <w:color w:val="auto"/>
          <w:szCs w:val="21"/>
          <w:highlight w:val="none"/>
        </w:rPr>
      </w:pPr>
    </w:p>
    <w:p w14:paraId="69C90FF1">
      <w:pPr>
        <w:tabs>
          <w:tab w:val="left" w:pos="1418"/>
        </w:tabs>
        <w:snapToGrid w:val="0"/>
        <w:spacing w:before="50" w:after="50" w:line="320" w:lineRule="exact"/>
        <w:jc w:val="center"/>
        <w:rPr>
          <w:rFonts w:ascii="宋体" w:hAnsi="宋体" w:cs="宋体"/>
          <w:bCs/>
          <w:color w:val="auto"/>
          <w:sz w:val="32"/>
          <w:szCs w:val="32"/>
          <w:highlight w:val="none"/>
        </w:rPr>
      </w:pPr>
      <w:r>
        <w:rPr>
          <w:rFonts w:hint="eastAsia" w:ascii="宋体" w:hAnsi="宋体" w:cs="宋体"/>
          <w:bCs/>
          <w:color w:val="auto"/>
          <w:sz w:val="32"/>
          <w:szCs w:val="32"/>
          <w:highlight w:val="none"/>
        </w:rPr>
        <w:t>目   录</w:t>
      </w:r>
    </w:p>
    <w:p w14:paraId="7EFE3D61">
      <w:pPr>
        <w:tabs>
          <w:tab w:val="left" w:pos="2625"/>
        </w:tabs>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(供应商需根据响应文件自行编制目录及页码)</w:t>
      </w:r>
    </w:p>
    <w:p w14:paraId="29CAB81A">
      <w:pPr>
        <w:spacing w:line="320" w:lineRule="exact"/>
        <w:rPr>
          <w:rFonts w:ascii="宋体" w:hAnsi="宋体" w:cs="宋体"/>
          <w:bCs/>
          <w:color w:val="auto"/>
          <w:szCs w:val="21"/>
          <w:highlight w:val="none"/>
        </w:rPr>
      </w:pPr>
    </w:p>
    <w:p w14:paraId="492E8F1D">
      <w:pPr>
        <w:spacing w:line="320" w:lineRule="exact"/>
        <w:rPr>
          <w:rFonts w:ascii="宋体" w:hAnsi="宋体" w:cs="宋体"/>
          <w:bCs/>
          <w:color w:val="auto"/>
          <w:szCs w:val="21"/>
          <w:highlight w:val="none"/>
        </w:rPr>
      </w:pPr>
    </w:p>
    <w:p w14:paraId="2C081B04">
      <w:pPr>
        <w:spacing w:line="320" w:lineRule="exact"/>
        <w:rPr>
          <w:rFonts w:ascii="宋体" w:hAnsi="宋体" w:cs="宋体"/>
          <w:bCs/>
          <w:color w:val="auto"/>
          <w:szCs w:val="21"/>
          <w:highlight w:val="none"/>
        </w:rPr>
      </w:pPr>
    </w:p>
    <w:p w14:paraId="0D8EFCBE">
      <w:pPr>
        <w:spacing w:line="320" w:lineRule="exact"/>
        <w:rPr>
          <w:rFonts w:ascii="宋体" w:hAnsi="宋体" w:cs="宋体"/>
          <w:bCs/>
          <w:color w:val="auto"/>
          <w:szCs w:val="21"/>
          <w:highlight w:val="none"/>
        </w:rPr>
      </w:pPr>
    </w:p>
    <w:p w14:paraId="79A3C8F9">
      <w:pPr>
        <w:spacing w:line="320" w:lineRule="exact"/>
        <w:rPr>
          <w:rFonts w:ascii="宋体" w:hAnsi="宋体" w:cs="宋体"/>
          <w:bCs/>
          <w:color w:val="auto"/>
          <w:szCs w:val="21"/>
          <w:highlight w:val="none"/>
        </w:rPr>
      </w:pPr>
    </w:p>
    <w:p w14:paraId="0F695CA9">
      <w:pPr>
        <w:spacing w:line="320" w:lineRule="exact"/>
        <w:rPr>
          <w:rFonts w:ascii="宋体" w:hAnsi="宋体" w:cs="宋体"/>
          <w:bCs/>
          <w:color w:val="auto"/>
          <w:szCs w:val="21"/>
          <w:highlight w:val="none"/>
        </w:rPr>
      </w:pPr>
    </w:p>
    <w:p w14:paraId="794FF454">
      <w:pPr>
        <w:spacing w:line="320" w:lineRule="exact"/>
        <w:rPr>
          <w:rFonts w:ascii="宋体" w:hAnsi="宋体" w:cs="宋体"/>
          <w:bCs/>
          <w:color w:val="auto"/>
          <w:szCs w:val="21"/>
          <w:highlight w:val="none"/>
        </w:rPr>
      </w:pPr>
    </w:p>
    <w:p w14:paraId="001D0A3F">
      <w:pPr>
        <w:spacing w:line="320" w:lineRule="exact"/>
        <w:rPr>
          <w:rFonts w:ascii="宋体" w:hAnsi="宋体" w:cs="宋体"/>
          <w:bCs/>
          <w:color w:val="auto"/>
          <w:szCs w:val="21"/>
          <w:highlight w:val="none"/>
        </w:rPr>
      </w:pPr>
    </w:p>
    <w:p w14:paraId="3D5C3E12">
      <w:pPr>
        <w:spacing w:line="320" w:lineRule="exact"/>
        <w:rPr>
          <w:rFonts w:ascii="宋体" w:hAnsi="宋体" w:cs="宋体"/>
          <w:bCs/>
          <w:color w:val="auto"/>
          <w:szCs w:val="21"/>
          <w:highlight w:val="none"/>
        </w:rPr>
      </w:pPr>
    </w:p>
    <w:p w14:paraId="4776C0F5">
      <w:pPr>
        <w:spacing w:line="320" w:lineRule="exact"/>
        <w:rPr>
          <w:rFonts w:ascii="宋体" w:hAnsi="宋体" w:cs="宋体"/>
          <w:bCs/>
          <w:color w:val="auto"/>
          <w:szCs w:val="21"/>
          <w:highlight w:val="none"/>
        </w:rPr>
      </w:pPr>
    </w:p>
    <w:p w14:paraId="3982D6DC">
      <w:pPr>
        <w:spacing w:line="320" w:lineRule="exact"/>
        <w:rPr>
          <w:rFonts w:ascii="宋体" w:hAnsi="宋体" w:cs="宋体"/>
          <w:bCs/>
          <w:color w:val="auto"/>
          <w:szCs w:val="21"/>
          <w:highlight w:val="none"/>
        </w:rPr>
      </w:pPr>
    </w:p>
    <w:p w14:paraId="06E27A90">
      <w:pPr>
        <w:spacing w:line="320" w:lineRule="exact"/>
        <w:rPr>
          <w:rFonts w:ascii="宋体" w:hAnsi="宋体" w:cs="宋体"/>
          <w:bCs/>
          <w:color w:val="auto"/>
          <w:szCs w:val="21"/>
          <w:highlight w:val="none"/>
        </w:rPr>
      </w:pPr>
    </w:p>
    <w:p w14:paraId="7BF11748">
      <w:pPr>
        <w:spacing w:line="320" w:lineRule="exact"/>
        <w:rPr>
          <w:rFonts w:ascii="宋体" w:hAnsi="宋体" w:cs="宋体"/>
          <w:bCs/>
          <w:color w:val="auto"/>
          <w:szCs w:val="21"/>
          <w:highlight w:val="none"/>
        </w:rPr>
      </w:pPr>
    </w:p>
    <w:p w14:paraId="3B880154">
      <w:pPr>
        <w:spacing w:line="320" w:lineRule="exact"/>
        <w:rPr>
          <w:rFonts w:ascii="宋体" w:hAnsi="宋体" w:cs="宋体"/>
          <w:bCs/>
          <w:color w:val="auto"/>
          <w:szCs w:val="21"/>
          <w:highlight w:val="none"/>
        </w:rPr>
      </w:pPr>
    </w:p>
    <w:p w14:paraId="0E84F53A">
      <w:pPr>
        <w:spacing w:line="320" w:lineRule="exact"/>
        <w:rPr>
          <w:rFonts w:ascii="宋体" w:hAnsi="宋体" w:cs="宋体"/>
          <w:bCs/>
          <w:color w:val="auto"/>
          <w:szCs w:val="21"/>
          <w:highlight w:val="none"/>
        </w:rPr>
      </w:pPr>
    </w:p>
    <w:p w14:paraId="169D916F">
      <w:pPr>
        <w:spacing w:line="320" w:lineRule="exact"/>
        <w:rPr>
          <w:rFonts w:ascii="宋体" w:hAnsi="宋体" w:cs="宋体"/>
          <w:bCs/>
          <w:color w:val="auto"/>
          <w:szCs w:val="21"/>
          <w:highlight w:val="none"/>
        </w:rPr>
      </w:pPr>
    </w:p>
    <w:p w14:paraId="0BB66CA1">
      <w:pPr>
        <w:spacing w:line="320" w:lineRule="exact"/>
        <w:rPr>
          <w:rFonts w:ascii="宋体" w:hAnsi="宋体" w:cs="宋体"/>
          <w:bCs/>
          <w:color w:val="auto"/>
          <w:szCs w:val="21"/>
          <w:highlight w:val="none"/>
        </w:rPr>
      </w:pPr>
    </w:p>
    <w:p w14:paraId="63D29A0F">
      <w:pPr>
        <w:pStyle w:val="26"/>
        <w:rPr>
          <w:rFonts w:ascii="宋体" w:hAnsi="宋体" w:cs="宋体"/>
          <w:bCs/>
          <w:color w:val="auto"/>
          <w:szCs w:val="21"/>
          <w:highlight w:val="none"/>
        </w:rPr>
      </w:pPr>
    </w:p>
    <w:p w14:paraId="0CBA4821">
      <w:pPr>
        <w:rPr>
          <w:rFonts w:ascii="宋体" w:hAnsi="宋体" w:cs="宋体"/>
          <w:bCs/>
          <w:color w:val="auto"/>
          <w:szCs w:val="21"/>
          <w:highlight w:val="none"/>
        </w:rPr>
      </w:pPr>
    </w:p>
    <w:p w14:paraId="4D017877">
      <w:pPr>
        <w:pStyle w:val="26"/>
        <w:rPr>
          <w:rFonts w:ascii="宋体" w:hAnsi="宋体" w:cs="宋体"/>
          <w:bCs/>
          <w:color w:val="auto"/>
          <w:szCs w:val="21"/>
          <w:highlight w:val="none"/>
        </w:rPr>
      </w:pPr>
    </w:p>
    <w:p w14:paraId="6CB5FA6A">
      <w:pPr>
        <w:rPr>
          <w:rFonts w:ascii="宋体" w:hAnsi="宋体" w:cs="宋体"/>
          <w:bCs/>
          <w:color w:val="auto"/>
          <w:szCs w:val="21"/>
          <w:highlight w:val="none"/>
        </w:rPr>
      </w:pPr>
    </w:p>
    <w:p w14:paraId="7A8C55D9">
      <w:pPr>
        <w:pStyle w:val="26"/>
        <w:rPr>
          <w:rFonts w:ascii="宋体" w:hAnsi="宋体" w:cs="宋体"/>
          <w:bCs/>
          <w:color w:val="auto"/>
          <w:szCs w:val="21"/>
          <w:highlight w:val="none"/>
        </w:rPr>
      </w:pPr>
    </w:p>
    <w:p w14:paraId="403277F3">
      <w:pPr>
        <w:rPr>
          <w:rFonts w:ascii="宋体" w:hAnsi="宋体" w:cs="宋体"/>
          <w:bCs/>
          <w:color w:val="auto"/>
          <w:szCs w:val="21"/>
          <w:highlight w:val="none"/>
        </w:rPr>
      </w:pPr>
    </w:p>
    <w:p w14:paraId="1FC32C02">
      <w:pPr>
        <w:pStyle w:val="26"/>
        <w:rPr>
          <w:rFonts w:ascii="宋体" w:hAnsi="宋体" w:cs="宋体"/>
          <w:bCs/>
          <w:color w:val="auto"/>
          <w:szCs w:val="21"/>
          <w:highlight w:val="none"/>
        </w:rPr>
      </w:pPr>
    </w:p>
    <w:p w14:paraId="32631A5C">
      <w:pPr>
        <w:rPr>
          <w:rFonts w:ascii="宋体" w:hAnsi="宋体" w:cs="宋体"/>
          <w:bCs/>
          <w:color w:val="auto"/>
          <w:szCs w:val="21"/>
          <w:highlight w:val="none"/>
        </w:rPr>
      </w:pPr>
    </w:p>
    <w:p w14:paraId="16E26D23">
      <w:pPr>
        <w:pStyle w:val="26"/>
        <w:rPr>
          <w:rFonts w:ascii="宋体" w:hAnsi="宋体" w:cs="宋体"/>
          <w:bCs/>
          <w:color w:val="auto"/>
          <w:szCs w:val="21"/>
          <w:highlight w:val="none"/>
        </w:rPr>
      </w:pPr>
    </w:p>
    <w:p w14:paraId="2CCB43F8">
      <w:pPr>
        <w:rPr>
          <w:rFonts w:ascii="宋体" w:hAnsi="宋体" w:cs="宋体"/>
          <w:bCs/>
          <w:color w:val="auto"/>
          <w:szCs w:val="21"/>
          <w:highlight w:val="none"/>
        </w:rPr>
      </w:pPr>
    </w:p>
    <w:p w14:paraId="0B740EC8">
      <w:pPr>
        <w:pStyle w:val="26"/>
        <w:rPr>
          <w:rFonts w:ascii="宋体" w:hAnsi="宋体" w:cs="宋体"/>
          <w:color w:val="auto"/>
          <w:highlight w:val="none"/>
        </w:rPr>
      </w:pPr>
    </w:p>
    <w:p w14:paraId="5767BC4A">
      <w:pPr>
        <w:spacing w:line="320" w:lineRule="exact"/>
        <w:rPr>
          <w:rFonts w:ascii="宋体" w:hAnsi="宋体" w:cs="宋体"/>
          <w:bCs/>
          <w:color w:val="auto"/>
          <w:szCs w:val="21"/>
          <w:highlight w:val="none"/>
        </w:rPr>
      </w:pPr>
    </w:p>
    <w:p w14:paraId="7CC1591D">
      <w:pPr>
        <w:spacing w:line="320" w:lineRule="exact"/>
        <w:rPr>
          <w:rFonts w:ascii="宋体" w:hAnsi="宋体" w:cs="宋体"/>
          <w:bCs/>
          <w:color w:val="auto"/>
          <w:szCs w:val="21"/>
          <w:highlight w:val="none"/>
        </w:rPr>
      </w:pPr>
    </w:p>
    <w:p w14:paraId="64B7DD55">
      <w:pPr>
        <w:spacing w:line="320" w:lineRule="exact"/>
        <w:rPr>
          <w:rFonts w:ascii="宋体" w:hAnsi="宋体" w:cs="宋体"/>
          <w:bCs/>
          <w:color w:val="auto"/>
          <w:szCs w:val="21"/>
          <w:highlight w:val="none"/>
        </w:rPr>
      </w:pPr>
    </w:p>
    <w:p w14:paraId="2B2F631F">
      <w:pPr>
        <w:spacing w:line="320" w:lineRule="exact"/>
        <w:rPr>
          <w:rFonts w:ascii="宋体" w:hAnsi="宋体" w:cs="宋体"/>
          <w:bCs/>
          <w:color w:val="auto"/>
          <w:szCs w:val="21"/>
          <w:highlight w:val="none"/>
        </w:rPr>
      </w:pPr>
    </w:p>
    <w:p w14:paraId="7155F7E2">
      <w:pPr>
        <w:spacing w:line="320" w:lineRule="exact"/>
        <w:rPr>
          <w:rFonts w:ascii="宋体" w:hAnsi="宋体" w:cs="宋体"/>
          <w:bCs/>
          <w:color w:val="auto"/>
          <w:szCs w:val="21"/>
          <w:highlight w:val="none"/>
        </w:rPr>
      </w:pPr>
    </w:p>
    <w:p w14:paraId="0B708D0C">
      <w:pPr>
        <w:spacing w:line="320" w:lineRule="exact"/>
        <w:rPr>
          <w:rFonts w:ascii="宋体" w:hAnsi="宋体" w:cs="宋体"/>
          <w:bCs/>
          <w:color w:val="auto"/>
          <w:szCs w:val="21"/>
          <w:highlight w:val="none"/>
        </w:rPr>
      </w:pPr>
    </w:p>
    <w:p w14:paraId="6B38D8C7">
      <w:pPr>
        <w:spacing w:line="320" w:lineRule="exact"/>
        <w:rPr>
          <w:rFonts w:ascii="宋体" w:hAnsi="宋体" w:cs="宋体"/>
          <w:bCs/>
          <w:color w:val="auto"/>
          <w:szCs w:val="21"/>
          <w:highlight w:val="none"/>
        </w:rPr>
      </w:pPr>
    </w:p>
    <w:p w14:paraId="7DA54DE2">
      <w:pPr>
        <w:spacing w:line="320" w:lineRule="exact"/>
        <w:rPr>
          <w:rFonts w:ascii="宋体" w:hAnsi="宋体" w:cs="宋体"/>
          <w:bCs/>
          <w:color w:val="auto"/>
          <w:szCs w:val="21"/>
          <w:highlight w:val="none"/>
        </w:rPr>
      </w:pPr>
    </w:p>
    <w:p w14:paraId="4B0CCA15">
      <w:pPr>
        <w:spacing w:line="320" w:lineRule="exact"/>
        <w:rPr>
          <w:rFonts w:ascii="宋体" w:hAnsi="宋体" w:cs="宋体"/>
          <w:bCs/>
          <w:color w:val="auto"/>
          <w:szCs w:val="21"/>
          <w:highlight w:val="none"/>
        </w:rPr>
      </w:pPr>
    </w:p>
    <w:p w14:paraId="6D050D88">
      <w:pPr>
        <w:spacing w:line="320" w:lineRule="exact"/>
        <w:rPr>
          <w:rFonts w:ascii="宋体" w:hAnsi="宋体" w:cs="宋体"/>
          <w:bCs/>
          <w:color w:val="auto"/>
          <w:szCs w:val="21"/>
          <w:highlight w:val="none"/>
        </w:rPr>
      </w:pPr>
    </w:p>
    <w:p w14:paraId="4F725544">
      <w:pPr>
        <w:spacing w:line="320" w:lineRule="exact"/>
        <w:rPr>
          <w:rFonts w:ascii="宋体" w:hAnsi="宋体" w:cs="宋体"/>
          <w:bCs/>
          <w:color w:val="auto"/>
          <w:szCs w:val="21"/>
          <w:highlight w:val="none"/>
        </w:rPr>
      </w:pPr>
    </w:p>
    <w:p w14:paraId="313CC551">
      <w:pPr>
        <w:spacing w:line="320" w:lineRule="exact"/>
        <w:rPr>
          <w:rFonts w:ascii="宋体" w:hAnsi="宋体" w:cs="宋体"/>
          <w:b/>
          <w:color w:val="auto"/>
          <w:szCs w:val="21"/>
          <w:highlight w:val="none"/>
        </w:rPr>
      </w:pPr>
      <w:r>
        <w:rPr>
          <w:rFonts w:hint="eastAsia" w:ascii="宋体" w:hAnsi="宋体" w:cs="宋体"/>
          <w:b/>
          <w:color w:val="auto"/>
          <w:szCs w:val="21"/>
          <w:highlight w:val="none"/>
        </w:rPr>
        <w:t>一、竞标函格式</w:t>
      </w:r>
    </w:p>
    <w:p w14:paraId="0011B547">
      <w:pPr>
        <w:snapToGrid w:val="0"/>
        <w:spacing w:before="156" w:beforeLines="50" w:after="50" w:line="36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竞 标 函</w:t>
      </w:r>
    </w:p>
    <w:p w14:paraId="65F8A1F7">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（采购人名称）：</w:t>
      </w:r>
    </w:p>
    <w:p w14:paraId="51EBC39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根据贵方为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项目的招标公告（项目编号：     ），签字代表</w:t>
      </w:r>
      <w:r>
        <w:rPr>
          <w:rFonts w:hint="eastAsia" w:ascii="宋体" w:hAnsi="宋体" w:cs="宋体"/>
          <w:color w:val="auto"/>
          <w:szCs w:val="21"/>
          <w:highlight w:val="none"/>
          <w:u w:val="single"/>
        </w:rPr>
        <w:t xml:space="preserve">     （全名）</w:t>
      </w:r>
      <w:r>
        <w:rPr>
          <w:rFonts w:hint="eastAsia" w:ascii="宋体" w:hAnsi="宋体" w:cs="宋体"/>
          <w:color w:val="auto"/>
          <w:szCs w:val="21"/>
          <w:highlight w:val="none"/>
        </w:rPr>
        <w:t>经正式授权并代表供应商</w:t>
      </w:r>
      <w:r>
        <w:rPr>
          <w:rFonts w:hint="eastAsia" w:ascii="宋体" w:hAnsi="宋体" w:cs="宋体"/>
          <w:color w:val="auto"/>
          <w:szCs w:val="21"/>
          <w:highlight w:val="none"/>
          <w:u w:val="single"/>
        </w:rPr>
        <w:t xml:space="preserve">                    （供应商名称）</w:t>
      </w:r>
      <w:r>
        <w:rPr>
          <w:rFonts w:hint="eastAsia" w:ascii="宋体" w:hAnsi="宋体" w:cs="宋体"/>
          <w:color w:val="auto"/>
          <w:szCs w:val="21"/>
          <w:highlight w:val="none"/>
        </w:rPr>
        <w:t>现正式递交下述文件参加贵方组织的本次政府采购活动：</w:t>
      </w:r>
    </w:p>
    <w:p w14:paraId="76F1E55B">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一、报价文件电子版一份；</w:t>
      </w:r>
    </w:p>
    <w:p w14:paraId="3DBC8E24">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二、资格文件电子版一份；</w:t>
      </w:r>
    </w:p>
    <w:p w14:paraId="2F6048DA">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三、商务和技术文件电子版一份；</w:t>
      </w:r>
    </w:p>
    <w:p w14:paraId="66412B38">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据此函，签字代表宣布同意如下：</w:t>
      </w:r>
    </w:p>
    <w:p w14:paraId="141E49E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1.我方已详细审查全部“竞争性谈判文件”，包括修改文件（如有的话）以及全部参考资料和有关附件，已经了解我方对于谈判文件、采购过程、采购结果有依法进行询问、质疑、投诉的权利及相关渠道和要求。</w:t>
      </w:r>
    </w:p>
    <w:p w14:paraId="5D8F6B3C">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2.我方在投标之前已经与贵方进行了充分的沟通，完全理解并接受竞争性谈判文件的各项规定和要求，对竞争性谈判文件的合理性、合法性不再有异议。</w:t>
      </w:r>
    </w:p>
    <w:p w14:paraId="0DB35B78">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3.本投标有效期（响应文件有效期）自开标日起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日（自然日）。</w:t>
      </w:r>
    </w:p>
    <w:p w14:paraId="6006699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4.如中标，本响应文件至本项目合同履行完毕止均保持有效，我方将按“竞争性谈判文件”及政府采购法律、法规的规定履行合同责任和义务。</w:t>
      </w:r>
    </w:p>
    <w:p w14:paraId="7408A8A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5.我方同意按照贵方要求提供与投标有关的一切数据或资料。</w:t>
      </w:r>
    </w:p>
    <w:p w14:paraId="231DFB15">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6.与本投标有关的一切正式往来信函请寄：</w:t>
      </w:r>
    </w:p>
    <w:p w14:paraId="33BABA25">
      <w:pPr>
        <w:snapToGrid w:val="0"/>
        <w:spacing w:line="360" w:lineRule="exact"/>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55D91E49">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供应商代表姓名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A4925C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3A9A0CF9">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银行帐号：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ABC7A37">
      <w:pPr>
        <w:snapToGrid w:val="0"/>
        <w:spacing w:line="360" w:lineRule="exact"/>
        <w:rPr>
          <w:rFonts w:ascii="宋体" w:hAnsi="宋体" w:cs="宋体"/>
          <w:color w:val="auto"/>
          <w:szCs w:val="21"/>
          <w:highlight w:val="none"/>
        </w:rPr>
      </w:pPr>
    </w:p>
    <w:p w14:paraId="4085C45A">
      <w:pPr>
        <w:snapToGrid w:val="0"/>
        <w:spacing w:line="360" w:lineRule="exact"/>
        <w:rPr>
          <w:rFonts w:ascii="宋体" w:hAnsi="宋体" w:cs="宋体"/>
          <w:color w:val="auto"/>
          <w:szCs w:val="21"/>
          <w:highlight w:val="none"/>
        </w:rPr>
      </w:pPr>
    </w:p>
    <w:p w14:paraId="6F85677E">
      <w:pPr>
        <w:spacing w:line="36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6DE0E4D0">
      <w:pPr>
        <w:spacing w:line="36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70D32CEC">
      <w:pPr>
        <w:pStyle w:val="19"/>
        <w:spacing w:line="360" w:lineRule="exact"/>
        <w:rPr>
          <w:rFonts w:hAnsi="宋体" w:cs="宋体"/>
          <w:color w:val="auto"/>
          <w:sz w:val="44"/>
          <w:szCs w:val="21"/>
          <w:highlight w:val="none"/>
        </w:rPr>
      </w:pPr>
    </w:p>
    <w:p w14:paraId="4E89663B">
      <w:pPr>
        <w:pStyle w:val="19"/>
        <w:spacing w:line="360" w:lineRule="exact"/>
        <w:rPr>
          <w:rFonts w:hAnsi="宋体" w:cs="宋体"/>
          <w:color w:val="auto"/>
          <w:sz w:val="44"/>
          <w:highlight w:val="none"/>
        </w:rPr>
      </w:pPr>
    </w:p>
    <w:p w14:paraId="685592ED">
      <w:pPr>
        <w:pStyle w:val="19"/>
        <w:spacing w:line="360" w:lineRule="exact"/>
        <w:rPr>
          <w:rFonts w:hAnsi="宋体" w:cs="宋体"/>
          <w:color w:val="auto"/>
          <w:sz w:val="44"/>
          <w:highlight w:val="none"/>
        </w:rPr>
      </w:pPr>
    </w:p>
    <w:p w14:paraId="01F771F9">
      <w:pPr>
        <w:pStyle w:val="19"/>
        <w:spacing w:line="360" w:lineRule="exact"/>
        <w:rPr>
          <w:rFonts w:hAnsi="宋体" w:cs="宋体"/>
          <w:color w:val="auto"/>
          <w:sz w:val="44"/>
          <w:highlight w:val="none"/>
        </w:rPr>
      </w:pPr>
    </w:p>
    <w:p w14:paraId="0DCC8292">
      <w:pPr>
        <w:pStyle w:val="19"/>
        <w:spacing w:line="360" w:lineRule="exact"/>
        <w:rPr>
          <w:rFonts w:hAnsi="宋体" w:cs="宋体"/>
          <w:color w:val="auto"/>
          <w:sz w:val="44"/>
          <w:highlight w:val="none"/>
        </w:rPr>
      </w:pPr>
    </w:p>
    <w:p w14:paraId="6537D224">
      <w:pPr>
        <w:pStyle w:val="19"/>
        <w:spacing w:line="360" w:lineRule="exact"/>
        <w:rPr>
          <w:rFonts w:hAnsi="宋体" w:cs="宋体"/>
          <w:color w:val="auto"/>
          <w:sz w:val="44"/>
          <w:highlight w:val="none"/>
        </w:rPr>
      </w:pPr>
    </w:p>
    <w:p w14:paraId="6083DBD4">
      <w:pPr>
        <w:pStyle w:val="19"/>
        <w:spacing w:line="360" w:lineRule="exact"/>
        <w:rPr>
          <w:rFonts w:hAnsi="宋体" w:cs="宋体"/>
          <w:color w:val="auto"/>
          <w:sz w:val="44"/>
          <w:highlight w:val="none"/>
        </w:rPr>
      </w:pPr>
    </w:p>
    <w:p w14:paraId="6081338B">
      <w:pPr>
        <w:pStyle w:val="19"/>
        <w:spacing w:line="360" w:lineRule="exact"/>
        <w:rPr>
          <w:rFonts w:hAnsi="宋体" w:cs="宋体"/>
          <w:color w:val="auto"/>
          <w:sz w:val="44"/>
          <w:highlight w:val="none"/>
        </w:rPr>
      </w:pPr>
    </w:p>
    <w:p w14:paraId="74C06CC6">
      <w:pPr>
        <w:pStyle w:val="19"/>
        <w:spacing w:line="360" w:lineRule="exact"/>
        <w:rPr>
          <w:rFonts w:hAnsi="宋体" w:cs="宋体"/>
          <w:color w:val="auto"/>
          <w:sz w:val="44"/>
          <w:highlight w:val="none"/>
        </w:rPr>
      </w:pPr>
    </w:p>
    <w:p w14:paraId="38CDECD5">
      <w:pPr>
        <w:spacing w:line="320" w:lineRule="exact"/>
        <w:rPr>
          <w:rFonts w:ascii="宋体" w:hAnsi="宋体" w:cs="宋体"/>
          <w:b/>
          <w:color w:val="auto"/>
          <w:szCs w:val="21"/>
          <w:highlight w:val="none"/>
        </w:rPr>
      </w:pPr>
    </w:p>
    <w:p w14:paraId="758D6A77">
      <w:pPr>
        <w:spacing w:line="320" w:lineRule="exact"/>
        <w:rPr>
          <w:rFonts w:ascii="宋体" w:hAnsi="宋体" w:cs="宋体"/>
          <w:b/>
          <w:color w:val="auto"/>
          <w:szCs w:val="21"/>
          <w:highlight w:val="none"/>
        </w:rPr>
      </w:pPr>
    </w:p>
    <w:p w14:paraId="4C5F196E">
      <w:pPr>
        <w:spacing w:line="320" w:lineRule="exact"/>
        <w:rPr>
          <w:rFonts w:ascii="宋体" w:hAnsi="宋体" w:cs="宋体"/>
          <w:b/>
          <w:color w:val="auto"/>
          <w:szCs w:val="21"/>
          <w:highlight w:val="none"/>
        </w:rPr>
      </w:pPr>
    </w:p>
    <w:p w14:paraId="736F8F1C">
      <w:pPr>
        <w:spacing w:line="320" w:lineRule="exact"/>
        <w:rPr>
          <w:rFonts w:ascii="宋体" w:hAnsi="宋体" w:cs="宋体"/>
          <w:b/>
          <w:color w:val="auto"/>
          <w:szCs w:val="21"/>
          <w:highlight w:val="none"/>
        </w:rPr>
      </w:pPr>
      <w:r>
        <w:rPr>
          <w:rFonts w:hint="eastAsia" w:ascii="宋体" w:hAnsi="宋体" w:cs="宋体"/>
          <w:b/>
          <w:color w:val="auto"/>
          <w:szCs w:val="21"/>
          <w:highlight w:val="none"/>
        </w:rPr>
        <w:t>二、报价表和最后报价明细表格式</w:t>
      </w:r>
    </w:p>
    <w:p w14:paraId="7DC7CD44">
      <w:pPr>
        <w:spacing w:line="30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报  价  表</w:t>
      </w:r>
    </w:p>
    <w:p w14:paraId="0E787C3A">
      <w:pPr>
        <w:spacing w:line="30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p>
    <w:p w14:paraId="1EADA8C0">
      <w:pPr>
        <w:snapToGrid w:val="0"/>
        <w:spacing w:before="50" w:after="50"/>
        <w:rPr>
          <w:rFonts w:ascii="宋体" w:hAnsi="宋体" w:cs="宋体"/>
          <w:color w:val="auto"/>
          <w:highlight w:val="none"/>
          <w:u w:val="single"/>
        </w:rPr>
      </w:pPr>
      <w:r>
        <w:rPr>
          <w:rFonts w:hint="eastAsia" w:ascii="宋体" w:hAnsi="宋体" w:cs="宋体"/>
          <w:color w:val="auto"/>
          <w:szCs w:val="21"/>
          <w:highlight w:val="none"/>
        </w:rPr>
        <w:t>项目编号:</w:t>
      </w:r>
      <w:r>
        <w:rPr>
          <w:rFonts w:hint="eastAsia" w:ascii="宋体" w:hAnsi="宋体" w:cs="宋体"/>
          <w:color w:val="auto"/>
          <w:highlight w:val="none"/>
          <w:u w:val="single"/>
        </w:rPr>
        <w:t xml:space="preserve">                                   </w:t>
      </w:r>
    </w:p>
    <w:tbl>
      <w:tblPr>
        <w:tblStyle w:val="35"/>
        <w:tblW w:w="97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603"/>
        <w:gridCol w:w="1639"/>
        <w:gridCol w:w="1229"/>
        <w:gridCol w:w="1051"/>
        <w:gridCol w:w="878"/>
        <w:gridCol w:w="1066"/>
        <w:gridCol w:w="1404"/>
      </w:tblGrid>
      <w:tr w14:paraId="3FE1D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912" w:type="dxa"/>
          </w:tcPr>
          <w:p w14:paraId="208A8EFE">
            <w:pPr>
              <w:pStyle w:val="84"/>
              <w:spacing w:before="110"/>
              <w:ind w:left="217" w:right="224"/>
              <w:jc w:val="center"/>
              <w:rPr>
                <w:b/>
                <w:color w:val="auto"/>
                <w:sz w:val="21"/>
                <w:highlight w:val="none"/>
              </w:rPr>
            </w:pPr>
            <w:r>
              <w:rPr>
                <w:rFonts w:hint="eastAsia"/>
                <w:b/>
                <w:color w:val="auto"/>
                <w:sz w:val="21"/>
                <w:highlight w:val="none"/>
              </w:rPr>
              <w:t>项号</w:t>
            </w:r>
          </w:p>
        </w:tc>
        <w:tc>
          <w:tcPr>
            <w:tcW w:w="1603" w:type="dxa"/>
          </w:tcPr>
          <w:p w14:paraId="12516EA1">
            <w:pPr>
              <w:pStyle w:val="84"/>
              <w:spacing w:before="110"/>
              <w:ind w:left="369" w:right="0"/>
              <w:rPr>
                <w:b/>
                <w:color w:val="auto"/>
                <w:sz w:val="21"/>
                <w:highlight w:val="none"/>
              </w:rPr>
            </w:pPr>
            <w:r>
              <w:rPr>
                <w:rFonts w:hint="eastAsia"/>
                <w:b/>
                <w:color w:val="auto"/>
                <w:sz w:val="21"/>
                <w:highlight w:val="none"/>
              </w:rPr>
              <w:t>货物名称</w:t>
            </w:r>
          </w:p>
        </w:tc>
        <w:tc>
          <w:tcPr>
            <w:tcW w:w="1639" w:type="dxa"/>
          </w:tcPr>
          <w:p w14:paraId="6FDE3294">
            <w:pPr>
              <w:pStyle w:val="84"/>
              <w:spacing w:before="1" w:line="322" w:lineRule="exact"/>
              <w:ind w:right="0"/>
              <w:jc w:val="center"/>
              <w:rPr>
                <w:b/>
                <w:color w:val="auto"/>
                <w:sz w:val="21"/>
                <w:highlight w:val="none"/>
                <w:lang w:eastAsia="zh-CN"/>
              </w:rPr>
            </w:pPr>
            <w:r>
              <w:rPr>
                <w:rFonts w:hint="eastAsia"/>
                <w:b/>
                <w:color w:val="auto"/>
                <w:sz w:val="21"/>
                <w:highlight w:val="none"/>
                <w:lang w:eastAsia="zh-CN"/>
              </w:rPr>
              <w:t>厂家、品牌、规格型号</w:t>
            </w:r>
          </w:p>
        </w:tc>
        <w:tc>
          <w:tcPr>
            <w:tcW w:w="1229" w:type="dxa"/>
          </w:tcPr>
          <w:p w14:paraId="1EFD7239">
            <w:pPr>
              <w:pStyle w:val="84"/>
              <w:spacing w:before="110"/>
              <w:ind w:left="393" w:right="0"/>
              <w:rPr>
                <w:b/>
                <w:color w:val="auto"/>
                <w:sz w:val="21"/>
                <w:highlight w:val="none"/>
              </w:rPr>
            </w:pPr>
            <w:r>
              <w:rPr>
                <w:rFonts w:hint="eastAsia"/>
                <w:b/>
                <w:color w:val="auto"/>
                <w:sz w:val="21"/>
                <w:highlight w:val="none"/>
              </w:rPr>
              <w:t>产地</w:t>
            </w:r>
          </w:p>
        </w:tc>
        <w:tc>
          <w:tcPr>
            <w:tcW w:w="1051" w:type="dxa"/>
          </w:tcPr>
          <w:p w14:paraId="1B068125">
            <w:pPr>
              <w:pStyle w:val="84"/>
              <w:spacing w:before="110"/>
              <w:ind w:left="196" w:right="0"/>
              <w:rPr>
                <w:b/>
                <w:color w:val="auto"/>
                <w:sz w:val="21"/>
                <w:highlight w:val="none"/>
              </w:rPr>
            </w:pPr>
            <w:r>
              <w:rPr>
                <w:rFonts w:hint="eastAsia"/>
                <w:b/>
                <w:color w:val="auto"/>
                <w:sz w:val="21"/>
                <w:highlight w:val="none"/>
              </w:rPr>
              <w:t>数量①</w:t>
            </w:r>
          </w:p>
        </w:tc>
        <w:tc>
          <w:tcPr>
            <w:tcW w:w="878" w:type="dxa"/>
          </w:tcPr>
          <w:p w14:paraId="1A0261E1">
            <w:pPr>
              <w:pStyle w:val="84"/>
              <w:spacing w:before="110"/>
              <w:ind w:left="215" w:right="0"/>
              <w:rPr>
                <w:b/>
                <w:color w:val="auto"/>
                <w:sz w:val="21"/>
                <w:highlight w:val="none"/>
              </w:rPr>
            </w:pPr>
            <w:r>
              <w:rPr>
                <w:rFonts w:hint="eastAsia"/>
                <w:b/>
                <w:color w:val="auto"/>
                <w:sz w:val="21"/>
                <w:highlight w:val="none"/>
              </w:rPr>
              <w:t>单位</w:t>
            </w:r>
          </w:p>
        </w:tc>
        <w:tc>
          <w:tcPr>
            <w:tcW w:w="1066" w:type="dxa"/>
          </w:tcPr>
          <w:p w14:paraId="442C488B">
            <w:pPr>
              <w:pStyle w:val="84"/>
              <w:spacing w:before="110"/>
              <w:ind w:left="206" w:right="0"/>
              <w:rPr>
                <w:b/>
                <w:color w:val="auto"/>
                <w:sz w:val="21"/>
                <w:highlight w:val="none"/>
              </w:rPr>
            </w:pPr>
            <w:r>
              <w:rPr>
                <w:rFonts w:hint="eastAsia"/>
                <w:b/>
                <w:color w:val="auto"/>
                <w:sz w:val="21"/>
                <w:highlight w:val="none"/>
              </w:rPr>
              <w:t>单价②</w:t>
            </w:r>
          </w:p>
        </w:tc>
        <w:tc>
          <w:tcPr>
            <w:tcW w:w="1404" w:type="dxa"/>
          </w:tcPr>
          <w:p w14:paraId="5C165A78">
            <w:pPr>
              <w:pStyle w:val="84"/>
              <w:spacing w:line="291" w:lineRule="exact"/>
              <w:ind w:left="311" w:right="0"/>
              <w:rPr>
                <w:b/>
                <w:color w:val="auto"/>
                <w:sz w:val="21"/>
                <w:highlight w:val="none"/>
              </w:rPr>
            </w:pPr>
            <w:r>
              <w:rPr>
                <w:rFonts w:hint="eastAsia"/>
                <w:b/>
                <w:color w:val="auto"/>
                <w:sz w:val="21"/>
                <w:highlight w:val="none"/>
              </w:rPr>
              <w:t>投标报价</w:t>
            </w:r>
          </w:p>
          <w:p w14:paraId="2BC9D58A">
            <w:pPr>
              <w:pStyle w:val="84"/>
              <w:spacing w:line="325" w:lineRule="exact"/>
              <w:ind w:left="259" w:right="0"/>
              <w:rPr>
                <w:b/>
                <w:color w:val="auto"/>
                <w:sz w:val="21"/>
                <w:highlight w:val="none"/>
              </w:rPr>
            </w:pPr>
            <w:r>
              <w:rPr>
                <w:rFonts w:hint="eastAsia"/>
                <w:b/>
                <w:color w:val="auto"/>
                <w:sz w:val="21"/>
                <w:highlight w:val="none"/>
              </w:rPr>
              <w:t>③=①×②</w:t>
            </w:r>
          </w:p>
        </w:tc>
      </w:tr>
      <w:tr w14:paraId="68853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jc w:val="center"/>
        </w:trPr>
        <w:tc>
          <w:tcPr>
            <w:tcW w:w="912" w:type="dxa"/>
          </w:tcPr>
          <w:p w14:paraId="23CAD546">
            <w:pPr>
              <w:pStyle w:val="84"/>
              <w:spacing w:before="38"/>
              <w:ind w:left="0" w:right="0"/>
              <w:jc w:val="center"/>
              <w:rPr>
                <w:color w:val="auto"/>
                <w:sz w:val="21"/>
                <w:highlight w:val="none"/>
              </w:rPr>
            </w:pPr>
            <w:r>
              <w:rPr>
                <w:rFonts w:hint="eastAsia"/>
                <w:color w:val="auto"/>
                <w:sz w:val="21"/>
                <w:highlight w:val="none"/>
              </w:rPr>
              <w:t>1</w:t>
            </w:r>
          </w:p>
        </w:tc>
        <w:tc>
          <w:tcPr>
            <w:tcW w:w="1603" w:type="dxa"/>
          </w:tcPr>
          <w:p w14:paraId="3CD1CE56">
            <w:pPr>
              <w:rPr>
                <w:rFonts w:ascii="宋体" w:hAnsi="宋体" w:cs="宋体"/>
                <w:color w:val="auto"/>
                <w:highlight w:val="none"/>
              </w:rPr>
            </w:pPr>
          </w:p>
        </w:tc>
        <w:tc>
          <w:tcPr>
            <w:tcW w:w="1639" w:type="dxa"/>
          </w:tcPr>
          <w:p w14:paraId="3A59B975">
            <w:pPr>
              <w:rPr>
                <w:rFonts w:ascii="宋体" w:hAnsi="宋体" w:cs="宋体"/>
                <w:color w:val="auto"/>
                <w:highlight w:val="none"/>
              </w:rPr>
            </w:pPr>
          </w:p>
        </w:tc>
        <w:tc>
          <w:tcPr>
            <w:tcW w:w="1229" w:type="dxa"/>
          </w:tcPr>
          <w:p w14:paraId="06F89BA4">
            <w:pPr>
              <w:rPr>
                <w:rFonts w:ascii="宋体" w:hAnsi="宋体" w:cs="宋体"/>
                <w:color w:val="auto"/>
                <w:highlight w:val="none"/>
              </w:rPr>
            </w:pPr>
          </w:p>
        </w:tc>
        <w:tc>
          <w:tcPr>
            <w:tcW w:w="1051" w:type="dxa"/>
          </w:tcPr>
          <w:p w14:paraId="6E985D24">
            <w:pPr>
              <w:rPr>
                <w:rFonts w:ascii="宋体" w:hAnsi="宋体" w:cs="宋体"/>
                <w:color w:val="auto"/>
                <w:highlight w:val="none"/>
              </w:rPr>
            </w:pPr>
          </w:p>
        </w:tc>
        <w:tc>
          <w:tcPr>
            <w:tcW w:w="878" w:type="dxa"/>
          </w:tcPr>
          <w:p w14:paraId="4668B400">
            <w:pPr>
              <w:rPr>
                <w:rFonts w:ascii="宋体" w:hAnsi="宋体" w:cs="宋体"/>
                <w:color w:val="auto"/>
                <w:highlight w:val="none"/>
              </w:rPr>
            </w:pPr>
          </w:p>
        </w:tc>
        <w:tc>
          <w:tcPr>
            <w:tcW w:w="1066" w:type="dxa"/>
          </w:tcPr>
          <w:p w14:paraId="3D3BD57F">
            <w:pPr>
              <w:rPr>
                <w:rFonts w:ascii="宋体" w:hAnsi="宋体" w:cs="宋体"/>
                <w:color w:val="auto"/>
                <w:highlight w:val="none"/>
              </w:rPr>
            </w:pPr>
          </w:p>
        </w:tc>
        <w:tc>
          <w:tcPr>
            <w:tcW w:w="1404" w:type="dxa"/>
          </w:tcPr>
          <w:p w14:paraId="762BCB69">
            <w:pPr>
              <w:rPr>
                <w:rFonts w:ascii="宋体" w:hAnsi="宋体" w:cs="宋体"/>
                <w:color w:val="auto"/>
                <w:highlight w:val="none"/>
              </w:rPr>
            </w:pPr>
          </w:p>
        </w:tc>
      </w:tr>
      <w:tr w14:paraId="3E518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366A6152">
            <w:pPr>
              <w:pStyle w:val="84"/>
              <w:spacing w:before="38"/>
              <w:ind w:left="0" w:right="0"/>
              <w:jc w:val="center"/>
              <w:rPr>
                <w:color w:val="auto"/>
                <w:sz w:val="21"/>
                <w:highlight w:val="none"/>
              </w:rPr>
            </w:pPr>
            <w:r>
              <w:rPr>
                <w:rFonts w:hint="eastAsia"/>
                <w:color w:val="auto"/>
                <w:sz w:val="21"/>
                <w:highlight w:val="none"/>
              </w:rPr>
              <w:t>2</w:t>
            </w:r>
          </w:p>
        </w:tc>
        <w:tc>
          <w:tcPr>
            <w:tcW w:w="1603" w:type="dxa"/>
          </w:tcPr>
          <w:p w14:paraId="636D73BB">
            <w:pPr>
              <w:rPr>
                <w:rFonts w:ascii="宋体" w:hAnsi="宋体" w:cs="宋体"/>
                <w:color w:val="auto"/>
                <w:highlight w:val="none"/>
              </w:rPr>
            </w:pPr>
          </w:p>
        </w:tc>
        <w:tc>
          <w:tcPr>
            <w:tcW w:w="1639" w:type="dxa"/>
          </w:tcPr>
          <w:p w14:paraId="11E4089A">
            <w:pPr>
              <w:rPr>
                <w:rFonts w:ascii="宋体" w:hAnsi="宋体" w:cs="宋体"/>
                <w:color w:val="auto"/>
                <w:highlight w:val="none"/>
              </w:rPr>
            </w:pPr>
          </w:p>
        </w:tc>
        <w:tc>
          <w:tcPr>
            <w:tcW w:w="1229" w:type="dxa"/>
          </w:tcPr>
          <w:p w14:paraId="15767DB2">
            <w:pPr>
              <w:rPr>
                <w:rFonts w:ascii="宋体" w:hAnsi="宋体" w:cs="宋体"/>
                <w:color w:val="auto"/>
                <w:highlight w:val="none"/>
              </w:rPr>
            </w:pPr>
          </w:p>
        </w:tc>
        <w:tc>
          <w:tcPr>
            <w:tcW w:w="1051" w:type="dxa"/>
          </w:tcPr>
          <w:p w14:paraId="53E353A8">
            <w:pPr>
              <w:rPr>
                <w:rFonts w:ascii="宋体" w:hAnsi="宋体" w:cs="宋体"/>
                <w:color w:val="auto"/>
                <w:highlight w:val="none"/>
              </w:rPr>
            </w:pPr>
          </w:p>
        </w:tc>
        <w:tc>
          <w:tcPr>
            <w:tcW w:w="878" w:type="dxa"/>
          </w:tcPr>
          <w:p w14:paraId="1183DDC2">
            <w:pPr>
              <w:rPr>
                <w:rFonts w:ascii="宋体" w:hAnsi="宋体" w:cs="宋体"/>
                <w:color w:val="auto"/>
                <w:highlight w:val="none"/>
              </w:rPr>
            </w:pPr>
          </w:p>
        </w:tc>
        <w:tc>
          <w:tcPr>
            <w:tcW w:w="1066" w:type="dxa"/>
          </w:tcPr>
          <w:p w14:paraId="43571EAE">
            <w:pPr>
              <w:rPr>
                <w:rFonts w:ascii="宋体" w:hAnsi="宋体" w:cs="宋体"/>
                <w:color w:val="auto"/>
                <w:highlight w:val="none"/>
              </w:rPr>
            </w:pPr>
          </w:p>
        </w:tc>
        <w:tc>
          <w:tcPr>
            <w:tcW w:w="1404" w:type="dxa"/>
          </w:tcPr>
          <w:p w14:paraId="023D326F">
            <w:pPr>
              <w:rPr>
                <w:rFonts w:ascii="宋体" w:hAnsi="宋体" w:cs="宋体"/>
                <w:color w:val="auto"/>
                <w:highlight w:val="none"/>
              </w:rPr>
            </w:pPr>
          </w:p>
        </w:tc>
      </w:tr>
      <w:tr w14:paraId="025DE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7F61BE6B">
            <w:pPr>
              <w:pStyle w:val="84"/>
              <w:spacing w:before="38"/>
              <w:ind w:left="0" w:right="0"/>
              <w:jc w:val="center"/>
              <w:rPr>
                <w:color w:val="auto"/>
                <w:sz w:val="21"/>
                <w:highlight w:val="none"/>
              </w:rPr>
            </w:pPr>
            <w:r>
              <w:rPr>
                <w:rFonts w:hint="eastAsia"/>
                <w:color w:val="auto"/>
                <w:sz w:val="21"/>
                <w:highlight w:val="none"/>
              </w:rPr>
              <w:t>…</w:t>
            </w:r>
          </w:p>
        </w:tc>
        <w:tc>
          <w:tcPr>
            <w:tcW w:w="1603" w:type="dxa"/>
          </w:tcPr>
          <w:p w14:paraId="3110DC9E">
            <w:pPr>
              <w:rPr>
                <w:rFonts w:ascii="宋体" w:hAnsi="宋体" w:cs="宋体"/>
                <w:color w:val="auto"/>
                <w:highlight w:val="none"/>
              </w:rPr>
            </w:pPr>
          </w:p>
        </w:tc>
        <w:tc>
          <w:tcPr>
            <w:tcW w:w="1639" w:type="dxa"/>
          </w:tcPr>
          <w:p w14:paraId="3CDC3113">
            <w:pPr>
              <w:rPr>
                <w:rFonts w:ascii="宋体" w:hAnsi="宋体" w:cs="宋体"/>
                <w:color w:val="auto"/>
                <w:highlight w:val="none"/>
              </w:rPr>
            </w:pPr>
          </w:p>
        </w:tc>
        <w:tc>
          <w:tcPr>
            <w:tcW w:w="1229" w:type="dxa"/>
          </w:tcPr>
          <w:p w14:paraId="3F8E2149">
            <w:pPr>
              <w:rPr>
                <w:rFonts w:ascii="宋体" w:hAnsi="宋体" w:cs="宋体"/>
                <w:color w:val="auto"/>
                <w:highlight w:val="none"/>
              </w:rPr>
            </w:pPr>
          </w:p>
        </w:tc>
        <w:tc>
          <w:tcPr>
            <w:tcW w:w="1051" w:type="dxa"/>
          </w:tcPr>
          <w:p w14:paraId="3ECEC88C">
            <w:pPr>
              <w:rPr>
                <w:rFonts w:ascii="宋体" w:hAnsi="宋体" w:cs="宋体"/>
                <w:color w:val="auto"/>
                <w:highlight w:val="none"/>
              </w:rPr>
            </w:pPr>
          </w:p>
        </w:tc>
        <w:tc>
          <w:tcPr>
            <w:tcW w:w="878" w:type="dxa"/>
          </w:tcPr>
          <w:p w14:paraId="3BC085EF">
            <w:pPr>
              <w:rPr>
                <w:rFonts w:ascii="宋体" w:hAnsi="宋体" w:cs="宋体"/>
                <w:color w:val="auto"/>
                <w:highlight w:val="none"/>
              </w:rPr>
            </w:pPr>
          </w:p>
        </w:tc>
        <w:tc>
          <w:tcPr>
            <w:tcW w:w="1066" w:type="dxa"/>
          </w:tcPr>
          <w:p w14:paraId="63B90066">
            <w:pPr>
              <w:rPr>
                <w:rFonts w:ascii="宋体" w:hAnsi="宋体" w:cs="宋体"/>
                <w:color w:val="auto"/>
                <w:highlight w:val="none"/>
              </w:rPr>
            </w:pPr>
          </w:p>
        </w:tc>
        <w:tc>
          <w:tcPr>
            <w:tcW w:w="1404" w:type="dxa"/>
          </w:tcPr>
          <w:p w14:paraId="75EE8D04">
            <w:pPr>
              <w:rPr>
                <w:rFonts w:ascii="宋体" w:hAnsi="宋体" w:cs="宋体"/>
                <w:color w:val="auto"/>
                <w:highlight w:val="none"/>
              </w:rPr>
            </w:pPr>
          </w:p>
        </w:tc>
      </w:tr>
      <w:tr w14:paraId="06E71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5F5C43E2">
            <w:pPr>
              <w:pStyle w:val="84"/>
              <w:spacing w:before="38"/>
              <w:ind w:left="0" w:right="0"/>
              <w:jc w:val="center"/>
              <w:rPr>
                <w:color w:val="auto"/>
                <w:sz w:val="21"/>
                <w:highlight w:val="none"/>
              </w:rPr>
            </w:pPr>
            <w:r>
              <w:rPr>
                <w:rFonts w:hint="eastAsia"/>
                <w:color w:val="auto"/>
                <w:sz w:val="21"/>
                <w:highlight w:val="none"/>
              </w:rPr>
              <w:t>N</w:t>
            </w:r>
          </w:p>
        </w:tc>
        <w:tc>
          <w:tcPr>
            <w:tcW w:w="1603" w:type="dxa"/>
          </w:tcPr>
          <w:p w14:paraId="7FFCF416">
            <w:pPr>
              <w:rPr>
                <w:rFonts w:ascii="宋体" w:hAnsi="宋体" w:cs="宋体"/>
                <w:color w:val="auto"/>
                <w:highlight w:val="none"/>
              </w:rPr>
            </w:pPr>
          </w:p>
        </w:tc>
        <w:tc>
          <w:tcPr>
            <w:tcW w:w="1639" w:type="dxa"/>
          </w:tcPr>
          <w:p w14:paraId="27F88418">
            <w:pPr>
              <w:rPr>
                <w:rFonts w:ascii="宋体" w:hAnsi="宋体" w:cs="宋体"/>
                <w:color w:val="auto"/>
                <w:highlight w:val="none"/>
              </w:rPr>
            </w:pPr>
          </w:p>
        </w:tc>
        <w:tc>
          <w:tcPr>
            <w:tcW w:w="1229" w:type="dxa"/>
          </w:tcPr>
          <w:p w14:paraId="2020BB2C">
            <w:pPr>
              <w:rPr>
                <w:rFonts w:ascii="宋体" w:hAnsi="宋体" w:cs="宋体"/>
                <w:color w:val="auto"/>
                <w:highlight w:val="none"/>
              </w:rPr>
            </w:pPr>
          </w:p>
        </w:tc>
        <w:tc>
          <w:tcPr>
            <w:tcW w:w="1051" w:type="dxa"/>
          </w:tcPr>
          <w:p w14:paraId="740FD55D">
            <w:pPr>
              <w:rPr>
                <w:rFonts w:ascii="宋体" w:hAnsi="宋体" w:cs="宋体"/>
                <w:color w:val="auto"/>
                <w:highlight w:val="none"/>
              </w:rPr>
            </w:pPr>
          </w:p>
        </w:tc>
        <w:tc>
          <w:tcPr>
            <w:tcW w:w="878" w:type="dxa"/>
          </w:tcPr>
          <w:p w14:paraId="38D99780">
            <w:pPr>
              <w:rPr>
                <w:rFonts w:ascii="宋体" w:hAnsi="宋体" w:cs="宋体"/>
                <w:color w:val="auto"/>
                <w:highlight w:val="none"/>
              </w:rPr>
            </w:pPr>
          </w:p>
        </w:tc>
        <w:tc>
          <w:tcPr>
            <w:tcW w:w="1066" w:type="dxa"/>
          </w:tcPr>
          <w:p w14:paraId="2D32AEF9">
            <w:pPr>
              <w:rPr>
                <w:rFonts w:ascii="宋体" w:hAnsi="宋体" w:cs="宋体"/>
                <w:color w:val="auto"/>
                <w:highlight w:val="none"/>
              </w:rPr>
            </w:pPr>
          </w:p>
        </w:tc>
        <w:tc>
          <w:tcPr>
            <w:tcW w:w="1404" w:type="dxa"/>
          </w:tcPr>
          <w:p w14:paraId="7EEAA4E8">
            <w:pPr>
              <w:rPr>
                <w:rFonts w:ascii="宋体" w:hAnsi="宋体" w:cs="宋体"/>
                <w:color w:val="auto"/>
                <w:highlight w:val="none"/>
              </w:rPr>
            </w:pPr>
          </w:p>
        </w:tc>
      </w:tr>
      <w:tr w14:paraId="7F345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exact"/>
          <w:jc w:val="center"/>
        </w:trPr>
        <w:tc>
          <w:tcPr>
            <w:tcW w:w="9782" w:type="dxa"/>
            <w:gridSpan w:val="8"/>
            <w:vAlign w:val="center"/>
          </w:tcPr>
          <w:p w14:paraId="41A2EE4A">
            <w:pPr>
              <w:pStyle w:val="84"/>
              <w:tabs>
                <w:tab w:val="left" w:pos="2931"/>
                <w:tab w:val="left" w:pos="4727"/>
                <w:tab w:val="left" w:pos="6699"/>
                <w:tab w:val="left" w:pos="8010"/>
                <w:tab w:val="left" w:pos="8140"/>
              </w:tabs>
              <w:spacing w:before="14" w:line="295" w:lineRule="auto"/>
              <w:ind w:left="105" w:right="142"/>
              <w:jc w:val="both"/>
              <w:rPr>
                <w:color w:val="auto"/>
                <w:sz w:val="21"/>
                <w:szCs w:val="21"/>
                <w:highlight w:val="none"/>
                <w:lang w:eastAsia="zh-CN"/>
              </w:rPr>
            </w:pPr>
            <w:r>
              <w:rPr>
                <w:rFonts w:hint="eastAsia"/>
                <w:color w:val="auto"/>
                <w:sz w:val="21"/>
                <w:szCs w:val="21"/>
                <w:highlight w:val="none"/>
                <w:lang w:eastAsia="zh-CN"/>
              </w:rPr>
              <w:t>投标报价（合计金额）大写：</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lang w:eastAsia="zh-CN"/>
              </w:rPr>
              <w:t>人</w:t>
            </w:r>
            <w:r>
              <w:rPr>
                <w:rFonts w:hint="eastAsia"/>
                <w:color w:val="auto"/>
                <w:spacing w:val="-72"/>
                <w:sz w:val="21"/>
                <w:szCs w:val="21"/>
                <w:highlight w:val="none"/>
                <w:lang w:eastAsia="zh-CN"/>
              </w:rPr>
              <w:t xml:space="preserve"> </w:t>
            </w:r>
            <w:r>
              <w:rPr>
                <w:rFonts w:hint="eastAsia"/>
                <w:color w:val="auto"/>
                <w:sz w:val="21"/>
                <w:szCs w:val="21"/>
                <w:highlight w:val="none"/>
                <w:lang w:eastAsia="zh-CN"/>
              </w:rPr>
              <w:t>民</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币</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lang w:eastAsia="zh-CN"/>
              </w:rPr>
              <w:t>） 。</w:t>
            </w:r>
          </w:p>
          <w:p w14:paraId="59018552">
            <w:pPr>
              <w:pStyle w:val="84"/>
              <w:tabs>
                <w:tab w:val="left" w:pos="2931"/>
                <w:tab w:val="left" w:pos="4727"/>
                <w:tab w:val="left" w:pos="6699"/>
                <w:tab w:val="left" w:pos="8010"/>
                <w:tab w:val="left" w:pos="8140"/>
              </w:tabs>
              <w:spacing w:before="14" w:line="295" w:lineRule="auto"/>
              <w:ind w:left="105" w:right="142"/>
              <w:jc w:val="both"/>
              <w:rPr>
                <w:color w:val="auto"/>
                <w:sz w:val="24"/>
                <w:highlight w:val="none"/>
                <w:lang w:eastAsia="zh-CN"/>
              </w:rPr>
            </w:pPr>
            <w:r>
              <w:rPr>
                <w:rFonts w:hint="eastAsia"/>
                <w:color w:val="auto"/>
                <w:sz w:val="21"/>
                <w:szCs w:val="21"/>
                <w:highlight w:val="none"/>
                <w:lang w:eastAsia="zh-CN"/>
              </w:rPr>
              <w:t>属于优先采购节能产品总值为￥</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lang w:eastAsia="zh-CN"/>
              </w:rPr>
              <w:t>（具体明细详见附表），占本投标报价的比例为</w:t>
            </w:r>
            <w:r>
              <w:rPr>
                <w:rFonts w:hint="eastAsia"/>
                <w:color w:val="auto"/>
                <w:sz w:val="21"/>
                <w:szCs w:val="21"/>
                <w:highlight w:val="none"/>
                <w:u w:val="single"/>
                <w:lang w:eastAsia="zh-CN"/>
              </w:rPr>
              <w:t xml:space="preserve">   </w:t>
            </w:r>
            <w:r>
              <w:rPr>
                <w:rFonts w:hint="eastAsia"/>
                <w:color w:val="auto"/>
                <w:sz w:val="21"/>
                <w:szCs w:val="21"/>
                <w:highlight w:val="none"/>
                <w:lang w:eastAsia="zh-CN"/>
              </w:rPr>
              <w:t xml:space="preserve">%；属于优先采购环境标志产品总值为￥ </w:t>
            </w:r>
            <w:r>
              <w:rPr>
                <w:rFonts w:hint="eastAsia"/>
                <w:color w:val="auto"/>
                <w:sz w:val="21"/>
                <w:szCs w:val="21"/>
                <w:highlight w:val="none"/>
                <w:u w:val="single"/>
                <w:lang w:eastAsia="zh-CN"/>
              </w:rPr>
              <w:tab/>
            </w:r>
            <w:r>
              <w:rPr>
                <w:rFonts w:hint="eastAsia"/>
                <w:color w:val="auto"/>
                <w:sz w:val="21"/>
                <w:szCs w:val="21"/>
                <w:highlight w:val="none"/>
                <w:lang w:eastAsia="zh-CN"/>
              </w:rPr>
              <w:t>（具体明细详见附表）， 占本投标报价的比例为</w:t>
            </w:r>
            <w:r>
              <w:rPr>
                <w:rFonts w:hint="eastAsia"/>
                <w:color w:val="auto"/>
                <w:sz w:val="21"/>
                <w:szCs w:val="21"/>
                <w:highlight w:val="none"/>
                <w:u w:val="single"/>
                <w:lang w:eastAsia="zh-CN"/>
              </w:rPr>
              <w:t xml:space="preserve">  </w:t>
            </w:r>
            <w:r>
              <w:rPr>
                <w:rFonts w:hint="eastAsia"/>
                <w:color w:val="auto"/>
                <w:sz w:val="21"/>
                <w:szCs w:val="21"/>
                <w:highlight w:val="none"/>
                <w:lang w:eastAsia="zh-CN"/>
              </w:rPr>
              <w:t>%。</w:t>
            </w:r>
            <w:r>
              <w:rPr>
                <w:rFonts w:hint="eastAsia"/>
                <w:color w:val="auto"/>
                <w:sz w:val="24"/>
                <w:highlight w:val="none"/>
                <w:lang w:eastAsia="zh-CN"/>
              </w:rPr>
              <w:t xml:space="preserve"> </w:t>
            </w:r>
          </w:p>
        </w:tc>
      </w:tr>
      <w:tr w14:paraId="3AB12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exact"/>
          <w:jc w:val="center"/>
        </w:trPr>
        <w:tc>
          <w:tcPr>
            <w:tcW w:w="9782" w:type="dxa"/>
            <w:gridSpan w:val="8"/>
            <w:vAlign w:val="center"/>
          </w:tcPr>
          <w:p w14:paraId="268B8D51">
            <w:pPr>
              <w:pStyle w:val="84"/>
              <w:tabs>
                <w:tab w:val="left" w:pos="3355"/>
                <w:tab w:val="left" w:pos="4727"/>
                <w:tab w:val="left" w:pos="7454"/>
                <w:tab w:val="left" w:pos="7905"/>
                <w:tab w:val="left" w:pos="8140"/>
              </w:tabs>
              <w:spacing w:before="14" w:line="295" w:lineRule="auto"/>
              <w:ind w:left="105" w:right="-20"/>
              <w:rPr>
                <w:color w:val="auto"/>
                <w:sz w:val="21"/>
                <w:szCs w:val="21"/>
                <w:highlight w:val="none"/>
                <w:lang w:eastAsia="zh-CN"/>
              </w:rPr>
            </w:pPr>
            <w:r>
              <w:rPr>
                <w:rFonts w:hint="eastAsia"/>
                <w:b/>
                <w:color w:val="auto"/>
                <w:sz w:val="21"/>
                <w:szCs w:val="21"/>
                <w:highlight w:val="none"/>
                <w:lang w:eastAsia="zh-CN"/>
              </w:rPr>
              <w:t>交货期：</w:t>
            </w:r>
            <w:r>
              <w:rPr>
                <w:rFonts w:hint="eastAsia"/>
                <w:color w:val="auto"/>
                <w:kern w:val="2"/>
                <w:sz w:val="21"/>
                <w:szCs w:val="21"/>
                <w:highlight w:val="none"/>
                <w:lang w:eastAsia="zh-CN"/>
              </w:rPr>
              <w:t>自合同签订之日起</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天（日历天）内安装调试完毕，验收合格并交付使用。</w:t>
            </w:r>
          </w:p>
        </w:tc>
      </w:tr>
    </w:tbl>
    <w:p w14:paraId="1759584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 1、报价一经涂改，应在涂改处加盖供应商单位公章或者由供应商法定代表人或授权委托人签字，否则其响应文件作响应无效处理。</w:t>
      </w:r>
    </w:p>
    <w:p w14:paraId="02FF6682">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报价费用包含“第三章项目采购需求”中提出的所有费用，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对于本谈判采购文件中未列明，而供应商认为必需的费用也需列入报价。在合同实施时，采购人将不予支付成交供应商没有列入的项目费用，并认为此项目的费用已包括在报价中。</w:t>
      </w:r>
    </w:p>
    <w:p w14:paraId="53D2972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表投标产品中如有财政部现行《节能产品政府采购品目清单》目录内优先采购的产品、现行《环境标志产品政府采购品目清单》目录内优先采购的产品、小微企业生产的产品，请在本表后按类别分别附上此类产品明细表，明细表中列明：项号、货物名称、数量、单价、投标报价、累计金额并附相关证明材料。如因供应商未提供明细表或证明材料而导致谈判小组无法评判或无法计分而给供应商造成的损失由供应商自行负责，如因供应商提供虚假材料以谋取中标的责任亦由供应商自行负责。</w:t>
      </w:r>
    </w:p>
    <w:p w14:paraId="4F1BE4EF">
      <w:pPr>
        <w:spacing w:line="360" w:lineRule="exact"/>
        <w:ind w:firstLine="420" w:firstLineChars="200"/>
        <w:rPr>
          <w:rFonts w:ascii="宋体" w:hAnsi="宋体" w:cs="宋体"/>
          <w:color w:val="auto"/>
          <w:szCs w:val="21"/>
          <w:highlight w:val="none"/>
        </w:rPr>
      </w:pPr>
    </w:p>
    <w:p w14:paraId="20551B68">
      <w:pPr>
        <w:spacing w:line="360" w:lineRule="exact"/>
        <w:ind w:firstLine="420" w:firstLineChars="200"/>
        <w:rPr>
          <w:rFonts w:ascii="宋体" w:hAnsi="宋体" w:cs="宋体"/>
          <w:color w:val="auto"/>
          <w:szCs w:val="21"/>
          <w:highlight w:val="none"/>
        </w:rPr>
      </w:pPr>
    </w:p>
    <w:p w14:paraId="168DBE79">
      <w:pPr>
        <w:spacing w:line="360" w:lineRule="exact"/>
        <w:ind w:firstLine="420" w:firstLineChars="200"/>
        <w:jc w:val="right"/>
        <w:rPr>
          <w:rFonts w:ascii="宋体" w:hAnsi="宋体" w:cs="宋体"/>
          <w:color w:val="auto"/>
          <w:szCs w:val="21"/>
          <w:highlight w:val="none"/>
        </w:rPr>
      </w:pPr>
      <w:r>
        <w:rPr>
          <w:rFonts w:hint="eastAsia" w:ascii="宋体" w:hAnsi="宋体" w:cs="宋体"/>
          <w:color w:val="auto"/>
          <w:szCs w:val="21"/>
          <w:highlight w:val="none"/>
        </w:rPr>
        <w:t>供应商名称(电子签章)：</w:t>
      </w:r>
    </w:p>
    <w:p w14:paraId="67074266">
      <w:pPr>
        <w:spacing w:line="360" w:lineRule="exact"/>
        <w:ind w:firstLine="420" w:firstLineChars="200"/>
        <w:jc w:val="right"/>
        <w:rPr>
          <w:rFonts w:ascii="宋体" w:hAnsi="宋体" w:cs="宋体"/>
          <w:color w:val="auto"/>
          <w:szCs w:val="21"/>
          <w:highlight w:val="none"/>
        </w:rPr>
      </w:pPr>
      <w:r>
        <w:rPr>
          <w:rFonts w:hint="eastAsia" w:ascii="宋体" w:hAnsi="宋体" w:cs="宋体"/>
          <w:color w:val="auto"/>
          <w:szCs w:val="21"/>
          <w:highlight w:val="none"/>
        </w:rPr>
        <w:t>日期： 年 月 日</w:t>
      </w:r>
    </w:p>
    <w:p w14:paraId="48F4A5C2">
      <w:pPr>
        <w:spacing w:line="360" w:lineRule="exact"/>
        <w:ind w:firstLine="420" w:firstLineChars="200"/>
        <w:rPr>
          <w:rFonts w:ascii="宋体" w:hAnsi="宋体" w:cs="宋体"/>
          <w:color w:val="auto"/>
          <w:szCs w:val="21"/>
          <w:highlight w:val="none"/>
        </w:rPr>
      </w:pPr>
    </w:p>
    <w:p w14:paraId="5DDD5485">
      <w:pPr>
        <w:spacing w:line="300" w:lineRule="auto"/>
        <w:jc w:val="center"/>
        <w:rPr>
          <w:rFonts w:ascii="宋体" w:hAnsi="宋体" w:cs="宋体"/>
          <w:b/>
          <w:color w:val="auto"/>
          <w:sz w:val="32"/>
          <w:szCs w:val="32"/>
          <w:highlight w:val="none"/>
        </w:rPr>
      </w:pPr>
    </w:p>
    <w:p w14:paraId="661EC07C">
      <w:pPr>
        <w:spacing w:line="300" w:lineRule="auto"/>
        <w:jc w:val="center"/>
        <w:rPr>
          <w:rFonts w:ascii="宋体" w:hAnsi="宋体" w:cs="宋体"/>
          <w:b/>
          <w:color w:val="auto"/>
          <w:sz w:val="32"/>
          <w:szCs w:val="32"/>
          <w:highlight w:val="none"/>
        </w:rPr>
      </w:pPr>
    </w:p>
    <w:p w14:paraId="7AF52BED">
      <w:pPr>
        <w:pStyle w:val="45"/>
        <w:rPr>
          <w:rFonts w:ascii="宋体" w:hAnsi="宋体" w:cs="宋体"/>
          <w:b/>
          <w:color w:val="auto"/>
          <w:sz w:val="32"/>
          <w:szCs w:val="32"/>
          <w:highlight w:val="none"/>
        </w:rPr>
      </w:pPr>
    </w:p>
    <w:p w14:paraId="4F166B43">
      <w:pPr>
        <w:pStyle w:val="45"/>
        <w:rPr>
          <w:rFonts w:ascii="宋体" w:hAnsi="宋体" w:cs="宋体"/>
          <w:b/>
          <w:color w:val="auto"/>
          <w:sz w:val="32"/>
          <w:szCs w:val="32"/>
          <w:highlight w:val="none"/>
        </w:rPr>
      </w:pPr>
    </w:p>
    <w:p w14:paraId="56196300">
      <w:pPr>
        <w:spacing w:line="500" w:lineRule="exact"/>
        <w:jc w:val="center"/>
        <w:rPr>
          <w:rFonts w:ascii="宋体" w:hAnsi="宋体" w:cs="宋体"/>
          <w:color w:val="auto"/>
          <w:sz w:val="44"/>
          <w:szCs w:val="20"/>
          <w:highlight w:val="none"/>
        </w:rPr>
      </w:pPr>
      <w:r>
        <w:rPr>
          <w:rFonts w:hint="eastAsia" w:ascii="宋体" w:hAnsi="宋体" w:cs="宋体"/>
          <w:color w:val="auto"/>
          <w:sz w:val="44"/>
          <w:szCs w:val="20"/>
          <w:highlight w:val="none"/>
        </w:rPr>
        <w:t>最后报价明细表</w:t>
      </w:r>
    </w:p>
    <w:p w14:paraId="376F1AF7">
      <w:pPr>
        <w:spacing w:line="30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p>
    <w:p w14:paraId="3D1111A6">
      <w:pPr>
        <w:snapToGrid w:val="0"/>
        <w:spacing w:before="50" w:after="50"/>
        <w:rPr>
          <w:rFonts w:ascii="宋体" w:hAnsi="宋体" w:cs="宋体"/>
          <w:color w:val="auto"/>
          <w:highlight w:val="none"/>
          <w:u w:val="single"/>
        </w:rPr>
      </w:pPr>
      <w:r>
        <w:rPr>
          <w:rFonts w:hint="eastAsia" w:ascii="宋体" w:hAnsi="宋体" w:cs="宋体"/>
          <w:color w:val="auto"/>
          <w:szCs w:val="21"/>
          <w:highlight w:val="none"/>
        </w:rPr>
        <w:t>项目编号:</w:t>
      </w:r>
      <w:r>
        <w:rPr>
          <w:rFonts w:hint="eastAsia" w:ascii="宋体" w:hAnsi="宋体" w:cs="宋体"/>
          <w:color w:val="auto"/>
          <w:highlight w:val="none"/>
          <w:u w:val="single"/>
        </w:rPr>
        <w:t xml:space="preserve">                                   </w:t>
      </w:r>
    </w:p>
    <w:p w14:paraId="2067D894">
      <w:pPr>
        <w:spacing w:line="500" w:lineRule="exact"/>
        <w:ind w:firstLine="8190" w:firstLineChars="3900"/>
        <w:rPr>
          <w:rFonts w:ascii="宋体" w:hAnsi="宋体" w:cs="宋体"/>
          <w:color w:val="auto"/>
          <w:szCs w:val="21"/>
          <w:highlight w:val="none"/>
        </w:rPr>
      </w:pPr>
      <w:r>
        <w:rPr>
          <w:rFonts w:hint="eastAsia" w:ascii="宋体" w:hAnsi="宋体" w:cs="宋体"/>
          <w:color w:val="auto"/>
          <w:szCs w:val="21"/>
          <w:highlight w:val="none"/>
        </w:rPr>
        <w:t>单位：元</w:t>
      </w:r>
    </w:p>
    <w:tbl>
      <w:tblPr>
        <w:tblStyle w:val="35"/>
        <w:tblW w:w="97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603"/>
        <w:gridCol w:w="1639"/>
        <w:gridCol w:w="1229"/>
        <w:gridCol w:w="1051"/>
        <w:gridCol w:w="878"/>
        <w:gridCol w:w="1066"/>
        <w:gridCol w:w="1404"/>
      </w:tblGrid>
      <w:tr w14:paraId="334A0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912" w:type="dxa"/>
          </w:tcPr>
          <w:p w14:paraId="2EBE42D5">
            <w:pPr>
              <w:pStyle w:val="84"/>
              <w:spacing w:before="110"/>
              <w:ind w:left="217" w:right="224"/>
              <w:jc w:val="center"/>
              <w:rPr>
                <w:b/>
                <w:color w:val="auto"/>
                <w:sz w:val="21"/>
                <w:highlight w:val="none"/>
              </w:rPr>
            </w:pPr>
            <w:r>
              <w:rPr>
                <w:rFonts w:hint="eastAsia"/>
                <w:b/>
                <w:color w:val="auto"/>
                <w:sz w:val="21"/>
                <w:highlight w:val="none"/>
              </w:rPr>
              <w:t>项号</w:t>
            </w:r>
          </w:p>
        </w:tc>
        <w:tc>
          <w:tcPr>
            <w:tcW w:w="1603" w:type="dxa"/>
          </w:tcPr>
          <w:p w14:paraId="42FAA7CF">
            <w:pPr>
              <w:pStyle w:val="84"/>
              <w:spacing w:before="110"/>
              <w:ind w:left="369" w:right="0"/>
              <w:rPr>
                <w:b/>
                <w:color w:val="auto"/>
                <w:sz w:val="21"/>
                <w:highlight w:val="none"/>
              </w:rPr>
            </w:pPr>
            <w:r>
              <w:rPr>
                <w:rFonts w:hint="eastAsia"/>
                <w:b/>
                <w:color w:val="auto"/>
                <w:sz w:val="21"/>
                <w:highlight w:val="none"/>
              </w:rPr>
              <w:t>货物名称</w:t>
            </w:r>
          </w:p>
        </w:tc>
        <w:tc>
          <w:tcPr>
            <w:tcW w:w="1639" w:type="dxa"/>
          </w:tcPr>
          <w:p w14:paraId="38AFC06A">
            <w:pPr>
              <w:pStyle w:val="84"/>
              <w:spacing w:before="1" w:line="322" w:lineRule="exact"/>
              <w:ind w:right="0"/>
              <w:jc w:val="center"/>
              <w:rPr>
                <w:b/>
                <w:color w:val="auto"/>
                <w:sz w:val="21"/>
                <w:highlight w:val="none"/>
                <w:lang w:eastAsia="zh-CN"/>
              </w:rPr>
            </w:pPr>
            <w:r>
              <w:rPr>
                <w:rFonts w:hint="eastAsia"/>
                <w:b/>
                <w:color w:val="auto"/>
                <w:sz w:val="21"/>
                <w:highlight w:val="none"/>
                <w:lang w:eastAsia="zh-CN"/>
              </w:rPr>
              <w:t>厂家、品牌、规格型号</w:t>
            </w:r>
          </w:p>
        </w:tc>
        <w:tc>
          <w:tcPr>
            <w:tcW w:w="1229" w:type="dxa"/>
          </w:tcPr>
          <w:p w14:paraId="035FFE5B">
            <w:pPr>
              <w:pStyle w:val="84"/>
              <w:spacing w:before="110"/>
              <w:ind w:left="393" w:right="0"/>
              <w:rPr>
                <w:b/>
                <w:color w:val="auto"/>
                <w:sz w:val="21"/>
                <w:highlight w:val="none"/>
              </w:rPr>
            </w:pPr>
            <w:r>
              <w:rPr>
                <w:rFonts w:hint="eastAsia"/>
                <w:b/>
                <w:color w:val="auto"/>
                <w:sz w:val="21"/>
                <w:highlight w:val="none"/>
              </w:rPr>
              <w:t>产地</w:t>
            </w:r>
          </w:p>
        </w:tc>
        <w:tc>
          <w:tcPr>
            <w:tcW w:w="1051" w:type="dxa"/>
          </w:tcPr>
          <w:p w14:paraId="72E5ADB8">
            <w:pPr>
              <w:pStyle w:val="84"/>
              <w:spacing w:before="110"/>
              <w:ind w:left="196" w:right="0"/>
              <w:rPr>
                <w:b/>
                <w:color w:val="auto"/>
                <w:sz w:val="21"/>
                <w:highlight w:val="none"/>
              </w:rPr>
            </w:pPr>
            <w:r>
              <w:rPr>
                <w:rFonts w:hint="eastAsia"/>
                <w:b/>
                <w:color w:val="auto"/>
                <w:sz w:val="21"/>
                <w:highlight w:val="none"/>
              </w:rPr>
              <w:t>数量①</w:t>
            </w:r>
          </w:p>
        </w:tc>
        <w:tc>
          <w:tcPr>
            <w:tcW w:w="878" w:type="dxa"/>
          </w:tcPr>
          <w:p w14:paraId="17499F67">
            <w:pPr>
              <w:pStyle w:val="84"/>
              <w:spacing w:before="110"/>
              <w:ind w:left="215" w:right="0"/>
              <w:rPr>
                <w:b/>
                <w:color w:val="auto"/>
                <w:sz w:val="21"/>
                <w:highlight w:val="none"/>
              </w:rPr>
            </w:pPr>
            <w:r>
              <w:rPr>
                <w:rFonts w:hint="eastAsia"/>
                <w:b/>
                <w:color w:val="auto"/>
                <w:sz w:val="21"/>
                <w:highlight w:val="none"/>
              </w:rPr>
              <w:t>单位</w:t>
            </w:r>
          </w:p>
        </w:tc>
        <w:tc>
          <w:tcPr>
            <w:tcW w:w="1066" w:type="dxa"/>
          </w:tcPr>
          <w:p w14:paraId="5F731C61">
            <w:pPr>
              <w:pStyle w:val="84"/>
              <w:spacing w:before="110"/>
              <w:ind w:left="206" w:right="0"/>
              <w:rPr>
                <w:b/>
                <w:color w:val="auto"/>
                <w:sz w:val="21"/>
                <w:highlight w:val="none"/>
              </w:rPr>
            </w:pPr>
            <w:r>
              <w:rPr>
                <w:rFonts w:hint="eastAsia"/>
                <w:b/>
                <w:color w:val="auto"/>
                <w:sz w:val="21"/>
                <w:highlight w:val="none"/>
              </w:rPr>
              <w:t>单价②</w:t>
            </w:r>
          </w:p>
        </w:tc>
        <w:tc>
          <w:tcPr>
            <w:tcW w:w="1404" w:type="dxa"/>
          </w:tcPr>
          <w:p w14:paraId="615A0271">
            <w:pPr>
              <w:pStyle w:val="84"/>
              <w:spacing w:line="291" w:lineRule="exact"/>
              <w:ind w:left="311" w:right="0"/>
              <w:rPr>
                <w:b/>
                <w:color w:val="auto"/>
                <w:sz w:val="21"/>
                <w:highlight w:val="none"/>
              </w:rPr>
            </w:pPr>
            <w:r>
              <w:rPr>
                <w:rFonts w:hint="eastAsia"/>
                <w:b/>
                <w:color w:val="auto"/>
                <w:sz w:val="21"/>
                <w:highlight w:val="none"/>
              </w:rPr>
              <w:t>投标报价</w:t>
            </w:r>
          </w:p>
          <w:p w14:paraId="0F753698">
            <w:pPr>
              <w:pStyle w:val="84"/>
              <w:spacing w:line="325" w:lineRule="exact"/>
              <w:ind w:left="259" w:right="0"/>
              <w:rPr>
                <w:b/>
                <w:color w:val="auto"/>
                <w:sz w:val="21"/>
                <w:highlight w:val="none"/>
              </w:rPr>
            </w:pPr>
            <w:r>
              <w:rPr>
                <w:rFonts w:hint="eastAsia"/>
                <w:b/>
                <w:color w:val="auto"/>
                <w:sz w:val="21"/>
                <w:highlight w:val="none"/>
              </w:rPr>
              <w:t>③=①×②</w:t>
            </w:r>
          </w:p>
        </w:tc>
      </w:tr>
      <w:tr w14:paraId="16F5A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jc w:val="center"/>
        </w:trPr>
        <w:tc>
          <w:tcPr>
            <w:tcW w:w="912" w:type="dxa"/>
          </w:tcPr>
          <w:p w14:paraId="51E48AD8">
            <w:pPr>
              <w:pStyle w:val="84"/>
              <w:spacing w:before="38"/>
              <w:ind w:left="0" w:right="0"/>
              <w:jc w:val="center"/>
              <w:rPr>
                <w:color w:val="auto"/>
                <w:sz w:val="21"/>
                <w:highlight w:val="none"/>
              </w:rPr>
            </w:pPr>
            <w:r>
              <w:rPr>
                <w:rFonts w:hint="eastAsia"/>
                <w:color w:val="auto"/>
                <w:sz w:val="21"/>
                <w:highlight w:val="none"/>
              </w:rPr>
              <w:t>1</w:t>
            </w:r>
          </w:p>
        </w:tc>
        <w:tc>
          <w:tcPr>
            <w:tcW w:w="1603" w:type="dxa"/>
          </w:tcPr>
          <w:p w14:paraId="23ADC342">
            <w:pPr>
              <w:rPr>
                <w:rFonts w:ascii="宋体" w:hAnsi="宋体" w:cs="宋体"/>
                <w:color w:val="auto"/>
                <w:highlight w:val="none"/>
              </w:rPr>
            </w:pPr>
          </w:p>
        </w:tc>
        <w:tc>
          <w:tcPr>
            <w:tcW w:w="1639" w:type="dxa"/>
          </w:tcPr>
          <w:p w14:paraId="16A1AC51">
            <w:pPr>
              <w:rPr>
                <w:rFonts w:ascii="宋体" w:hAnsi="宋体" w:cs="宋体"/>
                <w:color w:val="auto"/>
                <w:highlight w:val="none"/>
              </w:rPr>
            </w:pPr>
          </w:p>
        </w:tc>
        <w:tc>
          <w:tcPr>
            <w:tcW w:w="1229" w:type="dxa"/>
          </w:tcPr>
          <w:p w14:paraId="17D56E6E">
            <w:pPr>
              <w:rPr>
                <w:rFonts w:ascii="宋体" w:hAnsi="宋体" w:cs="宋体"/>
                <w:color w:val="auto"/>
                <w:highlight w:val="none"/>
              </w:rPr>
            </w:pPr>
          </w:p>
        </w:tc>
        <w:tc>
          <w:tcPr>
            <w:tcW w:w="1051" w:type="dxa"/>
          </w:tcPr>
          <w:p w14:paraId="472EA6F5">
            <w:pPr>
              <w:rPr>
                <w:rFonts w:ascii="宋体" w:hAnsi="宋体" w:cs="宋体"/>
                <w:color w:val="auto"/>
                <w:highlight w:val="none"/>
              </w:rPr>
            </w:pPr>
          </w:p>
        </w:tc>
        <w:tc>
          <w:tcPr>
            <w:tcW w:w="878" w:type="dxa"/>
          </w:tcPr>
          <w:p w14:paraId="402B2A2E">
            <w:pPr>
              <w:rPr>
                <w:rFonts w:ascii="宋体" w:hAnsi="宋体" w:cs="宋体"/>
                <w:color w:val="auto"/>
                <w:highlight w:val="none"/>
              </w:rPr>
            </w:pPr>
          </w:p>
        </w:tc>
        <w:tc>
          <w:tcPr>
            <w:tcW w:w="1066" w:type="dxa"/>
          </w:tcPr>
          <w:p w14:paraId="46FA2A33">
            <w:pPr>
              <w:rPr>
                <w:rFonts w:ascii="宋体" w:hAnsi="宋体" w:cs="宋体"/>
                <w:color w:val="auto"/>
                <w:highlight w:val="none"/>
              </w:rPr>
            </w:pPr>
          </w:p>
        </w:tc>
        <w:tc>
          <w:tcPr>
            <w:tcW w:w="1404" w:type="dxa"/>
          </w:tcPr>
          <w:p w14:paraId="0B7C092D">
            <w:pPr>
              <w:rPr>
                <w:rFonts w:ascii="宋体" w:hAnsi="宋体" w:cs="宋体"/>
                <w:color w:val="auto"/>
                <w:highlight w:val="none"/>
              </w:rPr>
            </w:pPr>
          </w:p>
        </w:tc>
      </w:tr>
      <w:tr w14:paraId="6D57A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4912B33F">
            <w:pPr>
              <w:pStyle w:val="84"/>
              <w:spacing w:before="38"/>
              <w:ind w:left="0" w:right="0"/>
              <w:jc w:val="center"/>
              <w:rPr>
                <w:color w:val="auto"/>
                <w:sz w:val="21"/>
                <w:highlight w:val="none"/>
              </w:rPr>
            </w:pPr>
            <w:r>
              <w:rPr>
                <w:rFonts w:hint="eastAsia"/>
                <w:color w:val="auto"/>
                <w:sz w:val="21"/>
                <w:highlight w:val="none"/>
              </w:rPr>
              <w:t>2</w:t>
            </w:r>
          </w:p>
        </w:tc>
        <w:tc>
          <w:tcPr>
            <w:tcW w:w="1603" w:type="dxa"/>
          </w:tcPr>
          <w:p w14:paraId="325272BA">
            <w:pPr>
              <w:rPr>
                <w:rFonts w:ascii="宋体" w:hAnsi="宋体" w:cs="宋体"/>
                <w:color w:val="auto"/>
                <w:highlight w:val="none"/>
              </w:rPr>
            </w:pPr>
          </w:p>
        </w:tc>
        <w:tc>
          <w:tcPr>
            <w:tcW w:w="1639" w:type="dxa"/>
          </w:tcPr>
          <w:p w14:paraId="0067A4DC">
            <w:pPr>
              <w:rPr>
                <w:rFonts w:ascii="宋体" w:hAnsi="宋体" w:cs="宋体"/>
                <w:color w:val="auto"/>
                <w:highlight w:val="none"/>
              </w:rPr>
            </w:pPr>
          </w:p>
        </w:tc>
        <w:tc>
          <w:tcPr>
            <w:tcW w:w="1229" w:type="dxa"/>
          </w:tcPr>
          <w:p w14:paraId="39F5A712">
            <w:pPr>
              <w:rPr>
                <w:rFonts w:ascii="宋体" w:hAnsi="宋体" w:cs="宋体"/>
                <w:color w:val="auto"/>
                <w:highlight w:val="none"/>
              </w:rPr>
            </w:pPr>
          </w:p>
        </w:tc>
        <w:tc>
          <w:tcPr>
            <w:tcW w:w="1051" w:type="dxa"/>
          </w:tcPr>
          <w:p w14:paraId="7869F8FD">
            <w:pPr>
              <w:rPr>
                <w:rFonts w:ascii="宋体" w:hAnsi="宋体" w:cs="宋体"/>
                <w:color w:val="auto"/>
                <w:highlight w:val="none"/>
              </w:rPr>
            </w:pPr>
          </w:p>
        </w:tc>
        <w:tc>
          <w:tcPr>
            <w:tcW w:w="878" w:type="dxa"/>
          </w:tcPr>
          <w:p w14:paraId="0099EA2B">
            <w:pPr>
              <w:rPr>
                <w:rFonts w:ascii="宋体" w:hAnsi="宋体" w:cs="宋体"/>
                <w:color w:val="auto"/>
                <w:highlight w:val="none"/>
              </w:rPr>
            </w:pPr>
          </w:p>
        </w:tc>
        <w:tc>
          <w:tcPr>
            <w:tcW w:w="1066" w:type="dxa"/>
          </w:tcPr>
          <w:p w14:paraId="7988DE73">
            <w:pPr>
              <w:rPr>
                <w:rFonts w:ascii="宋体" w:hAnsi="宋体" w:cs="宋体"/>
                <w:color w:val="auto"/>
                <w:highlight w:val="none"/>
              </w:rPr>
            </w:pPr>
          </w:p>
        </w:tc>
        <w:tc>
          <w:tcPr>
            <w:tcW w:w="1404" w:type="dxa"/>
          </w:tcPr>
          <w:p w14:paraId="76E8B6C9">
            <w:pPr>
              <w:rPr>
                <w:rFonts w:ascii="宋体" w:hAnsi="宋体" w:cs="宋体"/>
                <w:color w:val="auto"/>
                <w:highlight w:val="none"/>
              </w:rPr>
            </w:pPr>
          </w:p>
        </w:tc>
      </w:tr>
      <w:tr w14:paraId="23B86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5EF07C44">
            <w:pPr>
              <w:pStyle w:val="84"/>
              <w:spacing w:before="38"/>
              <w:ind w:left="0" w:right="0"/>
              <w:jc w:val="center"/>
              <w:rPr>
                <w:color w:val="auto"/>
                <w:sz w:val="21"/>
                <w:highlight w:val="none"/>
              </w:rPr>
            </w:pPr>
            <w:r>
              <w:rPr>
                <w:rFonts w:hint="eastAsia"/>
                <w:color w:val="auto"/>
                <w:sz w:val="21"/>
                <w:highlight w:val="none"/>
              </w:rPr>
              <w:t>…</w:t>
            </w:r>
          </w:p>
        </w:tc>
        <w:tc>
          <w:tcPr>
            <w:tcW w:w="1603" w:type="dxa"/>
          </w:tcPr>
          <w:p w14:paraId="466F5F12">
            <w:pPr>
              <w:rPr>
                <w:rFonts w:ascii="宋体" w:hAnsi="宋体" w:cs="宋体"/>
                <w:color w:val="auto"/>
                <w:highlight w:val="none"/>
              </w:rPr>
            </w:pPr>
          </w:p>
        </w:tc>
        <w:tc>
          <w:tcPr>
            <w:tcW w:w="1639" w:type="dxa"/>
          </w:tcPr>
          <w:p w14:paraId="2CB3EC99">
            <w:pPr>
              <w:rPr>
                <w:rFonts w:ascii="宋体" w:hAnsi="宋体" w:cs="宋体"/>
                <w:color w:val="auto"/>
                <w:highlight w:val="none"/>
              </w:rPr>
            </w:pPr>
          </w:p>
        </w:tc>
        <w:tc>
          <w:tcPr>
            <w:tcW w:w="1229" w:type="dxa"/>
          </w:tcPr>
          <w:p w14:paraId="689ABC66">
            <w:pPr>
              <w:rPr>
                <w:rFonts w:ascii="宋体" w:hAnsi="宋体" w:cs="宋体"/>
                <w:color w:val="auto"/>
                <w:highlight w:val="none"/>
              </w:rPr>
            </w:pPr>
          </w:p>
        </w:tc>
        <w:tc>
          <w:tcPr>
            <w:tcW w:w="1051" w:type="dxa"/>
          </w:tcPr>
          <w:p w14:paraId="050A6B95">
            <w:pPr>
              <w:rPr>
                <w:rFonts w:ascii="宋体" w:hAnsi="宋体" w:cs="宋体"/>
                <w:color w:val="auto"/>
                <w:highlight w:val="none"/>
              </w:rPr>
            </w:pPr>
          </w:p>
        </w:tc>
        <w:tc>
          <w:tcPr>
            <w:tcW w:w="878" w:type="dxa"/>
          </w:tcPr>
          <w:p w14:paraId="734BB827">
            <w:pPr>
              <w:rPr>
                <w:rFonts w:ascii="宋体" w:hAnsi="宋体" w:cs="宋体"/>
                <w:color w:val="auto"/>
                <w:highlight w:val="none"/>
              </w:rPr>
            </w:pPr>
          </w:p>
        </w:tc>
        <w:tc>
          <w:tcPr>
            <w:tcW w:w="1066" w:type="dxa"/>
          </w:tcPr>
          <w:p w14:paraId="6E272E07">
            <w:pPr>
              <w:rPr>
                <w:rFonts w:ascii="宋体" w:hAnsi="宋体" w:cs="宋体"/>
                <w:color w:val="auto"/>
                <w:highlight w:val="none"/>
              </w:rPr>
            </w:pPr>
          </w:p>
        </w:tc>
        <w:tc>
          <w:tcPr>
            <w:tcW w:w="1404" w:type="dxa"/>
          </w:tcPr>
          <w:p w14:paraId="0BBB1AD8">
            <w:pPr>
              <w:rPr>
                <w:rFonts w:ascii="宋体" w:hAnsi="宋体" w:cs="宋体"/>
                <w:color w:val="auto"/>
                <w:highlight w:val="none"/>
              </w:rPr>
            </w:pPr>
          </w:p>
        </w:tc>
      </w:tr>
      <w:tr w14:paraId="1D88A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178621A4">
            <w:pPr>
              <w:pStyle w:val="84"/>
              <w:spacing w:before="38"/>
              <w:ind w:left="0" w:right="0"/>
              <w:jc w:val="center"/>
              <w:rPr>
                <w:color w:val="auto"/>
                <w:sz w:val="21"/>
                <w:highlight w:val="none"/>
              </w:rPr>
            </w:pPr>
            <w:r>
              <w:rPr>
                <w:rFonts w:hint="eastAsia"/>
                <w:color w:val="auto"/>
                <w:sz w:val="21"/>
                <w:highlight w:val="none"/>
              </w:rPr>
              <w:t>N</w:t>
            </w:r>
          </w:p>
        </w:tc>
        <w:tc>
          <w:tcPr>
            <w:tcW w:w="1603" w:type="dxa"/>
          </w:tcPr>
          <w:p w14:paraId="13B1E502">
            <w:pPr>
              <w:rPr>
                <w:rFonts w:ascii="宋体" w:hAnsi="宋体" w:cs="宋体"/>
                <w:color w:val="auto"/>
                <w:highlight w:val="none"/>
              </w:rPr>
            </w:pPr>
          </w:p>
        </w:tc>
        <w:tc>
          <w:tcPr>
            <w:tcW w:w="1639" w:type="dxa"/>
          </w:tcPr>
          <w:p w14:paraId="4B018B75">
            <w:pPr>
              <w:rPr>
                <w:rFonts w:ascii="宋体" w:hAnsi="宋体" w:cs="宋体"/>
                <w:color w:val="auto"/>
                <w:highlight w:val="none"/>
              </w:rPr>
            </w:pPr>
          </w:p>
        </w:tc>
        <w:tc>
          <w:tcPr>
            <w:tcW w:w="1229" w:type="dxa"/>
          </w:tcPr>
          <w:p w14:paraId="3D769B27">
            <w:pPr>
              <w:rPr>
                <w:rFonts w:ascii="宋体" w:hAnsi="宋体" w:cs="宋体"/>
                <w:color w:val="auto"/>
                <w:highlight w:val="none"/>
              </w:rPr>
            </w:pPr>
          </w:p>
        </w:tc>
        <w:tc>
          <w:tcPr>
            <w:tcW w:w="1051" w:type="dxa"/>
          </w:tcPr>
          <w:p w14:paraId="4DA94EF4">
            <w:pPr>
              <w:rPr>
                <w:rFonts w:ascii="宋体" w:hAnsi="宋体" w:cs="宋体"/>
                <w:color w:val="auto"/>
                <w:highlight w:val="none"/>
              </w:rPr>
            </w:pPr>
          </w:p>
        </w:tc>
        <w:tc>
          <w:tcPr>
            <w:tcW w:w="878" w:type="dxa"/>
          </w:tcPr>
          <w:p w14:paraId="2C965C76">
            <w:pPr>
              <w:rPr>
                <w:rFonts w:ascii="宋体" w:hAnsi="宋体" w:cs="宋体"/>
                <w:color w:val="auto"/>
                <w:highlight w:val="none"/>
              </w:rPr>
            </w:pPr>
          </w:p>
        </w:tc>
        <w:tc>
          <w:tcPr>
            <w:tcW w:w="1066" w:type="dxa"/>
          </w:tcPr>
          <w:p w14:paraId="39EFFAB7">
            <w:pPr>
              <w:rPr>
                <w:rFonts w:ascii="宋体" w:hAnsi="宋体" w:cs="宋体"/>
                <w:color w:val="auto"/>
                <w:highlight w:val="none"/>
              </w:rPr>
            </w:pPr>
          </w:p>
        </w:tc>
        <w:tc>
          <w:tcPr>
            <w:tcW w:w="1404" w:type="dxa"/>
          </w:tcPr>
          <w:p w14:paraId="744053D9">
            <w:pPr>
              <w:rPr>
                <w:rFonts w:ascii="宋体" w:hAnsi="宋体" w:cs="宋体"/>
                <w:color w:val="auto"/>
                <w:highlight w:val="none"/>
              </w:rPr>
            </w:pPr>
          </w:p>
        </w:tc>
      </w:tr>
      <w:tr w14:paraId="522CC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exact"/>
          <w:jc w:val="center"/>
        </w:trPr>
        <w:tc>
          <w:tcPr>
            <w:tcW w:w="9782" w:type="dxa"/>
            <w:gridSpan w:val="8"/>
          </w:tcPr>
          <w:p w14:paraId="26F53AFE">
            <w:pPr>
              <w:pStyle w:val="84"/>
              <w:tabs>
                <w:tab w:val="left" w:pos="2931"/>
                <w:tab w:val="left" w:pos="4727"/>
                <w:tab w:val="left" w:pos="6699"/>
                <w:tab w:val="left" w:pos="8010"/>
                <w:tab w:val="left" w:pos="8140"/>
              </w:tabs>
              <w:spacing w:before="14" w:line="295" w:lineRule="auto"/>
              <w:ind w:left="105" w:right="142"/>
              <w:rPr>
                <w:color w:val="auto"/>
                <w:sz w:val="21"/>
                <w:szCs w:val="21"/>
                <w:highlight w:val="none"/>
                <w:lang w:eastAsia="zh-CN"/>
              </w:rPr>
            </w:pPr>
            <w:r>
              <w:rPr>
                <w:rFonts w:hint="eastAsia"/>
                <w:color w:val="auto"/>
                <w:sz w:val="21"/>
                <w:szCs w:val="21"/>
                <w:highlight w:val="none"/>
                <w:lang w:eastAsia="zh-CN"/>
              </w:rPr>
              <w:t>投标报价（合计金额）大写：</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lang w:eastAsia="zh-CN"/>
              </w:rPr>
              <w:t>人</w:t>
            </w:r>
            <w:r>
              <w:rPr>
                <w:rFonts w:hint="eastAsia"/>
                <w:color w:val="auto"/>
                <w:spacing w:val="-72"/>
                <w:sz w:val="21"/>
                <w:szCs w:val="21"/>
                <w:highlight w:val="none"/>
                <w:lang w:eastAsia="zh-CN"/>
              </w:rPr>
              <w:t xml:space="preserve"> </w:t>
            </w:r>
            <w:r>
              <w:rPr>
                <w:rFonts w:hint="eastAsia"/>
                <w:color w:val="auto"/>
                <w:sz w:val="21"/>
                <w:szCs w:val="21"/>
                <w:highlight w:val="none"/>
                <w:lang w:eastAsia="zh-CN"/>
              </w:rPr>
              <w:t>民</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币</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lang w:eastAsia="zh-CN"/>
              </w:rPr>
              <w:t>） 。</w:t>
            </w:r>
          </w:p>
          <w:p w14:paraId="72EE3E4F">
            <w:pPr>
              <w:pStyle w:val="84"/>
              <w:tabs>
                <w:tab w:val="left" w:pos="2931"/>
                <w:tab w:val="left" w:pos="4727"/>
                <w:tab w:val="left" w:pos="6699"/>
                <w:tab w:val="left" w:pos="8010"/>
                <w:tab w:val="left" w:pos="8140"/>
              </w:tabs>
              <w:spacing w:before="14" w:line="295" w:lineRule="auto"/>
              <w:ind w:left="105" w:right="142"/>
              <w:rPr>
                <w:color w:val="auto"/>
                <w:sz w:val="24"/>
                <w:highlight w:val="none"/>
                <w:lang w:eastAsia="zh-CN"/>
              </w:rPr>
            </w:pPr>
            <w:r>
              <w:rPr>
                <w:rFonts w:hint="eastAsia"/>
                <w:color w:val="auto"/>
                <w:sz w:val="21"/>
                <w:szCs w:val="21"/>
                <w:highlight w:val="none"/>
                <w:lang w:eastAsia="zh-CN"/>
              </w:rPr>
              <w:t>属于优先采购节能产品总值为￥</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lang w:eastAsia="zh-CN"/>
              </w:rPr>
              <w:t>（具体明细详见附表），占本投标报价的比例为</w:t>
            </w:r>
            <w:r>
              <w:rPr>
                <w:rFonts w:hint="eastAsia"/>
                <w:color w:val="auto"/>
                <w:sz w:val="21"/>
                <w:szCs w:val="21"/>
                <w:highlight w:val="none"/>
                <w:u w:val="single"/>
                <w:lang w:eastAsia="zh-CN"/>
              </w:rPr>
              <w:t xml:space="preserve">   </w:t>
            </w:r>
            <w:r>
              <w:rPr>
                <w:rFonts w:hint="eastAsia"/>
                <w:color w:val="auto"/>
                <w:sz w:val="21"/>
                <w:szCs w:val="21"/>
                <w:highlight w:val="none"/>
                <w:lang w:eastAsia="zh-CN"/>
              </w:rPr>
              <w:t xml:space="preserve">%；属于优先采购环境标志产品总值为￥ </w:t>
            </w:r>
            <w:r>
              <w:rPr>
                <w:rFonts w:hint="eastAsia"/>
                <w:color w:val="auto"/>
                <w:sz w:val="21"/>
                <w:szCs w:val="21"/>
                <w:highlight w:val="none"/>
                <w:u w:val="single"/>
                <w:lang w:eastAsia="zh-CN"/>
              </w:rPr>
              <w:tab/>
            </w:r>
            <w:r>
              <w:rPr>
                <w:rFonts w:hint="eastAsia"/>
                <w:color w:val="auto"/>
                <w:sz w:val="21"/>
                <w:szCs w:val="21"/>
                <w:highlight w:val="none"/>
                <w:lang w:eastAsia="zh-CN"/>
              </w:rPr>
              <w:t>（具体明细详见附表）， 占本投标报价的比例为</w:t>
            </w:r>
            <w:r>
              <w:rPr>
                <w:rFonts w:hint="eastAsia"/>
                <w:color w:val="auto"/>
                <w:sz w:val="21"/>
                <w:szCs w:val="21"/>
                <w:highlight w:val="none"/>
                <w:u w:val="single"/>
                <w:lang w:eastAsia="zh-CN"/>
              </w:rPr>
              <w:t xml:space="preserve">  </w:t>
            </w:r>
            <w:r>
              <w:rPr>
                <w:rFonts w:hint="eastAsia"/>
                <w:color w:val="auto"/>
                <w:sz w:val="21"/>
                <w:szCs w:val="21"/>
                <w:highlight w:val="none"/>
                <w:lang w:eastAsia="zh-CN"/>
              </w:rPr>
              <w:t>%。</w:t>
            </w:r>
            <w:r>
              <w:rPr>
                <w:rFonts w:hint="eastAsia"/>
                <w:color w:val="auto"/>
                <w:sz w:val="24"/>
                <w:highlight w:val="none"/>
                <w:lang w:eastAsia="zh-CN"/>
              </w:rPr>
              <w:t xml:space="preserve"> </w:t>
            </w:r>
          </w:p>
        </w:tc>
      </w:tr>
      <w:tr w14:paraId="65039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exact"/>
          <w:jc w:val="center"/>
        </w:trPr>
        <w:tc>
          <w:tcPr>
            <w:tcW w:w="9782" w:type="dxa"/>
            <w:gridSpan w:val="8"/>
            <w:vAlign w:val="center"/>
          </w:tcPr>
          <w:p w14:paraId="35C6D6CB">
            <w:pPr>
              <w:pStyle w:val="84"/>
              <w:tabs>
                <w:tab w:val="left" w:pos="2931"/>
                <w:tab w:val="left" w:pos="4727"/>
                <w:tab w:val="left" w:pos="6699"/>
                <w:tab w:val="left" w:pos="8010"/>
                <w:tab w:val="left" w:pos="8140"/>
              </w:tabs>
              <w:spacing w:before="14" w:line="295" w:lineRule="auto"/>
              <w:ind w:left="105" w:right="142"/>
              <w:jc w:val="both"/>
              <w:rPr>
                <w:color w:val="auto"/>
                <w:sz w:val="21"/>
                <w:szCs w:val="21"/>
                <w:highlight w:val="none"/>
                <w:lang w:eastAsia="zh-CN"/>
              </w:rPr>
            </w:pPr>
            <w:r>
              <w:rPr>
                <w:rFonts w:hint="eastAsia"/>
                <w:b/>
                <w:color w:val="auto"/>
                <w:sz w:val="21"/>
                <w:szCs w:val="21"/>
                <w:highlight w:val="none"/>
                <w:lang w:eastAsia="zh-CN"/>
              </w:rPr>
              <w:t>交货期：</w:t>
            </w:r>
            <w:r>
              <w:rPr>
                <w:rFonts w:hint="eastAsia"/>
                <w:color w:val="auto"/>
                <w:kern w:val="2"/>
                <w:sz w:val="21"/>
                <w:szCs w:val="21"/>
                <w:highlight w:val="none"/>
                <w:lang w:eastAsia="zh-CN"/>
              </w:rPr>
              <w:t>自合同签订之日起</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天（日历天）内安装调试完毕，验收合格并交付使用。</w:t>
            </w:r>
          </w:p>
        </w:tc>
      </w:tr>
    </w:tbl>
    <w:p w14:paraId="5DDCBBD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注： </w:t>
      </w:r>
    </w:p>
    <w:p w14:paraId="33E368A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1、竞标</w:t>
      </w:r>
      <w:r>
        <w:rPr>
          <w:rFonts w:hint="eastAsia" w:ascii="宋体" w:hAnsi="宋体" w:cs="宋体"/>
          <w:color w:val="auto"/>
          <w:kern w:val="0"/>
          <w:szCs w:val="21"/>
          <w:highlight w:val="none"/>
        </w:rPr>
        <w:t>总报价为现场交付使用价，</w:t>
      </w:r>
      <w:r>
        <w:rPr>
          <w:rFonts w:hint="eastAsia" w:ascii="宋体" w:hAnsi="宋体" w:cs="宋体"/>
          <w:color w:val="auto"/>
          <w:szCs w:val="21"/>
          <w:highlight w:val="none"/>
        </w:rPr>
        <w:t>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对于本谈判采购文件中未列明，而供应商认为必需的费用也需列入报价。在合同实施时，采购人将不予支付成交供应商没有列入的项目费用，并认为此项目的费用已包括在报价中。</w:t>
      </w:r>
    </w:p>
    <w:p w14:paraId="0B995D5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参加谈判的供应商在规定时间内提交最后报价时，如有要求，须附相应的报价明细表（最后报价明细表应按以上格式要求提供），并且最后报价金额须与最后报价明细表的合计金额相等，否则须在规定时间内按最后报价金额调整最后报价明细表的金额。</w:t>
      </w:r>
    </w:p>
    <w:p w14:paraId="521B19B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3、所有价格均用人民币表示，单位为元，精确到百分位。</w:t>
      </w:r>
    </w:p>
    <w:p w14:paraId="54A3D04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4、报价一经涂改，应在涂改处加盖单位公章或者由法定代表人或授权委托人签字，否则其报价无效。</w:t>
      </w:r>
    </w:p>
    <w:p w14:paraId="30CBCD00">
      <w:pPr>
        <w:spacing w:line="36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5</w:t>
      </w:r>
      <w:r>
        <w:rPr>
          <w:rFonts w:hint="eastAsia" w:ascii="宋体" w:hAnsi="宋体" w:cs="宋体"/>
          <w:color w:val="auto"/>
          <w:szCs w:val="21"/>
          <w:highlight w:val="none"/>
        </w:rPr>
        <w:t>、本表为最后报价时作为最后报价格式提供，无须在首次响应文件中体现。</w:t>
      </w:r>
    </w:p>
    <w:p w14:paraId="57761C6D">
      <w:pPr>
        <w:spacing w:line="360" w:lineRule="exact"/>
        <w:ind w:firstLine="6090" w:firstLineChars="2900"/>
        <w:rPr>
          <w:rFonts w:ascii="宋体" w:hAnsi="宋体" w:cs="宋体"/>
          <w:color w:val="auto"/>
          <w:szCs w:val="21"/>
          <w:highlight w:val="none"/>
        </w:rPr>
      </w:pPr>
    </w:p>
    <w:p w14:paraId="0B93D15E">
      <w:pPr>
        <w:spacing w:line="36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14C58985">
      <w:pPr>
        <w:spacing w:line="36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2FFC168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br w:type="page"/>
      </w:r>
    </w:p>
    <w:p w14:paraId="31683B26">
      <w:pPr>
        <w:pStyle w:val="3"/>
        <w:rPr>
          <w:rFonts w:ascii="宋体" w:hAnsi="宋体" w:cs="宋体"/>
          <w:color w:val="auto"/>
          <w:highlight w:val="none"/>
        </w:rPr>
      </w:pPr>
      <w:bookmarkStart w:id="21" w:name="_Toc23793"/>
      <w:r>
        <w:rPr>
          <w:rFonts w:hint="eastAsia" w:ascii="宋体" w:hAnsi="宋体" w:cs="宋体"/>
          <w:color w:val="auto"/>
          <w:highlight w:val="none"/>
        </w:rPr>
        <w:t>第五章 合同主要（基本条款）</w:t>
      </w:r>
      <w:bookmarkEnd w:id="21"/>
    </w:p>
    <w:p w14:paraId="2D21DB87">
      <w:pPr>
        <w:pStyle w:val="126"/>
        <w:jc w:val="center"/>
        <w:rPr>
          <w:rFonts w:ascii="宋体" w:hAnsi="宋体" w:eastAsia="宋体" w:cs="宋体"/>
          <w:color w:val="auto"/>
          <w:highlight w:val="none"/>
        </w:rPr>
      </w:pPr>
      <w:bookmarkStart w:id="22" w:name="_Toc373227552"/>
      <w:bookmarkStart w:id="23" w:name="_Toc724920571"/>
      <w:bookmarkStart w:id="24" w:name="_Toc296503025"/>
      <w:bookmarkStart w:id="25" w:name="_Toc373478199"/>
      <w:bookmarkStart w:id="26" w:name="_Toc351203480"/>
      <w:bookmarkStart w:id="27" w:name="_Toc407135191"/>
      <w:bookmarkStart w:id="28" w:name="_Toc1756478213"/>
      <w:bookmarkStart w:id="29" w:name="_Toc389065255"/>
      <w:bookmarkStart w:id="30" w:name="_Toc296890982"/>
      <w:bookmarkStart w:id="31" w:name="_Toc78449777"/>
    </w:p>
    <w:p w14:paraId="6CDAAF5C">
      <w:pPr>
        <w:pStyle w:val="127"/>
        <w:adjustRightInd w:val="0"/>
        <w:snapToGrid w:val="0"/>
        <w:spacing w:line="800" w:lineRule="exact"/>
        <w:contextualSpacing/>
        <w:jc w:val="center"/>
        <w:rPr>
          <w:rFonts w:ascii="宋体" w:hAnsi="宋体" w:cs="宋体"/>
          <w:b/>
          <w:bCs/>
          <w:color w:val="auto"/>
          <w:sz w:val="44"/>
          <w:szCs w:val="44"/>
          <w:highlight w:val="none"/>
        </w:rPr>
      </w:pPr>
      <w:bookmarkStart w:id="32" w:name="_Toc74156273"/>
      <w:bookmarkStart w:id="33" w:name="_Toc403396429"/>
      <w:bookmarkStart w:id="34" w:name="_Toc74156228"/>
    </w:p>
    <w:p w14:paraId="7BE36B74">
      <w:pPr>
        <w:pStyle w:val="127"/>
        <w:adjustRightInd w:val="0"/>
        <w:snapToGrid w:val="0"/>
        <w:spacing w:line="800" w:lineRule="exact"/>
        <w:contextualSpacing/>
        <w:jc w:val="center"/>
        <w:rPr>
          <w:rFonts w:ascii="宋体" w:hAnsi="宋体" w:cs="宋体"/>
          <w:b/>
          <w:color w:val="auto"/>
          <w:sz w:val="72"/>
          <w:szCs w:val="72"/>
          <w:highlight w:val="none"/>
        </w:rPr>
      </w:pPr>
      <w:r>
        <w:rPr>
          <w:rFonts w:hint="eastAsia" w:ascii="宋体" w:hAnsi="宋体" w:cs="宋体"/>
          <w:b/>
          <w:bCs/>
          <w:color w:val="auto"/>
          <w:sz w:val="84"/>
          <w:szCs w:val="84"/>
          <w:highlight w:val="none"/>
        </w:rPr>
        <w:t>政府采购合同</w:t>
      </w:r>
    </w:p>
    <w:p w14:paraId="37FBDCE0">
      <w:pPr>
        <w:pStyle w:val="127"/>
        <w:adjustRightInd w:val="0"/>
        <w:snapToGrid w:val="0"/>
        <w:spacing w:line="800" w:lineRule="exact"/>
        <w:contextualSpacing/>
        <w:rPr>
          <w:rFonts w:ascii="宋体" w:hAnsi="宋体" w:cs="宋体"/>
          <w:b/>
          <w:color w:val="auto"/>
          <w:sz w:val="32"/>
          <w:szCs w:val="32"/>
          <w:highlight w:val="none"/>
        </w:rPr>
      </w:pPr>
    </w:p>
    <w:p w14:paraId="56C032F7">
      <w:pPr>
        <w:ind w:left="2202" w:leftChars="284" w:right="913" w:hanging="1606" w:hangingChars="500"/>
        <w:rPr>
          <w:rFonts w:ascii="宋体" w:hAnsi="宋体" w:cs="宋体"/>
          <w:b/>
          <w:color w:val="auto"/>
          <w:sz w:val="32"/>
          <w:szCs w:val="32"/>
          <w:highlight w:val="none"/>
        </w:rPr>
      </w:pPr>
      <w:r>
        <w:rPr>
          <w:rFonts w:hint="eastAsia" w:ascii="宋体" w:hAnsi="宋体" w:cs="宋体"/>
          <w:b/>
          <w:bCs/>
          <w:color w:val="auto"/>
          <w:sz w:val="32"/>
          <w:szCs w:val="32"/>
          <w:highlight w:val="none"/>
        </w:rPr>
        <w:t>项目名称：</w:t>
      </w:r>
      <w:r>
        <w:rPr>
          <w:rFonts w:hint="eastAsia" w:ascii="宋体" w:hAnsi="宋体" w:cs="宋体"/>
          <w:b/>
          <w:color w:val="auto"/>
          <w:sz w:val="32"/>
          <w:szCs w:val="32"/>
          <w:highlight w:val="none"/>
        </w:rPr>
        <w:t xml:space="preserve"> 智能机器人实训基地建设设备采购</w:t>
      </w:r>
    </w:p>
    <w:p w14:paraId="087ECE0C">
      <w:pPr>
        <w:spacing w:line="360" w:lineRule="exact"/>
        <w:ind w:firstLine="643" w:firstLineChars="200"/>
        <w:rPr>
          <w:rFonts w:ascii="宋体" w:hAnsi="宋体" w:cs="宋体"/>
          <w:b/>
          <w:color w:val="auto"/>
          <w:sz w:val="32"/>
          <w:szCs w:val="32"/>
          <w:highlight w:val="none"/>
        </w:rPr>
      </w:pPr>
    </w:p>
    <w:p w14:paraId="371A6FB9">
      <w:pPr>
        <w:ind w:right="913" w:firstLine="643" w:firstLineChars="2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项目编号：</w:t>
      </w:r>
      <w:r>
        <w:rPr>
          <w:rFonts w:hint="eastAsia" w:ascii="宋体" w:hAnsi="宋体" w:cs="宋体"/>
          <w:b/>
          <w:bCs/>
          <w:color w:val="auto"/>
          <w:sz w:val="32"/>
          <w:szCs w:val="32"/>
          <w:highlight w:val="none"/>
        </w:rPr>
        <w:t xml:space="preserve"> </w:t>
      </w:r>
      <w:r>
        <w:rPr>
          <w:rFonts w:hint="eastAsia" w:ascii="宋体" w:hAnsi="宋体" w:cs="宋体"/>
          <w:b/>
          <w:color w:val="auto"/>
          <w:sz w:val="32"/>
          <w:szCs w:val="32"/>
          <w:highlight w:val="none"/>
          <w:lang w:eastAsia="zh-CN"/>
        </w:rPr>
        <w:t>GXZC2025-J1-003524-GXDY</w:t>
      </w:r>
    </w:p>
    <w:p w14:paraId="5C54CF12">
      <w:pPr>
        <w:spacing w:line="360" w:lineRule="exact"/>
        <w:rPr>
          <w:rFonts w:ascii="宋体" w:hAnsi="宋体" w:cs="宋体"/>
          <w:b/>
          <w:bCs/>
          <w:color w:val="auto"/>
          <w:sz w:val="32"/>
          <w:szCs w:val="32"/>
          <w:highlight w:val="none"/>
        </w:rPr>
      </w:pPr>
    </w:p>
    <w:p w14:paraId="3A68E3CF">
      <w:pPr>
        <w:spacing w:line="36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合同编号： </w:t>
      </w:r>
    </w:p>
    <w:p w14:paraId="31939D54">
      <w:pPr>
        <w:spacing w:line="360" w:lineRule="exact"/>
        <w:ind w:firstLine="643" w:firstLineChars="200"/>
        <w:rPr>
          <w:rFonts w:ascii="宋体" w:hAnsi="宋体" w:cs="宋体"/>
          <w:b/>
          <w:bCs/>
          <w:color w:val="auto"/>
          <w:sz w:val="32"/>
          <w:szCs w:val="32"/>
          <w:highlight w:val="none"/>
        </w:rPr>
      </w:pPr>
    </w:p>
    <w:p w14:paraId="288F629B">
      <w:pPr>
        <w:spacing w:line="360" w:lineRule="exact"/>
        <w:ind w:firstLine="643" w:firstLineChars="200"/>
        <w:rPr>
          <w:rFonts w:ascii="宋体" w:hAnsi="宋体" w:cs="宋体"/>
          <w:b/>
          <w:bCs/>
          <w:color w:val="auto"/>
          <w:sz w:val="32"/>
          <w:szCs w:val="32"/>
          <w:highlight w:val="none"/>
        </w:rPr>
      </w:pPr>
    </w:p>
    <w:p w14:paraId="6B19866F">
      <w:pPr>
        <w:spacing w:line="36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合同甲方：广西机电技师学院</w:t>
      </w:r>
    </w:p>
    <w:p w14:paraId="378E3C18">
      <w:pPr>
        <w:spacing w:line="360" w:lineRule="exact"/>
        <w:ind w:firstLine="643" w:firstLineChars="200"/>
        <w:rPr>
          <w:rFonts w:ascii="宋体" w:hAnsi="宋体" w:cs="宋体"/>
          <w:b/>
          <w:bCs/>
          <w:color w:val="auto"/>
          <w:sz w:val="32"/>
          <w:szCs w:val="32"/>
          <w:highlight w:val="none"/>
        </w:rPr>
      </w:pPr>
    </w:p>
    <w:p w14:paraId="7451BA7F">
      <w:pPr>
        <w:spacing w:line="360" w:lineRule="exact"/>
        <w:ind w:firstLine="643" w:firstLineChars="200"/>
        <w:rPr>
          <w:rFonts w:ascii="宋体" w:hAnsi="宋体" w:cs="宋体"/>
          <w:b/>
          <w:bCs/>
          <w:color w:val="auto"/>
          <w:sz w:val="32"/>
          <w:szCs w:val="32"/>
          <w:highlight w:val="none"/>
        </w:rPr>
      </w:pPr>
    </w:p>
    <w:p w14:paraId="29BAD4E3">
      <w:pPr>
        <w:spacing w:line="36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合同乙方：  </w:t>
      </w:r>
    </w:p>
    <w:p w14:paraId="64D50F93">
      <w:pPr>
        <w:spacing w:line="360" w:lineRule="exact"/>
        <w:ind w:firstLine="643" w:firstLineChars="200"/>
        <w:rPr>
          <w:rFonts w:ascii="宋体" w:hAnsi="宋体" w:cs="宋体"/>
          <w:b/>
          <w:bCs/>
          <w:color w:val="auto"/>
          <w:sz w:val="32"/>
          <w:szCs w:val="32"/>
          <w:highlight w:val="none"/>
        </w:rPr>
      </w:pPr>
    </w:p>
    <w:p w14:paraId="556864EA">
      <w:pPr>
        <w:spacing w:line="360" w:lineRule="exact"/>
        <w:ind w:firstLine="643" w:firstLineChars="200"/>
        <w:rPr>
          <w:rFonts w:ascii="宋体" w:hAnsi="宋体" w:cs="宋体"/>
          <w:b/>
          <w:bCs/>
          <w:color w:val="auto"/>
          <w:sz w:val="32"/>
          <w:szCs w:val="32"/>
          <w:highlight w:val="none"/>
        </w:rPr>
      </w:pPr>
    </w:p>
    <w:p w14:paraId="50597CFA">
      <w:pPr>
        <w:spacing w:line="360" w:lineRule="exact"/>
        <w:ind w:firstLine="643" w:firstLineChars="20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合同签订时间：</w:t>
      </w:r>
      <w:r>
        <w:rPr>
          <w:rFonts w:hint="eastAsia" w:ascii="宋体" w:hAnsi="宋体" w:cs="宋体"/>
          <w:b/>
          <w:bCs/>
          <w:color w:val="auto"/>
          <w:sz w:val="32"/>
          <w:szCs w:val="32"/>
          <w:highlight w:val="none"/>
          <w:lang w:eastAsia="zh-CN"/>
        </w:rPr>
        <w:t>2025年</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月</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日</w:t>
      </w:r>
    </w:p>
    <w:p w14:paraId="742E3DAD">
      <w:pPr>
        <w:pStyle w:val="127"/>
        <w:adjustRightInd w:val="0"/>
        <w:snapToGrid w:val="0"/>
        <w:spacing w:line="800" w:lineRule="exact"/>
        <w:contextualSpacing/>
        <w:rPr>
          <w:rFonts w:ascii="宋体" w:hAnsi="宋体" w:cs="宋体"/>
          <w:b/>
          <w:bCs/>
          <w:color w:val="auto"/>
          <w:sz w:val="32"/>
          <w:szCs w:val="32"/>
          <w:highlight w:val="none"/>
          <w:u w:val="single"/>
        </w:rPr>
      </w:pPr>
    </w:p>
    <w:p w14:paraId="399561EE">
      <w:pPr>
        <w:pStyle w:val="127"/>
        <w:adjustRightInd w:val="0"/>
        <w:snapToGrid w:val="0"/>
        <w:spacing w:line="800" w:lineRule="exact"/>
        <w:contextualSpacing/>
        <w:rPr>
          <w:rFonts w:ascii="宋体" w:hAnsi="宋体" w:cs="宋体"/>
          <w:b/>
          <w:bCs/>
          <w:color w:val="auto"/>
          <w:sz w:val="32"/>
          <w:szCs w:val="32"/>
          <w:highlight w:val="none"/>
          <w:u w:val="single"/>
        </w:rPr>
      </w:pPr>
    </w:p>
    <w:p w14:paraId="4BBCFC4E">
      <w:pPr>
        <w:pStyle w:val="127"/>
        <w:adjustRightInd w:val="0"/>
        <w:snapToGrid w:val="0"/>
        <w:spacing w:line="800" w:lineRule="exact"/>
        <w:contextualSpacing/>
        <w:rPr>
          <w:rFonts w:ascii="宋体" w:hAnsi="宋体" w:cs="宋体"/>
          <w:b/>
          <w:bCs/>
          <w:color w:val="auto"/>
          <w:sz w:val="28"/>
          <w:szCs w:val="28"/>
          <w:highlight w:val="none"/>
          <w:u w:val="single"/>
        </w:rPr>
      </w:pPr>
    </w:p>
    <w:bookmarkEnd w:id="32"/>
    <w:bookmarkEnd w:id="33"/>
    <w:bookmarkEnd w:id="34"/>
    <w:p w14:paraId="7C081684">
      <w:pPr>
        <w:pStyle w:val="3"/>
        <w:spacing w:line="360" w:lineRule="exact"/>
        <w:rPr>
          <w:rFonts w:ascii="宋体" w:hAnsi="宋体" w:cs="宋体"/>
          <w:color w:val="auto"/>
          <w:sz w:val="28"/>
          <w:szCs w:val="28"/>
          <w:highlight w:val="none"/>
        </w:rPr>
      </w:pPr>
    </w:p>
    <w:p w14:paraId="72F8C65C">
      <w:pPr>
        <w:rPr>
          <w:rFonts w:ascii="宋体" w:hAnsi="宋体" w:cs="宋体"/>
          <w:color w:val="auto"/>
          <w:sz w:val="28"/>
          <w:szCs w:val="28"/>
          <w:highlight w:val="none"/>
        </w:rPr>
      </w:pPr>
    </w:p>
    <w:p w14:paraId="672D68D4">
      <w:pPr>
        <w:rPr>
          <w:rFonts w:ascii="宋体" w:hAnsi="宋体" w:cs="宋体"/>
          <w:color w:val="auto"/>
          <w:sz w:val="28"/>
          <w:szCs w:val="28"/>
          <w:highlight w:val="none"/>
        </w:rPr>
      </w:pPr>
    </w:p>
    <w:p w14:paraId="74E05ADA">
      <w:pPr>
        <w:pStyle w:val="2"/>
      </w:pPr>
    </w:p>
    <w:p w14:paraId="254A0B5D">
      <w:pPr>
        <w:rPr>
          <w:rFonts w:ascii="宋体" w:hAnsi="宋体" w:cs="宋体"/>
          <w:color w:val="auto"/>
          <w:sz w:val="28"/>
          <w:szCs w:val="28"/>
          <w:highlight w:val="none"/>
        </w:rPr>
      </w:pPr>
    </w:p>
    <w:p w14:paraId="0DED56C0">
      <w:pPr>
        <w:pStyle w:val="3"/>
        <w:spacing w:line="340" w:lineRule="exact"/>
        <w:rPr>
          <w:rFonts w:ascii="宋体" w:hAnsi="宋体" w:cs="宋体"/>
          <w:color w:val="auto"/>
          <w:sz w:val="28"/>
          <w:szCs w:val="28"/>
          <w:highlight w:val="none"/>
        </w:rPr>
      </w:pPr>
      <w:bookmarkStart w:id="35" w:name="_Toc22007"/>
      <w:r>
        <w:rPr>
          <w:rFonts w:hint="eastAsia" w:ascii="宋体" w:hAnsi="宋体" w:cs="宋体"/>
          <w:color w:val="auto"/>
          <w:sz w:val="28"/>
          <w:szCs w:val="28"/>
          <w:highlight w:val="none"/>
        </w:rPr>
        <w:t>政府采购合同（基本条款）</w:t>
      </w:r>
      <w:bookmarkEnd w:id="35"/>
    </w:p>
    <w:p w14:paraId="54E984FB">
      <w:pPr>
        <w:spacing w:line="340" w:lineRule="exact"/>
        <w:rPr>
          <w:rFonts w:ascii="宋体" w:hAnsi="宋体" w:cs="宋体"/>
          <w:color w:val="auto"/>
          <w:szCs w:val="21"/>
          <w:highlight w:val="none"/>
        </w:rPr>
      </w:pPr>
      <w:bookmarkStart w:id="36" w:name="_Toc99768080"/>
      <w:r>
        <w:rPr>
          <w:rFonts w:hint="eastAsia" w:ascii="宋体" w:hAnsi="宋体" w:cs="宋体"/>
          <w:color w:val="auto"/>
          <w:szCs w:val="21"/>
          <w:highlight w:val="none"/>
        </w:rPr>
        <w:t>采购单位（甲方）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采购计划号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E885796">
      <w:pPr>
        <w:spacing w:line="340" w:lineRule="exact"/>
        <w:rPr>
          <w:rFonts w:ascii="宋体" w:hAnsi="宋体" w:cs="宋体"/>
          <w:color w:val="auto"/>
          <w:szCs w:val="21"/>
          <w:highlight w:val="none"/>
        </w:rPr>
      </w:pPr>
      <w:r>
        <w:rPr>
          <w:rFonts w:hint="eastAsia" w:ascii="宋体" w:hAnsi="宋体" w:cs="宋体"/>
          <w:color w:val="auto"/>
          <w:szCs w:val="21"/>
          <w:highlight w:val="none"/>
        </w:rPr>
        <w:t>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项目名称和编号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C72E490">
      <w:pPr>
        <w:spacing w:line="340" w:lineRule="exact"/>
        <w:rPr>
          <w:rFonts w:ascii="宋体" w:hAnsi="宋体" w:cs="宋体"/>
          <w:color w:val="auto"/>
          <w:szCs w:val="21"/>
          <w:highlight w:val="none"/>
        </w:rPr>
      </w:pPr>
      <w:r>
        <w:rPr>
          <w:rFonts w:hint="eastAsia" w:ascii="宋体" w:hAnsi="宋体" w:cs="宋体"/>
          <w:color w:val="auto"/>
          <w:szCs w:val="21"/>
          <w:highlight w:val="none"/>
        </w:rPr>
        <w:t xml:space="preserve">签订地点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52C23A9">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根据《中华人民共和国政府采购法》、《中华人民共和国民法典》等法律、法规规定，按照竞争性谈判文件规定条款和成交供应商竞争性谈判响应文件及其承诺，甲乙双方签订本合同。</w:t>
      </w:r>
    </w:p>
    <w:p w14:paraId="39989D5E">
      <w:pPr>
        <w:pStyle w:val="16"/>
        <w:spacing w:after="0" w:line="340" w:lineRule="exact"/>
        <w:ind w:firstLine="478" w:firstLineChars="200"/>
        <w:jc w:val="both"/>
        <w:rPr>
          <w:rFonts w:hAnsi="宋体" w:cs="宋体"/>
          <w:b/>
          <w:bCs/>
          <w:color w:val="auto"/>
          <w:spacing w:val="14"/>
          <w:sz w:val="21"/>
          <w:szCs w:val="21"/>
          <w:highlight w:val="none"/>
        </w:rPr>
      </w:pPr>
      <w:r>
        <w:rPr>
          <w:rFonts w:hint="eastAsia" w:hAnsi="宋体" w:cs="宋体"/>
          <w:b/>
          <w:bCs/>
          <w:color w:val="auto"/>
          <w:spacing w:val="14"/>
          <w:sz w:val="21"/>
          <w:szCs w:val="21"/>
          <w:highlight w:val="none"/>
        </w:rPr>
        <w:t>第</w:t>
      </w:r>
      <w:r>
        <w:rPr>
          <w:rFonts w:hint="eastAsia" w:hAnsi="宋体" w:cs="宋体"/>
          <w:color w:val="auto"/>
          <w:spacing w:val="-73"/>
          <w:sz w:val="21"/>
          <w:szCs w:val="21"/>
          <w:highlight w:val="none"/>
        </w:rPr>
        <w:t xml:space="preserve"> </w:t>
      </w:r>
      <w:r>
        <w:rPr>
          <w:rFonts w:hint="eastAsia" w:hAnsi="宋体" w:cs="宋体"/>
          <w:b/>
          <w:bCs/>
          <w:color w:val="auto"/>
          <w:spacing w:val="14"/>
          <w:sz w:val="21"/>
          <w:szCs w:val="21"/>
          <w:highlight w:val="none"/>
        </w:rPr>
        <w:t>一</w:t>
      </w:r>
      <w:r>
        <w:rPr>
          <w:rFonts w:hint="eastAsia" w:hAnsi="宋体" w:cs="宋体"/>
          <w:color w:val="auto"/>
          <w:spacing w:val="-79"/>
          <w:sz w:val="21"/>
          <w:szCs w:val="21"/>
          <w:highlight w:val="none"/>
        </w:rPr>
        <w:t xml:space="preserve"> </w:t>
      </w:r>
      <w:r>
        <w:rPr>
          <w:rFonts w:hint="eastAsia" w:hAnsi="宋体" w:cs="宋体"/>
          <w:b/>
          <w:bCs/>
          <w:color w:val="auto"/>
          <w:spacing w:val="14"/>
          <w:sz w:val="21"/>
          <w:szCs w:val="21"/>
          <w:highlight w:val="none"/>
        </w:rPr>
        <w:t>条</w:t>
      </w:r>
      <w:r>
        <w:rPr>
          <w:rFonts w:hint="eastAsia" w:hAnsi="宋体" w:cs="宋体"/>
          <w:color w:val="auto"/>
          <w:spacing w:val="23"/>
          <w:sz w:val="21"/>
          <w:szCs w:val="21"/>
          <w:highlight w:val="none"/>
        </w:rPr>
        <w:t xml:space="preserve"> </w:t>
      </w:r>
      <w:r>
        <w:rPr>
          <w:rFonts w:hint="eastAsia" w:hAnsi="宋体" w:cs="宋体"/>
          <w:b/>
          <w:bCs/>
          <w:color w:val="auto"/>
          <w:spacing w:val="14"/>
          <w:sz w:val="21"/>
          <w:szCs w:val="21"/>
          <w:highlight w:val="none"/>
        </w:rPr>
        <w:t>合同标的</w:t>
      </w:r>
    </w:p>
    <w:p w14:paraId="720150A6">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1.供货一览表</w:t>
      </w:r>
    </w:p>
    <w:tbl>
      <w:tblPr>
        <w:tblStyle w:val="138"/>
        <w:tblW w:w="91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241"/>
        <w:gridCol w:w="996"/>
        <w:gridCol w:w="989"/>
        <w:gridCol w:w="979"/>
        <w:gridCol w:w="888"/>
        <w:gridCol w:w="968"/>
        <w:gridCol w:w="1104"/>
        <w:gridCol w:w="1153"/>
      </w:tblGrid>
      <w:tr w14:paraId="37CDB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786" w:type="dxa"/>
            <w:vAlign w:val="center"/>
          </w:tcPr>
          <w:p w14:paraId="42F7FBD7">
            <w:pPr>
              <w:pStyle w:val="16"/>
              <w:adjustRightInd/>
              <w:spacing w:after="0" w:line="34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序号</w:t>
            </w:r>
          </w:p>
        </w:tc>
        <w:tc>
          <w:tcPr>
            <w:tcW w:w="1241" w:type="dxa"/>
            <w:vAlign w:val="center"/>
          </w:tcPr>
          <w:p w14:paraId="66938A44">
            <w:pPr>
              <w:pStyle w:val="16"/>
              <w:adjustRightInd/>
              <w:spacing w:after="0" w:line="34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标的名称</w:t>
            </w:r>
          </w:p>
        </w:tc>
        <w:tc>
          <w:tcPr>
            <w:tcW w:w="996" w:type="dxa"/>
            <w:vAlign w:val="center"/>
          </w:tcPr>
          <w:p w14:paraId="3ABD6195">
            <w:pPr>
              <w:pStyle w:val="16"/>
              <w:adjustRightInd/>
              <w:spacing w:after="0" w:line="34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商标品牌</w:t>
            </w:r>
          </w:p>
        </w:tc>
        <w:tc>
          <w:tcPr>
            <w:tcW w:w="989" w:type="dxa"/>
            <w:vAlign w:val="center"/>
          </w:tcPr>
          <w:p w14:paraId="16463A12">
            <w:pPr>
              <w:pStyle w:val="16"/>
              <w:adjustRightInd/>
              <w:spacing w:after="0" w:line="34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型号参数</w:t>
            </w:r>
          </w:p>
        </w:tc>
        <w:tc>
          <w:tcPr>
            <w:tcW w:w="979" w:type="dxa"/>
            <w:vAlign w:val="center"/>
          </w:tcPr>
          <w:p w14:paraId="3221A2C3">
            <w:pPr>
              <w:pStyle w:val="16"/>
              <w:adjustRightInd/>
              <w:spacing w:after="0" w:line="34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生产厂家</w:t>
            </w:r>
          </w:p>
        </w:tc>
        <w:tc>
          <w:tcPr>
            <w:tcW w:w="888" w:type="dxa"/>
            <w:vAlign w:val="center"/>
          </w:tcPr>
          <w:p w14:paraId="6BE5AC7B">
            <w:pPr>
              <w:pStyle w:val="16"/>
              <w:adjustRightInd/>
              <w:spacing w:after="0" w:line="34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数量</w:t>
            </w:r>
          </w:p>
        </w:tc>
        <w:tc>
          <w:tcPr>
            <w:tcW w:w="968" w:type="dxa"/>
            <w:vAlign w:val="center"/>
          </w:tcPr>
          <w:p w14:paraId="7F7C6E37">
            <w:pPr>
              <w:pStyle w:val="16"/>
              <w:adjustRightInd/>
              <w:spacing w:after="0" w:line="34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单位</w:t>
            </w:r>
          </w:p>
        </w:tc>
        <w:tc>
          <w:tcPr>
            <w:tcW w:w="1104" w:type="dxa"/>
            <w:vAlign w:val="center"/>
          </w:tcPr>
          <w:p w14:paraId="5FAF8B51">
            <w:pPr>
              <w:pStyle w:val="16"/>
              <w:adjustRightInd/>
              <w:spacing w:after="0" w:line="34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单价 (元)</w:t>
            </w:r>
          </w:p>
        </w:tc>
        <w:tc>
          <w:tcPr>
            <w:tcW w:w="1153" w:type="dxa"/>
            <w:vAlign w:val="center"/>
          </w:tcPr>
          <w:p w14:paraId="507343DE">
            <w:pPr>
              <w:pStyle w:val="16"/>
              <w:adjustRightInd/>
              <w:spacing w:after="0" w:line="34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金额 (元)</w:t>
            </w:r>
          </w:p>
        </w:tc>
      </w:tr>
      <w:tr w14:paraId="794C6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786" w:type="dxa"/>
            <w:vAlign w:val="center"/>
          </w:tcPr>
          <w:p w14:paraId="406D476C">
            <w:pPr>
              <w:pStyle w:val="16"/>
              <w:adjustRightInd/>
              <w:spacing w:after="0" w:line="34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1</w:t>
            </w:r>
          </w:p>
        </w:tc>
        <w:tc>
          <w:tcPr>
            <w:tcW w:w="1241" w:type="dxa"/>
            <w:vAlign w:val="center"/>
          </w:tcPr>
          <w:p w14:paraId="093E66A7">
            <w:pPr>
              <w:spacing w:line="340" w:lineRule="exact"/>
              <w:jc w:val="center"/>
              <w:rPr>
                <w:rFonts w:ascii="宋体" w:hAnsi="宋体" w:cs="宋体"/>
                <w:color w:val="auto"/>
                <w:szCs w:val="21"/>
                <w:highlight w:val="none"/>
              </w:rPr>
            </w:pPr>
          </w:p>
        </w:tc>
        <w:tc>
          <w:tcPr>
            <w:tcW w:w="996" w:type="dxa"/>
            <w:vAlign w:val="center"/>
          </w:tcPr>
          <w:p w14:paraId="7147AD69">
            <w:pPr>
              <w:spacing w:line="340" w:lineRule="exact"/>
              <w:jc w:val="center"/>
              <w:rPr>
                <w:rFonts w:ascii="宋体" w:hAnsi="宋体" w:cs="宋体"/>
                <w:color w:val="auto"/>
                <w:szCs w:val="21"/>
                <w:highlight w:val="none"/>
              </w:rPr>
            </w:pPr>
          </w:p>
        </w:tc>
        <w:tc>
          <w:tcPr>
            <w:tcW w:w="989" w:type="dxa"/>
            <w:vAlign w:val="center"/>
          </w:tcPr>
          <w:p w14:paraId="67B92DD9">
            <w:pPr>
              <w:spacing w:line="340" w:lineRule="exact"/>
              <w:jc w:val="center"/>
              <w:rPr>
                <w:rFonts w:ascii="宋体" w:hAnsi="宋体" w:cs="宋体"/>
                <w:color w:val="auto"/>
                <w:szCs w:val="21"/>
                <w:highlight w:val="none"/>
              </w:rPr>
            </w:pPr>
          </w:p>
        </w:tc>
        <w:tc>
          <w:tcPr>
            <w:tcW w:w="979" w:type="dxa"/>
            <w:vAlign w:val="center"/>
          </w:tcPr>
          <w:p w14:paraId="32B60D4C">
            <w:pPr>
              <w:spacing w:line="340" w:lineRule="exact"/>
              <w:jc w:val="center"/>
              <w:rPr>
                <w:rFonts w:ascii="宋体" w:hAnsi="宋体" w:cs="宋体"/>
                <w:color w:val="auto"/>
                <w:szCs w:val="21"/>
                <w:highlight w:val="none"/>
              </w:rPr>
            </w:pPr>
          </w:p>
        </w:tc>
        <w:tc>
          <w:tcPr>
            <w:tcW w:w="888" w:type="dxa"/>
            <w:vAlign w:val="center"/>
          </w:tcPr>
          <w:p w14:paraId="787038B5">
            <w:pPr>
              <w:spacing w:line="340" w:lineRule="exact"/>
              <w:jc w:val="center"/>
              <w:rPr>
                <w:rFonts w:ascii="宋体" w:hAnsi="宋体" w:cs="宋体"/>
                <w:color w:val="auto"/>
                <w:szCs w:val="21"/>
                <w:highlight w:val="none"/>
              </w:rPr>
            </w:pPr>
          </w:p>
        </w:tc>
        <w:tc>
          <w:tcPr>
            <w:tcW w:w="968" w:type="dxa"/>
            <w:vAlign w:val="center"/>
          </w:tcPr>
          <w:p w14:paraId="2708EA58">
            <w:pPr>
              <w:spacing w:line="340" w:lineRule="exact"/>
              <w:jc w:val="center"/>
              <w:rPr>
                <w:rFonts w:ascii="宋体" w:hAnsi="宋体" w:cs="宋体"/>
                <w:color w:val="auto"/>
                <w:szCs w:val="21"/>
                <w:highlight w:val="none"/>
              </w:rPr>
            </w:pPr>
          </w:p>
        </w:tc>
        <w:tc>
          <w:tcPr>
            <w:tcW w:w="1104" w:type="dxa"/>
            <w:vAlign w:val="center"/>
          </w:tcPr>
          <w:p w14:paraId="27E7C2D3">
            <w:pPr>
              <w:spacing w:line="340" w:lineRule="exact"/>
              <w:jc w:val="center"/>
              <w:rPr>
                <w:rFonts w:ascii="宋体" w:hAnsi="宋体" w:cs="宋体"/>
                <w:color w:val="auto"/>
                <w:szCs w:val="21"/>
                <w:highlight w:val="none"/>
              </w:rPr>
            </w:pPr>
          </w:p>
        </w:tc>
        <w:tc>
          <w:tcPr>
            <w:tcW w:w="1153" w:type="dxa"/>
            <w:vAlign w:val="center"/>
          </w:tcPr>
          <w:p w14:paraId="00686815">
            <w:pPr>
              <w:spacing w:line="340" w:lineRule="exact"/>
              <w:jc w:val="center"/>
              <w:rPr>
                <w:rFonts w:ascii="宋体" w:hAnsi="宋体" w:cs="宋体"/>
                <w:color w:val="auto"/>
                <w:szCs w:val="21"/>
                <w:highlight w:val="none"/>
              </w:rPr>
            </w:pPr>
          </w:p>
        </w:tc>
      </w:tr>
      <w:tr w14:paraId="301C3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786" w:type="dxa"/>
            <w:vAlign w:val="center"/>
          </w:tcPr>
          <w:p w14:paraId="35B8F514">
            <w:pPr>
              <w:pStyle w:val="16"/>
              <w:adjustRightInd/>
              <w:spacing w:after="0" w:line="34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2</w:t>
            </w:r>
          </w:p>
        </w:tc>
        <w:tc>
          <w:tcPr>
            <w:tcW w:w="1241" w:type="dxa"/>
            <w:vAlign w:val="center"/>
          </w:tcPr>
          <w:p w14:paraId="17148AFB">
            <w:pPr>
              <w:spacing w:line="340" w:lineRule="exact"/>
              <w:jc w:val="center"/>
              <w:rPr>
                <w:rFonts w:ascii="宋体" w:hAnsi="宋体" w:cs="宋体"/>
                <w:color w:val="auto"/>
                <w:szCs w:val="21"/>
                <w:highlight w:val="none"/>
              </w:rPr>
            </w:pPr>
          </w:p>
        </w:tc>
        <w:tc>
          <w:tcPr>
            <w:tcW w:w="996" w:type="dxa"/>
            <w:vAlign w:val="center"/>
          </w:tcPr>
          <w:p w14:paraId="644C4475">
            <w:pPr>
              <w:spacing w:line="340" w:lineRule="exact"/>
              <w:jc w:val="center"/>
              <w:rPr>
                <w:rFonts w:ascii="宋体" w:hAnsi="宋体" w:cs="宋体"/>
                <w:color w:val="auto"/>
                <w:szCs w:val="21"/>
                <w:highlight w:val="none"/>
              </w:rPr>
            </w:pPr>
          </w:p>
        </w:tc>
        <w:tc>
          <w:tcPr>
            <w:tcW w:w="989" w:type="dxa"/>
            <w:vAlign w:val="center"/>
          </w:tcPr>
          <w:p w14:paraId="5BD252AD">
            <w:pPr>
              <w:spacing w:line="340" w:lineRule="exact"/>
              <w:jc w:val="center"/>
              <w:rPr>
                <w:rFonts w:ascii="宋体" w:hAnsi="宋体" w:cs="宋体"/>
                <w:color w:val="auto"/>
                <w:szCs w:val="21"/>
                <w:highlight w:val="none"/>
              </w:rPr>
            </w:pPr>
          </w:p>
        </w:tc>
        <w:tc>
          <w:tcPr>
            <w:tcW w:w="979" w:type="dxa"/>
            <w:vAlign w:val="center"/>
          </w:tcPr>
          <w:p w14:paraId="63E08BC2">
            <w:pPr>
              <w:spacing w:line="340" w:lineRule="exact"/>
              <w:jc w:val="center"/>
              <w:rPr>
                <w:rFonts w:ascii="宋体" w:hAnsi="宋体" w:cs="宋体"/>
                <w:color w:val="auto"/>
                <w:szCs w:val="21"/>
                <w:highlight w:val="none"/>
              </w:rPr>
            </w:pPr>
          </w:p>
        </w:tc>
        <w:tc>
          <w:tcPr>
            <w:tcW w:w="888" w:type="dxa"/>
            <w:vAlign w:val="center"/>
          </w:tcPr>
          <w:p w14:paraId="2AE89D06">
            <w:pPr>
              <w:spacing w:line="340" w:lineRule="exact"/>
              <w:jc w:val="center"/>
              <w:rPr>
                <w:rFonts w:ascii="宋体" w:hAnsi="宋体" w:cs="宋体"/>
                <w:color w:val="auto"/>
                <w:szCs w:val="21"/>
                <w:highlight w:val="none"/>
              </w:rPr>
            </w:pPr>
          </w:p>
        </w:tc>
        <w:tc>
          <w:tcPr>
            <w:tcW w:w="968" w:type="dxa"/>
            <w:vAlign w:val="center"/>
          </w:tcPr>
          <w:p w14:paraId="337CF3C5">
            <w:pPr>
              <w:spacing w:line="340" w:lineRule="exact"/>
              <w:jc w:val="center"/>
              <w:rPr>
                <w:rFonts w:ascii="宋体" w:hAnsi="宋体" w:cs="宋体"/>
                <w:color w:val="auto"/>
                <w:szCs w:val="21"/>
                <w:highlight w:val="none"/>
              </w:rPr>
            </w:pPr>
          </w:p>
        </w:tc>
        <w:tc>
          <w:tcPr>
            <w:tcW w:w="1104" w:type="dxa"/>
            <w:vAlign w:val="center"/>
          </w:tcPr>
          <w:p w14:paraId="1C2049F9">
            <w:pPr>
              <w:spacing w:line="340" w:lineRule="exact"/>
              <w:jc w:val="center"/>
              <w:rPr>
                <w:rFonts w:ascii="宋体" w:hAnsi="宋体" w:cs="宋体"/>
                <w:color w:val="auto"/>
                <w:szCs w:val="21"/>
                <w:highlight w:val="none"/>
              </w:rPr>
            </w:pPr>
          </w:p>
        </w:tc>
        <w:tc>
          <w:tcPr>
            <w:tcW w:w="1153" w:type="dxa"/>
            <w:vAlign w:val="center"/>
          </w:tcPr>
          <w:p w14:paraId="6A3BFDB9">
            <w:pPr>
              <w:spacing w:line="340" w:lineRule="exact"/>
              <w:jc w:val="center"/>
              <w:rPr>
                <w:rFonts w:ascii="宋体" w:hAnsi="宋体" w:cs="宋体"/>
                <w:color w:val="auto"/>
                <w:szCs w:val="21"/>
                <w:highlight w:val="none"/>
              </w:rPr>
            </w:pPr>
          </w:p>
        </w:tc>
      </w:tr>
      <w:tr w14:paraId="3D258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786" w:type="dxa"/>
            <w:vAlign w:val="center"/>
          </w:tcPr>
          <w:p w14:paraId="212F7653">
            <w:pPr>
              <w:pStyle w:val="16"/>
              <w:adjustRightInd/>
              <w:spacing w:after="0" w:line="34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w:t>
            </w:r>
          </w:p>
        </w:tc>
        <w:tc>
          <w:tcPr>
            <w:tcW w:w="1241" w:type="dxa"/>
            <w:vAlign w:val="center"/>
          </w:tcPr>
          <w:p w14:paraId="11AD074C">
            <w:pPr>
              <w:spacing w:line="340" w:lineRule="exact"/>
              <w:jc w:val="center"/>
              <w:rPr>
                <w:rFonts w:ascii="宋体" w:hAnsi="宋体" w:cs="宋体"/>
                <w:color w:val="auto"/>
                <w:szCs w:val="21"/>
                <w:highlight w:val="none"/>
              </w:rPr>
            </w:pPr>
          </w:p>
        </w:tc>
        <w:tc>
          <w:tcPr>
            <w:tcW w:w="996" w:type="dxa"/>
            <w:vAlign w:val="center"/>
          </w:tcPr>
          <w:p w14:paraId="2FB02E8D">
            <w:pPr>
              <w:spacing w:line="340" w:lineRule="exact"/>
              <w:jc w:val="center"/>
              <w:rPr>
                <w:rFonts w:ascii="宋体" w:hAnsi="宋体" w:cs="宋体"/>
                <w:color w:val="auto"/>
                <w:szCs w:val="21"/>
                <w:highlight w:val="none"/>
              </w:rPr>
            </w:pPr>
          </w:p>
        </w:tc>
        <w:tc>
          <w:tcPr>
            <w:tcW w:w="989" w:type="dxa"/>
            <w:vAlign w:val="center"/>
          </w:tcPr>
          <w:p w14:paraId="04A5FEDD">
            <w:pPr>
              <w:spacing w:line="340" w:lineRule="exact"/>
              <w:jc w:val="center"/>
              <w:rPr>
                <w:rFonts w:ascii="宋体" w:hAnsi="宋体" w:cs="宋体"/>
                <w:color w:val="auto"/>
                <w:szCs w:val="21"/>
                <w:highlight w:val="none"/>
              </w:rPr>
            </w:pPr>
          </w:p>
        </w:tc>
        <w:tc>
          <w:tcPr>
            <w:tcW w:w="979" w:type="dxa"/>
            <w:vAlign w:val="center"/>
          </w:tcPr>
          <w:p w14:paraId="29190794">
            <w:pPr>
              <w:spacing w:line="340" w:lineRule="exact"/>
              <w:jc w:val="center"/>
              <w:rPr>
                <w:rFonts w:ascii="宋体" w:hAnsi="宋体" w:cs="宋体"/>
                <w:color w:val="auto"/>
                <w:szCs w:val="21"/>
                <w:highlight w:val="none"/>
              </w:rPr>
            </w:pPr>
          </w:p>
        </w:tc>
        <w:tc>
          <w:tcPr>
            <w:tcW w:w="888" w:type="dxa"/>
            <w:vAlign w:val="center"/>
          </w:tcPr>
          <w:p w14:paraId="688BE75D">
            <w:pPr>
              <w:spacing w:line="340" w:lineRule="exact"/>
              <w:jc w:val="center"/>
              <w:rPr>
                <w:rFonts w:ascii="宋体" w:hAnsi="宋体" w:cs="宋体"/>
                <w:color w:val="auto"/>
                <w:szCs w:val="21"/>
                <w:highlight w:val="none"/>
              </w:rPr>
            </w:pPr>
          </w:p>
        </w:tc>
        <w:tc>
          <w:tcPr>
            <w:tcW w:w="968" w:type="dxa"/>
            <w:vAlign w:val="center"/>
          </w:tcPr>
          <w:p w14:paraId="5748F8E8">
            <w:pPr>
              <w:spacing w:line="340" w:lineRule="exact"/>
              <w:jc w:val="center"/>
              <w:rPr>
                <w:rFonts w:ascii="宋体" w:hAnsi="宋体" w:cs="宋体"/>
                <w:color w:val="auto"/>
                <w:szCs w:val="21"/>
                <w:highlight w:val="none"/>
              </w:rPr>
            </w:pPr>
          </w:p>
        </w:tc>
        <w:tc>
          <w:tcPr>
            <w:tcW w:w="1104" w:type="dxa"/>
            <w:vAlign w:val="center"/>
          </w:tcPr>
          <w:p w14:paraId="6D648D00">
            <w:pPr>
              <w:spacing w:line="340" w:lineRule="exact"/>
              <w:jc w:val="center"/>
              <w:rPr>
                <w:rFonts w:ascii="宋体" w:hAnsi="宋体" w:cs="宋体"/>
                <w:color w:val="auto"/>
                <w:szCs w:val="21"/>
                <w:highlight w:val="none"/>
              </w:rPr>
            </w:pPr>
          </w:p>
        </w:tc>
        <w:tc>
          <w:tcPr>
            <w:tcW w:w="1153" w:type="dxa"/>
            <w:vAlign w:val="center"/>
          </w:tcPr>
          <w:p w14:paraId="6D4E844D">
            <w:pPr>
              <w:spacing w:line="340" w:lineRule="exact"/>
              <w:jc w:val="center"/>
              <w:rPr>
                <w:rFonts w:ascii="宋体" w:hAnsi="宋体" w:cs="宋体"/>
                <w:color w:val="auto"/>
                <w:szCs w:val="21"/>
                <w:highlight w:val="none"/>
              </w:rPr>
            </w:pPr>
          </w:p>
        </w:tc>
      </w:tr>
      <w:tr w14:paraId="73012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9104" w:type="dxa"/>
            <w:gridSpan w:val="9"/>
            <w:vAlign w:val="center"/>
          </w:tcPr>
          <w:p w14:paraId="5CD4121A">
            <w:pPr>
              <w:pStyle w:val="16"/>
              <w:spacing w:after="0" w:line="340" w:lineRule="exact"/>
              <w:rPr>
                <w:rFonts w:hAnsi="宋体" w:cs="宋体"/>
                <w:color w:val="auto"/>
                <w:sz w:val="21"/>
                <w:szCs w:val="21"/>
                <w:highlight w:val="none"/>
                <w:u w:val="single"/>
              </w:rPr>
            </w:pPr>
            <w:r>
              <w:rPr>
                <w:rFonts w:hint="eastAsia" w:hAnsi="宋体" w:cs="宋体"/>
                <w:color w:val="auto"/>
                <w:kern w:val="2"/>
                <w:sz w:val="21"/>
                <w:szCs w:val="21"/>
                <w:highlight w:val="none"/>
              </w:rPr>
              <w:t>人民币合计金额(大写)</w:t>
            </w:r>
            <w:r>
              <w:rPr>
                <w:rFonts w:hint="eastAsia" w:hAnsi="宋体" w:cs="宋体"/>
                <w:color w:val="auto"/>
                <w:kern w:val="2"/>
                <w:sz w:val="21"/>
                <w:szCs w:val="21"/>
                <w:highlight w:val="none"/>
                <w:u w:val="single"/>
              </w:rPr>
              <w:t xml:space="preserve">               </w:t>
            </w:r>
            <w:r>
              <w:rPr>
                <w:rFonts w:hint="eastAsia" w:hAnsi="宋体" w:cs="宋体"/>
                <w:color w:val="auto"/>
                <w:kern w:val="2"/>
                <w:sz w:val="21"/>
                <w:szCs w:val="21"/>
                <w:highlight w:val="none"/>
              </w:rPr>
              <w:t>(小写)</w:t>
            </w:r>
            <w:r>
              <w:rPr>
                <w:rFonts w:hint="eastAsia" w:hAnsi="宋体" w:cs="宋体"/>
                <w:color w:val="auto"/>
                <w:kern w:val="2"/>
                <w:sz w:val="21"/>
                <w:szCs w:val="21"/>
                <w:highlight w:val="none"/>
                <w:u w:val="single"/>
              </w:rPr>
              <w:t xml:space="preserve">                    </w:t>
            </w:r>
          </w:p>
        </w:tc>
      </w:tr>
    </w:tbl>
    <w:p w14:paraId="00365601">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2.合同合计金额包括</w:t>
      </w:r>
      <w:r>
        <w:rPr>
          <w:rFonts w:hint="eastAsia" w:ascii="宋体" w:hAnsi="宋体" w:cs="宋体"/>
          <w:color w:val="auto"/>
          <w:kern w:val="0"/>
          <w:szCs w:val="21"/>
          <w:highlight w:val="none"/>
        </w:rPr>
        <w:t>货款、标准附件、备品备件、专用工具、包装、运输、装卸、保险、税金、货到就位以及安装、安装所需辅材、调试、检验、验收等所需的一切使本项目完成验收的费用及供货商对业主承诺技术培训、售前、售后质量保证等相关费用等在内的一切可能发生的费用</w:t>
      </w:r>
      <w:r>
        <w:rPr>
          <w:rFonts w:hint="eastAsia" w:ascii="宋体" w:hAnsi="宋体" w:cs="宋体"/>
          <w:color w:val="auto"/>
          <w:szCs w:val="21"/>
          <w:highlight w:val="none"/>
        </w:rPr>
        <w:t>。如谈判文件、 响应文件对其另有规定的，从其规定。</w:t>
      </w:r>
    </w:p>
    <w:p w14:paraId="2C8B76A6">
      <w:pPr>
        <w:pStyle w:val="16"/>
        <w:spacing w:after="0" w:line="340" w:lineRule="exact"/>
        <w:ind w:firstLine="478" w:firstLineChars="200"/>
        <w:jc w:val="both"/>
        <w:rPr>
          <w:rFonts w:hAnsi="宋体" w:cs="宋体"/>
          <w:b/>
          <w:bCs/>
          <w:color w:val="auto"/>
          <w:spacing w:val="14"/>
          <w:sz w:val="21"/>
          <w:szCs w:val="21"/>
          <w:highlight w:val="none"/>
        </w:rPr>
      </w:pPr>
      <w:r>
        <w:rPr>
          <w:rFonts w:hint="eastAsia" w:hAnsi="宋体" w:cs="宋体"/>
          <w:b/>
          <w:bCs/>
          <w:color w:val="auto"/>
          <w:spacing w:val="14"/>
          <w:sz w:val="21"/>
          <w:szCs w:val="21"/>
          <w:highlight w:val="none"/>
        </w:rPr>
        <w:t>第二条 质量保证</w:t>
      </w:r>
    </w:p>
    <w:p w14:paraId="78C69BF0">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1.乙方所提供的货物型号、技术规格、技术参数等质量必须与谈判文件、响应文件和承诺相一致。乙方提供的节能和环保产品必须是列入政府采购清单的产品。</w:t>
      </w:r>
    </w:p>
    <w:p w14:paraId="70C491C0">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2.乙方所提供的货物必须是全新、未经使用的原装产品，且在正常安装、使用和保养条件下，其使用寿命期内各项指标均达到质量要求。</w:t>
      </w:r>
    </w:p>
    <w:p w14:paraId="79FA1E0F">
      <w:pPr>
        <w:pStyle w:val="16"/>
        <w:spacing w:after="0" w:line="340" w:lineRule="exact"/>
        <w:ind w:firstLine="478" w:firstLineChars="200"/>
        <w:jc w:val="both"/>
        <w:rPr>
          <w:rFonts w:hAnsi="宋体" w:cs="宋体"/>
          <w:b/>
          <w:bCs/>
          <w:color w:val="auto"/>
          <w:spacing w:val="14"/>
          <w:sz w:val="21"/>
          <w:szCs w:val="21"/>
          <w:highlight w:val="none"/>
        </w:rPr>
      </w:pPr>
      <w:r>
        <w:rPr>
          <w:rFonts w:hint="eastAsia" w:hAnsi="宋体" w:cs="宋体"/>
          <w:b/>
          <w:bCs/>
          <w:color w:val="auto"/>
          <w:spacing w:val="14"/>
          <w:sz w:val="21"/>
          <w:szCs w:val="21"/>
          <w:highlight w:val="none"/>
        </w:rPr>
        <w:t>第三条 权利保证</w:t>
      </w:r>
    </w:p>
    <w:p w14:paraId="1C276C03">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1.乙方应保证所提供货物在使用时不会侵犯任何第三方的专利权、商标权、工业设计权或其他权利。</w:t>
      </w:r>
    </w:p>
    <w:p w14:paraId="193100D9">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2.乙方应按谈判文件规定的时间或响应文件承诺的时间向甲方提供使用货物的有关技术资料。</w:t>
      </w:r>
    </w:p>
    <w:p w14:paraId="61C81400">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3.没有甲方事先书面同意，乙方不得将由甲方提供的有关合同或任何合同条文、规格、计划、图纸、样品或资料提供给与履行本合同无关的任何其他人。即使向履行本合同有关的人员提供，也应注意 保密并限于履行合同的必需范围。</w:t>
      </w:r>
    </w:p>
    <w:p w14:paraId="4E68DE11">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4.乙方保证所交付的货物的所有权完全属于乙方且无任何抵押、质押、查封等产权瑕疵。</w:t>
      </w:r>
    </w:p>
    <w:p w14:paraId="4A1B3617">
      <w:pPr>
        <w:pStyle w:val="16"/>
        <w:spacing w:after="0" w:line="340" w:lineRule="exact"/>
        <w:ind w:firstLine="478" w:firstLineChars="200"/>
        <w:jc w:val="both"/>
        <w:rPr>
          <w:rFonts w:hAnsi="宋体" w:cs="宋体"/>
          <w:b/>
          <w:bCs/>
          <w:color w:val="auto"/>
          <w:spacing w:val="14"/>
          <w:sz w:val="21"/>
          <w:szCs w:val="21"/>
          <w:highlight w:val="none"/>
        </w:rPr>
      </w:pPr>
      <w:r>
        <w:rPr>
          <w:rFonts w:hint="eastAsia" w:hAnsi="宋体" w:cs="宋体"/>
          <w:b/>
          <w:bCs/>
          <w:color w:val="auto"/>
          <w:spacing w:val="14"/>
          <w:sz w:val="21"/>
          <w:szCs w:val="21"/>
          <w:highlight w:val="none"/>
        </w:rPr>
        <w:t>第四条 包装和运输</w:t>
      </w:r>
    </w:p>
    <w:p w14:paraId="4FCB80A2">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1.乙方提供的货物均应按谈判文件、响应文件要求的包装材料、包装标准、包装方式进行包装，每一包装单元内应附详细的装箱单和质量合格证。</w:t>
      </w:r>
    </w:p>
    <w:p w14:paraId="34B7AAD4">
      <w:pPr>
        <w:pStyle w:val="16"/>
        <w:spacing w:after="0" w:line="340" w:lineRule="exact"/>
        <w:ind w:firstLine="420" w:firstLineChars="200"/>
        <w:jc w:val="both"/>
        <w:rPr>
          <w:rFonts w:hAnsi="宋体" w:cs="宋体"/>
          <w:color w:val="auto"/>
          <w:sz w:val="21"/>
          <w:szCs w:val="21"/>
          <w:highlight w:val="none"/>
        </w:rPr>
      </w:pPr>
      <w:r>
        <w:rPr>
          <w:rFonts w:hint="eastAsia" w:hAnsi="宋体" w:cs="宋体"/>
          <w:color w:val="auto"/>
          <w:kern w:val="2"/>
          <w:sz w:val="21"/>
          <w:szCs w:val="21"/>
          <w:highlight w:val="none"/>
        </w:rPr>
        <w:t>2.货物的运输方式</w:t>
      </w:r>
      <w:r>
        <w:rPr>
          <w:rFonts w:hint="eastAsia" w:hAnsi="宋体" w:cs="宋体"/>
          <w:color w:val="auto"/>
          <w:spacing w:val="-14"/>
          <w:sz w:val="21"/>
          <w:szCs w:val="21"/>
          <w:highlight w:val="none"/>
        </w:rPr>
        <w:t>：</w:t>
      </w:r>
      <w:r>
        <w:rPr>
          <w:rFonts w:hint="eastAsia" w:hAnsi="宋体" w:cs="宋体"/>
          <w:color w:val="auto"/>
          <w:spacing w:val="3"/>
          <w:sz w:val="21"/>
          <w:szCs w:val="21"/>
          <w:highlight w:val="none"/>
          <w:u w:val="single"/>
        </w:rPr>
        <w:t xml:space="preserve">   </w:t>
      </w:r>
      <w:r>
        <w:rPr>
          <w:rFonts w:hint="eastAsia" w:hAnsi="宋体" w:cs="宋体"/>
          <w:color w:val="auto"/>
          <w:sz w:val="21"/>
          <w:szCs w:val="21"/>
          <w:highlight w:val="none"/>
          <w:u w:val="single"/>
        </w:rPr>
        <w:t xml:space="preserve">不限  </w:t>
      </w:r>
      <w:r>
        <w:rPr>
          <w:rFonts w:hint="eastAsia" w:hAnsi="宋体" w:cs="宋体"/>
          <w:color w:val="auto"/>
          <w:spacing w:val="3"/>
          <w:sz w:val="21"/>
          <w:szCs w:val="21"/>
          <w:highlight w:val="none"/>
          <w:u w:val="single"/>
        </w:rPr>
        <w:t xml:space="preserve">     </w:t>
      </w:r>
    </w:p>
    <w:p w14:paraId="60646ED2">
      <w:pPr>
        <w:pStyle w:val="16"/>
        <w:spacing w:after="0" w:line="340" w:lineRule="exact"/>
        <w:ind w:firstLine="420" w:firstLineChars="200"/>
        <w:jc w:val="both"/>
        <w:rPr>
          <w:rFonts w:hAnsi="宋体" w:cs="宋体"/>
          <w:color w:val="auto"/>
          <w:spacing w:val="-6"/>
          <w:sz w:val="21"/>
          <w:szCs w:val="21"/>
          <w:highlight w:val="none"/>
          <w:u w:val="single"/>
        </w:rPr>
      </w:pPr>
      <w:r>
        <w:rPr>
          <w:rFonts w:hint="eastAsia" w:hAnsi="宋体" w:cs="宋体"/>
          <w:color w:val="auto"/>
          <w:kern w:val="2"/>
          <w:sz w:val="21"/>
          <w:szCs w:val="21"/>
          <w:highlight w:val="none"/>
        </w:rPr>
        <w:t>3.乙方负责货物运输</w:t>
      </w:r>
      <w:r>
        <w:rPr>
          <w:rFonts w:hint="eastAsia" w:hAnsi="宋体" w:cs="宋体"/>
          <w:color w:val="auto"/>
          <w:spacing w:val="-13"/>
          <w:sz w:val="21"/>
          <w:szCs w:val="21"/>
          <w:highlight w:val="none"/>
        </w:rPr>
        <w:t xml:space="preserve"> ，</w:t>
      </w:r>
      <w:r>
        <w:rPr>
          <w:rFonts w:hint="eastAsia" w:hAnsi="宋体" w:cs="宋体"/>
          <w:color w:val="auto"/>
          <w:spacing w:val="-20"/>
          <w:sz w:val="21"/>
          <w:szCs w:val="21"/>
          <w:highlight w:val="none"/>
        </w:rPr>
        <w:t xml:space="preserve"> </w:t>
      </w:r>
      <w:r>
        <w:rPr>
          <w:rFonts w:hint="eastAsia" w:hAnsi="宋体" w:cs="宋体"/>
          <w:color w:val="auto"/>
          <w:spacing w:val="-13"/>
          <w:sz w:val="21"/>
          <w:szCs w:val="21"/>
          <w:highlight w:val="none"/>
        </w:rPr>
        <w:t>货</w:t>
      </w:r>
      <w:r>
        <w:rPr>
          <w:rFonts w:hint="eastAsia" w:hAnsi="宋体" w:cs="宋体"/>
          <w:color w:val="auto"/>
          <w:spacing w:val="-26"/>
          <w:sz w:val="21"/>
          <w:szCs w:val="21"/>
          <w:highlight w:val="none"/>
        </w:rPr>
        <w:t xml:space="preserve"> </w:t>
      </w:r>
      <w:r>
        <w:rPr>
          <w:rFonts w:hint="eastAsia" w:hAnsi="宋体" w:cs="宋体"/>
          <w:color w:val="auto"/>
          <w:spacing w:val="-13"/>
          <w:sz w:val="21"/>
          <w:szCs w:val="21"/>
          <w:highlight w:val="none"/>
        </w:rPr>
        <w:t>物</w:t>
      </w:r>
      <w:r>
        <w:rPr>
          <w:rFonts w:hint="eastAsia" w:hAnsi="宋体" w:cs="宋体"/>
          <w:color w:val="auto"/>
          <w:spacing w:val="-26"/>
          <w:sz w:val="21"/>
          <w:szCs w:val="21"/>
          <w:highlight w:val="none"/>
        </w:rPr>
        <w:t xml:space="preserve"> </w:t>
      </w:r>
      <w:r>
        <w:rPr>
          <w:rFonts w:hint="eastAsia" w:hAnsi="宋体" w:cs="宋体"/>
          <w:color w:val="auto"/>
          <w:spacing w:val="-13"/>
          <w:sz w:val="21"/>
          <w:szCs w:val="21"/>
          <w:highlight w:val="none"/>
        </w:rPr>
        <w:t>运</w:t>
      </w:r>
      <w:r>
        <w:rPr>
          <w:rFonts w:hint="eastAsia" w:hAnsi="宋体" w:cs="宋体"/>
          <w:color w:val="auto"/>
          <w:spacing w:val="-27"/>
          <w:sz w:val="21"/>
          <w:szCs w:val="21"/>
          <w:highlight w:val="none"/>
        </w:rPr>
        <w:t xml:space="preserve"> </w:t>
      </w:r>
      <w:r>
        <w:rPr>
          <w:rFonts w:hint="eastAsia" w:hAnsi="宋体" w:cs="宋体"/>
          <w:color w:val="auto"/>
          <w:spacing w:val="-13"/>
          <w:sz w:val="21"/>
          <w:szCs w:val="21"/>
          <w:highlight w:val="none"/>
        </w:rPr>
        <w:t>输</w:t>
      </w:r>
      <w:r>
        <w:rPr>
          <w:rFonts w:hint="eastAsia" w:hAnsi="宋体" w:cs="宋体"/>
          <w:color w:val="auto"/>
          <w:spacing w:val="-25"/>
          <w:sz w:val="21"/>
          <w:szCs w:val="21"/>
          <w:highlight w:val="none"/>
        </w:rPr>
        <w:t xml:space="preserve"> </w:t>
      </w:r>
      <w:r>
        <w:rPr>
          <w:rFonts w:hint="eastAsia" w:hAnsi="宋体" w:cs="宋体"/>
          <w:color w:val="auto"/>
          <w:spacing w:val="-13"/>
          <w:sz w:val="21"/>
          <w:szCs w:val="21"/>
          <w:highlight w:val="none"/>
        </w:rPr>
        <w:t>合</w:t>
      </w:r>
      <w:r>
        <w:rPr>
          <w:rFonts w:hint="eastAsia" w:hAnsi="宋体" w:cs="宋体"/>
          <w:color w:val="auto"/>
          <w:spacing w:val="-23"/>
          <w:sz w:val="21"/>
          <w:szCs w:val="21"/>
          <w:highlight w:val="none"/>
        </w:rPr>
        <w:t xml:space="preserve"> </w:t>
      </w:r>
      <w:r>
        <w:rPr>
          <w:rFonts w:hint="eastAsia" w:hAnsi="宋体" w:cs="宋体"/>
          <w:color w:val="auto"/>
          <w:spacing w:val="-13"/>
          <w:sz w:val="21"/>
          <w:szCs w:val="21"/>
          <w:highlight w:val="none"/>
        </w:rPr>
        <w:t>理</w:t>
      </w:r>
      <w:r>
        <w:rPr>
          <w:rFonts w:hint="eastAsia" w:hAnsi="宋体" w:cs="宋体"/>
          <w:color w:val="auto"/>
          <w:spacing w:val="-26"/>
          <w:sz w:val="21"/>
          <w:szCs w:val="21"/>
          <w:highlight w:val="none"/>
        </w:rPr>
        <w:t xml:space="preserve"> </w:t>
      </w:r>
      <w:r>
        <w:rPr>
          <w:rFonts w:hint="eastAsia" w:hAnsi="宋体" w:cs="宋体"/>
          <w:color w:val="auto"/>
          <w:spacing w:val="-13"/>
          <w:sz w:val="21"/>
          <w:szCs w:val="21"/>
          <w:highlight w:val="none"/>
        </w:rPr>
        <w:t>损</w:t>
      </w:r>
      <w:r>
        <w:rPr>
          <w:rFonts w:hint="eastAsia" w:hAnsi="宋体" w:cs="宋体"/>
          <w:color w:val="auto"/>
          <w:spacing w:val="-25"/>
          <w:sz w:val="21"/>
          <w:szCs w:val="21"/>
          <w:highlight w:val="none"/>
        </w:rPr>
        <w:t xml:space="preserve"> </w:t>
      </w:r>
      <w:r>
        <w:rPr>
          <w:rFonts w:hint="eastAsia" w:hAnsi="宋体" w:cs="宋体"/>
          <w:color w:val="auto"/>
          <w:spacing w:val="-13"/>
          <w:sz w:val="21"/>
          <w:szCs w:val="21"/>
          <w:highlight w:val="none"/>
        </w:rPr>
        <w:t>耗</w:t>
      </w:r>
      <w:r>
        <w:rPr>
          <w:rFonts w:hint="eastAsia" w:hAnsi="宋体" w:cs="宋体"/>
          <w:color w:val="auto"/>
          <w:spacing w:val="-27"/>
          <w:sz w:val="21"/>
          <w:szCs w:val="21"/>
          <w:highlight w:val="none"/>
        </w:rPr>
        <w:t xml:space="preserve"> </w:t>
      </w:r>
      <w:r>
        <w:rPr>
          <w:rFonts w:hint="eastAsia" w:hAnsi="宋体" w:cs="宋体"/>
          <w:color w:val="auto"/>
          <w:spacing w:val="-13"/>
          <w:sz w:val="21"/>
          <w:szCs w:val="21"/>
          <w:highlight w:val="none"/>
        </w:rPr>
        <w:t>及</w:t>
      </w:r>
      <w:r>
        <w:rPr>
          <w:rFonts w:hint="eastAsia" w:hAnsi="宋体" w:cs="宋体"/>
          <w:color w:val="auto"/>
          <w:spacing w:val="-26"/>
          <w:sz w:val="21"/>
          <w:szCs w:val="21"/>
          <w:highlight w:val="none"/>
        </w:rPr>
        <w:t xml:space="preserve"> </w:t>
      </w:r>
      <w:r>
        <w:rPr>
          <w:rFonts w:hint="eastAsia" w:hAnsi="宋体" w:cs="宋体"/>
          <w:color w:val="auto"/>
          <w:spacing w:val="-13"/>
          <w:sz w:val="21"/>
          <w:szCs w:val="21"/>
          <w:highlight w:val="none"/>
        </w:rPr>
        <w:t>计</w:t>
      </w:r>
      <w:r>
        <w:rPr>
          <w:rFonts w:hint="eastAsia" w:hAnsi="宋体" w:cs="宋体"/>
          <w:color w:val="auto"/>
          <w:spacing w:val="-24"/>
          <w:sz w:val="21"/>
          <w:szCs w:val="21"/>
          <w:highlight w:val="none"/>
        </w:rPr>
        <w:t xml:space="preserve"> </w:t>
      </w:r>
      <w:r>
        <w:rPr>
          <w:rFonts w:hint="eastAsia" w:hAnsi="宋体" w:cs="宋体"/>
          <w:color w:val="auto"/>
          <w:spacing w:val="-13"/>
          <w:sz w:val="21"/>
          <w:szCs w:val="21"/>
          <w:highlight w:val="none"/>
        </w:rPr>
        <w:t>算</w:t>
      </w:r>
      <w:r>
        <w:rPr>
          <w:rFonts w:hint="eastAsia" w:hAnsi="宋体" w:cs="宋体"/>
          <w:color w:val="auto"/>
          <w:spacing w:val="-25"/>
          <w:sz w:val="21"/>
          <w:szCs w:val="21"/>
          <w:highlight w:val="none"/>
        </w:rPr>
        <w:t xml:space="preserve"> </w:t>
      </w:r>
      <w:r>
        <w:rPr>
          <w:rFonts w:hint="eastAsia" w:hAnsi="宋体" w:cs="宋体"/>
          <w:color w:val="auto"/>
          <w:spacing w:val="-13"/>
          <w:sz w:val="21"/>
          <w:szCs w:val="21"/>
          <w:highlight w:val="none"/>
        </w:rPr>
        <w:t>方</w:t>
      </w:r>
      <w:r>
        <w:rPr>
          <w:rFonts w:hint="eastAsia" w:hAnsi="宋体" w:cs="宋体"/>
          <w:color w:val="auto"/>
          <w:spacing w:val="-6"/>
          <w:sz w:val="21"/>
          <w:szCs w:val="21"/>
          <w:highlight w:val="none"/>
        </w:rPr>
        <w:t>法</w:t>
      </w:r>
      <w:r>
        <w:rPr>
          <w:rFonts w:hint="eastAsia" w:hAnsi="宋体" w:cs="宋体"/>
          <w:color w:val="auto"/>
          <w:spacing w:val="-59"/>
          <w:sz w:val="21"/>
          <w:szCs w:val="21"/>
          <w:highlight w:val="none"/>
        </w:rPr>
        <w:t xml:space="preserve"> </w:t>
      </w:r>
      <w:r>
        <w:rPr>
          <w:rFonts w:hint="eastAsia" w:hAnsi="宋体" w:cs="宋体"/>
          <w:color w:val="auto"/>
          <w:spacing w:val="-6"/>
          <w:sz w:val="21"/>
          <w:szCs w:val="21"/>
          <w:highlight w:val="none"/>
        </w:rPr>
        <w:t>：</w:t>
      </w:r>
      <w:r>
        <w:rPr>
          <w:rFonts w:hint="eastAsia" w:hAnsi="宋体" w:cs="宋体"/>
          <w:color w:val="auto"/>
          <w:spacing w:val="-6"/>
          <w:sz w:val="21"/>
          <w:szCs w:val="21"/>
          <w:highlight w:val="none"/>
          <w:u w:val="single"/>
        </w:rPr>
        <w:t xml:space="preserve">     </w:t>
      </w:r>
      <w:r>
        <w:rPr>
          <w:rFonts w:hint="eastAsia" w:hAnsi="宋体" w:cs="宋体"/>
          <w:color w:val="auto"/>
          <w:sz w:val="21"/>
          <w:szCs w:val="21"/>
          <w:highlight w:val="none"/>
          <w:u w:val="single"/>
        </w:rPr>
        <w:t>本合同货物不接受损耗</w:t>
      </w:r>
      <w:r>
        <w:rPr>
          <w:rFonts w:hint="eastAsia" w:hAnsi="宋体" w:cs="宋体"/>
          <w:color w:val="auto"/>
          <w:spacing w:val="-6"/>
          <w:sz w:val="21"/>
          <w:szCs w:val="21"/>
          <w:highlight w:val="none"/>
          <w:u w:val="single"/>
        </w:rPr>
        <w:t xml:space="preserve">            </w:t>
      </w:r>
    </w:p>
    <w:p w14:paraId="279EDBB0">
      <w:pPr>
        <w:pStyle w:val="16"/>
        <w:spacing w:after="0" w:line="340" w:lineRule="exact"/>
        <w:ind w:firstLine="478" w:firstLineChars="200"/>
        <w:jc w:val="both"/>
        <w:rPr>
          <w:rFonts w:hAnsi="宋体" w:cs="宋体"/>
          <w:b/>
          <w:bCs/>
          <w:color w:val="auto"/>
          <w:spacing w:val="14"/>
          <w:sz w:val="21"/>
          <w:szCs w:val="21"/>
          <w:highlight w:val="none"/>
        </w:rPr>
      </w:pPr>
      <w:r>
        <w:rPr>
          <w:rFonts w:hint="eastAsia" w:hAnsi="宋体" w:cs="宋体"/>
          <w:b/>
          <w:bCs/>
          <w:color w:val="auto"/>
          <w:spacing w:val="14"/>
          <w:sz w:val="21"/>
          <w:szCs w:val="21"/>
          <w:highlight w:val="none"/>
        </w:rPr>
        <w:t>第五条  交付和验收</w:t>
      </w:r>
    </w:p>
    <w:p w14:paraId="0F9FB708">
      <w:pPr>
        <w:pStyle w:val="16"/>
        <w:spacing w:after="0" w:line="340" w:lineRule="exact"/>
        <w:ind w:firstLine="420" w:firstLineChars="200"/>
        <w:jc w:val="both"/>
        <w:rPr>
          <w:rFonts w:hAnsi="宋体" w:cs="宋体"/>
          <w:color w:val="auto"/>
          <w:sz w:val="21"/>
          <w:szCs w:val="21"/>
          <w:highlight w:val="none"/>
        </w:rPr>
      </w:pPr>
      <w:r>
        <w:rPr>
          <w:rFonts w:hint="eastAsia" w:hAnsi="宋体" w:cs="宋体"/>
          <w:color w:val="auto"/>
          <w:sz w:val="21"/>
          <w:szCs w:val="21"/>
          <w:highlight w:val="none"/>
        </w:rPr>
        <w:t>1.交付使用时间：</w:t>
      </w:r>
      <w:r>
        <w:rPr>
          <w:rFonts w:hint="eastAsia" w:hAnsi="宋体" w:cs="宋体"/>
          <w:color w:val="auto"/>
          <w:kern w:val="2"/>
          <w:sz w:val="21"/>
          <w:szCs w:val="21"/>
          <w:highlight w:val="none"/>
        </w:rPr>
        <w:t>自合同签订之日起</w:t>
      </w:r>
      <w:r>
        <w:rPr>
          <w:rFonts w:hint="eastAsia" w:hAnsi="宋体" w:cs="宋体"/>
          <w:color w:val="auto"/>
          <w:kern w:val="2"/>
          <w:sz w:val="21"/>
          <w:szCs w:val="21"/>
          <w:highlight w:val="none"/>
          <w:u w:val="single"/>
        </w:rPr>
        <w:t xml:space="preserve">    </w:t>
      </w:r>
      <w:r>
        <w:rPr>
          <w:rFonts w:hint="eastAsia" w:hAnsi="宋体" w:cs="宋体"/>
          <w:color w:val="auto"/>
          <w:kern w:val="2"/>
          <w:sz w:val="21"/>
          <w:szCs w:val="21"/>
          <w:highlight w:val="none"/>
        </w:rPr>
        <w:t>天（日历天）内安装调试完毕，验收合格并交付使用。</w:t>
      </w:r>
      <w:r>
        <w:rPr>
          <w:rFonts w:hint="eastAsia" w:hAnsi="宋体" w:cs="宋体"/>
          <w:color w:val="auto"/>
          <w:sz w:val="21"/>
          <w:szCs w:val="21"/>
          <w:highlight w:val="none"/>
        </w:rPr>
        <w:t>地点：</w:t>
      </w:r>
      <w:r>
        <w:rPr>
          <w:rFonts w:hint="eastAsia" w:hAnsi="宋体" w:cs="宋体"/>
          <w:color w:val="auto"/>
          <w:sz w:val="21"/>
          <w:szCs w:val="21"/>
          <w:highlight w:val="none"/>
          <w:u w:val="single"/>
        </w:rPr>
        <w:t>甲方指定地点</w:t>
      </w:r>
      <w:r>
        <w:rPr>
          <w:rFonts w:hint="eastAsia" w:hAnsi="宋体" w:cs="宋体"/>
          <w:color w:val="auto"/>
          <w:sz w:val="21"/>
          <w:szCs w:val="21"/>
          <w:highlight w:val="none"/>
        </w:rPr>
        <w:t>。</w:t>
      </w:r>
    </w:p>
    <w:p w14:paraId="0FF29A8B">
      <w:pPr>
        <w:pStyle w:val="16"/>
        <w:spacing w:after="0" w:line="340" w:lineRule="exact"/>
        <w:ind w:firstLine="420" w:firstLineChars="200"/>
        <w:jc w:val="both"/>
        <w:rPr>
          <w:rFonts w:hAnsi="宋体" w:cs="宋体"/>
          <w:color w:val="auto"/>
          <w:sz w:val="21"/>
          <w:szCs w:val="21"/>
          <w:highlight w:val="none"/>
        </w:rPr>
      </w:pPr>
      <w:r>
        <w:rPr>
          <w:rFonts w:hint="eastAsia" w:hAnsi="宋体" w:cs="宋体"/>
          <w:color w:val="auto"/>
          <w:sz w:val="21"/>
          <w:szCs w:val="21"/>
          <w:highlight w:val="none"/>
        </w:rPr>
        <w:t>2.乙方提供不符合谈判文件、响应文件和本合同规定的货物，甲方有权拒绝接受。</w:t>
      </w:r>
    </w:p>
    <w:p w14:paraId="24659ADE">
      <w:pPr>
        <w:pStyle w:val="16"/>
        <w:spacing w:after="0" w:line="340" w:lineRule="exact"/>
        <w:ind w:firstLine="420" w:firstLineChars="200"/>
        <w:jc w:val="both"/>
        <w:rPr>
          <w:rFonts w:hAnsi="宋体" w:cs="宋体"/>
          <w:color w:val="auto"/>
          <w:sz w:val="21"/>
          <w:szCs w:val="21"/>
          <w:highlight w:val="none"/>
        </w:rPr>
      </w:pPr>
      <w:r>
        <w:rPr>
          <w:rFonts w:hint="eastAsia" w:hAnsi="宋体" w:cs="宋体"/>
          <w:color w:val="auto"/>
          <w:sz w:val="21"/>
          <w:szCs w:val="21"/>
          <w:highlight w:val="none"/>
        </w:rPr>
        <w:t>3.乙方应将所提供货物的装箱清单、用户手册、原厂保修卡、随</w:t>
      </w:r>
      <w:r>
        <w:rPr>
          <w:rFonts w:hint="eastAsia" w:hAnsi="宋体" w:cs="宋体"/>
          <w:color w:val="auto"/>
          <w:spacing w:val="5"/>
          <w:sz w:val="21"/>
          <w:szCs w:val="21"/>
          <w:highlight w:val="none"/>
        </w:rPr>
        <w:t>机资料、工具和备品、备件等交付给甲方，如有缺失应及时补齐，否</w:t>
      </w:r>
      <w:r>
        <w:rPr>
          <w:rFonts w:hint="eastAsia" w:hAnsi="宋体" w:cs="宋体"/>
          <w:color w:val="auto"/>
          <w:sz w:val="21"/>
          <w:szCs w:val="21"/>
          <w:highlight w:val="none"/>
        </w:rPr>
        <w:t>则视为逾期交货。</w:t>
      </w:r>
    </w:p>
    <w:p w14:paraId="546AE94B">
      <w:pPr>
        <w:pStyle w:val="16"/>
        <w:spacing w:after="0" w:line="340" w:lineRule="exact"/>
        <w:ind w:firstLine="448" w:firstLineChars="200"/>
        <w:jc w:val="both"/>
        <w:rPr>
          <w:rFonts w:hAnsi="宋体" w:cs="宋体"/>
          <w:color w:val="auto"/>
          <w:sz w:val="21"/>
          <w:szCs w:val="21"/>
          <w:highlight w:val="none"/>
        </w:rPr>
      </w:pPr>
      <w:r>
        <w:rPr>
          <w:rFonts w:hint="eastAsia" w:hAnsi="宋体" w:cs="宋体"/>
          <w:color w:val="auto"/>
          <w:spacing w:val="7"/>
          <w:sz w:val="21"/>
          <w:szCs w:val="21"/>
          <w:highlight w:val="none"/>
        </w:rPr>
        <w:t>4.甲方应当在到货(安装、调试完)后七个工作日内进行验收，</w:t>
      </w:r>
      <w:r>
        <w:rPr>
          <w:rFonts w:hint="eastAsia" w:hAnsi="宋体" w:cs="宋体"/>
          <w:color w:val="auto"/>
          <w:spacing w:val="6"/>
          <w:sz w:val="21"/>
          <w:szCs w:val="21"/>
          <w:highlight w:val="none"/>
        </w:rPr>
        <w:t>逾期不验收的，乙方可视同验收合格。验收</w:t>
      </w:r>
      <w:r>
        <w:rPr>
          <w:rFonts w:hint="eastAsia" w:hAnsi="宋体" w:cs="宋体"/>
          <w:color w:val="auto"/>
          <w:spacing w:val="5"/>
          <w:sz w:val="21"/>
          <w:szCs w:val="21"/>
          <w:highlight w:val="none"/>
        </w:rPr>
        <w:t>合格后由甲乙双方签署货</w:t>
      </w:r>
      <w:r>
        <w:rPr>
          <w:rFonts w:hint="eastAsia" w:hAnsi="宋体" w:cs="宋体"/>
          <w:color w:val="auto"/>
          <w:spacing w:val="-3"/>
          <w:sz w:val="21"/>
          <w:szCs w:val="21"/>
          <w:highlight w:val="none"/>
        </w:rPr>
        <w:t>物验收单并加盖采购人公章，甲乙双方各执一</w:t>
      </w:r>
      <w:r>
        <w:rPr>
          <w:rFonts w:hint="eastAsia" w:hAnsi="宋体" w:cs="宋体"/>
          <w:color w:val="auto"/>
          <w:spacing w:val="-4"/>
          <w:sz w:val="21"/>
          <w:szCs w:val="21"/>
          <w:highlight w:val="none"/>
        </w:rPr>
        <w:t>份。</w:t>
      </w:r>
    </w:p>
    <w:p w14:paraId="219CC5D7">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154EE174">
      <w:pPr>
        <w:pStyle w:val="16"/>
        <w:spacing w:after="0" w:line="340" w:lineRule="exact"/>
        <w:ind w:firstLine="420" w:firstLineChars="200"/>
        <w:jc w:val="both"/>
        <w:rPr>
          <w:rFonts w:hAnsi="宋体" w:cs="宋体"/>
          <w:color w:val="auto"/>
          <w:spacing w:val="-3"/>
          <w:sz w:val="21"/>
          <w:szCs w:val="21"/>
          <w:highlight w:val="none"/>
        </w:rPr>
      </w:pPr>
      <w:r>
        <w:rPr>
          <w:rFonts w:hint="eastAsia" w:hAnsi="宋体" w:cs="宋体"/>
          <w:color w:val="auto"/>
          <w:kern w:val="2"/>
          <w:sz w:val="21"/>
          <w:szCs w:val="21"/>
          <w:highlight w:val="none"/>
        </w:rPr>
        <w:t>6</w:t>
      </w:r>
      <w:r>
        <w:rPr>
          <w:rFonts w:hint="eastAsia" w:hAnsi="宋体" w:cs="宋体"/>
          <w:color w:val="auto"/>
          <w:spacing w:val="-3"/>
          <w:sz w:val="21"/>
          <w:szCs w:val="21"/>
          <w:highlight w:val="none"/>
        </w:rPr>
        <w:t>.甲方对验收有异议的，在验收后五个工作日内以书面形式向乙方提出，乙方应自收到甲方书面异议后</w:t>
      </w:r>
      <w:r>
        <w:rPr>
          <w:rFonts w:hint="eastAsia" w:hAnsi="宋体" w:cs="宋体"/>
          <w:color w:val="auto"/>
          <w:spacing w:val="-3"/>
          <w:sz w:val="21"/>
          <w:szCs w:val="21"/>
          <w:highlight w:val="none"/>
          <w:u w:val="single"/>
        </w:rPr>
        <w:t>30</w:t>
      </w:r>
      <w:r>
        <w:rPr>
          <w:rFonts w:hint="eastAsia" w:hAnsi="宋体" w:cs="宋体"/>
          <w:color w:val="auto"/>
          <w:spacing w:val="-3"/>
          <w:sz w:val="21"/>
          <w:szCs w:val="21"/>
          <w:highlight w:val="none"/>
        </w:rPr>
        <w:t>日内及时予以解决。</w:t>
      </w:r>
    </w:p>
    <w:p w14:paraId="0182E2A9">
      <w:pPr>
        <w:pStyle w:val="16"/>
        <w:spacing w:after="0" w:line="340" w:lineRule="exact"/>
        <w:ind w:firstLine="478" w:firstLineChars="200"/>
        <w:jc w:val="both"/>
        <w:rPr>
          <w:rFonts w:hAnsi="宋体" w:cs="宋体"/>
          <w:b/>
          <w:bCs/>
          <w:color w:val="auto"/>
          <w:spacing w:val="14"/>
          <w:sz w:val="21"/>
          <w:szCs w:val="21"/>
          <w:highlight w:val="none"/>
        </w:rPr>
      </w:pPr>
      <w:r>
        <w:rPr>
          <w:rFonts w:hint="eastAsia" w:hAnsi="宋体" w:cs="宋体"/>
          <w:b/>
          <w:bCs/>
          <w:color w:val="auto"/>
          <w:spacing w:val="14"/>
          <w:sz w:val="21"/>
          <w:szCs w:val="21"/>
          <w:highlight w:val="none"/>
        </w:rPr>
        <w:t>第六条  安装和培训</w:t>
      </w:r>
    </w:p>
    <w:p w14:paraId="3B27521E">
      <w:pPr>
        <w:pStyle w:val="16"/>
        <w:spacing w:after="0" w:line="340" w:lineRule="exact"/>
        <w:ind w:firstLine="408" w:firstLineChars="200"/>
        <w:jc w:val="both"/>
        <w:rPr>
          <w:rFonts w:hAnsi="宋体" w:cs="宋体"/>
          <w:color w:val="auto"/>
          <w:spacing w:val="-3"/>
          <w:sz w:val="21"/>
          <w:szCs w:val="21"/>
          <w:highlight w:val="none"/>
        </w:rPr>
      </w:pPr>
      <w:r>
        <w:rPr>
          <w:rFonts w:hint="eastAsia" w:hAnsi="宋体" w:cs="宋体"/>
          <w:color w:val="auto"/>
          <w:spacing w:val="-3"/>
          <w:sz w:val="21"/>
          <w:szCs w:val="21"/>
          <w:highlight w:val="none"/>
        </w:rPr>
        <w:t>1.甲方应提供必要安装条件(如场地、电源、水源等)。</w:t>
      </w:r>
    </w:p>
    <w:p w14:paraId="7CB919D3">
      <w:pPr>
        <w:pStyle w:val="16"/>
        <w:spacing w:after="0" w:line="340" w:lineRule="exact"/>
        <w:ind w:firstLine="416" w:firstLineChars="200"/>
        <w:jc w:val="both"/>
        <w:rPr>
          <w:rFonts w:hAnsi="宋体" w:cs="宋体"/>
          <w:color w:val="auto"/>
          <w:sz w:val="21"/>
          <w:szCs w:val="21"/>
          <w:highlight w:val="none"/>
        </w:rPr>
      </w:pPr>
      <w:r>
        <w:rPr>
          <w:rFonts w:hint="eastAsia" w:hAnsi="宋体" w:cs="宋体"/>
          <w:color w:val="auto"/>
          <w:spacing w:val="-1"/>
          <w:sz w:val="21"/>
          <w:szCs w:val="21"/>
          <w:highlight w:val="none"/>
        </w:rPr>
        <w:t>2.乙方负责甲方有关人员的培训。培训时间、地点：</w:t>
      </w:r>
      <w:r>
        <w:rPr>
          <w:rFonts w:hint="eastAsia" w:hAnsi="宋体" w:cs="宋体"/>
          <w:color w:val="auto"/>
          <w:spacing w:val="55"/>
          <w:sz w:val="21"/>
          <w:szCs w:val="21"/>
          <w:highlight w:val="none"/>
          <w:u w:val="single"/>
        </w:rPr>
        <w:t xml:space="preserve"> </w:t>
      </w:r>
      <w:r>
        <w:rPr>
          <w:rFonts w:hint="eastAsia" w:hAnsi="宋体" w:cs="宋体"/>
          <w:color w:val="auto"/>
          <w:spacing w:val="-3"/>
          <w:sz w:val="21"/>
          <w:szCs w:val="21"/>
          <w:highlight w:val="none"/>
          <w:u w:val="single"/>
        </w:rPr>
        <w:t xml:space="preserve">  由甲方依据实际情况确定 </w:t>
      </w:r>
      <w:r>
        <w:rPr>
          <w:rFonts w:hint="eastAsia" w:hAnsi="宋体" w:cs="宋体"/>
          <w:color w:val="auto"/>
          <w:spacing w:val="-1"/>
          <w:sz w:val="21"/>
          <w:szCs w:val="21"/>
          <w:highlight w:val="none"/>
          <w:u w:val="single"/>
        </w:rPr>
        <w:t xml:space="preserve">    </w:t>
      </w:r>
      <w:r>
        <w:rPr>
          <w:rFonts w:hint="eastAsia" w:hAnsi="宋体" w:cs="宋体"/>
          <w:color w:val="auto"/>
          <w:spacing w:val="-1"/>
          <w:sz w:val="21"/>
          <w:szCs w:val="21"/>
          <w:highlight w:val="none"/>
        </w:rPr>
        <w:t>。</w:t>
      </w:r>
    </w:p>
    <w:p w14:paraId="74E5B6C4">
      <w:pPr>
        <w:pStyle w:val="16"/>
        <w:spacing w:after="0" w:line="340" w:lineRule="exact"/>
        <w:ind w:firstLine="478" w:firstLineChars="200"/>
        <w:jc w:val="both"/>
        <w:rPr>
          <w:rFonts w:hAnsi="宋体" w:cs="宋体"/>
          <w:color w:val="auto"/>
          <w:sz w:val="21"/>
          <w:szCs w:val="21"/>
          <w:highlight w:val="none"/>
        </w:rPr>
      </w:pPr>
      <w:r>
        <w:rPr>
          <w:rFonts w:hint="eastAsia" w:hAnsi="宋体" w:cs="宋体"/>
          <w:b/>
          <w:bCs/>
          <w:color w:val="auto"/>
          <w:spacing w:val="14"/>
          <w:sz w:val="21"/>
          <w:szCs w:val="21"/>
          <w:highlight w:val="none"/>
        </w:rPr>
        <w:t>第七条 售后服务、保修期</w:t>
      </w:r>
    </w:p>
    <w:p w14:paraId="75F0BD0D">
      <w:pPr>
        <w:pStyle w:val="16"/>
        <w:spacing w:after="0" w:line="340" w:lineRule="exact"/>
        <w:ind w:firstLine="380" w:firstLineChars="200"/>
        <w:jc w:val="both"/>
        <w:rPr>
          <w:rFonts w:hAnsi="宋体" w:cs="宋体"/>
          <w:color w:val="auto"/>
          <w:sz w:val="21"/>
          <w:szCs w:val="21"/>
          <w:highlight w:val="none"/>
        </w:rPr>
      </w:pPr>
      <w:r>
        <w:rPr>
          <w:rFonts w:hint="eastAsia" w:hAnsi="宋体" w:cs="宋体"/>
          <w:color w:val="auto"/>
          <w:spacing w:val="-10"/>
          <w:sz w:val="21"/>
          <w:szCs w:val="21"/>
          <w:highlight w:val="none"/>
        </w:rPr>
        <w:t>1.乙方应按照国家有关法律法规和“三包”规定以及谈判文件、响</w:t>
      </w:r>
      <w:r>
        <w:rPr>
          <w:rFonts w:hint="eastAsia" w:hAnsi="宋体" w:cs="宋体"/>
          <w:color w:val="auto"/>
          <w:spacing w:val="7"/>
          <w:sz w:val="21"/>
          <w:szCs w:val="21"/>
          <w:highlight w:val="none"/>
        </w:rPr>
        <w:t>应文件和本合同所附的《服务承诺》，为甲方提供售后服务。</w:t>
      </w:r>
    </w:p>
    <w:p w14:paraId="79AF80B9">
      <w:pPr>
        <w:pStyle w:val="16"/>
        <w:spacing w:after="0" w:line="340" w:lineRule="exact"/>
        <w:ind w:firstLine="380" w:firstLineChars="200"/>
        <w:jc w:val="both"/>
        <w:rPr>
          <w:rFonts w:hAnsi="宋体" w:cs="宋体"/>
          <w:color w:val="auto"/>
          <w:sz w:val="21"/>
          <w:szCs w:val="21"/>
          <w:highlight w:val="none"/>
          <w:u w:val="single"/>
        </w:rPr>
      </w:pPr>
      <w:r>
        <w:rPr>
          <w:rFonts w:hint="eastAsia" w:hAnsi="宋体" w:cs="宋体"/>
          <w:color w:val="auto"/>
          <w:spacing w:val="-10"/>
          <w:sz w:val="21"/>
          <w:szCs w:val="21"/>
          <w:highlight w:val="none"/>
        </w:rPr>
        <w:t>2.货物保修期：</w:t>
      </w:r>
      <w:r>
        <w:rPr>
          <w:rFonts w:hint="eastAsia" w:hAnsi="宋体" w:cs="宋体"/>
          <w:color w:val="auto"/>
          <w:sz w:val="21"/>
          <w:szCs w:val="21"/>
          <w:highlight w:val="none"/>
          <w:u w:val="single"/>
        </w:rPr>
        <w:t xml:space="preserve">                                           </w:t>
      </w:r>
    </w:p>
    <w:p w14:paraId="7BD043D8">
      <w:pPr>
        <w:pStyle w:val="16"/>
        <w:spacing w:after="0" w:line="340" w:lineRule="exact"/>
        <w:ind w:firstLine="420" w:firstLineChars="200"/>
        <w:jc w:val="both"/>
        <w:rPr>
          <w:rFonts w:hAnsi="宋体" w:cs="宋体"/>
          <w:color w:val="auto"/>
          <w:sz w:val="21"/>
          <w:szCs w:val="21"/>
          <w:highlight w:val="none"/>
        </w:rPr>
      </w:pPr>
      <w:r>
        <w:rPr>
          <w:rFonts w:hint="eastAsia" w:hAnsi="宋体" w:cs="宋体"/>
          <w:color w:val="auto"/>
          <w:sz w:val="21"/>
          <w:szCs w:val="21"/>
          <w:highlight w:val="none"/>
        </w:rPr>
        <w:t>3.乙方提供的服务承诺和售后服务及保修期责任等其它具体约</w:t>
      </w:r>
      <w:r>
        <w:rPr>
          <w:rFonts w:hint="eastAsia" w:hAnsi="宋体" w:cs="宋体"/>
          <w:color w:val="auto"/>
          <w:spacing w:val="3"/>
          <w:sz w:val="21"/>
          <w:szCs w:val="21"/>
          <w:highlight w:val="none"/>
        </w:rPr>
        <w:t>定事项。(见合同附件)</w:t>
      </w:r>
    </w:p>
    <w:p w14:paraId="6229F43D">
      <w:pPr>
        <w:pStyle w:val="16"/>
        <w:spacing w:after="0" w:line="340" w:lineRule="exact"/>
        <w:ind w:firstLine="410" w:firstLineChars="200"/>
        <w:jc w:val="both"/>
        <w:rPr>
          <w:rFonts w:hAnsi="宋体" w:cs="宋体"/>
          <w:b/>
          <w:bCs/>
          <w:color w:val="auto"/>
          <w:sz w:val="21"/>
          <w:szCs w:val="21"/>
          <w:highlight w:val="none"/>
        </w:rPr>
      </w:pPr>
      <w:r>
        <w:rPr>
          <w:rFonts w:hint="eastAsia" w:hAnsi="宋体" w:cs="宋体"/>
          <w:b/>
          <w:bCs/>
          <w:color w:val="auto"/>
          <w:spacing w:val="-3"/>
          <w:sz w:val="21"/>
          <w:szCs w:val="21"/>
          <w:highlight w:val="none"/>
        </w:rPr>
        <w:t>第八条  付款方式</w:t>
      </w:r>
    </w:p>
    <w:p w14:paraId="1A950FC1">
      <w:pPr>
        <w:pStyle w:val="16"/>
        <w:spacing w:after="0" w:line="340" w:lineRule="exact"/>
        <w:ind w:firstLine="380" w:firstLineChars="200"/>
        <w:jc w:val="both"/>
        <w:rPr>
          <w:rFonts w:hAnsi="宋体" w:cs="宋体"/>
          <w:color w:val="auto"/>
          <w:sz w:val="21"/>
          <w:szCs w:val="21"/>
          <w:highlight w:val="none"/>
          <w:u w:val="single"/>
        </w:rPr>
      </w:pPr>
      <w:r>
        <w:rPr>
          <w:rFonts w:hint="eastAsia" w:hAnsi="宋体" w:cs="宋体"/>
          <w:color w:val="auto"/>
          <w:spacing w:val="-10"/>
          <w:sz w:val="21"/>
          <w:szCs w:val="21"/>
          <w:highlight w:val="none"/>
        </w:rPr>
        <w:t>1.资金性质：</w:t>
      </w:r>
      <w:r>
        <w:rPr>
          <w:rFonts w:hint="eastAsia" w:hAnsi="宋体" w:cs="宋体"/>
          <w:color w:val="auto"/>
          <w:spacing w:val="-3"/>
          <w:sz w:val="21"/>
          <w:szCs w:val="21"/>
          <w:highlight w:val="none"/>
          <w:u w:val="single"/>
        </w:rPr>
        <w:t xml:space="preserve"> 财政性资金</w:t>
      </w:r>
    </w:p>
    <w:p w14:paraId="2BB6A743">
      <w:pPr>
        <w:pStyle w:val="16"/>
        <w:spacing w:after="0" w:line="340" w:lineRule="exact"/>
        <w:ind w:firstLine="380" w:firstLineChars="200"/>
        <w:jc w:val="both"/>
        <w:rPr>
          <w:rFonts w:hAnsi="宋体" w:cs="宋体"/>
          <w:color w:val="auto"/>
          <w:sz w:val="21"/>
          <w:szCs w:val="21"/>
          <w:highlight w:val="none"/>
        </w:rPr>
      </w:pPr>
      <w:r>
        <w:rPr>
          <w:rFonts w:hint="eastAsia" w:hAnsi="宋体" w:cs="宋体"/>
          <w:color w:val="auto"/>
          <w:spacing w:val="-10"/>
          <w:sz w:val="21"/>
          <w:szCs w:val="21"/>
          <w:highlight w:val="none"/>
        </w:rPr>
        <w:t>2.付款方式：合同签订后15天内甲方向乙方支付合同总金额30%的预付款；全部货物安装、调试完毕，验收合格后交付使用后15天内，甲方向乙方支付剩余的70%合同款。本项目成交价格为已含税价格，乙方须按规定开具相应金额的发票，由甲方凭乙方开具的发票支付乙方的货款。</w:t>
      </w:r>
    </w:p>
    <w:p w14:paraId="071284AE">
      <w:pPr>
        <w:pStyle w:val="16"/>
        <w:spacing w:after="0" w:line="340" w:lineRule="exact"/>
        <w:ind w:firstLine="478" w:firstLineChars="200"/>
        <w:jc w:val="both"/>
        <w:rPr>
          <w:rFonts w:hAnsi="宋体" w:cs="宋体"/>
          <w:b/>
          <w:bCs/>
          <w:color w:val="auto"/>
          <w:spacing w:val="14"/>
          <w:sz w:val="21"/>
          <w:szCs w:val="21"/>
          <w:highlight w:val="none"/>
        </w:rPr>
      </w:pPr>
      <w:r>
        <w:rPr>
          <w:rFonts w:hint="eastAsia" w:hAnsi="宋体" w:cs="宋体"/>
          <w:b/>
          <w:bCs/>
          <w:color w:val="auto"/>
          <w:spacing w:val="14"/>
          <w:sz w:val="21"/>
          <w:szCs w:val="21"/>
          <w:highlight w:val="none"/>
        </w:rPr>
        <w:t>第九条 履约保证金</w:t>
      </w:r>
    </w:p>
    <w:p w14:paraId="7871DA78">
      <w:pPr>
        <w:spacing w:line="360" w:lineRule="exact"/>
        <w:ind w:firstLine="420" w:firstLineChars="200"/>
        <w:rPr>
          <w:rFonts w:hAnsi="宋体"/>
          <w:color w:val="auto"/>
          <w:szCs w:val="21"/>
          <w:highlight w:val="none"/>
        </w:rPr>
      </w:pPr>
      <w:r>
        <w:rPr>
          <w:rFonts w:hint="eastAsia" w:hAnsi="宋体"/>
          <w:color w:val="auto"/>
          <w:szCs w:val="21"/>
          <w:highlight w:val="none"/>
        </w:rPr>
        <w:t>1．履约保证金金额：合同价款的5%，若成交人是中小企业，则履约保证金按合同价款的2%收取。</w:t>
      </w:r>
    </w:p>
    <w:p w14:paraId="54EAFA13">
      <w:pPr>
        <w:spacing w:line="360" w:lineRule="exact"/>
        <w:ind w:firstLine="420" w:firstLineChars="200"/>
        <w:rPr>
          <w:rFonts w:hAnsi="宋体"/>
          <w:color w:val="auto"/>
          <w:szCs w:val="21"/>
          <w:highlight w:val="none"/>
        </w:rPr>
      </w:pPr>
      <w:r>
        <w:rPr>
          <w:rFonts w:hint="eastAsia" w:hAnsi="宋体"/>
          <w:color w:val="auto"/>
          <w:szCs w:val="21"/>
          <w:highlight w:val="none"/>
        </w:rPr>
        <w:t>2．履约保证金提交时间及方式：合同签订前 5日内，成交人必须以银行转账、支票、汇票、本票或者金融机构、担保机构出具的保险、保函（含电子保函）等非现金方式向采购人提交履约保证金。</w:t>
      </w:r>
    </w:p>
    <w:p w14:paraId="29E54C64">
      <w:pPr>
        <w:spacing w:line="360" w:lineRule="exact"/>
        <w:ind w:firstLine="420" w:firstLineChars="200"/>
        <w:rPr>
          <w:rFonts w:hAnsi="宋体"/>
          <w:color w:val="auto"/>
          <w:szCs w:val="21"/>
          <w:highlight w:val="none"/>
        </w:rPr>
      </w:pPr>
      <w:r>
        <w:rPr>
          <w:rFonts w:hint="eastAsia" w:hAnsi="宋体"/>
          <w:color w:val="auto"/>
          <w:szCs w:val="21"/>
          <w:highlight w:val="none"/>
        </w:rPr>
        <w:t>3．履约保证金退付条件及时间:自项目验收合格之日起至质保期满无质量问题，采购人收到退付履约保证金申请后15个工作日内退还(无息)。</w:t>
      </w:r>
    </w:p>
    <w:p w14:paraId="58578F44">
      <w:pPr>
        <w:spacing w:line="360" w:lineRule="exact"/>
        <w:ind w:firstLine="420" w:firstLineChars="200"/>
        <w:rPr>
          <w:rFonts w:hAnsi="宋体"/>
          <w:color w:val="auto"/>
          <w:szCs w:val="21"/>
          <w:highlight w:val="none"/>
        </w:rPr>
      </w:pPr>
      <w:r>
        <w:rPr>
          <w:rFonts w:hint="eastAsia" w:hAnsi="宋体"/>
          <w:color w:val="auto"/>
          <w:szCs w:val="21"/>
          <w:highlight w:val="none"/>
        </w:rPr>
        <w:t>4．下列情况因履约保证金不能退还或另行处理，所产生的后果由成交人负责：</w:t>
      </w:r>
    </w:p>
    <w:p w14:paraId="561FC2DC">
      <w:pPr>
        <w:spacing w:line="360" w:lineRule="exact"/>
        <w:rPr>
          <w:rFonts w:hAnsi="宋体"/>
          <w:color w:val="auto"/>
          <w:szCs w:val="21"/>
          <w:highlight w:val="none"/>
        </w:rPr>
      </w:pPr>
      <w:r>
        <w:rPr>
          <w:rFonts w:hint="eastAsia" w:hAnsi="宋体"/>
          <w:color w:val="auto"/>
          <w:szCs w:val="21"/>
          <w:highlight w:val="none"/>
        </w:rPr>
        <w:t>（1）履行合同约定权利义务期间，成交人不按合同履行质量保证义务的，采购人有权对采购标的进行更换、维修维保，所需费用从成交人提交的履约保证金中扣除，履约保证金不足以抵扣更换、维修维保费用的，不足部分由成交人承担。同时，采购人保留起诉成交人的权利。</w:t>
      </w:r>
    </w:p>
    <w:p w14:paraId="181D32D4">
      <w:pPr>
        <w:spacing w:line="360" w:lineRule="exact"/>
        <w:rPr>
          <w:rFonts w:hAnsi="宋体"/>
          <w:color w:val="auto"/>
          <w:szCs w:val="21"/>
          <w:highlight w:val="none"/>
        </w:rPr>
      </w:pPr>
      <w:r>
        <w:rPr>
          <w:rFonts w:hint="eastAsia" w:hAnsi="宋体"/>
          <w:color w:val="auto"/>
          <w:szCs w:val="21"/>
          <w:highlight w:val="none"/>
        </w:rPr>
        <w:t>（2）成交人未履行完合同约定权利义务事项前，成交人变更单位名称、联系方式等不及时告知采购人并提供相关变更材料，造成采购人无法通知成交人的，视成交人自动放弃领回履约保证金权利，采购人有权对履约保证金进行另外处置。</w:t>
      </w:r>
    </w:p>
    <w:p w14:paraId="641CD04F">
      <w:pPr>
        <w:spacing w:line="360" w:lineRule="exact"/>
        <w:rPr>
          <w:rFonts w:hAnsi="宋体"/>
          <w:color w:val="auto"/>
          <w:szCs w:val="21"/>
          <w:highlight w:val="none"/>
        </w:rPr>
      </w:pPr>
      <w:r>
        <w:rPr>
          <w:rFonts w:hint="eastAsia" w:hAnsi="宋体"/>
          <w:color w:val="auto"/>
          <w:szCs w:val="21"/>
          <w:highlight w:val="none"/>
        </w:rPr>
        <w:t>（3）其他因成交人原因导致履约保证金无法按时退回的情形。</w:t>
      </w:r>
    </w:p>
    <w:p w14:paraId="245B6FB3">
      <w:pPr>
        <w:spacing w:line="360" w:lineRule="exact"/>
        <w:rPr>
          <w:rFonts w:hAnsi="宋体"/>
          <w:color w:val="auto"/>
          <w:szCs w:val="21"/>
          <w:highlight w:val="none"/>
        </w:rPr>
      </w:pPr>
      <w:r>
        <w:rPr>
          <w:rFonts w:hint="eastAsia" w:hAnsi="宋体"/>
          <w:color w:val="auto"/>
          <w:szCs w:val="21"/>
          <w:highlight w:val="none"/>
        </w:rPr>
        <w:t>履约保证金账户:</w:t>
      </w:r>
    </w:p>
    <w:p w14:paraId="598148D7">
      <w:pPr>
        <w:spacing w:line="360" w:lineRule="exact"/>
        <w:rPr>
          <w:rFonts w:hAnsi="宋体"/>
          <w:color w:val="auto"/>
          <w:szCs w:val="21"/>
          <w:highlight w:val="none"/>
        </w:rPr>
      </w:pPr>
      <w:r>
        <w:rPr>
          <w:rFonts w:hint="eastAsia" w:hAnsi="宋体"/>
          <w:color w:val="auto"/>
          <w:szCs w:val="21"/>
          <w:highlight w:val="none"/>
        </w:rPr>
        <w:t>全称：广西机电技师学院</w:t>
      </w:r>
    </w:p>
    <w:p w14:paraId="2CC99882">
      <w:pPr>
        <w:spacing w:line="360" w:lineRule="exact"/>
        <w:rPr>
          <w:rFonts w:hAnsi="宋体"/>
          <w:color w:val="auto"/>
          <w:szCs w:val="21"/>
          <w:highlight w:val="none"/>
        </w:rPr>
      </w:pPr>
      <w:r>
        <w:rPr>
          <w:rFonts w:hint="eastAsia" w:hAnsi="宋体"/>
          <w:color w:val="auto"/>
          <w:szCs w:val="21"/>
          <w:highlight w:val="none"/>
        </w:rPr>
        <w:t xml:space="preserve">账号： </w:t>
      </w:r>
    </w:p>
    <w:p w14:paraId="2016C3C5">
      <w:pPr>
        <w:spacing w:line="360" w:lineRule="exact"/>
        <w:rPr>
          <w:rFonts w:hAnsi="宋体"/>
          <w:color w:val="auto"/>
          <w:szCs w:val="21"/>
          <w:highlight w:val="none"/>
        </w:rPr>
      </w:pPr>
      <w:r>
        <w:rPr>
          <w:rFonts w:hint="eastAsia" w:hAnsi="宋体"/>
          <w:color w:val="auto"/>
          <w:szCs w:val="21"/>
          <w:highlight w:val="none"/>
        </w:rPr>
        <w:t xml:space="preserve">开户银行： </w:t>
      </w:r>
    </w:p>
    <w:p w14:paraId="2E4B4CAC">
      <w:pPr>
        <w:spacing w:line="360" w:lineRule="exact"/>
        <w:rPr>
          <w:rFonts w:hAnsi="宋体"/>
          <w:color w:val="auto"/>
          <w:szCs w:val="21"/>
          <w:highlight w:val="none"/>
        </w:rPr>
      </w:pPr>
      <w:r>
        <w:rPr>
          <w:rFonts w:hint="eastAsia" w:hAnsi="宋体"/>
          <w:color w:val="auto"/>
          <w:szCs w:val="21"/>
          <w:highlight w:val="none"/>
        </w:rPr>
        <w:t>转帐时注明:项目名称+项目编号</w:t>
      </w:r>
    </w:p>
    <w:p w14:paraId="6E522C49">
      <w:pPr>
        <w:spacing w:line="360" w:lineRule="exact"/>
        <w:rPr>
          <w:rFonts w:hAnsi="宋体"/>
          <w:color w:val="auto"/>
          <w:szCs w:val="21"/>
          <w:highlight w:val="none"/>
        </w:rPr>
      </w:pPr>
      <w:r>
        <w:rPr>
          <w:rFonts w:hint="eastAsia" w:hAnsi="宋体"/>
          <w:color w:val="auto"/>
          <w:szCs w:val="21"/>
          <w:highlight w:val="none"/>
        </w:rPr>
        <w:t>备注：</w:t>
      </w:r>
    </w:p>
    <w:p w14:paraId="577F9F6F">
      <w:pPr>
        <w:spacing w:line="360" w:lineRule="exact"/>
        <w:ind w:firstLine="420" w:firstLineChars="200"/>
        <w:rPr>
          <w:rFonts w:hAnsi="宋体"/>
          <w:color w:val="auto"/>
          <w:szCs w:val="21"/>
          <w:highlight w:val="none"/>
        </w:rPr>
      </w:pPr>
      <w:r>
        <w:rPr>
          <w:rFonts w:hint="eastAsia" w:hAnsi="宋体"/>
          <w:color w:val="auto"/>
          <w:szCs w:val="21"/>
          <w:highlight w:val="none"/>
        </w:rPr>
        <w:t>1、乙方必须在签订合同前，按照规定提交方式，足额缴纳履约保证金。</w:t>
      </w:r>
    </w:p>
    <w:p w14:paraId="1FAFC248">
      <w:pPr>
        <w:pStyle w:val="16"/>
        <w:spacing w:after="0" w:line="340" w:lineRule="exact"/>
        <w:ind w:firstLine="420" w:firstLineChars="200"/>
        <w:jc w:val="both"/>
        <w:rPr>
          <w:rFonts w:hAnsi="宋体"/>
          <w:color w:val="auto"/>
          <w:sz w:val="21"/>
          <w:szCs w:val="21"/>
          <w:highlight w:val="none"/>
        </w:rPr>
      </w:pPr>
      <w:r>
        <w:rPr>
          <w:rFonts w:hint="eastAsia" w:hAnsi="宋体"/>
          <w:color w:val="auto"/>
          <w:sz w:val="21"/>
          <w:szCs w:val="21"/>
          <w:highlight w:val="none"/>
        </w:rPr>
        <w:t>2、乙方未按规定缴纳履约保证金的，暂缓签订合同，责任由乙方承担。</w:t>
      </w:r>
    </w:p>
    <w:p w14:paraId="27E624E0">
      <w:pPr>
        <w:pStyle w:val="16"/>
        <w:spacing w:after="0" w:line="340" w:lineRule="exact"/>
        <w:jc w:val="both"/>
        <w:rPr>
          <w:rFonts w:hAnsi="宋体" w:cs="宋体"/>
          <w:b/>
          <w:bCs/>
          <w:color w:val="auto"/>
          <w:spacing w:val="14"/>
          <w:sz w:val="21"/>
          <w:szCs w:val="21"/>
          <w:highlight w:val="none"/>
        </w:rPr>
      </w:pPr>
      <w:r>
        <w:rPr>
          <w:rFonts w:hint="eastAsia" w:hAnsi="宋体" w:cs="宋体"/>
          <w:b/>
          <w:bCs/>
          <w:color w:val="auto"/>
          <w:spacing w:val="14"/>
          <w:sz w:val="21"/>
          <w:szCs w:val="21"/>
          <w:highlight w:val="none"/>
        </w:rPr>
        <w:t>第十条 税费本合同执行中相关的一切税费均由乙方负担。</w:t>
      </w:r>
    </w:p>
    <w:p w14:paraId="27CF8A65">
      <w:pPr>
        <w:pStyle w:val="16"/>
        <w:spacing w:after="0" w:line="340" w:lineRule="exact"/>
        <w:jc w:val="both"/>
        <w:rPr>
          <w:rFonts w:hAnsi="宋体" w:cs="宋体"/>
          <w:b/>
          <w:bCs/>
          <w:color w:val="auto"/>
          <w:spacing w:val="14"/>
          <w:sz w:val="21"/>
          <w:szCs w:val="21"/>
          <w:highlight w:val="none"/>
        </w:rPr>
      </w:pPr>
      <w:r>
        <w:rPr>
          <w:rFonts w:hint="eastAsia" w:hAnsi="宋体" w:cs="宋体"/>
          <w:b/>
          <w:bCs/>
          <w:color w:val="auto"/>
          <w:spacing w:val="14"/>
          <w:sz w:val="21"/>
          <w:szCs w:val="21"/>
          <w:highlight w:val="none"/>
        </w:rPr>
        <w:t>第十一条 质量保证及售后服务</w:t>
      </w:r>
    </w:p>
    <w:p w14:paraId="31FE8AD0">
      <w:pPr>
        <w:pStyle w:val="16"/>
        <w:spacing w:after="0" w:line="340" w:lineRule="exact"/>
        <w:ind w:firstLine="408" w:firstLineChars="200"/>
        <w:jc w:val="both"/>
        <w:rPr>
          <w:rFonts w:hAnsi="宋体" w:cs="宋体"/>
          <w:color w:val="auto"/>
          <w:sz w:val="21"/>
          <w:szCs w:val="21"/>
          <w:highlight w:val="none"/>
        </w:rPr>
      </w:pPr>
      <w:r>
        <w:rPr>
          <w:rFonts w:hint="eastAsia" w:hAnsi="宋体" w:cs="宋体"/>
          <w:color w:val="auto"/>
          <w:spacing w:val="-3"/>
          <w:sz w:val="21"/>
          <w:szCs w:val="21"/>
          <w:highlight w:val="none"/>
        </w:rPr>
        <w:t>1.</w:t>
      </w:r>
      <w:r>
        <w:rPr>
          <w:rFonts w:hint="eastAsia" w:hAnsi="宋体" w:cs="宋体"/>
          <w:color w:val="auto"/>
          <w:spacing w:val="-46"/>
          <w:sz w:val="21"/>
          <w:szCs w:val="21"/>
          <w:highlight w:val="none"/>
        </w:rPr>
        <w:t xml:space="preserve"> </w:t>
      </w:r>
      <w:r>
        <w:rPr>
          <w:rFonts w:hint="eastAsia" w:hAnsi="宋体" w:cs="宋体"/>
          <w:color w:val="auto"/>
          <w:spacing w:val="-3"/>
          <w:sz w:val="21"/>
          <w:szCs w:val="21"/>
          <w:highlight w:val="none"/>
        </w:rPr>
        <w:t>乙方应按谈判文件规定及响应文件承诺的货物性能、技术要</w:t>
      </w:r>
      <w:r>
        <w:rPr>
          <w:rFonts w:hint="eastAsia" w:hAnsi="宋体" w:cs="宋体"/>
          <w:color w:val="auto"/>
          <w:spacing w:val="-5"/>
          <w:sz w:val="21"/>
          <w:szCs w:val="21"/>
          <w:highlight w:val="none"/>
        </w:rPr>
        <w:t>求、质量标准向甲方提供未经使用的全新产品。乙方提供货物的质量</w:t>
      </w:r>
      <w:r>
        <w:rPr>
          <w:rFonts w:hint="eastAsia" w:hAnsi="宋体" w:cs="宋体"/>
          <w:color w:val="auto"/>
          <w:spacing w:val="-1"/>
          <w:sz w:val="21"/>
          <w:szCs w:val="21"/>
          <w:highlight w:val="none"/>
        </w:rPr>
        <w:t>保证期按交货验收合格之日起计(期限见《采购需求》中各分标的要</w:t>
      </w:r>
      <w:r>
        <w:rPr>
          <w:rFonts w:hint="eastAsia" w:hAnsi="宋体" w:cs="宋体"/>
          <w:color w:val="auto"/>
          <w:sz w:val="21"/>
          <w:szCs w:val="21"/>
          <w:highlight w:val="none"/>
        </w:rPr>
        <w:t>求)。在保证期内因货物本身的质量问题发生故障，乙方应负责免费</w:t>
      </w:r>
      <w:r>
        <w:rPr>
          <w:rFonts w:hint="eastAsia" w:hAnsi="宋体" w:cs="宋体"/>
          <w:color w:val="auto"/>
          <w:spacing w:val="-5"/>
          <w:sz w:val="21"/>
          <w:szCs w:val="21"/>
          <w:highlight w:val="none"/>
        </w:rPr>
        <w:t>修理和更换零部件。对达不到技术要求者，根据实际情况，经双方协</w:t>
      </w:r>
      <w:r>
        <w:rPr>
          <w:rFonts w:hint="eastAsia" w:hAnsi="宋体" w:cs="宋体"/>
          <w:color w:val="auto"/>
          <w:spacing w:val="-11"/>
          <w:sz w:val="21"/>
          <w:szCs w:val="21"/>
          <w:highlight w:val="none"/>
        </w:rPr>
        <w:t>商，可按以下办法处理：</w:t>
      </w:r>
    </w:p>
    <w:p w14:paraId="72653F52">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(1)更换：由乙方承担所发生的全部费用。</w:t>
      </w:r>
    </w:p>
    <w:p w14:paraId="46BC4C3A">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(2)贬值处理：由甲乙双方合议定价。</w:t>
      </w:r>
    </w:p>
    <w:p w14:paraId="0E3D0B85">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(3)退货处理：乙方应退还甲方支付的合同款，同时应承担该货物的直接费用(运输、保险、检验、货款利息及银行手续费等)。</w:t>
      </w:r>
    </w:p>
    <w:p w14:paraId="0C56848D">
      <w:pPr>
        <w:pStyle w:val="16"/>
        <w:spacing w:after="0" w:line="340" w:lineRule="exact"/>
        <w:ind w:firstLine="420" w:firstLineChars="200"/>
        <w:jc w:val="both"/>
        <w:rPr>
          <w:rFonts w:hAnsi="宋体" w:cs="宋体"/>
          <w:color w:val="auto"/>
          <w:sz w:val="21"/>
          <w:szCs w:val="21"/>
          <w:highlight w:val="none"/>
        </w:rPr>
      </w:pPr>
      <w:r>
        <w:rPr>
          <w:rFonts w:hint="eastAsia" w:hAnsi="宋体" w:cs="宋体"/>
          <w:color w:val="auto"/>
          <w:kern w:val="2"/>
          <w:sz w:val="21"/>
          <w:szCs w:val="21"/>
          <w:highlight w:val="none"/>
        </w:rPr>
        <w:t>2</w:t>
      </w:r>
      <w:r>
        <w:rPr>
          <w:rFonts w:hint="eastAsia" w:hAnsi="宋体" w:cs="宋体"/>
          <w:color w:val="auto"/>
          <w:spacing w:val="-3"/>
          <w:sz w:val="21"/>
          <w:szCs w:val="21"/>
          <w:highlight w:val="none"/>
        </w:rPr>
        <w:t>.如在</w:t>
      </w:r>
      <w:r>
        <w:rPr>
          <w:rFonts w:hint="eastAsia" w:hAnsi="宋体" w:cs="宋体"/>
          <w:color w:val="auto"/>
          <w:spacing w:val="13"/>
          <w:sz w:val="21"/>
          <w:szCs w:val="21"/>
          <w:highlight w:val="none"/>
        </w:rPr>
        <w:t>使用过程中发生质量问题，乙方在接到甲方通知</w:t>
      </w:r>
      <w:r>
        <w:rPr>
          <w:rFonts w:hint="eastAsia" w:hAnsi="宋体" w:cs="宋体"/>
          <w:color w:val="auto"/>
          <w:spacing w:val="12"/>
          <w:sz w:val="21"/>
          <w:szCs w:val="21"/>
          <w:highlight w:val="none"/>
        </w:rPr>
        <w:t>后在</w:t>
      </w:r>
      <w:r>
        <w:rPr>
          <w:rFonts w:hint="eastAsia" w:hAnsi="宋体" w:cs="宋体"/>
          <w:color w:val="auto"/>
          <w:spacing w:val="-13"/>
          <w:sz w:val="21"/>
          <w:szCs w:val="21"/>
          <w:highlight w:val="none"/>
          <w:u w:val="single"/>
        </w:rPr>
        <w:t xml:space="preserve">  48    </w:t>
      </w:r>
      <w:r>
        <w:rPr>
          <w:rFonts w:hint="eastAsia" w:hAnsi="宋体" w:cs="宋体"/>
          <w:color w:val="auto"/>
          <w:spacing w:val="-13"/>
          <w:sz w:val="21"/>
          <w:szCs w:val="21"/>
          <w:highlight w:val="none"/>
        </w:rPr>
        <w:t>小时内到达甲方现场。</w:t>
      </w:r>
      <w:r>
        <w:rPr>
          <w:rFonts w:hint="eastAsia" w:hAnsi="宋体"/>
          <w:color w:val="auto"/>
          <w:sz w:val="21"/>
          <w:szCs w:val="21"/>
          <w:highlight w:val="none"/>
        </w:rPr>
        <w:t>一般故障处理时限不超过24小时修复，重大故障处理时限不超过48小时修复。如在规定时间内不能完成维修，应提供性能相同或升级型替代设备，以保证用户正常使用。</w:t>
      </w:r>
    </w:p>
    <w:p w14:paraId="51A989A9">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3.在质保期内，乙方应对货物出现的质量及安全问题负责处理解决并承担一切费用。</w:t>
      </w:r>
    </w:p>
    <w:p w14:paraId="0878D872">
      <w:pPr>
        <w:spacing w:line="360" w:lineRule="exact"/>
        <w:ind w:firstLine="420" w:firstLineChars="200"/>
        <w:rPr>
          <w:rFonts w:hAnsi="宋体" w:cs="宋体"/>
          <w:color w:val="auto"/>
          <w:szCs w:val="21"/>
          <w:highlight w:val="none"/>
        </w:rPr>
      </w:pPr>
      <w:r>
        <w:rPr>
          <w:rFonts w:hint="eastAsia" w:hAnsi="宋体" w:cs="宋体"/>
          <w:color w:val="auto"/>
          <w:szCs w:val="21"/>
          <w:highlight w:val="none"/>
        </w:rPr>
        <w:t xml:space="preserve">4.上述的货物免费保修期为 </w:t>
      </w:r>
      <w:r>
        <w:rPr>
          <w:rFonts w:hint="eastAsia" w:hAnsi="宋体" w:cs="宋体"/>
          <w:color w:val="auto"/>
          <w:szCs w:val="21"/>
          <w:highlight w:val="none"/>
          <w:u w:val="single"/>
        </w:rPr>
        <w:t xml:space="preserve">       </w:t>
      </w:r>
      <w:r>
        <w:rPr>
          <w:rFonts w:hint="eastAsia" w:hAnsi="宋体" w:cs="宋体"/>
          <w:color w:val="auto"/>
          <w:szCs w:val="21"/>
          <w:highlight w:val="none"/>
        </w:rPr>
        <w:t>年，因人为因素出现的故障不在免费保修范围内。超过保修期的机器设备，终生维修，维修时只收部件成本费。</w:t>
      </w:r>
      <w:r>
        <w:rPr>
          <w:rFonts w:hint="eastAsia" w:hAnsi="宋体"/>
          <w:color w:val="auto"/>
          <w:szCs w:val="21"/>
          <w:highlight w:val="none"/>
        </w:rPr>
        <w:t>保修期自双方代表在产品验收单上签字之日起计算。保修期内保修费用计入本合同总价。</w:t>
      </w:r>
    </w:p>
    <w:p w14:paraId="6CEE18B3">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5.保修期内，成交供应商负责对其提供的产品整机进行维修，并且保证每年上门检修一次，不再向采购人收取费用。</w:t>
      </w:r>
    </w:p>
    <w:p w14:paraId="511E7189">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6.提供7×24小时热线电话和远程技术支持服务，对于远程无法解决的问题，需安排资深技术人员到现场解决。提供专业维保人员不少于1人。</w:t>
      </w:r>
    </w:p>
    <w:p w14:paraId="0AB85B9A">
      <w:pPr>
        <w:pStyle w:val="16"/>
        <w:spacing w:after="0" w:line="340" w:lineRule="exact"/>
        <w:ind w:firstLine="402" w:firstLineChars="200"/>
        <w:jc w:val="both"/>
        <w:rPr>
          <w:rFonts w:hAnsi="宋体" w:cs="宋体"/>
          <w:color w:val="auto"/>
          <w:sz w:val="21"/>
          <w:szCs w:val="21"/>
          <w:highlight w:val="none"/>
        </w:rPr>
      </w:pPr>
      <w:r>
        <w:rPr>
          <w:rFonts w:hint="eastAsia" w:hAnsi="宋体" w:cs="宋体"/>
          <w:b/>
          <w:bCs/>
          <w:color w:val="auto"/>
          <w:spacing w:val="-5"/>
          <w:sz w:val="21"/>
          <w:szCs w:val="21"/>
          <w:highlight w:val="none"/>
        </w:rPr>
        <w:t>第十二条</w:t>
      </w:r>
      <w:r>
        <w:rPr>
          <w:rFonts w:hint="eastAsia" w:hAnsi="宋体" w:cs="宋体"/>
          <w:color w:val="auto"/>
          <w:spacing w:val="-5"/>
          <w:sz w:val="21"/>
          <w:szCs w:val="21"/>
          <w:highlight w:val="none"/>
        </w:rPr>
        <w:t xml:space="preserve">  </w:t>
      </w:r>
      <w:r>
        <w:rPr>
          <w:rFonts w:hint="eastAsia" w:hAnsi="宋体" w:cs="宋体"/>
          <w:b/>
          <w:bCs/>
          <w:color w:val="auto"/>
          <w:spacing w:val="-5"/>
          <w:sz w:val="21"/>
          <w:szCs w:val="21"/>
          <w:highlight w:val="none"/>
        </w:rPr>
        <w:t>调试和验收</w:t>
      </w:r>
    </w:p>
    <w:p w14:paraId="31448F37">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1、乙方负责全部成套设备、配套部件及材料的现场安装、调试直至验收合格投入正常运转。</w:t>
      </w:r>
    </w:p>
    <w:p w14:paraId="5D79B5DC">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2、如设备安装有特殊要求，乙方应在合同签订后，设备安装之前7工作日内以书面形式向甲方提出安装场地环境要求，并对甲方安装场地环境提供咨询技术支持。</w:t>
      </w:r>
    </w:p>
    <w:p w14:paraId="26153DF0">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3、产品的到货验收包括：数量、外观质量、随机备件备品、装箱单、随机资料(中文)及产品包装完整无破损。产品验收通过前，外包装数量、质量及外包装内产品数量、质量，均由乙方负责。</w:t>
      </w:r>
    </w:p>
    <w:p w14:paraId="5D27C90B">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4、产品验收通过前外包装数量、质量及外包装内产品数量、质量出现问题，乙方应负责三包(包修、包 换、包退),费用均由乙方负责。</w:t>
      </w:r>
    </w:p>
    <w:p w14:paraId="3D608F7B">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5、设备到达甲方所在地后，在接到甲方通知后3个工作日内进行安装调试，按供货方合格证书和技术资料中的精度、质量要求和双方签订的合同技术附件所规定的条款进行验收。验收时，由甲方、乙方及甲方邀请的行业专家（甲方如有需要邀请的）共同进行验收，甲方有权委托有资质的质检部门对货物进行抽检，检验的费用由乙方承担；对不符合要求的产品，甲方有权拒绝验收，由此产生的一切后果，均由乙方承担。由此造成的不能按时、按质、按量完成项目要求的，将按照政府采购相关法规、谈判文件规定及响应文件承诺的事项进行处罚。</w:t>
      </w:r>
    </w:p>
    <w:p w14:paraId="0F20DBE5">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6、在安装、调试过程中，乙方应对甲方技术人员所提出的技术问题给予满意的答复，并向甲方提供安装调试过程中的各种文档资料，以便甲方今后能掌握操作方法和维护方法。</w:t>
      </w:r>
    </w:p>
    <w:p w14:paraId="365F9874">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7、乙方在完成本合同各阶段交付内容签收后3个工作日内向甲方提交验收申请，甲方在收到验收申请后在7个工作日内组织有关人员进行验收，甲方根据测试结果提交验收报告，并在验收报告上签字确认。</w:t>
      </w:r>
    </w:p>
    <w:p w14:paraId="1C14727B">
      <w:pPr>
        <w:pStyle w:val="16"/>
        <w:spacing w:after="0" w:line="340" w:lineRule="exact"/>
        <w:ind w:firstLine="406" w:firstLineChars="200"/>
        <w:jc w:val="both"/>
        <w:rPr>
          <w:rFonts w:hAnsi="宋体" w:cs="宋体"/>
          <w:color w:val="auto"/>
          <w:sz w:val="21"/>
          <w:szCs w:val="21"/>
          <w:highlight w:val="none"/>
        </w:rPr>
      </w:pPr>
      <w:r>
        <w:rPr>
          <w:rFonts w:hint="eastAsia" w:hAnsi="宋体" w:cs="宋体"/>
          <w:b/>
          <w:bCs/>
          <w:color w:val="auto"/>
          <w:spacing w:val="-4"/>
          <w:sz w:val="21"/>
          <w:szCs w:val="21"/>
          <w:highlight w:val="none"/>
        </w:rPr>
        <w:t>第十三条</w:t>
      </w:r>
      <w:r>
        <w:rPr>
          <w:rFonts w:hint="eastAsia" w:hAnsi="宋体" w:cs="宋体"/>
          <w:color w:val="auto"/>
          <w:spacing w:val="-4"/>
          <w:sz w:val="21"/>
          <w:szCs w:val="21"/>
          <w:highlight w:val="none"/>
        </w:rPr>
        <w:t xml:space="preserve">  </w:t>
      </w:r>
      <w:r>
        <w:rPr>
          <w:rFonts w:hint="eastAsia" w:hAnsi="宋体" w:cs="宋体"/>
          <w:b/>
          <w:bCs/>
          <w:color w:val="auto"/>
          <w:spacing w:val="-4"/>
          <w:sz w:val="21"/>
          <w:szCs w:val="21"/>
          <w:highlight w:val="none"/>
        </w:rPr>
        <w:t>货物包装、发运及运输</w:t>
      </w:r>
    </w:p>
    <w:p w14:paraId="01FA0E4B">
      <w:pPr>
        <w:spacing w:line="360" w:lineRule="exact"/>
        <w:ind w:firstLine="420" w:firstLineChars="200"/>
        <w:rPr>
          <w:rFonts w:hAnsi="宋体" w:cs="宋体"/>
          <w:color w:val="auto"/>
          <w:szCs w:val="21"/>
          <w:highlight w:val="none"/>
        </w:rPr>
      </w:pPr>
      <w:r>
        <w:rPr>
          <w:rFonts w:hint="eastAsia" w:hAnsi="宋体" w:cs="宋体"/>
          <w:color w:val="auto"/>
          <w:szCs w:val="21"/>
          <w:highlight w:val="none"/>
        </w:rPr>
        <w:t>1. 乙方应在货物发运前对其进行满足运输距离、防潮、防震、防 锈和防破损装卸等要求包装，以保证货物安全运达甲方指定地点。</w:t>
      </w:r>
      <w:r>
        <w:rPr>
          <w:rFonts w:hint="eastAsia" w:ascii="宋体" w:hAnsi="宋体" w:cs="宋体"/>
          <w:color w:val="auto"/>
          <w:kern w:val="0"/>
          <w:szCs w:val="21"/>
          <w:highlight w:val="none"/>
        </w:rPr>
        <w:t>若产品在运输过程中损坏须无偿调换同样产品。</w:t>
      </w:r>
    </w:p>
    <w:p w14:paraId="30DBBC7C">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2. 使用说明书、质量检验证明书、随配附件和工具以及清单一并附于货物内。</w:t>
      </w:r>
    </w:p>
    <w:p w14:paraId="6E8516C3">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3. 乙方在货物发运手续办理完毕后二十四小时内或货到甲方四十八小时前通知甲方，以准备接货。</w:t>
      </w:r>
    </w:p>
    <w:p w14:paraId="47B2A49F">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4. 货物在交付甲方前发生的风险均由乙方负责。</w:t>
      </w:r>
    </w:p>
    <w:p w14:paraId="34CF6F2C">
      <w:pPr>
        <w:pStyle w:val="16"/>
        <w:spacing w:after="0" w:line="340" w:lineRule="exact"/>
        <w:ind w:firstLine="432" w:firstLineChars="200"/>
        <w:jc w:val="both"/>
        <w:rPr>
          <w:rFonts w:hAnsi="宋体" w:cs="宋体"/>
          <w:color w:val="auto"/>
          <w:sz w:val="21"/>
          <w:szCs w:val="21"/>
          <w:highlight w:val="none"/>
        </w:rPr>
      </w:pPr>
      <w:r>
        <w:rPr>
          <w:rFonts w:hint="eastAsia" w:hAnsi="宋体" w:cs="宋体"/>
          <w:color w:val="auto"/>
          <w:spacing w:val="3"/>
          <w:sz w:val="21"/>
          <w:szCs w:val="21"/>
          <w:highlight w:val="none"/>
        </w:rPr>
        <w:t>5.</w:t>
      </w:r>
      <w:r>
        <w:rPr>
          <w:rFonts w:hint="eastAsia" w:hAnsi="宋体" w:cs="宋体"/>
          <w:color w:val="auto"/>
          <w:spacing w:val="-63"/>
          <w:sz w:val="21"/>
          <w:szCs w:val="21"/>
          <w:highlight w:val="none"/>
        </w:rPr>
        <w:t xml:space="preserve"> </w:t>
      </w:r>
      <w:r>
        <w:rPr>
          <w:rFonts w:hint="eastAsia" w:hAnsi="宋体" w:cs="宋体"/>
          <w:color w:val="auto"/>
          <w:spacing w:val="3"/>
          <w:sz w:val="21"/>
          <w:szCs w:val="21"/>
          <w:highlight w:val="none"/>
        </w:rPr>
        <w:t>货物在规定的交付期限内由乙方送达甲方指定的地点视为交</w:t>
      </w:r>
      <w:r>
        <w:rPr>
          <w:rFonts w:hint="eastAsia" w:hAnsi="宋体" w:cs="宋体"/>
          <w:color w:val="auto"/>
          <w:spacing w:val="-3"/>
          <w:sz w:val="21"/>
          <w:szCs w:val="21"/>
          <w:highlight w:val="none"/>
        </w:rPr>
        <w:t>付，乙方同时需通知甲方货物已送达。</w:t>
      </w:r>
    </w:p>
    <w:p w14:paraId="472BE63A">
      <w:pPr>
        <w:pStyle w:val="16"/>
        <w:spacing w:after="0" w:line="340" w:lineRule="exact"/>
        <w:ind w:firstLine="398" w:firstLineChars="200"/>
        <w:jc w:val="both"/>
        <w:rPr>
          <w:rFonts w:hAnsi="宋体" w:cs="宋体"/>
          <w:color w:val="auto"/>
          <w:sz w:val="21"/>
          <w:szCs w:val="21"/>
          <w:highlight w:val="none"/>
        </w:rPr>
      </w:pPr>
      <w:r>
        <w:rPr>
          <w:rFonts w:hint="eastAsia" w:hAnsi="宋体" w:cs="宋体"/>
          <w:b/>
          <w:bCs/>
          <w:color w:val="auto"/>
          <w:spacing w:val="-6"/>
          <w:sz w:val="21"/>
          <w:szCs w:val="21"/>
          <w:highlight w:val="none"/>
        </w:rPr>
        <w:t>第十四条 违约责任</w:t>
      </w:r>
    </w:p>
    <w:p w14:paraId="798E1E37">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14:paraId="576181DC">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2.乙方提供的货物如侵犯了第三方合法权益而引发的任何纠纷 或诉讼，均由乙方负责交涉并承担全部责任。</w:t>
      </w:r>
    </w:p>
    <w:p w14:paraId="1AA1F164">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3. 因包装、运输引起的货物损坏，按质量不合格处罚。</w:t>
      </w:r>
    </w:p>
    <w:p w14:paraId="4CA29DAF">
      <w:pPr>
        <w:pStyle w:val="16"/>
        <w:spacing w:after="0" w:line="340" w:lineRule="exact"/>
        <w:ind w:firstLine="420" w:firstLineChars="200"/>
        <w:jc w:val="both"/>
        <w:rPr>
          <w:rFonts w:hAnsi="宋体" w:cs="宋体"/>
          <w:color w:val="auto"/>
          <w:sz w:val="21"/>
          <w:szCs w:val="21"/>
          <w:highlight w:val="none"/>
        </w:rPr>
      </w:pPr>
      <w:r>
        <w:rPr>
          <w:rFonts w:hint="eastAsia" w:hAnsi="宋体" w:cs="宋体"/>
          <w:color w:val="auto"/>
          <w:kern w:val="2"/>
          <w:sz w:val="21"/>
          <w:szCs w:val="21"/>
          <w:highlight w:val="none"/>
        </w:rPr>
        <w:t>4.甲方无故延期接收货物、乙方逾期交货的，每天向对方偿付违约货款额</w:t>
      </w:r>
      <w:r>
        <w:rPr>
          <w:rFonts w:hint="eastAsia" w:hAnsi="宋体" w:cs="宋体"/>
          <w:color w:val="auto"/>
          <w:kern w:val="2"/>
          <w:sz w:val="21"/>
          <w:szCs w:val="21"/>
          <w:highlight w:val="none"/>
          <w:u w:val="single"/>
        </w:rPr>
        <w:t>3</w:t>
      </w:r>
      <w:r>
        <w:rPr>
          <w:rFonts w:ascii="Arial" w:hAnsi="Arial" w:cs="Arial"/>
          <w:color w:val="auto"/>
          <w:kern w:val="2"/>
          <w:sz w:val="21"/>
          <w:szCs w:val="21"/>
          <w:highlight w:val="none"/>
          <w:u w:val="single"/>
        </w:rPr>
        <w:t>‰</w:t>
      </w:r>
      <w:r>
        <w:rPr>
          <w:rFonts w:hint="eastAsia" w:hAnsi="宋体" w:cs="宋体"/>
          <w:color w:val="auto"/>
          <w:kern w:val="2"/>
          <w:sz w:val="21"/>
          <w:szCs w:val="21"/>
          <w:highlight w:val="none"/>
        </w:rPr>
        <w:t>违约金，但违约金累计不</w:t>
      </w:r>
      <w:r>
        <w:rPr>
          <w:rFonts w:hint="eastAsia" w:hAnsi="宋体" w:cs="宋体"/>
          <w:color w:val="auto"/>
          <w:spacing w:val="19"/>
          <w:sz w:val="21"/>
          <w:szCs w:val="21"/>
          <w:highlight w:val="none"/>
        </w:rPr>
        <w:t>得超过</w:t>
      </w:r>
      <w:r>
        <w:rPr>
          <w:rFonts w:hint="eastAsia" w:hAnsi="宋体" w:cs="宋体"/>
          <w:color w:val="auto"/>
          <w:spacing w:val="18"/>
          <w:sz w:val="21"/>
          <w:szCs w:val="21"/>
          <w:highlight w:val="none"/>
        </w:rPr>
        <w:t>违约货款额</w:t>
      </w:r>
      <w:r>
        <w:rPr>
          <w:rFonts w:hint="eastAsia" w:hAnsi="宋体" w:cs="宋体"/>
          <w:color w:val="auto"/>
          <w:spacing w:val="18"/>
          <w:sz w:val="21"/>
          <w:szCs w:val="21"/>
          <w:highlight w:val="none"/>
          <w:u w:val="single"/>
        </w:rPr>
        <w:t>5%</w:t>
      </w:r>
      <w:r>
        <w:rPr>
          <w:rFonts w:hint="eastAsia" w:hAnsi="宋体" w:cs="宋体"/>
          <w:color w:val="auto"/>
          <w:spacing w:val="18"/>
          <w:sz w:val="21"/>
          <w:szCs w:val="21"/>
          <w:highlight w:val="none"/>
        </w:rPr>
        <w:t>，超</w:t>
      </w:r>
      <w:r>
        <w:rPr>
          <w:rFonts w:hint="eastAsia" w:hAnsi="宋体" w:cs="宋体"/>
          <w:color w:val="auto"/>
          <w:spacing w:val="2"/>
          <w:sz w:val="21"/>
          <w:szCs w:val="21"/>
          <w:highlight w:val="none"/>
        </w:rPr>
        <w:t>过</w:t>
      </w:r>
      <w:r>
        <w:rPr>
          <w:rFonts w:hint="eastAsia" w:hAnsi="宋体" w:cs="宋体"/>
          <w:color w:val="auto"/>
          <w:spacing w:val="2"/>
          <w:sz w:val="21"/>
          <w:szCs w:val="21"/>
          <w:highlight w:val="none"/>
          <w:u w:val="single"/>
        </w:rPr>
        <w:t>120</w:t>
      </w:r>
      <w:r>
        <w:rPr>
          <w:rFonts w:hint="eastAsia" w:hAnsi="宋体" w:cs="宋体"/>
          <w:color w:val="auto"/>
          <w:spacing w:val="2"/>
          <w:sz w:val="21"/>
          <w:szCs w:val="21"/>
          <w:highlight w:val="none"/>
        </w:rPr>
        <w:t>天对方有权解除合同，违约方承担因此给对方造成经济损失</w:t>
      </w:r>
      <w:r>
        <w:rPr>
          <w:rFonts w:hint="eastAsia" w:hAnsi="宋体" w:cs="宋体"/>
          <w:color w:val="auto"/>
          <w:spacing w:val="-9"/>
          <w:sz w:val="21"/>
          <w:szCs w:val="21"/>
          <w:highlight w:val="none"/>
        </w:rPr>
        <w:t>甲方延期付货款的，每天</w:t>
      </w:r>
      <w:r>
        <w:rPr>
          <w:rFonts w:hint="eastAsia" w:hAnsi="宋体" w:cs="宋体"/>
          <w:color w:val="auto"/>
          <w:kern w:val="2"/>
          <w:sz w:val="21"/>
          <w:szCs w:val="21"/>
          <w:highlight w:val="none"/>
        </w:rPr>
        <w:t>向乙方偿付延期货款额</w:t>
      </w:r>
      <w:r>
        <w:rPr>
          <w:rFonts w:hint="eastAsia" w:hAnsi="宋体" w:cs="宋体"/>
          <w:color w:val="auto"/>
          <w:kern w:val="2"/>
          <w:sz w:val="21"/>
          <w:szCs w:val="21"/>
          <w:highlight w:val="none"/>
          <w:u w:val="single"/>
        </w:rPr>
        <w:t>3</w:t>
      </w:r>
      <w:r>
        <w:rPr>
          <w:rFonts w:hAnsi="宋体" w:cs="宋体"/>
          <w:color w:val="auto"/>
          <w:kern w:val="2"/>
          <w:sz w:val="21"/>
          <w:szCs w:val="21"/>
          <w:highlight w:val="none"/>
          <w:u w:val="single"/>
        </w:rPr>
        <w:t>‰</w:t>
      </w:r>
      <w:r>
        <w:rPr>
          <w:rFonts w:hint="eastAsia" w:hAnsi="宋体" w:cs="宋体"/>
          <w:color w:val="auto"/>
          <w:kern w:val="2"/>
          <w:sz w:val="21"/>
          <w:szCs w:val="21"/>
          <w:highlight w:val="none"/>
        </w:rPr>
        <w:t>滞纳金，但滞纳金累计不得超过延期</w:t>
      </w:r>
      <w:r>
        <w:rPr>
          <w:rFonts w:hint="eastAsia" w:hAnsi="宋体" w:cs="宋体"/>
          <w:color w:val="auto"/>
          <w:spacing w:val="-4"/>
          <w:sz w:val="21"/>
          <w:szCs w:val="21"/>
          <w:highlight w:val="none"/>
        </w:rPr>
        <w:t>货款额</w:t>
      </w:r>
      <w:r>
        <w:rPr>
          <w:rFonts w:hint="eastAsia" w:hAnsi="宋体" w:cs="宋体"/>
          <w:color w:val="auto"/>
          <w:spacing w:val="-104"/>
          <w:sz w:val="21"/>
          <w:szCs w:val="21"/>
          <w:highlight w:val="none"/>
        </w:rPr>
        <w:t xml:space="preserve"> </w:t>
      </w:r>
      <w:r>
        <w:rPr>
          <w:rFonts w:hint="eastAsia" w:hAnsi="宋体" w:cs="宋体"/>
          <w:color w:val="auto"/>
          <w:spacing w:val="-124"/>
          <w:sz w:val="21"/>
          <w:szCs w:val="21"/>
          <w:highlight w:val="none"/>
          <w:u w:val="single"/>
        </w:rPr>
        <w:t xml:space="preserve"> </w:t>
      </w:r>
      <w:r>
        <w:rPr>
          <w:rFonts w:hint="eastAsia" w:hAnsi="宋体" w:cs="宋体"/>
          <w:color w:val="auto"/>
          <w:spacing w:val="-4"/>
          <w:sz w:val="21"/>
          <w:szCs w:val="21"/>
          <w:highlight w:val="none"/>
          <w:u w:val="single"/>
        </w:rPr>
        <w:t>5%</w:t>
      </w:r>
      <w:r>
        <w:rPr>
          <w:rFonts w:hint="eastAsia" w:hAnsi="宋体" w:cs="宋体"/>
          <w:color w:val="auto"/>
          <w:spacing w:val="-4"/>
          <w:sz w:val="21"/>
          <w:szCs w:val="21"/>
          <w:highlight w:val="none"/>
        </w:rPr>
        <w:t>。</w:t>
      </w:r>
    </w:p>
    <w:p w14:paraId="31953F7E">
      <w:pPr>
        <w:pStyle w:val="16"/>
        <w:spacing w:after="0" w:line="340" w:lineRule="exact"/>
        <w:ind w:firstLine="416" w:firstLineChars="200"/>
        <w:jc w:val="both"/>
        <w:rPr>
          <w:rFonts w:hAnsi="宋体" w:cs="宋体"/>
          <w:color w:val="auto"/>
          <w:sz w:val="21"/>
          <w:szCs w:val="21"/>
          <w:highlight w:val="none"/>
        </w:rPr>
      </w:pPr>
      <w:r>
        <w:rPr>
          <w:rFonts w:hint="eastAsia" w:hAnsi="宋体" w:cs="宋体"/>
          <w:color w:val="auto"/>
          <w:spacing w:val="-1"/>
          <w:sz w:val="21"/>
          <w:szCs w:val="21"/>
          <w:highlight w:val="none"/>
        </w:rPr>
        <w:t>5.乙方未按本合同和响应文件中规定的服务承诺提供售后服务</w:t>
      </w:r>
      <w:r>
        <w:rPr>
          <w:rFonts w:hint="eastAsia" w:hAnsi="宋体" w:cs="宋体"/>
          <w:color w:val="auto"/>
          <w:spacing w:val="6"/>
          <w:sz w:val="21"/>
          <w:szCs w:val="21"/>
          <w:highlight w:val="none"/>
        </w:rPr>
        <w:t>的，乙方应按本合同合计金额5%向甲方支付违约金。</w:t>
      </w:r>
    </w:p>
    <w:p w14:paraId="5730D787">
      <w:pPr>
        <w:pStyle w:val="16"/>
        <w:spacing w:after="0" w:line="340" w:lineRule="exact"/>
        <w:ind w:firstLine="424" w:firstLineChars="200"/>
        <w:jc w:val="both"/>
        <w:rPr>
          <w:rFonts w:hAnsi="宋体" w:cs="宋体"/>
          <w:color w:val="auto"/>
          <w:sz w:val="21"/>
          <w:szCs w:val="21"/>
          <w:highlight w:val="none"/>
        </w:rPr>
      </w:pPr>
      <w:r>
        <w:rPr>
          <w:rFonts w:hint="eastAsia" w:hAnsi="宋体" w:cs="宋体"/>
          <w:color w:val="auto"/>
          <w:spacing w:val="1"/>
          <w:sz w:val="21"/>
          <w:szCs w:val="21"/>
          <w:highlight w:val="none"/>
        </w:rPr>
        <w:t>6.乙方提供的货物在质量保证期内，因设</w:t>
      </w:r>
      <w:r>
        <w:rPr>
          <w:rFonts w:hint="eastAsia" w:hAnsi="宋体" w:cs="宋体"/>
          <w:color w:val="auto"/>
          <w:sz w:val="21"/>
          <w:szCs w:val="21"/>
          <w:highlight w:val="none"/>
        </w:rPr>
        <w:t xml:space="preserve">计、工艺或材料的缺 </w:t>
      </w:r>
      <w:r>
        <w:rPr>
          <w:rFonts w:hint="eastAsia" w:hAnsi="宋体" w:cs="宋体"/>
          <w:color w:val="auto"/>
          <w:spacing w:val="-4"/>
          <w:sz w:val="21"/>
          <w:szCs w:val="21"/>
          <w:highlight w:val="none"/>
        </w:rPr>
        <w:t>陷和其它质量原因造成的问题，由乙方负责，费用</w:t>
      </w:r>
      <w:r>
        <w:rPr>
          <w:rFonts w:hint="eastAsia" w:hAnsi="宋体" w:cs="宋体"/>
          <w:color w:val="auto"/>
          <w:spacing w:val="-5"/>
          <w:sz w:val="21"/>
          <w:szCs w:val="21"/>
          <w:highlight w:val="none"/>
        </w:rPr>
        <w:t>从履约保证金中扣</w:t>
      </w:r>
      <w:r>
        <w:rPr>
          <w:rFonts w:hint="eastAsia" w:hAnsi="宋体" w:cs="宋体"/>
          <w:color w:val="auto"/>
          <w:spacing w:val="-9"/>
          <w:sz w:val="21"/>
          <w:szCs w:val="21"/>
          <w:highlight w:val="none"/>
        </w:rPr>
        <w:t>除，不足另补。</w:t>
      </w:r>
    </w:p>
    <w:p w14:paraId="24E80762">
      <w:pPr>
        <w:pStyle w:val="16"/>
        <w:spacing w:after="0" w:line="340" w:lineRule="exact"/>
        <w:ind w:firstLine="436" w:firstLineChars="200"/>
        <w:jc w:val="both"/>
        <w:rPr>
          <w:rFonts w:hAnsi="宋体" w:cs="宋体"/>
          <w:color w:val="auto"/>
          <w:spacing w:val="9"/>
          <w:sz w:val="21"/>
          <w:szCs w:val="21"/>
          <w:highlight w:val="none"/>
        </w:rPr>
      </w:pPr>
      <w:r>
        <w:rPr>
          <w:rFonts w:hint="eastAsia" w:hAnsi="宋体" w:cs="宋体"/>
          <w:color w:val="auto"/>
          <w:spacing w:val="4"/>
          <w:sz w:val="21"/>
          <w:szCs w:val="21"/>
          <w:highlight w:val="none"/>
        </w:rPr>
        <w:t>7.其它违约行为按违约货款额5%收取违约金并赔偿经济损失。</w:t>
      </w:r>
      <w:r>
        <w:rPr>
          <w:rFonts w:hint="eastAsia" w:hAnsi="宋体" w:cs="宋体"/>
          <w:color w:val="auto"/>
          <w:spacing w:val="9"/>
          <w:sz w:val="21"/>
          <w:szCs w:val="21"/>
          <w:highlight w:val="none"/>
        </w:rPr>
        <w:t xml:space="preserve"> </w:t>
      </w:r>
    </w:p>
    <w:p w14:paraId="6430550A">
      <w:pPr>
        <w:pStyle w:val="16"/>
        <w:spacing w:after="0" w:line="340" w:lineRule="exact"/>
        <w:ind w:firstLine="432" w:firstLineChars="200"/>
        <w:jc w:val="both"/>
        <w:rPr>
          <w:rFonts w:hAnsi="宋体" w:cs="宋体"/>
          <w:color w:val="auto"/>
          <w:sz w:val="21"/>
          <w:szCs w:val="21"/>
          <w:highlight w:val="none"/>
        </w:rPr>
      </w:pPr>
      <w:r>
        <w:rPr>
          <w:rFonts w:hint="eastAsia" w:hAnsi="宋体" w:cs="宋体"/>
          <w:color w:val="auto"/>
          <w:spacing w:val="3"/>
          <w:sz w:val="21"/>
          <w:szCs w:val="21"/>
          <w:highlight w:val="none"/>
        </w:rPr>
        <w:t>8.</w:t>
      </w:r>
      <w:r>
        <w:rPr>
          <w:rFonts w:hint="eastAsia" w:hAnsi="宋体" w:cs="宋体"/>
          <w:color w:val="auto"/>
          <w:spacing w:val="-31"/>
          <w:sz w:val="21"/>
          <w:szCs w:val="21"/>
          <w:highlight w:val="none"/>
        </w:rPr>
        <w:t xml:space="preserve"> </w:t>
      </w:r>
      <w:r>
        <w:rPr>
          <w:rFonts w:hint="eastAsia" w:hAnsi="宋体" w:cs="宋体"/>
          <w:color w:val="auto"/>
          <w:spacing w:val="3"/>
          <w:sz w:val="21"/>
          <w:szCs w:val="21"/>
          <w:highlight w:val="none"/>
        </w:rPr>
        <w:t>甲乙双方最高罚款总额应不超过货款总额5%。</w:t>
      </w:r>
    </w:p>
    <w:p w14:paraId="66F05A11">
      <w:pPr>
        <w:pStyle w:val="16"/>
        <w:spacing w:after="0" w:line="340" w:lineRule="exact"/>
        <w:ind w:firstLine="422" w:firstLineChars="200"/>
        <w:jc w:val="both"/>
        <w:rPr>
          <w:rFonts w:hAnsi="宋体" w:cs="宋体"/>
          <w:b/>
          <w:bCs/>
          <w:color w:val="auto"/>
          <w:kern w:val="2"/>
          <w:sz w:val="21"/>
          <w:szCs w:val="21"/>
          <w:highlight w:val="none"/>
        </w:rPr>
      </w:pPr>
      <w:r>
        <w:rPr>
          <w:rFonts w:hint="eastAsia" w:hAnsi="宋体" w:cs="宋体"/>
          <w:b/>
          <w:bCs/>
          <w:color w:val="auto"/>
          <w:kern w:val="2"/>
          <w:sz w:val="21"/>
          <w:szCs w:val="21"/>
          <w:highlight w:val="none"/>
        </w:rPr>
        <w:t>第十五条  不可抗力事件处理</w:t>
      </w:r>
    </w:p>
    <w:p w14:paraId="08954527">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1. 在合同有效期内，任何一方因不可抗力事件导致不能履行合同，则合同履行期可延长，其延长期与不可抗力影响期相同。</w:t>
      </w:r>
    </w:p>
    <w:p w14:paraId="147DA4EC">
      <w:pPr>
        <w:pStyle w:val="16"/>
        <w:spacing w:after="0" w:line="340" w:lineRule="exact"/>
        <w:ind w:firstLine="420" w:firstLineChars="200"/>
        <w:jc w:val="both"/>
        <w:rPr>
          <w:rFonts w:hAnsi="宋体" w:cs="宋体"/>
          <w:color w:val="auto"/>
          <w:kern w:val="2"/>
          <w:sz w:val="21"/>
          <w:szCs w:val="21"/>
          <w:highlight w:val="none"/>
        </w:rPr>
      </w:pPr>
      <w:r>
        <w:rPr>
          <w:rFonts w:hint="eastAsia" w:hAnsi="宋体" w:cs="宋体"/>
          <w:color w:val="auto"/>
          <w:kern w:val="2"/>
          <w:sz w:val="21"/>
          <w:szCs w:val="21"/>
          <w:highlight w:val="none"/>
        </w:rPr>
        <w:t>2. 不可抗力事件发生后，应立即通知对方，并寄送有关权威机构出具的证明。</w:t>
      </w:r>
    </w:p>
    <w:p w14:paraId="582CF515">
      <w:pPr>
        <w:pStyle w:val="16"/>
        <w:spacing w:after="0" w:line="340" w:lineRule="exact"/>
        <w:ind w:firstLine="420" w:firstLineChars="200"/>
        <w:jc w:val="both"/>
        <w:rPr>
          <w:rFonts w:hAnsi="宋体" w:cs="宋体"/>
          <w:color w:val="auto"/>
          <w:sz w:val="21"/>
          <w:szCs w:val="21"/>
          <w:highlight w:val="none"/>
        </w:rPr>
      </w:pPr>
      <w:r>
        <w:rPr>
          <w:rFonts w:hint="eastAsia" w:hAnsi="宋体" w:cs="宋体"/>
          <w:color w:val="auto"/>
          <w:kern w:val="2"/>
          <w:sz w:val="21"/>
          <w:szCs w:val="21"/>
          <w:highlight w:val="none"/>
        </w:rPr>
        <w:t xml:space="preserve">3. </w:t>
      </w:r>
      <w:r>
        <w:rPr>
          <w:rFonts w:hint="eastAsia" w:hAnsi="宋体" w:cs="宋体"/>
          <w:color w:val="auto"/>
          <w:spacing w:val="-7"/>
          <w:sz w:val="21"/>
          <w:szCs w:val="21"/>
          <w:highlight w:val="none"/>
        </w:rPr>
        <w:t>不可抗力事件延续一百二十天以上，双方应通过友好协商，确</w:t>
      </w:r>
      <w:r>
        <w:rPr>
          <w:rFonts w:hint="eastAsia" w:hAnsi="宋体" w:cs="宋体"/>
          <w:color w:val="auto"/>
          <w:spacing w:val="-6"/>
          <w:sz w:val="21"/>
          <w:szCs w:val="21"/>
          <w:highlight w:val="none"/>
        </w:rPr>
        <w:t>定是否继续履行合同。</w:t>
      </w:r>
    </w:p>
    <w:p w14:paraId="39EEB3BA">
      <w:pPr>
        <w:pStyle w:val="16"/>
        <w:spacing w:after="0" w:line="340" w:lineRule="exact"/>
        <w:ind w:firstLine="398" w:firstLineChars="200"/>
        <w:jc w:val="both"/>
        <w:rPr>
          <w:rFonts w:hAnsi="宋体" w:cs="宋体"/>
          <w:color w:val="auto"/>
          <w:sz w:val="21"/>
          <w:szCs w:val="21"/>
          <w:highlight w:val="none"/>
        </w:rPr>
      </w:pPr>
      <w:r>
        <w:rPr>
          <w:rFonts w:hint="eastAsia" w:hAnsi="宋体" w:cs="宋体"/>
          <w:b/>
          <w:bCs/>
          <w:color w:val="auto"/>
          <w:spacing w:val="-6"/>
          <w:sz w:val="21"/>
          <w:szCs w:val="21"/>
          <w:highlight w:val="none"/>
        </w:rPr>
        <w:t>第十六条</w:t>
      </w:r>
      <w:r>
        <w:rPr>
          <w:rFonts w:hint="eastAsia" w:hAnsi="宋体" w:cs="宋体"/>
          <w:color w:val="auto"/>
          <w:spacing w:val="-6"/>
          <w:sz w:val="21"/>
          <w:szCs w:val="21"/>
          <w:highlight w:val="none"/>
        </w:rPr>
        <w:t xml:space="preserve">  </w:t>
      </w:r>
      <w:r>
        <w:rPr>
          <w:rFonts w:hint="eastAsia" w:hAnsi="宋体" w:cs="宋体"/>
          <w:b/>
          <w:bCs/>
          <w:color w:val="auto"/>
          <w:spacing w:val="-6"/>
          <w:sz w:val="21"/>
          <w:szCs w:val="21"/>
          <w:highlight w:val="none"/>
        </w:rPr>
        <w:t>合同争议解决</w:t>
      </w:r>
    </w:p>
    <w:p w14:paraId="74B507F3">
      <w:pPr>
        <w:pStyle w:val="16"/>
        <w:spacing w:after="0" w:line="340" w:lineRule="exact"/>
        <w:ind w:firstLine="396" w:firstLineChars="200"/>
        <w:jc w:val="both"/>
        <w:rPr>
          <w:rFonts w:hAnsi="宋体" w:cs="宋体"/>
          <w:color w:val="auto"/>
          <w:sz w:val="21"/>
          <w:szCs w:val="21"/>
          <w:highlight w:val="none"/>
        </w:rPr>
      </w:pPr>
      <w:r>
        <w:rPr>
          <w:rFonts w:hint="eastAsia" w:hAnsi="宋体" w:cs="宋体"/>
          <w:color w:val="auto"/>
          <w:spacing w:val="-6"/>
          <w:sz w:val="21"/>
          <w:szCs w:val="21"/>
          <w:highlight w:val="none"/>
        </w:rPr>
        <w:t>1.因货物质量问题发生争议的，应邀请国家认可的质量检测机构</w:t>
      </w:r>
      <w:r>
        <w:rPr>
          <w:rFonts w:hint="eastAsia" w:hAnsi="宋体" w:cs="宋体"/>
          <w:color w:val="auto"/>
          <w:spacing w:val="-5"/>
          <w:sz w:val="21"/>
          <w:szCs w:val="21"/>
          <w:highlight w:val="none"/>
        </w:rPr>
        <w:t>对货物质量进行鉴定。货物符合标准的，鉴定费由甲方承担；货物不</w:t>
      </w:r>
      <w:r>
        <w:rPr>
          <w:rFonts w:hint="eastAsia" w:hAnsi="宋体" w:cs="宋体"/>
          <w:color w:val="auto"/>
          <w:spacing w:val="-4"/>
          <w:sz w:val="21"/>
          <w:szCs w:val="21"/>
          <w:highlight w:val="none"/>
        </w:rPr>
        <w:t>符合标准的，鉴定费由乙方承担。</w:t>
      </w:r>
    </w:p>
    <w:p w14:paraId="1DDB0586">
      <w:pPr>
        <w:pStyle w:val="16"/>
        <w:spacing w:after="0" w:line="340" w:lineRule="exact"/>
        <w:ind w:firstLine="404" w:firstLineChars="200"/>
        <w:jc w:val="both"/>
        <w:rPr>
          <w:rFonts w:hAnsi="宋体" w:cs="宋体"/>
          <w:color w:val="auto"/>
          <w:sz w:val="21"/>
          <w:szCs w:val="21"/>
          <w:highlight w:val="none"/>
        </w:rPr>
      </w:pPr>
      <w:r>
        <w:rPr>
          <w:rFonts w:hint="eastAsia" w:hAnsi="宋体" w:cs="宋体"/>
          <w:color w:val="auto"/>
          <w:spacing w:val="-4"/>
          <w:sz w:val="21"/>
          <w:szCs w:val="21"/>
          <w:highlight w:val="none"/>
        </w:rPr>
        <w:t>2.因履行本合同引起的或与本合同有关的争议，甲乙双方应首先</w:t>
      </w:r>
      <w:r>
        <w:rPr>
          <w:rFonts w:hint="eastAsia" w:hAnsi="宋体" w:cs="宋体"/>
          <w:color w:val="auto"/>
          <w:sz w:val="21"/>
          <w:szCs w:val="21"/>
          <w:highlight w:val="none"/>
        </w:rPr>
        <w:t xml:space="preserve"> </w:t>
      </w:r>
      <w:r>
        <w:rPr>
          <w:rFonts w:hint="eastAsia" w:hAnsi="宋体" w:cs="宋体"/>
          <w:color w:val="auto"/>
          <w:spacing w:val="-5"/>
          <w:sz w:val="21"/>
          <w:szCs w:val="21"/>
          <w:highlight w:val="none"/>
        </w:rPr>
        <w:t>通过友好协商解决，如果协商不能解决，可向甲方所在地</w:t>
      </w:r>
      <w:r>
        <w:rPr>
          <w:rFonts w:hint="eastAsia" w:hAnsi="宋体" w:cs="宋体"/>
          <w:color w:val="auto"/>
          <w:spacing w:val="-8"/>
          <w:sz w:val="21"/>
          <w:szCs w:val="21"/>
          <w:highlight w:val="none"/>
        </w:rPr>
        <w:t>人民法院提起诉讼。</w:t>
      </w:r>
    </w:p>
    <w:p w14:paraId="39A7D3C2">
      <w:pPr>
        <w:pStyle w:val="16"/>
        <w:spacing w:after="0" w:line="340" w:lineRule="exact"/>
        <w:ind w:firstLine="384" w:firstLineChars="200"/>
        <w:jc w:val="both"/>
        <w:rPr>
          <w:rFonts w:hAnsi="宋体" w:cs="宋体"/>
          <w:color w:val="auto"/>
          <w:sz w:val="21"/>
          <w:szCs w:val="21"/>
          <w:highlight w:val="none"/>
        </w:rPr>
      </w:pPr>
      <w:r>
        <w:rPr>
          <w:rFonts w:hint="eastAsia" w:hAnsi="宋体" w:cs="宋体"/>
          <w:color w:val="auto"/>
          <w:spacing w:val="-9"/>
          <w:sz w:val="21"/>
          <w:szCs w:val="21"/>
          <w:highlight w:val="none"/>
        </w:rPr>
        <w:t>3.诉讼期间，本合同继续履行。</w:t>
      </w:r>
    </w:p>
    <w:p w14:paraId="2F928DFE">
      <w:pPr>
        <w:pStyle w:val="16"/>
        <w:spacing w:after="0" w:line="340" w:lineRule="exact"/>
        <w:ind w:firstLine="402" w:firstLineChars="200"/>
        <w:jc w:val="both"/>
        <w:rPr>
          <w:rFonts w:hAnsi="宋体" w:cs="宋体"/>
          <w:color w:val="auto"/>
          <w:sz w:val="21"/>
          <w:szCs w:val="21"/>
          <w:highlight w:val="none"/>
        </w:rPr>
      </w:pPr>
      <w:r>
        <w:rPr>
          <w:rFonts w:hint="eastAsia" w:hAnsi="宋体" w:cs="宋体"/>
          <w:b/>
          <w:bCs/>
          <w:color w:val="auto"/>
          <w:spacing w:val="-5"/>
          <w:sz w:val="21"/>
          <w:szCs w:val="21"/>
          <w:highlight w:val="none"/>
        </w:rPr>
        <w:t>第十七条 合同生效及其它</w:t>
      </w:r>
    </w:p>
    <w:p w14:paraId="6D86EAEC">
      <w:pPr>
        <w:pStyle w:val="16"/>
        <w:spacing w:after="0" w:line="340" w:lineRule="exact"/>
        <w:ind w:firstLine="424" w:firstLineChars="200"/>
        <w:jc w:val="both"/>
        <w:rPr>
          <w:rFonts w:hAnsi="宋体" w:cs="宋体"/>
          <w:color w:val="auto"/>
          <w:spacing w:val="1"/>
          <w:sz w:val="21"/>
          <w:szCs w:val="21"/>
          <w:highlight w:val="none"/>
        </w:rPr>
      </w:pPr>
      <w:r>
        <w:rPr>
          <w:rFonts w:hint="eastAsia" w:hAnsi="宋体" w:cs="宋体"/>
          <w:color w:val="auto"/>
          <w:spacing w:val="1"/>
          <w:sz w:val="21"/>
          <w:szCs w:val="21"/>
          <w:highlight w:val="none"/>
        </w:rPr>
        <w:t>1. 合同经双方法定代表人(负责人)或授权代表(委托代理人)签字并加盖单位公章后生效。</w:t>
      </w:r>
    </w:p>
    <w:p w14:paraId="572CB7AF">
      <w:pPr>
        <w:pStyle w:val="16"/>
        <w:spacing w:after="0" w:line="340" w:lineRule="exact"/>
        <w:ind w:firstLine="424" w:firstLineChars="200"/>
        <w:jc w:val="both"/>
        <w:rPr>
          <w:rFonts w:hAnsi="宋体" w:cs="宋体"/>
          <w:color w:val="auto"/>
          <w:spacing w:val="1"/>
          <w:sz w:val="21"/>
          <w:szCs w:val="21"/>
          <w:highlight w:val="none"/>
        </w:rPr>
      </w:pPr>
      <w:r>
        <w:rPr>
          <w:rFonts w:hint="eastAsia" w:hAnsi="宋体" w:cs="宋体"/>
          <w:color w:val="auto"/>
          <w:spacing w:val="1"/>
          <w:sz w:val="21"/>
          <w:szCs w:val="21"/>
          <w:highlight w:val="none"/>
        </w:rPr>
        <w:t>2. 合同执行中涉及采购资金和采购内容修改或补充的，须经广西区财政厅政府采购监督管理处审批，并签书面补充协议报广西区财政厅政府采购监督管理处备案，方可作为主合同不可分割的一部分。</w:t>
      </w:r>
    </w:p>
    <w:p w14:paraId="33807922">
      <w:pPr>
        <w:pStyle w:val="16"/>
        <w:spacing w:after="0" w:line="340" w:lineRule="exact"/>
        <w:ind w:firstLine="424" w:firstLineChars="200"/>
        <w:jc w:val="both"/>
        <w:rPr>
          <w:rFonts w:hAnsi="宋体" w:cs="宋体"/>
          <w:color w:val="auto"/>
          <w:spacing w:val="-6"/>
          <w:sz w:val="21"/>
          <w:szCs w:val="21"/>
          <w:highlight w:val="none"/>
        </w:rPr>
      </w:pPr>
      <w:r>
        <w:rPr>
          <w:rFonts w:hint="eastAsia" w:hAnsi="宋体" w:cs="宋体"/>
          <w:color w:val="auto"/>
          <w:spacing w:val="1"/>
          <w:sz w:val="21"/>
          <w:szCs w:val="21"/>
          <w:highlight w:val="none"/>
        </w:rPr>
        <w:t>3</w:t>
      </w:r>
      <w:r>
        <w:rPr>
          <w:rFonts w:hint="eastAsia" w:hAnsi="宋体" w:cs="宋体"/>
          <w:color w:val="auto"/>
          <w:spacing w:val="-6"/>
          <w:sz w:val="21"/>
          <w:szCs w:val="21"/>
          <w:highlight w:val="none"/>
        </w:rPr>
        <w:t>. 本合同未尽事宜，遵照《中华人民共和国民法典》有关条文执行。</w:t>
      </w:r>
    </w:p>
    <w:p w14:paraId="422A327A">
      <w:pPr>
        <w:pStyle w:val="16"/>
        <w:spacing w:after="0" w:line="340" w:lineRule="exact"/>
        <w:ind w:firstLine="402" w:firstLineChars="200"/>
        <w:jc w:val="both"/>
        <w:rPr>
          <w:rFonts w:hAnsi="宋体" w:cs="宋体"/>
          <w:color w:val="auto"/>
          <w:sz w:val="21"/>
          <w:szCs w:val="21"/>
          <w:highlight w:val="none"/>
        </w:rPr>
      </w:pPr>
      <w:r>
        <w:rPr>
          <w:rFonts w:hint="eastAsia" w:hAnsi="宋体" w:cs="宋体"/>
          <w:b/>
          <w:bCs/>
          <w:color w:val="auto"/>
          <w:spacing w:val="-5"/>
          <w:sz w:val="21"/>
          <w:szCs w:val="21"/>
          <w:highlight w:val="none"/>
        </w:rPr>
        <w:t>第十八条 合同的变更、终止与转让</w:t>
      </w:r>
    </w:p>
    <w:p w14:paraId="4DC16074">
      <w:pPr>
        <w:pStyle w:val="16"/>
        <w:spacing w:after="0" w:line="340" w:lineRule="exact"/>
        <w:ind w:firstLine="404" w:firstLineChars="200"/>
        <w:jc w:val="both"/>
        <w:rPr>
          <w:rFonts w:hAnsi="宋体" w:cs="宋体"/>
          <w:color w:val="auto"/>
          <w:sz w:val="21"/>
          <w:szCs w:val="21"/>
          <w:highlight w:val="none"/>
        </w:rPr>
      </w:pPr>
      <w:r>
        <w:rPr>
          <w:rFonts w:hint="eastAsia" w:hAnsi="宋体" w:cs="宋体"/>
          <w:color w:val="auto"/>
          <w:spacing w:val="-4"/>
          <w:sz w:val="21"/>
          <w:szCs w:val="21"/>
          <w:highlight w:val="none"/>
        </w:rPr>
        <w:t>1. 除《中华人民共和国政府采购法》第五十条规定的情形外，本合同一经签订，甲乙双方不得擅自变更、中止或终止。</w:t>
      </w:r>
    </w:p>
    <w:p w14:paraId="0D54D1ED">
      <w:pPr>
        <w:pStyle w:val="16"/>
        <w:spacing w:after="0" w:line="340" w:lineRule="exact"/>
        <w:ind w:firstLine="428" w:firstLineChars="200"/>
        <w:jc w:val="both"/>
        <w:rPr>
          <w:rFonts w:hAnsi="宋体" w:cs="宋体"/>
          <w:color w:val="auto"/>
          <w:sz w:val="21"/>
          <w:szCs w:val="21"/>
          <w:highlight w:val="none"/>
        </w:rPr>
      </w:pPr>
      <w:r>
        <w:rPr>
          <w:rFonts w:hint="eastAsia" w:hAnsi="宋体" w:cs="宋体"/>
          <w:color w:val="auto"/>
          <w:spacing w:val="2"/>
          <w:sz w:val="21"/>
          <w:szCs w:val="21"/>
          <w:highlight w:val="none"/>
        </w:rPr>
        <w:t>2.乙方不得擅自转让(无进口资格的供应商委</w:t>
      </w:r>
      <w:r>
        <w:rPr>
          <w:rFonts w:hint="eastAsia" w:hAnsi="宋体" w:cs="宋体"/>
          <w:color w:val="auto"/>
          <w:spacing w:val="1"/>
          <w:sz w:val="21"/>
          <w:szCs w:val="21"/>
          <w:highlight w:val="none"/>
        </w:rPr>
        <w:t>托进口货物除外)</w:t>
      </w:r>
      <w:r>
        <w:rPr>
          <w:rFonts w:hint="eastAsia" w:hAnsi="宋体" w:cs="宋体"/>
          <w:color w:val="auto"/>
          <w:sz w:val="21"/>
          <w:szCs w:val="21"/>
          <w:highlight w:val="none"/>
        </w:rPr>
        <w:t xml:space="preserve"> </w:t>
      </w:r>
      <w:r>
        <w:rPr>
          <w:rFonts w:hint="eastAsia" w:hAnsi="宋体" w:cs="宋体"/>
          <w:color w:val="auto"/>
          <w:spacing w:val="-5"/>
          <w:sz w:val="21"/>
          <w:szCs w:val="21"/>
          <w:highlight w:val="none"/>
        </w:rPr>
        <w:t>其应履行的合同义务。</w:t>
      </w:r>
    </w:p>
    <w:p w14:paraId="381EC0ED">
      <w:pPr>
        <w:pStyle w:val="16"/>
        <w:spacing w:after="0" w:line="340" w:lineRule="exact"/>
        <w:ind w:firstLine="398" w:firstLineChars="200"/>
        <w:jc w:val="both"/>
        <w:rPr>
          <w:rFonts w:hAnsi="宋体" w:cs="宋体"/>
          <w:color w:val="auto"/>
          <w:sz w:val="21"/>
          <w:szCs w:val="21"/>
          <w:highlight w:val="none"/>
        </w:rPr>
      </w:pPr>
      <w:r>
        <w:rPr>
          <w:rFonts w:hint="eastAsia" w:hAnsi="宋体" w:cs="宋体"/>
          <w:b/>
          <w:bCs/>
          <w:color w:val="auto"/>
          <w:spacing w:val="-6"/>
          <w:sz w:val="21"/>
          <w:szCs w:val="21"/>
          <w:highlight w:val="none"/>
        </w:rPr>
        <w:t>第十九条</w:t>
      </w:r>
      <w:r>
        <w:rPr>
          <w:rFonts w:hint="eastAsia" w:hAnsi="宋体" w:cs="宋体"/>
          <w:color w:val="auto"/>
          <w:spacing w:val="-6"/>
          <w:sz w:val="21"/>
          <w:szCs w:val="21"/>
          <w:highlight w:val="none"/>
        </w:rPr>
        <w:t xml:space="preserve">  </w:t>
      </w:r>
      <w:r>
        <w:rPr>
          <w:rFonts w:hint="eastAsia" w:hAnsi="宋体" w:cs="宋体"/>
          <w:b/>
          <w:bCs/>
          <w:color w:val="auto"/>
          <w:spacing w:val="-6"/>
          <w:sz w:val="21"/>
          <w:szCs w:val="21"/>
          <w:highlight w:val="none"/>
        </w:rPr>
        <w:t>签订本合同依据</w:t>
      </w:r>
    </w:p>
    <w:p w14:paraId="7C6FC4DF">
      <w:pPr>
        <w:pStyle w:val="16"/>
        <w:spacing w:after="0" w:line="340" w:lineRule="exact"/>
        <w:ind w:firstLine="424" w:firstLineChars="200"/>
        <w:jc w:val="both"/>
        <w:rPr>
          <w:rFonts w:hAnsi="宋体" w:cs="宋体"/>
          <w:color w:val="auto"/>
          <w:spacing w:val="1"/>
          <w:sz w:val="21"/>
          <w:szCs w:val="21"/>
          <w:highlight w:val="none"/>
        </w:rPr>
      </w:pPr>
      <w:r>
        <w:rPr>
          <w:rFonts w:hint="eastAsia" w:hAnsi="宋体" w:cs="宋体"/>
          <w:color w:val="auto"/>
          <w:spacing w:val="1"/>
          <w:sz w:val="21"/>
          <w:szCs w:val="21"/>
          <w:highlight w:val="none"/>
        </w:rPr>
        <w:t>1. 谈判文件；</w:t>
      </w:r>
    </w:p>
    <w:p w14:paraId="54777602">
      <w:pPr>
        <w:pStyle w:val="16"/>
        <w:spacing w:after="0" w:line="340" w:lineRule="exact"/>
        <w:ind w:firstLine="424" w:firstLineChars="200"/>
        <w:jc w:val="both"/>
        <w:rPr>
          <w:rFonts w:hAnsi="宋体" w:cs="宋体"/>
          <w:color w:val="auto"/>
          <w:spacing w:val="1"/>
          <w:sz w:val="21"/>
          <w:szCs w:val="21"/>
          <w:highlight w:val="none"/>
        </w:rPr>
      </w:pPr>
      <w:r>
        <w:rPr>
          <w:rFonts w:hint="eastAsia" w:hAnsi="宋体" w:cs="宋体"/>
          <w:color w:val="auto"/>
          <w:spacing w:val="1"/>
          <w:sz w:val="21"/>
          <w:szCs w:val="21"/>
          <w:highlight w:val="none"/>
        </w:rPr>
        <w:t>2. 乙方提供的响应文件；</w:t>
      </w:r>
    </w:p>
    <w:p w14:paraId="1C7B9FDE">
      <w:pPr>
        <w:pStyle w:val="16"/>
        <w:spacing w:after="0" w:line="340" w:lineRule="exact"/>
        <w:ind w:firstLine="424" w:firstLineChars="200"/>
        <w:jc w:val="both"/>
        <w:rPr>
          <w:rFonts w:hAnsi="宋体" w:cs="宋体"/>
          <w:color w:val="auto"/>
          <w:spacing w:val="1"/>
          <w:sz w:val="21"/>
          <w:szCs w:val="21"/>
          <w:highlight w:val="none"/>
        </w:rPr>
      </w:pPr>
      <w:r>
        <w:rPr>
          <w:rFonts w:hint="eastAsia" w:hAnsi="宋体" w:cs="宋体"/>
          <w:color w:val="auto"/>
          <w:spacing w:val="1"/>
          <w:sz w:val="21"/>
          <w:szCs w:val="21"/>
          <w:highlight w:val="none"/>
        </w:rPr>
        <w:t>3. 谈判书；</w:t>
      </w:r>
    </w:p>
    <w:p w14:paraId="20F12991">
      <w:pPr>
        <w:pStyle w:val="16"/>
        <w:spacing w:after="0" w:line="340" w:lineRule="exact"/>
        <w:ind w:firstLine="404" w:firstLineChars="200"/>
        <w:jc w:val="both"/>
        <w:rPr>
          <w:rFonts w:hAnsi="宋体" w:cs="宋体"/>
          <w:color w:val="auto"/>
          <w:spacing w:val="-4"/>
          <w:sz w:val="21"/>
          <w:szCs w:val="21"/>
          <w:highlight w:val="none"/>
        </w:rPr>
      </w:pPr>
      <w:r>
        <w:rPr>
          <w:rFonts w:hint="eastAsia" w:hAnsi="宋体" w:cs="宋体"/>
          <w:color w:val="auto"/>
          <w:spacing w:val="-4"/>
          <w:sz w:val="21"/>
          <w:szCs w:val="21"/>
          <w:highlight w:val="none"/>
        </w:rPr>
        <w:t>4. 成交通知书。</w:t>
      </w:r>
    </w:p>
    <w:p w14:paraId="4B6CDB92">
      <w:pPr>
        <w:pStyle w:val="16"/>
        <w:spacing w:after="0" w:line="340" w:lineRule="exact"/>
        <w:ind w:firstLine="406" w:firstLineChars="200"/>
        <w:jc w:val="both"/>
        <w:rPr>
          <w:rFonts w:hAnsi="宋体" w:cs="宋体"/>
          <w:color w:val="auto"/>
          <w:sz w:val="21"/>
          <w:szCs w:val="21"/>
          <w:highlight w:val="none"/>
        </w:rPr>
      </w:pPr>
      <w:r>
        <w:rPr>
          <w:rFonts w:hint="eastAsia" w:hAnsi="宋体" w:cs="宋体"/>
          <w:b/>
          <w:bCs/>
          <w:color w:val="auto"/>
          <w:spacing w:val="-4"/>
          <w:sz w:val="21"/>
          <w:szCs w:val="21"/>
          <w:highlight w:val="none"/>
        </w:rPr>
        <w:t>第二</w:t>
      </w:r>
      <w:r>
        <w:rPr>
          <w:rFonts w:hint="eastAsia" w:hAnsi="宋体" w:cs="宋体"/>
          <w:b/>
          <w:bCs/>
          <w:color w:val="auto"/>
          <w:sz w:val="21"/>
          <w:szCs w:val="21"/>
          <w:highlight w:val="none"/>
        </w:rPr>
        <w:t>十条</w:t>
      </w:r>
      <w:r>
        <w:rPr>
          <w:rFonts w:hint="eastAsia" w:hAnsi="宋体" w:cs="宋体"/>
          <w:b/>
          <w:color w:val="auto"/>
          <w:sz w:val="21"/>
          <w:szCs w:val="21"/>
          <w:highlight w:val="none"/>
        </w:rPr>
        <w:t>　</w:t>
      </w:r>
      <w:r>
        <w:rPr>
          <w:rFonts w:hint="eastAsia" w:hAnsi="宋体" w:cs="宋体"/>
          <w:color w:val="auto"/>
          <w:sz w:val="21"/>
          <w:szCs w:val="21"/>
          <w:highlight w:val="none"/>
        </w:rPr>
        <w:t>本合同一式</w:t>
      </w:r>
      <w:r>
        <w:rPr>
          <w:rFonts w:hint="eastAsia" w:hAnsi="宋体" w:cs="宋体"/>
          <w:color w:val="auto"/>
          <w:sz w:val="21"/>
          <w:szCs w:val="21"/>
          <w:highlight w:val="none"/>
          <w:u w:val="single"/>
        </w:rPr>
        <w:t xml:space="preserve">  陆   </w:t>
      </w:r>
      <w:r>
        <w:rPr>
          <w:rFonts w:hint="eastAsia" w:hAnsi="宋体" w:cs="宋体"/>
          <w:color w:val="auto"/>
          <w:sz w:val="21"/>
          <w:szCs w:val="21"/>
          <w:highlight w:val="none"/>
        </w:rPr>
        <w:t>份，具有同等法律效力，采购代理单位、政府采购监管部门各一份，甲乙双方各</w:t>
      </w:r>
      <w:r>
        <w:rPr>
          <w:rFonts w:hint="eastAsia" w:hAnsi="宋体" w:cs="宋体"/>
          <w:color w:val="auto"/>
          <w:sz w:val="21"/>
          <w:szCs w:val="21"/>
          <w:highlight w:val="none"/>
          <w:u w:val="single"/>
        </w:rPr>
        <w:t xml:space="preserve"> 贰  </w:t>
      </w:r>
      <w:r>
        <w:rPr>
          <w:rFonts w:hint="eastAsia" w:hAnsi="宋体" w:cs="宋体"/>
          <w:color w:val="auto"/>
          <w:sz w:val="21"/>
          <w:szCs w:val="21"/>
          <w:highlight w:val="none"/>
        </w:rPr>
        <w:t>份。</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0090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E650E03">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 xml:space="preserve">甲方（章）           </w:t>
            </w:r>
          </w:p>
          <w:p w14:paraId="49002B60">
            <w:pPr>
              <w:snapToGrid w:val="0"/>
              <w:spacing w:line="340" w:lineRule="exact"/>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14:paraId="66D4FA48">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 xml:space="preserve">乙方（章）              </w:t>
            </w:r>
          </w:p>
          <w:p w14:paraId="34F92A5C">
            <w:pPr>
              <w:snapToGrid w:val="0"/>
              <w:spacing w:line="340" w:lineRule="exact"/>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6A1C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07F35A89">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14:paraId="130C14CF">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单位地址：</w:t>
            </w:r>
          </w:p>
        </w:tc>
      </w:tr>
      <w:tr w14:paraId="1661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015CFFE5">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14:paraId="0F3793D7">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法定代表人：</w:t>
            </w:r>
          </w:p>
        </w:tc>
      </w:tr>
      <w:tr w14:paraId="7A95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84F1213">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14:paraId="3983EFB5">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委托代理人</w:t>
            </w:r>
          </w:p>
        </w:tc>
      </w:tr>
      <w:tr w14:paraId="51CD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4AFD3C1">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电话：</w:t>
            </w:r>
          </w:p>
        </w:tc>
        <w:tc>
          <w:tcPr>
            <w:tcW w:w="4517" w:type="dxa"/>
            <w:tcBorders>
              <w:top w:val="single" w:color="auto" w:sz="4" w:space="0"/>
              <w:left w:val="single" w:color="auto" w:sz="4" w:space="0"/>
              <w:bottom w:val="single" w:color="auto" w:sz="4" w:space="0"/>
              <w:right w:val="single" w:color="auto" w:sz="4" w:space="0"/>
            </w:tcBorders>
            <w:vAlign w:val="center"/>
          </w:tcPr>
          <w:p w14:paraId="0E826F3D">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电话：</w:t>
            </w:r>
          </w:p>
        </w:tc>
      </w:tr>
      <w:tr w14:paraId="6140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1879A07">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14:paraId="01888486">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电子邮箱：</w:t>
            </w:r>
          </w:p>
        </w:tc>
      </w:tr>
      <w:tr w14:paraId="4866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B96C723">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14:paraId="2CB85187">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开户银行：</w:t>
            </w:r>
          </w:p>
        </w:tc>
      </w:tr>
      <w:tr w14:paraId="53C8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D9ED08D">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账号：</w:t>
            </w:r>
          </w:p>
        </w:tc>
        <w:tc>
          <w:tcPr>
            <w:tcW w:w="4517" w:type="dxa"/>
            <w:tcBorders>
              <w:top w:val="single" w:color="auto" w:sz="4" w:space="0"/>
              <w:left w:val="single" w:color="auto" w:sz="4" w:space="0"/>
              <w:bottom w:val="single" w:color="auto" w:sz="4" w:space="0"/>
              <w:right w:val="single" w:color="auto" w:sz="4" w:space="0"/>
            </w:tcBorders>
            <w:vAlign w:val="center"/>
          </w:tcPr>
          <w:p w14:paraId="6A71C7F0">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账号：</w:t>
            </w:r>
          </w:p>
        </w:tc>
      </w:tr>
      <w:tr w14:paraId="33C2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7179D98">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14:paraId="65765525">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邮政编码：</w:t>
            </w:r>
          </w:p>
        </w:tc>
      </w:tr>
      <w:tr w14:paraId="09C3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9033" w:type="dxa"/>
            <w:gridSpan w:val="2"/>
            <w:tcBorders>
              <w:top w:val="single" w:color="auto" w:sz="4" w:space="0"/>
              <w:left w:val="single" w:color="auto" w:sz="4" w:space="0"/>
              <w:bottom w:val="single" w:color="auto" w:sz="4" w:space="0"/>
              <w:right w:val="single" w:color="auto" w:sz="4" w:space="0"/>
            </w:tcBorders>
          </w:tcPr>
          <w:p w14:paraId="60309F75">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经办人：                                                            年    月    日</w:t>
            </w:r>
          </w:p>
        </w:tc>
      </w:tr>
      <w:bookmarkEnd w:id="22"/>
      <w:bookmarkEnd w:id="23"/>
      <w:bookmarkEnd w:id="24"/>
      <w:bookmarkEnd w:id="25"/>
      <w:bookmarkEnd w:id="26"/>
      <w:bookmarkEnd w:id="27"/>
      <w:bookmarkEnd w:id="28"/>
      <w:bookmarkEnd w:id="29"/>
      <w:bookmarkEnd w:id="30"/>
      <w:bookmarkEnd w:id="31"/>
      <w:bookmarkEnd w:id="36"/>
    </w:tbl>
    <w:p w14:paraId="21802090">
      <w:pPr>
        <w:pStyle w:val="3"/>
        <w:rPr>
          <w:rFonts w:ascii="宋体" w:hAnsi="宋体" w:cs="宋体"/>
          <w:color w:val="auto"/>
          <w:highlight w:val="none"/>
        </w:rPr>
      </w:pPr>
    </w:p>
    <w:p w14:paraId="5A67773D">
      <w:pPr>
        <w:rPr>
          <w:color w:val="auto"/>
          <w:highlight w:val="none"/>
        </w:rPr>
      </w:pPr>
    </w:p>
    <w:p w14:paraId="2D243C85">
      <w:pPr>
        <w:rPr>
          <w:color w:val="auto"/>
          <w:highlight w:val="none"/>
        </w:rPr>
      </w:pPr>
    </w:p>
    <w:p w14:paraId="4CF04CA1">
      <w:pPr>
        <w:rPr>
          <w:color w:val="auto"/>
          <w:highlight w:val="none"/>
        </w:rPr>
      </w:pPr>
    </w:p>
    <w:p w14:paraId="6288F9FD">
      <w:pPr>
        <w:rPr>
          <w:color w:val="auto"/>
          <w:highlight w:val="none"/>
        </w:rPr>
      </w:pPr>
    </w:p>
    <w:p w14:paraId="4119145C">
      <w:pPr>
        <w:rPr>
          <w:color w:val="auto"/>
          <w:highlight w:val="none"/>
        </w:rPr>
      </w:pPr>
    </w:p>
    <w:p w14:paraId="0A6308E5">
      <w:pPr>
        <w:rPr>
          <w:color w:val="auto"/>
          <w:highlight w:val="none"/>
        </w:rPr>
      </w:pPr>
    </w:p>
    <w:p w14:paraId="7DC00B83">
      <w:pPr>
        <w:rPr>
          <w:color w:val="auto"/>
          <w:highlight w:val="none"/>
        </w:rPr>
      </w:pPr>
    </w:p>
    <w:p w14:paraId="6A00421E">
      <w:pPr>
        <w:rPr>
          <w:color w:val="auto"/>
          <w:highlight w:val="none"/>
        </w:rPr>
      </w:pPr>
    </w:p>
    <w:p w14:paraId="1E2B4004">
      <w:pPr>
        <w:rPr>
          <w:color w:val="auto"/>
          <w:highlight w:val="none"/>
        </w:rPr>
      </w:pPr>
    </w:p>
    <w:p w14:paraId="5982E756">
      <w:pPr>
        <w:rPr>
          <w:color w:val="auto"/>
          <w:highlight w:val="none"/>
        </w:rPr>
      </w:pPr>
    </w:p>
    <w:p w14:paraId="7310BF21">
      <w:pPr>
        <w:rPr>
          <w:color w:val="auto"/>
          <w:highlight w:val="none"/>
        </w:rPr>
      </w:pPr>
    </w:p>
    <w:p w14:paraId="35738233">
      <w:pPr>
        <w:rPr>
          <w:color w:val="auto"/>
          <w:highlight w:val="none"/>
        </w:rPr>
      </w:pPr>
    </w:p>
    <w:p w14:paraId="21EC1445">
      <w:pPr>
        <w:rPr>
          <w:color w:val="auto"/>
          <w:highlight w:val="none"/>
        </w:rPr>
      </w:pPr>
    </w:p>
    <w:p w14:paraId="3C21125E">
      <w:pPr>
        <w:rPr>
          <w:color w:val="auto"/>
          <w:highlight w:val="none"/>
        </w:rPr>
      </w:pPr>
    </w:p>
    <w:p w14:paraId="67241507">
      <w:pPr>
        <w:rPr>
          <w:color w:val="auto"/>
          <w:highlight w:val="none"/>
        </w:rPr>
      </w:pPr>
    </w:p>
    <w:p w14:paraId="1226DBF9">
      <w:pPr>
        <w:rPr>
          <w:color w:val="auto"/>
          <w:highlight w:val="none"/>
        </w:rPr>
      </w:pPr>
    </w:p>
    <w:p w14:paraId="19E262C4">
      <w:pPr>
        <w:rPr>
          <w:color w:val="auto"/>
          <w:highlight w:val="none"/>
        </w:rPr>
      </w:pPr>
    </w:p>
    <w:p w14:paraId="36D8F96C">
      <w:pPr>
        <w:rPr>
          <w:color w:val="auto"/>
          <w:highlight w:val="none"/>
        </w:rPr>
      </w:pPr>
    </w:p>
    <w:p w14:paraId="44D62654">
      <w:pPr>
        <w:rPr>
          <w:color w:val="auto"/>
          <w:highlight w:val="none"/>
        </w:rPr>
      </w:pPr>
    </w:p>
    <w:p w14:paraId="061BAD9F">
      <w:pPr>
        <w:rPr>
          <w:color w:val="auto"/>
          <w:highlight w:val="none"/>
        </w:rPr>
      </w:pPr>
    </w:p>
    <w:p w14:paraId="307B891D">
      <w:pPr>
        <w:rPr>
          <w:color w:val="auto"/>
          <w:highlight w:val="none"/>
        </w:rPr>
      </w:pPr>
    </w:p>
    <w:p w14:paraId="62FA28FE">
      <w:pPr>
        <w:rPr>
          <w:color w:val="auto"/>
          <w:highlight w:val="none"/>
        </w:rPr>
      </w:pPr>
    </w:p>
    <w:p w14:paraId="5933F71B">
      <w:pPr>
        <w:pStyle w:val="3"/>
        <w:rPr>
          <w:rFonts w:ascii="宋体" w:hAnsi="宋体" w:cs="宋体"/>
          <w:color w:val="auto"/>
          <w:highlight w:val="none"/>
        </w:rPr>
      </w:pPr>
      <w:bookmarkStart w:id="37" w:name="_Toc15663"/>
      <w:r>
        <w:rPr>
          <w:rFonts w:hint="eastAsia" w:ascii="宋体" w:hAnsi="宋体" w:cs="宋体"/>
          <w:color w:val="auto"/>
          <w:highlight w:val="none"/>
        </w:rPr>
        <w:t>第六章 评审办法</w:t>
      </w:r>
      <w:bookmarkEnd w:id="37"/>
    </w:p>
    <w:p w14:paraId="1C6341BD">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一、评审原则</w:t>
      </w:r>
    </w:p>
    <w:p w14:paraId="59AB5CE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谈判小组的构成：本采购项目的谈判小组分别由评审专家、采购人代表等三人以上单数组成，其中技术、经济专家人数不少于成员总数的三分之二。采购人不得以评审专家身份参加本部门或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6B009A19">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（二）评审依据：</w:t>
      </w:r>
    </w:p>
    <w:p w14:paraId="55D62053">
      <w:pPr>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1、以谈判文件、响应文件为评审依据。</w:t>
      </w:r>
    </w:p>
    <w:p w14:paraId="50BC0396">
      <w:pPr>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谈判小组认为供应商的报价明显低于其他通过符合性审查供应商的报价，有可能影响产品质量或者不能诚信履约的，可要求其在评标现场合理的时间内按以下成本构成科目以书面方式提供计算数据及计算方法作为报价合理性的证明资料：包括所需材料、管理费用、人员成本构成、税收等所有成本和利润。供应商也可直接在投标时需提供上述资料以避免因无法及时提供说明而导致可能被谈判小组作为无效响应处理。如果供应商不能合理说明或者提供的有关证明材料不完整，不能证明其报价合理性的，谈判小组将其作为无效投标处理。供应商书面说明应当签字确认或者加盖公章，否则无效。</w:t>
      </w:r>
    </w:p>
    <w:p w14:paraId="7FF373A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（三）评审方法：在质量和服务均能满足谈判文件实质性响应要求的前提下，按最后评审价由低到高排列成交候选供应商顺序，并依照次序确定成交候选供应商。</w:t>
      </w:r>
    </w:p>
    <w:p w14:paraId="6E7A0DAE">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二、评审方法</w:t>
      </w:r>
    </w:p>
    <w:p w14:paraId="01CA3AB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（一）资格审查</w:t>
      </w:r>
    </w:p>
    <w:p w14:paraId="18FF2F2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谈判小组依法对供应商的资格进行审查。</w:t>
      </w:r>
    </w:p>
    <w:tbl>
      <w:tblPr>
        <w:tblStyle w:val="35"/>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8"/>
        <w:gridCol w:w="3260"/>
        <w:gridCol w:w="4985"/>
      </w:tblGrid>
      <w:tr w14:paraId="372A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405C9B6D">
            <w:pPr>
              <w:pStyle w:val="19"/>
              <w:spacing w:line="36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序号</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0037A18A">
            <w:pPr>
              <w:pStyle w:val="19"/>
              <w:spacing w:line="36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检查因素</w:t>
            </w:r>
          </w:p>
        </w:tc>
        <w:tc>
          <w:tcPr>
            <w:tcW w:w="4985" w:type="dxa"/>
            <w:tcBorders>
              <w:top w:val="single" w:color="auto" w:sz="4" w:space="0"/>
              <w:left w:val="single" w:color="auto" w:sz="4" w:space="0"/>
              <w:bottom w:val="single" w:color="auto" w:sz="4" w:space="0"/>
              <w:right w:val="single" w:color="auto" w:sz="4" w:space="0"/>
            </w:tcBorders>
            <w:vAlign w:val="center"/>
          </w:tcPr>
          <w:p w14:paraId="5E4FBC4E">
            <w:pPr>
              <w:pStyle w:val="19"/>
              <w:spacing w:line="36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检查内容</w:t>
            </w:r>
          </w:p>
        </w:tc>
      </w:tr>
      <w:tr w14:paraId="3B8C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4170E308">
            <w:pPr>
              <w:pStyle w:val="19"/>
              <w:spacing w:line="360" w:lineRule="exact"/>
              <w:rPr>
                <w:rFonts w:hAnsi="宋体" w:cs="宋体"/>
                <w:color w:val="auto"/>
                <w:kern w:val="2"/>
                <w:sz w:val="21"/>
                <w:szCs w:val="21"/>
                <w:highlight w:val="none"/>
              </w:rPr>
            </w:pPr>
            <w:r>
              <w:rPr>
                <w:rFonts w:hint="eastAsia" w:hAnsi="宋体" w:cs="宋体"/>
                <w:color w:val="auto"/>
                <w:kern w:val="2"/>
                <w:sz w:val="21"/>
                <w:szCs w:val="21"/>
                <w:highlight w:val="none"/>
              </w:rPr>
              <w:t>（一）</w:t>
            </w:r>
          </w:p>
        </w:tc>
        <w:tc>
          <w:tcPr>
            <w:tcW w:w="568" w:type="dxa"/>
            <w:vMerge w:val="restart"/>
            <w:tcBorders>
              <w:top w:val="single" w:color="auto" w:sz="4" w:space="0"/>
              <w:left w:val="single" w:color="auto" w:sz="4" w:space="0"/>
              <w:bottom w:val="single" w:color="auto" w:sz="4" w:space="0"/>
              <w:right w:val="single" w:color="auto" w:sz="4" w:space="0"/>
            </w:tcBorders>
            <w:vAlign w:val="center"/>
          </w:tcPr>
          <w:p w14:paraId="47B99D4B">
            <w:pPr>
              <w:pStyle w:val="19"/>
              <w:spacing w:line="36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供应商应符合的基本资格条件</w:t>
            </w:r>
          </w:p>
        </w:tc>
        <w:tc>
          <w:tcPr>
            <w:tcW w:w="3260" w:type="dxa"/>
            <w:tcBorders>
              <w:top w:val="single" w:color="auto" w:sz="4" w:space="0"/>
              <w:left w:val="single" w:color="auto" w:sz="4" w:space="0"/>
              <w:bottom w:val="single" w:color="auto" w:sz="4" w:space="0"/>
              <w:right w:val="single" w:color="auto" w:sz="4" w:space="0"/>
            </w:tcBorders>
            <w:vAlign w:val="center"/>
          </w:tcPr>
          <w:p w14:paraId="24897A8B">
            <w:pPr>
              <w:pStyle w:val="19"/>
              <w:spacing w:line="360" w:lineRule="exact"/>
              <w:rPr>
                <w:rFonts w:hAnsi="宋体" w:cs="宋体"/>
                <w:color w:val="auto"/>
                <w:kern w:val="2"/>
                <w:sz w:val="21"/>
                <w:szCs w:val="21"/>
                <w:highlight w:val="none"/>
              </w:rPr>
            </w:pPr>
            <w:r>
              <w:rPr>
                <w:rFonts w:hint="eastAsia" w:hAnsi="宋体" w:cs="宋体"/>
                <w:color w:val="auto"/>
                <w:kern w:val="2"/>
                <w:sz w:val="21"/>
                <w:szCs w:val="21"/>
                <w:highlight w:val="none"/>
              </w:rPr>
              <w:t>1.具有独立承担民事责任的能力</w:t>
            </w:r>
          </w:p>
        </w:tc>
        <w:tc>
          <w:tcPr>
            <w:tcW w:w="4985" w:type="dxa"/>
            <w:tcBorders>
              <w:top w:val="single" w:color="auto" w:sz="4" w:space="0"/>
              <w:left w:val="single" w:color="auto" w:sz="4" w:space="0"/>
              <w:bottom w:val="single" w:color="auto" w:sz="4" w:space="0"/>
              <w:right w:val="single" w:color="auto" w:sz="4" w:space="0"/>
            </w:tcBorders>
            <w:vAlign w:val="center"/>
          </w:tcPr>
          <w:p w14:paraId="17620D3C">
            <w:pPr>
              <w:pStyle w:val="19"/>
              <w:spacing w:line="360" w:lineRule="exact"/>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1.供应商提供合法的主体资格证明（如营业执照、事业单位法人证书、执业许可证、个体工商户营业执照、自然人身份证等）复印件、税务登记证、组织机构代码证副本复印件（采用“三证合一”营业执照的，不须提供税务登记证、组织机构代码证）。</w:t>
            </w:r>
          </w:p>
          <w:p w14:paraId="0BCDBB7E">
            <w:pPr>
              <w:pStyle w:val="19"/>
              <w:spacing w:line="360" w:lineRule="exact"/>
              <w:ind w:firstLine="420" w:firstLineChars="200"/>
              <w:rPr>
                <w:rFonts w:hAnsi="宋体" w:cs="宋体"/>
                <w:color w:val="auto"/>
                <w:highlight w:val="none"/>
              </w:rPr>
            </w:pPr>
            <w:r>
              <w:rPr>
                <w:rFonts w:hint="eastAsia" w:hAnsi="宋体" w:cs="宋体"/>
                <w:color w:val="auto"/>
                <w:kern w:val="2"/>
                <w:sz w:val="21"/>
                <w:szCs w:val="21"/>
                <w:highlight w:val="none"/>
              </w:rPr>
              <w:t>2.如为分支机构投标的，须提供其总公司“营业执照”副本复印件和总公司对供应商参与本项目投标的授权书原件。</w:t>
            </w:r>
          </w:p>
        </w:tc>
      </w:tr>
      <w:tr w14:paraId="7DA0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5DB8CCD">
            <w:pPr>
              <w:widowControl/>
              <w:spacing w:line="360" w:lineRule="exact"/>
              <w:jc w:val="left"/>
              <w:rPr>
                <w:rFonts w:ascii="宋体" w:hAnsi="宋体" w:cs="宋体"/>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5B66423C">
            <w:pPr>
              <w:widowControl/>
              <w:spacing w:line="360" w:lineRule="exact"/>
              <w:jc w:val="left"/>
              <w:rPr>
                <w:rFonts w:ascii="宋体" w:hAnsi="宋体" w:cs="宋体"/>
                <w:color w:val="auto"/>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5F600276">
            <w:pPr>
              <w:pStyle w:val="19"/>
              <w:spacing w:line="360" w:lineRule="exact"/>
              <w:rPr>
                <w:rFonts w:hAnsi="宋体" w:cs="宋体"/>
                <w:color w:val="auto"/>
                <w:kern w:val="2"/>
                <w:sz w:val="21"/>
                <w:szCs w:val="21"/>
                <w:highlight w:val="none"/>
              </w:rPr>
            </w:pPr>
            <w:r>
              <w:rPr>
                <w:rFonts w:hint="eastAsia" w:hAnsi="宋体" w:cs="宋体"/>
                <w:color w:val="auto"/>
                <w:sz w:val="21"/>
                <w:szCs w:val="21"/>
                <w:highlight w:val="none"/>
              </w:rPr>
              <w:t>2.具有良好的商业信誉和健全的财务会计制度、有依法缴纳税收和社会保障金的良好记录、有履行合同所必需的设备和专业技术能力</w:t>
            </w:r>
          </w:p>
        </w:tc>
        <w:tc>
          <w:tcPr>
            <w:tcW w:w="4985" w:type="dxa"/>
            <w:tcBorders>
              <w:top w:val="single" w:color="auto" w:sz="4" w:space="0"/>
              <w:left w:val="single" w:color="auto" w:sz="4" w:space="0"/>
              <w:bottom w:val="single" w:color="auto" w:sz="4" w:space="0"/>
              <w:right w:val="single" w:color="auto" w:sz="4" w:space="0"/>
            </w:tcBorders>
            <w:vAlign w:val="center"/>
          </w:tcPr>
          <w:p w14:paraId="13CB494C">
            <w:pPr>
              <w:pStyle w:val="19"/>
              <w:spacing w:line="360" w:lineRule="exact"/>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提供谈判</w:t>
            </w:r>
            <w:r>
              <w:rPr>
                <w:rFonts w:hint="eastAsia" w:hAnsi="宋体" w:cs="宋体"/>
                <w:color w:val="auto"/>
                <w:sz w:val="21"/>
                <w:szCs w:val="21"/>
                <w:highlight w:val="none"/>
              </w:rPr>
              <w:t>声明书、</w:t>
            </w:r>
            <w:r>
              <w:rPr>
                <w:rFonts w:hint="eastAsia" w:hAnsi="宋体" w:cs="宋体"/>
                <w:color w:val="auto"/>
                <w:kern w:val="2"/>
                <w:sz w:val="21"/>
                <w:szCs w:val="21"/>
                <w:highlight w:val="none"/>
              </w:rPr>
              <w:t>政府采购供应商资格信用承诺函。</w:t>
            </w:r>
          </w:p>
        </w:tc>
      </w:tr>
      <w:tr w14:paraId="4B6E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7183015E">
            <w:pPr>
              <w:widowControl/>
              <w:spacing w:line="360" w:lineRule="exact"/>
              <w:jc w:val="left"/>
              <w:rPr>
                <w:rFonts w:ascii="宋体" w:hAnsi="宋体" w:cs="宋体"/>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4E146B7F">
            <w:pPr>
              <w:widowControl/>
              <w:spacing w:line="360" w:lineRule="exact"/>
              <w:jc w:val="left"/>
              <w:rPr>
                <w:rFonts w:ascii="宋体" w:hAnsi="宋体" w:cs="宋体"/>
                <w:color w:val="auto"/>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48765CC6">
            <w:pPr>
              <w:pStyle w:val="19"/>
              <w:spacing w:line="360" w:lineRule="exact"/>
              <w:rPr>
                <w:rFonts w:hAnsi="宋体" w:cs="宋体"/>
                <w:color w:val="auto"/>
                <w:kern w:val="2"/>
                <w:sz w:val="21"/>
                <w:szCs w:val="21"/>
                <w:highlight w:val="none"/>
              </w:rPr>
            </w:pPr>
            <w:r>
              <w:rPr>
                <w:rFonts w:hint="eastAsia" w:hAnsi="宋体" w:cs="宋体"/>
                <w:color w:val="auto"/>
                <w:kern w:val="2"/>
                <w:sz w:val="21"/>
                <w:szCs w:val="21"/>
                <w:highlight w:val="none"/>
              </w:rPr>
              <w:t>3.参加政府采购活动前三年内，在经营活动中没有重大违法记录</w:t>
            </w:r>
          </w:p>
        </w:tc>
        <w:tc>
          <w:tcPr>
            <w:tcW w:w="4985" w:type="dxa"/>
            <w:tcBorders>
              <w:top w:val="single" w:color="auto" w:sz="4" w:space="0"/>
              <w:left w:val="single" w:color="auto" w:sz="4" w:space="0"/>
              <w:bottom w:val="single" w:color="auto" w:sz="4" w:space="0"/>
              <w:right w:val="single" w:color="auto" w:sz="4" w:space="0"/>
            </w:tcBorders>
            <w:vAlign w:val="center"/>
          </w:tcPr>
          <w:p w14:paraId="081C3B43">
            <w:pPr>
              <w:pStyle w:val="19"/>
              <w:spacing w:line="360" w:lineRule="exact"/>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1.提供参加政府采购活动前三年内在经营活动中没有重大违法记录和不良信用记录的书面声明书。</w:t>
            </w:r>
          </w:p>
          <w:p w14:paraId="0560B309">
            <w:pPr>
              <w:pStyle w:val="19"/>
              <w:spacing w:line="360" w:lineRule="exact"/>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2.在资格审查时，</w:t>
            </w:r>
            <w:r>
              <w:rPr>
                <w:rFonts w:hint="eastAsia" w:hAnsi="宋体" w:cs="宋体"/>
                <w:bCs/>
                <w:color w:val="auto"/>
                <w:szCs w:val="21"/>
                <w:highlight w:val="none"/>
              </w:rPr>
              <w:t>由谈判小组</w:t>
            </w:r>
            <w:r>
              <w:rPr>
                <w:rFonts w:hint="eastAsia" w:hAnsi="宋体" w:cs="宋体"/>
                <w:color w:val="auto"/>
                <w:kern w:val="2"/>
                <w:sz w:val="21"/>
                <w:szCs w:val="21"/>
                <w:highlight w:val="none"/>
              </w:rPr>
              <w:t>通过“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14:paraId="0AD2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09C2690E">
            <w:pPr>
              <w:widowControl/>
              <w:spacing w:line="360" w:lineRule="exact"/>
              <w:jc w:val="left"/>
              <w:rPr>
                <w:rFonts w:ascii="宋体" w:hAnsi="宋体" w:cs="宋体"/>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0DEF8EA0">
            <w:pPr>
              <w:widowControl/>
              <w:spacing w:line="360" w:lineRule="exact"/>
              <w:jc w:val="left"/>
              <w:rPr>
                <w:rFonts w:ascii="宋体" w:hAnsi="宋体" w:cs="宋体"/>
                <w:color w:val="auto"/>
                <w:szCs w:val="21"/>
                <w:highlight w:val="none"/>
              </w:rPr>
            </w:pPr>
          </w:p>
        </w:tc>
        <w:tc>
          <w:tcPr>
            <w:tcW w:w="3260" w:type="dxa"/>
            <w:vMerge w:val="restart"/>
            <w:tcBorders>
              <w:top w:val="single" w:color="auto" w:sz="4" w:space="0"/>
              <w:left w:val="single" w:color="auto" w:sz="4" w:space="0"/>
              <w:bottom w:val="single" w:color="auto" w:sz="4" w:space="0"/>
              <w:right w:val="single" w:color="auto" w:sz="4" w:space="0"/>
            </w:tcBorders>
            <w:vAlign w:val="center"/>
          </w:tcPr>
          <w:p w14:paraId="347DA9E6">
            <w:pPr>
              <w:pStyle w:val="19"/>
              <w:spacing w:line="360" w:lineRule="exact"/>
              <w:rPr>
                <w:rFonts w:hAnsi="宋体" w:cs="宋体"/>
                <w:color w:val="auto"/>
                <w:kern w:val="2"/>
                <w:sz w:val="21"/>
                <w:szCs w:val="21"/>
                <w:highlight w:val="none"/>
              </w:rPr>
            </w:pPr>
            <w:r>
              <w:rPr>
                <w:rFonts w:hint="eastAsia" w:hAnsi="宋体" w:cs="宋体"/>
                <w:color w:val="auto"/>
                <w:kern w:val="2"/>
                <w:sz w:val="21"/>
                <w:szCs w:val="21"/>
                <w:highlight w:val="none"/>
              </w:rPr>
              <w:t>4.法律、行政法规规定的其他条件</w:t>
            </w:r>
          </w:p>
        </w:tc>
        <w:tc>
          <w:tcPr>
            <w:tcW w:w="4985" w:type="dxa"/>
            <w:tcBorders>
              <w:top w:val="single" w:color="auto" w:sz="4" w:space="0"/>
              <w:left w:val="single" w:color="auto" w:sz="4" w:space="0"/>
              <w:bottom w:val="single" w:color="auto" w:sz="4" w:space="0"/>
              <w:right w:val="single" w:color="auto" w:sz="4" w:space="0"/>
            </w:tcBorders>
            <w:vAlign w:val="center"/>
          </w:tcPr>
          <w:p w14:paraId="7CA1B26B">
            <w:pPr>
              <w:pStyle w:val="19"/>
              <w:spacing w:line="360" w:lineRule="exact"/>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1.单位负责人为同一人或者存在直接控股、管理关系的不同供应商，不得参加同一合同项下的政府采购活动。提供供应商直接控股、管理关系信息表。</w:t>
            </w:r>
          </w:p>
        </w:tc>
      </w:tr>
      <w:tr w14:paraId="6D11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473E9E9E">
            <w:pPr>
              <w:widowControl/>
              <w:spacing w:line="360" w:lineRule="exact"/>
              <w:jc w:val="left"/>
              <w:rPr>
                <w:rFonts w:ascii="宋体" w:hAnsi="宋体" w:cs="宋体"/>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78277C0B">
            <w:pPr>
              <w:widowControl/>
              <w:spacing w:line="360" w:lineRule="exact"/>
              <w:jc w:val="left"/>
              <w:rPr>
                <w:rFonts w:ascii="宋体" w:hAnsi="宋体" w:cs="宋体"/>
                <w:color w:val="auto"/>
                <w:szCs w:val="21"/>
                <w:highlight w:val="none"/>
              </w:rPr>
            </w:pPr>
          </w:p>
        </w:tc>
        <w:tc>
          <w:tcPr>
            <w:tcW w:w="3260" w:type="dxa"/>
            <w:vMerge w:val="continue"/>
            <w:tcBorders>
              <w:top w:val="single" w:color="auto" w:sz="4" w:space="0"/>
              <w:left w:val="single" w:color="auto" w:sz="4" w:space="0"/>
              <w:bottom w:val="single" w:color="auto" w:sz="4" w:space="0"/>
              <w:right w:val="single" w:color="auto" w:sz="4" w:space="0"/>
            </w:tcBorders>
            <w:vAlign w:val="center"/>
          </w:tcPr>
          <w:p w14:paraId="7E974465">
            <w:pPr>
              <w:widowControl/>
              <w:spacing w:line="360" w:lineRule="exact"/>
              <w:jc w:val="left"/>
              <w:rPr>
                <w:rFonts w:ascii="宋体" w:hAnsi="宋体" w:cs="宋体"/>
                <w:color w:val="auto"/>
                <w:szCs w:val="21"/>
                <w:highlight w:val="none"/>
              </w:rPr>
            </w:pPr>
          </w:p>
        </w:tc>
        <w:tc>
          <w:tcPr>
            <w:tcW w:w="4985" w:type="dxa"/>
            <w:tcBorders>
              <w:top w:val="single" w:color="auto" w:sz="4" w:space="0"/>
              <w:left w:val="single" w:color="auto" w:sz="4" w:space="0"/>
              <w:bottom w:val="single" w:color="auto" w:sz="4" w:space="0"/>
              <w:right w:val="single" w:color="auto" w:sz="4" w:space="0"/>
            </w:tcBorders>
            <w:vAlign w:val="center"/>
          </w:tcPr>
          <w:p w14:paraId="37E8CBC0">
            <w:pPr>
              <w:pStyle w:val="19"/>
              <w:spacing w:line="360" w:lineRule="exact"/>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1.为本项目提供过整体设计、规范编制或者项目管理、监理、检测等服务的供应商，不得再参加本项目上述服务以外的其他采购活动。提供谈判声明书。</w:t>
            </w:r>
          </w:p>
        </w:tc>
      </w:tr>
      <w:tr w14:paraId="76A2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21A7CE77">
            <w:pPr>
              <w:pStyle w:val="19"/>
              <w:spacing w:line="360" w:lineRule="exact"/>
              <w:rPr>
                <w:rFonts w:hAnsi="宋体" w:cs="宋体"/>
                <w:color w:val="auto"/>
                <w:kern w:val="2"/>
                <w:sz w:val="21"/>
                <w:szCs w:val="21"/>
                <w:highlight w:val="none"/>
              </w:rPr>
            </w:pPr>
            <w:r>
              <w:rPr>
                <w:rFonts w:hint="eastAsia" w:hAnsi="宋体" w:cs="宋体"/>
                <w:color w:val="auto"/>
                <w:kern w:val="2"/>
                <w:sz w:val="21"/>
                <w:szCs w:val="21"/>
                <w:highlight w:val="none"/>
              </w:rPr>
              <w:t>（二）</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7E943E26">
            <w:pPr>
              <w:pStyle w:val="19"/>
              <w:spacing w:line="36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落实政府采购政策需满足的资格要求</w:t>
            </w:r>
          </w:p>
        </w:tc>
        <w:tc>
          <w:tcPr>
            <w:tcW w:w="4985" w:type="dxa"/>
            <w:tcBorders>
              <w:top w:val="single" w:color="auto" w:sz="4" w:space="0"/>
              <w:left w:val="single" w:color="auto" w:sz="4" w:space="0"/>
              <w:bottom w:val="single" w:color="auto" w:sz="4" w:space="0"/>
              <w:right w:val="single" w:color="auto" w:sz="4" w:space="0"/>
            </w:tcBorders>
            <w:vAlign w:val="center"/>
          </w:tcPr>
          <w:p w14:paraId="246B668E">
            <w:pPr>
              <w:pStyle w:val="19"/>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按招标公告“二、申请人的资格要求2.落实政府采购政策需满足的资格要求”的要求提交。</w:t>
            </w:r>
          </w:p>
          <w:p w14:paraId="7ED93898">
            <w:pPr>
              <w:pStyle w:val="19"/>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本项目专门面向中小微企业，</w:t>
            </w:r>
            <w:r>
              <w:rPr>
                <w:rFonts w:hint="eastAsia" w:ascii="宋体" w:hAnsi="宋体" w:eastAsia="宋体" w:cs="宋体"/>
                <w:color w:val="auto"/>
                <w:kern w:val="2"/>
                <w:sz w:val="21"/>
                <w:szCs w:val="21"/>
                <w:highlight w:val="none"/>
                <w:lang w:val="en-US" w:eastAsia="zh-CN"/>
              </w:rPr>
              <w:t>供应商所提供产品的制造商</w:t>
            </w:r>
            <w:r>
              <w:rPr>
                <w:rFonts w:hint="eastAsia" w:ascii="宋体" w:hAnsi="宋体" w:eastAsia="宋体" w:cs="宋体"/>
                <w:color w:val="auto"/>
                <w:kern w:val="2"/>
                <w:sz w:val="21"/>
                <w:szCs w:val="21"/>
                <w:highlight w:val="none"/>
              </w:rPr>
              <w:t>须为《关于印发中小企业划型标准规定的通知》（工信部联企业〔2011〕300号）规定的工业行业的中小微企业，或者是《关于政府采购支持监狱企业发展有关问题的通知》(财库[2014]68号)规定的监狱企业，或者是《关于促进残疾人就业政府采购政策的通知》（财库〔2017〕141号）规定的残疾人福利性企业。</w:t>
            </w:r>
          </w:p>
          <w:p w14:paraId="0F897BC2">
            <w:pPr>
              <w:pStyle w:val="19"/>
              <w:spacing w:line="360" w:lineRule="exact"/>
              <w:ind w:firstLine="420" w:firstLineChars="200"/>
              <w:rPr>
                <w:rFonts w:hAnsi="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提供</w:t>
            </w:r>
            <w:r>
              <w:rPr>
                <w:rFonts w:hint="eastAsia" w:ascii="宋体" w:hAnsi="宋体" w:eastAsia="宋体" w:cs="宋体"/>
                <w:color w:val="auto"/>
                <w:kern w:val="2"/>
                <w:sz w:val="21"/>
                <w:szCs w:val="21"/>
                <w:highlight w:val="none"/>
              </w:rPr>
              <w:t>中小企业声明函或残疾人福利性单位声明函或属于监狱企业的证明文件。</w:t>
            </w:r>
          </w:p>
        </w:tc>
      </w:tr>
      <w:tr w14:paraId="4A30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6684320E">
            <w:pPr>
              <w:pStyle w:val="19"/>
              <w:spacing w:line="360" w:lineRule="exact"/>
              <w:rPr>
                <w:rFonts w:hAnsi="宋体" w:cs="宋体"/>
                <w:color w:val="auto"/>
                <w:kern w:val="2"/>
                <w:sz w:val="21"/>
                <w:szCs w:val="21"/>
                <w:highlight w:val="none"/>
              </w:rPr>
            </w:pPr>
            <w:r>
              <w:rPr>
                <w:rFonts w:hint="eastAsia" w:hAnsi="宋体" w:cs="宋体"/>
                <w:color w:val="auto"/>
                <w:kern w:val="2"/>
                <w:sz w:val="21"/>
                <w:szCs w:val="21"/>
                <w:highlight w:val="none"/>
              </w:rPr>
              <w:t>（三）</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5ED3C595">
            <w:pPr>
              <w:pStyle w:val="19"/>
              <w:spacing w:line="36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特定资格条件</w:t>
            </w:r>
          </w:p>
        </w:tc>
        <w:tc>
          <w:tcPr>
            <w:tcW w:w="4985" w:type="dxa"/>
            <w:tcBorders>
              <w:top w:val="single" w:color="auto" w:sz="4" w:space="0"/>
              <w:left w:val="single" w:color="auto" w:sz="4" w:space="0"/>
              <w:bottom w:val="single" w:color="auto" w:sz="4" w:space="0"/>
              <w:right w:val="single" w:color="auto" w:sz="4" w:space="0"/>
            </w:tcBorders>
            <w:vAlign w:val="center"/>
          </w:tcPr>
          <w:p w14:paraId="1FE53BF7">
            <w:pPr>
              <w:pStyle w:val="19"/>
              <w:spacing w:line="360" w:lineRule="exact"/>
              <w:ind w:firstLine="420" w:firstLineChars="200"/>
              <w:rPr>
                <w:rFonts w:hAnsi="宋体" w:cs="宋体"/>
                <w:color w:val="auto"/>
                <w:kern w:val="2"/>
                <w:sz w:val="21"/>
                <w:szCs w:val="21"/>
                <w:highlight w:val="none"/>
              </w:rPr>
            </w:pPr>
            <w:r>
              <w:rPr>
                <w:rFonts w:hint="eastAsia" w:hAnsi="宋体" w:cs="宋体"/>
                <w:color w:val="auto"/>
                <w:kern w:val="2"/>
                <w:sz w:val="21"/>
                <w:szCs w:val="21"/>
                <w:highlight w:val="none"/>
              </w:rPr>
              <w:t>无</w:t>
            </w:r>
          </w:p>
        </w:tc>
      </w:tr>
    </w:tbl>
    <w:p w14:paraId="0695833D">
      <w:pPr>
        <w:pStyle w:val="19"/>
        <w:spacing w:line="36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（二）符合性审查</w:t>
      </w:r>
    </w:p>
    <w:p w14:paraId="6CCED7DC">
      <w:pPr>
        <w:pStyle w:val="19"/>
        <w:spacing w:line="36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谈判小组根据竞争性谈判文件要求各供应商响应文件的有效性、完整性、响应性等进行审查，以确定是否对竞争性谈判文件的实质性要求作出响应。</w:t>
      </w:r>
    </w:p>
    <w:tbl>
      <w:tblPr>
        <w:tblStyle w:val="35"/>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03"/>
        <w:gridCol w:w="6666"/>
      </w:tblGrid>
      <w:tr w14:paraId="6675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4B921613">
            <w:pPr>
              <w:pStyle w:val="19"/>
              <w:spacing w:line="36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序号</w:t>
            </w:r>
          </w:p>
        </w:tc>
        <w:tc>
          <w:tcPr>
            <w:tcW w:w="2303" w:type="dxa"/>
            <w:tcBorders>
              <w:top w:val="single" w:color="auto" w:sz="4" w:space="0"/>
              <w:left w:val="single" w:color="auto" w:sz="4" w:space="0"/>
              <w:bottom w:val="single" w:color="auto" w:sz="4" w:space="0"/>
              <w:right w:val="single" w:color="auto" w:sz="4" w:space="0"/>
            </w:tcBorders>
            <w:vAlign w:val="center"/>
          </w:tcPr>
          <w:p w14:paraId="2114383B">
            <w:pPr>
              <w:pStyle w:val="19"/>
              <w:spacing w:line="36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评审因素</w:t>
            </w:r>
          </w:p>
        </w:tc>
        <w:tc>
          <w:tcPr>
            <w:tcW w:w="6666" w:type="dxa"/>
            <w:tcBorders>
              <w:top w:val="single" w:color="auto" w:sz="4" w:space="0"/>
              <w:left w:val="single" w:color="auto" w:sz="4" w:space="0"/>
              <w:bottom w:val="single" w:color="auto" w:sz="4" w:space="0"/>
              <w:right w:val="single" w:color="auto" w:sz="4" w:space="0"/>
            </w:tcBorders>
            <w:vAlign w:val="center"/>
          </w:tcPr>
          <w:p w14:paraId="668B806D">
            <w:pPr>
              <w:pStyle w:val="19"/>
              <w:spacing w:line="36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评审标准</w:t>
            </w:r>
          </w:p>
        </w:tc>
      </w:tr>
      <w:tr w14:paraId="615A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745BB06A">
            <w:pPr>
              <w:pStyle w:val="19"/>
              <w:spacing w:line="36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1</w:t>
            </w:r>
          </w:p>
        </w:tc>
        <w:tc>
          <w:tcPr>
            <w:tcW w:w="2303" w:type="dxa"/>
            <w:tcBorders>
              <w:top w:val="single" w:color="auto" w:sz="4" w:space="0"/>
              <w:left w:val="single" w:color="auto" w:sz="4" w:space="0"/>
              <w:bottom w:val="single" w:color="auto" w:sz="4" w:space="0"/>
              <w:right w:val="single" w:color="auto" w:sz="4" w:space="0"/>
            </w:tcBorders>
            <w:vAlign w:val="center"/>
          </w:tcPr>
          <w:p w14:paraId="4CB7F12E">
            <w:pPr>
              <w:pStyle w:val="19"/>
              <w:spacing w:line="36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商务和技术文件审查</w:t>
            </w:r>
          </w:p>
        </w:tc>
        <w:tc>
          <w:tcPr>
            <w:tcW w:w="6666" w:type="dxa"/>
            <w:tcBorders>
              <w:top w:val="single" w:color="auto" w:sz="4" w:space="0"/>
              <w:left w:val="single" w:color="auto" w:sz="4" w:space="0"/>
              <w:bottom w:val="single" w:color="auto" w:sz="4" w:space="0"/>
              <w:right w:val="single" w:color="auto" w:sz="4" w:space="0"/>
            </w:tcBorders>
            <w:vAlign w:val="center"/>
          </w:tcPr>
          <w:p w14:paraId="4F4437E3">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未按照谈判文件的规定交纳</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保证金的</w:t>
            </w:r>
            <w:r>
              <w:rPr>
                <w:rFonts w:hint="eastAsia" w:ascii="宋体" w:hAnsi="宋体" w:cs="宋体"/>
                <w:bCs/>
                <w:color w:val="auto"/>
                <w:szCs w:val="21"/>
                <w:highlight w:val="none"/>
              </w:rPr>
              <w:t>；</w:t>
            </w:r>
          </w:p>
          <w:p w14:paraId="77085F40">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2.响应文件未按谈判文件要求签署、盖章的；</w:t>
            </w:r>
          </w:p>
          <w:p w14:paraId="7C5C678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3.投标代表人未能出具身份证明或与法定代表人授权委托人身份不符的；</w:t>
            </w:r>
          </w:p>
          <w:p w14:paraId="1974081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4.响应文件的实质性内容未使用中文表述、意思表述不明确、前后矛盾或者使用计量单位不符合谈判文件要求的（经谈判小组认定并允许其当场更正的笔误除外）</w:t>
            </w:r>
          </w:p>
          <w:p w14:paraId="66A3D248">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5.响应文件有效期、服务期或交货期、质保期等商务条款不能满足谈判文件要求的；</w:t>
            </w:r>
          </w:p>
          <w:p w14:paraId="52330BC8">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6.未实质性响应谈判文件要求或者响应文件有采购人不能接受的附加条件的。</w:t>
            </w:r>
          </w:p>
          <w:p w14:paraId="30C0C602">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7.未提供谈判文件中“13.响应文件的组成13.2商务和技术文件”要求必须提供的资料的；</w:t>
            </w:r>
          </w:p>
          <w:p w14:paraId="211973E8">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8.未提供或未如实提供投标货物的技术参数，或者响应文件标明的响应或偏离与事实不符或虚假投标的；</w:t>
            </w:r>
          </w:p>
          <w:p w14:paraId="627C1483">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9.与谈判文件中标注“▲”的技术参数及其性能（配置）要求或条款发生负偏离的；</w:t>
            </w:r>
          </w:p>
          <w:p w14:paraId="24B13496">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10.</w:t>
            </w:r>
            <w:r>
              <w:rPr>
                <w:rFonts w:hint="eastAsia" w:ascii="宋体" w:hAnsi="宋体" w:cs="宋体"/>
                <w:color w:val="auto"/>
                <w:szCs w:val="21"/>
                <w:highlight w:val="none"/>
              </w:rPr>
              <w:t>允许偏离的</w:t>
            </w:r>
            <w:r>
              <w:rPr>
                <w:rFonts w:hint="eastAsia" w:ascii="宋体" w:hAnsi="宋体" w:cs="宋体"/>
                <w:bCs/>
                <w:color w:val="auto"/>
                <w:szCs w:val="21"/>
                <w:highlight w:val="none"/>
              </w:rPr>
              <w:t>技术参数及其性能（配置）发生负偏离</w:t>
            </w:r>
            <w:r>
              <w:rPr>
                <w:rFonts w:hint="eastAsia" w:ascii="宋体" w:hAnsi="宋体" w:cs="宋体"/>
                <w:color w:val="auto"/>
                <w:szCs w:val="21"/>
                <w:highlight w:val="none"/>
              </w:rPr>
              <w:t>达</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项（含3项）以上的；</w:t>
            </w:r>
          </w:p>
          <w:p w14:paraId="038C865B">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11.技术方案不明确，存在一个或一个以上备选（替代）竞标方案的。</w:t>
            </w:r>
          </w:p>
          <w:p w14:paraId="61228EC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12.属于供应商须知正文7.特别说明第6点情形的；</w:t>
            </w:r>
          </w:p>
          <w:p w14:paraId="482C325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13.法律、法规和竞争性谈判文件规定的其他无效情形。</w:t>
            </w:r>
          </w:p>
        </w:tc>
      </w:tr>
      <w:tr w14:paraId="3870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62B32F45">
            <w:pPr>
              <w:pStyle w:val="19"/>
              <w:spacing w:line="36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2</w:t>
            </w:r>
          </w:p>
        </w:tc>
        <w:tc>
          <w:tcPr>
            <w:tcW w:w="2303" w:type="dxa"/>
            <w:tcBorders>
              <w:top w:val="single" w:color="auto" w:sz="4" w:space="0"/>
              <w:left w:val="single" w:color="auto" w:sz="4" w:space="0"/>
              <w:bottom w:val="single" w:color="auto" w:sz="4" w:space="0"/>
              <w:right w:val="single" w:color="auto" w:sz="4" w:space="0"/>
            </w:tcBorders>
            <w:vAlign w:val="center"/>
          </w:tcPr>
          <w:p w14:paraId="3F1EA036">
            <w:pPr>
              <w:pStyle w:val="19"/>
              <w:spacing w:line="36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报价文件审查</w:t>
            </w:r>
          </w:p>
        </w:tc>
        <w:tc>
          <w:tcPr>
            <w:tcW w:w="6666" w:type="dxa"/>
            <w:tcBorders>
              <w:top w:val="single" w:color="auto" w:sz="4" w:space="0"/>
              <w:left w:val="single" w:color="auto" w:sz="4" w:space="0"/>
              <w:bottom w:val="single" w:color="auto" w:sz="4" w:space="0"/>
              <w:right w:val="single" w:color="auto" w:sz="4" w:space="0"/>
            </w:tcBorders>
            <w:vAlign w:val="center"/>
          </w:tcPr>
          <w:p w14:paraId="00F53A50">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1.未提供谈判文件中“13.响应文件的组成13.3报价文件”要求必须提供的资料的；</w:t>
            </w:r>
          </w:p>
          <w:p w14:paraId="47EB1D6D">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2.报价超过谈判文件中规定的预算金额或者最高限价的；</w:t>
            </w:r>
          </w:p>
          <w:p w14:paraId="60C7F7A5">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3.未采用人民币报价或者未按照谈判文件标明的币种报价的；</w:t>
            </w:r>
          </w:p>
          <w:p w14:paraId="535B777A">
            <w:pPr>
              <w:widowControl/>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4.竞标报价具有选择性，或者云平台中开标记录表的报价与响应文件承诺的优惠（折扣）价格不一致的；</w:t>
            </w:r>
          </w:p>
          <w:p w14:paraId="5D6B4A4D">
            <w:pPr>
              <w:widowControl/>
              <w:spacing w:line="36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5.法律、法规和谈判文件规定的其他无效情形。</w:t>
            </w:r>
          </w:p>
        </w:tc>
      </w:tr>
    </w:tbl>
    <w:p w14:paraId="1D7126AD">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三、成交候选供应商推荐原则</w:t>
      </w:r>
    </w:p>
    <w:p w14:paraId="33E9ADF5">
      <w:pPr>
        <w:spacing w:line="400" w:lineRule="exact"/>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在质量和服务均能满足采购文件实质性响应要求的前提下，按照最后评审价由低到高的顺序提出3名以上成交候选人（</w:t>
      </w:r>
      <w:r>
        <w:rPr>
          <w:rFonts w:hint="eastAsia" w:ascii="宋体" w:hAnsi="宋体" w:cs="宋体"/>
          <w:color w:val="auto"/>
          <w:highlight w:val="none"/>
        </w:rPr>
        <w:t>最后评审报价相同时，</w:t>
      </w:r>
      <w:r>
        <w:rPr>
          <w:rFonts w:hint="eastAsia" w:ascii="宋体" w:hAnsi="宋体" w:cs="宋体"/>
          <w:color w:val="auto"/>
          <w:szCs w:val="21"/>
          <w:highlight w:val="none"/>
        </w:rPr>
        <w:t>依次按节能环保产品累计金额高的优先、</w:t>
      </w:r>
      <w:r>
        <w:rPr>
          <w:rFonts w:hint="eastAsia" w:ascii="宋体" w:hAnsi="宋体" w:cs="宋体"/>
          <w:color w:val="auto"/>
          <w:highlight w:val="none"/>
        </w:rPr>
        <w:t>环境标志产品优先、关键技术指标高优先、质量保证期长优先、</w:t>
      </w:r>
      <w:r>
        <w:rPr>
          <w:rFonts w:hint="eastAsia" w:ascii="宋体" w:hAnsi="宋体" w:cs="宋体"/>
          <w:bCs/>
          <w:color w:val="auto"/>
          <w:highlight w:val="none"/>
        </w:rPr>
        <w:t>交货期</w:t>
      </w:r>
      <w:r>
        <w:rPr>
          <w:rFonts w:hint="eastAsia" w:ascii="宋体" w:hAnsi="宋体" w:cs="宋体"/>
          <w:color w:val="auto"/>
          <w:highlight w:val="none"/>
        </w:rPr>
        <w:t>短优先、故障处理时间短优先的顺序排列</w:t>
      </w:r>
      <w:r>
        <w:rPr>
          <w:rFonts w:hint="eastAsia" w:ascii="宋体" w:hAnsi="宋体" w:cs="宋体"/>
          <w:color w:val="auto"/>
          <w:szCs w:val="21"/>
          <w:highlight w:val="none"/>
        </w:rPr>
        <w:t>），并依照次序确定成交候选人。采购人应当确定谈判小组推荐排名第一的成交候选人为成交人。排名第一的成交候选人放弃成交、因不可抗力提出不能履行合同，或者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r>
        <w:rPr>
          <w:rFonts w:hint="eastAsia" w:ascii="宋体" w:hAnsi="宋体" w:cs="宋体"/>
          <w:color w:val="auto"/>
          <w:highlight w:val="none"/>
          <w:shd w:val="clear" w:color="auto" w:fill="FFFFFF"/>
        </w:rPr>
        <w:t>也可以重新采购。</w:t>
      </w:r>
    </w:p>
    <w:sectPr>
      <w:headerReference r:id="rId4" w:type="first"/>
      <w:footerReference r:id="rId7" w:type="first"/>
      <w:headerReference r:id="rId3" w:type="default"/>
      <w:footerReference r:id="rId5" w:type="default"/>
      <w:footerReference r:id="rId6" w:type="even"/>
      <w:pgSz w:w="11906" w:h="16838"/>
      <w:pgMar w:top="1134" w:right="1134" w:bottom="1134" w:left="1134" w:header="720" w:footer="72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533A6">
    <w:pPr>
      <w:pStyle w:val="2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47955"/>
              <wp:effectExtent l="0" t="0" r="0" b="0"/>
              <wp:wrapNone/>
              <wp:docPr id="11" name="文本框6"/>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14:paraId="4350DF03">
                          <w:pPr>
                            <w:pStyle w:val="24"/>
                            <w:jc w:val="center"/>
                            <w:rPr>
                              <w:rStyle w:val="39"/>
                            </w:rPr>
                          </w:pPr>
                          <w:r>
                            <w:fldChar w:fldCharType="begin"/>
                          </w:r>
                          <w:r>
                            <w:rPr>
                              <w:rStyle w:val="39"/>
                            </w:rPr>
                            <w:instrText xml:space="preserve">PAGE  </w:instrText>
                          </w:r>
                          <w:r>
                            <w:fldChar w:fldCharType="separate"/>
                          </w:r>
                          <w:r>
                            <w:rPr>
                              <w:rStyle w:val="39"/>
                            </w:rPr>
                            <w:t>102</w:t>
                          </w:r>
                          <w:r>
                            <w:fldChar w:fldCharType="end"/>
                          </w:r>
                        </w:p>
                      </w:txbxContent>
                    </wps:txbx>
                    <wps:bodyPr vert="horz" wrap="none" lIns="0" tIns="0" rIns="0" bIns="0" anchor="t" anchorCtr="0" upright="1">
                      <a:spAutoFit/>
                    </wps:bodyPr>
                  </wps:wsp>
                </a:graphicData>
              </a:graphic>
            </wp:anchor>
          </w:drawing>
        </mc:Choice>
        <mc:Fallback>
          <w:pict>
            <v:shape id="文本框6" o:spid="_x0000_s1026" o:spt="202" type="#_x0000_t202" style="position:absolute;left:0pt;margin-top:0pt;height:11.65pt;width:4.55pt;mso-position-horizontal:center;mso-position-horizontal-relative:margin;mso-wrap-style:none;z-index:251663360;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fLHALRAAAAAgEAAA8AAAAA&#10;AAAAAQAgAAAAIgAAAGRycy9kb3ducmV2LnhtbFBLAQIUABQAAAAIAIdO4kAJDUzp4gEAALsDAAAO&#10;AAAAAAAAAAEAIAAAACABAABkcnMvZTJvRG9jLnhtbFBLBQYAAAAABgAGAFkBAAB0BQAAAAA=&#10;">
              <v:fill on="f" focussize="0,0"/>
              <v:stroke on="f"/>
              <v:imagedata o:title=""/>
              <o:lock v:ext="edit" aspectratio="f"/>
              <v:textbox inset="0mm,0mm,0mm,0mm" style="mso-fit-shape-to-text:t;">
                <w:txbxContent>
                  <w:p w14:paraId="4350DF03">
                    <w:pPr>
                      <w:pStyle w:val="24"/>
                      <w:jc w:val="center"/>
                      <w:rPr>
                        <w:rStyle w:val="39"/>
                      </w:rPr>
                    </w:pPr>
                    <w:r>
                      <w:fldChar w:fldCharType="begin"/>
                    </w:r>
                    <w:r>
                      <w:rPr>
                        <w:rStyle w:val="39"/>
                      </w:rPr>
                      <w:instrText xml:space="preserve">PAGE  </w:instrText>
                    </w:r>
                    <w:r>
                      <w:fldChar w:fldCharType="separate"/>
                    </w:r>
                    <w:r>
                      <w:rPr>
                        <w:rStyle w:val="39"/>
                      </w:rPr>
                      <w:t>102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25748">
    <w:pPr>
      <w:pStyle w:val="24"/>
      <w:framePr w:wrap="around" w:vAnchor="text" w:hAnchor="margin" w:xAlign="center" w:y="1"/>
      <w:rPr>
        <w:rStyle w:val="39"/>
      </w:rPr>
    </w:pPr>
    <w:r>
      <w:fldChar w:fldCharType="begin"/>
    </w:r>
    <w:r>
      <w:rPr>
        <w:rStyle w:val="39"/>
      </w:rPr>
      <w:instrText xml:space="preserve">PAGE  </w:instrText>
    </w:r>
    <w:r>
      <w:fldChar w:fldCharType="separate"/>
    </w:r>
    <w:r>
      <w:rPr>
        <w:rStyle w:val="39"/>
      </w:rPr>
      <w:t>3</w:t>
    </w:r>
    <w:r>
      <w:fldChar w:fldCharType="end"/>
    </w:r>
  </w:p>
  <w:p w14:paraId="202498D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14B08">
    <w:pPr>
      <w:pStyle w:val="2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文本框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43672848">
                          <w:pPr>
                            <w:snapToGrid w:val="0"/>
                            <w:rPr>
                              <w:sz w:val="18"/>
                            </w:rPr>
                          </w:pPr>
                        </w:p>
                      </w:txbxContent>
                    </wps:txbx>
                    <wps:bodyPr wrap="none" lIns="0" tIns="0" rIns="0" bIns="0" upright="1">
                      <a:spAutoFit/>
                    </wps:bodyPr>
                  </wps:wsp>
                </a:graphicData>
              </a:graphic>
            </wp:anchor>
          </w:drawing>
        </mc:Choice>
        <mc:Fallback>
          <w:pict>
            <v:shape id="文本框7"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Al6ehlzgEAAJcDAAAOAAAAAAAAAAEAIAAAAB8BAABkcnMv&#10;ZTJvRG9jLnhtbFBLBQYAAAAABgAGAFkBAABfBQAAAAA=&#10;">
              <v:fill on="f" focussize="0,0"/>
              <v:stroke on="f"/>
              <v:imagedata o:title=""/>
              <o:lock v:ext="edit" aspectratio="f"/>
              <v:textbox inset="0mm,0mm,0mm,0mm" style="mso-fit-shape-to-text:t;">
                <w:txbxContent>
                  <w:p w14:paraId="43672848">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2912A">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27BAF">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F61A9"/>
    <w:multiLevelType w:val="singleLevel"/>
    <w:tmpl w:val="908F61A9"/>
    <w:lvl w:ilvl="0" w:tentative="0">
      <w:start w:val="4"/>
      <w:numFmt w:val="chineseCounting"/>
      <w:suff w:val="nothing"/>
      <w:lvlText w:val="%1、"/>
      <w:lvlJc w:val="left"/>
      <w:rPr>
        <w:rFonts w:hint="eastAsia"/>
      </w:rPr>
    </w:lvl>
  </w:abstractNum>
  <w:abstractNum w:abstractNumId="1">
    <w:nsid w:val="A048A493"/>
    <w:multiLevelType w:val="singleLevel"/>
    <w:tmpl w:val="A048A493"/>
    <w:lvl w:ilvl="0" w:tentative="0">
      <w:start w:val="1"/>
      <w:numFmt w:val="chineseCounting"/>
      <w:suff w:val="nothing"/>
      <w:lvlText w:val="%1、"/>
      <w:lvlJc w:val="left"/>
      <w:rPr>
        <w:rFonts w:hint="eastAsia"/>
      </w:rPr>
    </w:lvl>
  </w:abstractNum>
  <w:abstractNum w:abstractNumId="2">
    <w:nsid w:val="CE3377D5"/>
    <w:multiLevelType w:val="singleLevel"/>
    <w:tmpl w:val="CE3377D5"/>
    <w:lvl w:ilvl="0" w:tentative="0">
      <w:start w:val="1"/>
      <w:numFmt w:val="decimal"/>
      <w:suff w:val="nothing"/>
      <w:lvlText w:val="%1、"/>
      <w:lvlJc w:val="left"/>
    </w:lvl>
  </w:abstractNum>
  <w:abstractNum w:abstractNumId="3">
    <w:nsid w:val="D387AEB8"/>
    <w:multiLevelType w:val="singleLevel"/>
    <w:tmpl w:val="D387AEB8"/>
    <w:lvl w:ilvl="0" w:tentative="0">
      <w:start w:val="1"/>
      <w:numFmt w:val="chineseCounting"/>
      <w:suff w:val="nothing"/>
      <w:lvlText w:val="%1、"/>
      <w:lvlJc w:val="left"/>
      <w:rPr>
        <w:rFonts w:hint="eastAsia"/>
      </w:rPr>
    </w:lvl>
  </w:abstractNum>
  <w:abstractNum w:abstractNumId="4">
    <w:nsid w:val="F6D9A39B"/>
    <w:multiLevelType w:val="singleLevel"/>
    <w:tmpl w:val="F6D9A39B"/>
    <w:lvl w:ilvl="0" w:tentative="0">
      <w:start w:val="1"/>
      <w:numFmt w:val="decimal"/>
      <w:suff w:val="nothing"/>
      <w:lvlText w:val="%1、"/>
      <w:lvlJc w:val="left"/>
    </w:lvl>
  </w:abstractNum>
  <w:abstractNum w:abstractNumId="5">
    <w:nsid w:val="0DDFC600"/>
    <w:multiLevelType w:val="singleLevel"/>
    <w:tmpl w:val="0DDFC600"/>
    <w:lvl w:ilvl="0" w:tentative="0">
      <w:start w:val="1"/>
      <w:numFmt w:val="chineseCounting"/>
      <w:suff w:val="nothing"/>
      <w:lvlText w:val="%1、"/>
      <w:lvlJc w:val="left"/>
      <w:rPr>
        <w:rFonts w:hint="eastAsia"/>
      </w:rPr>
    </w:lvl>
  </w:abstractNum>
  <w:abstractNum w:abstractNumId="6">
    <w:nsid w:val="3453C02D"/>
    <w:multiLevelType w:val="singleLevel"/>
    <w:tmpl w:val="3453C02D"/>
    <w:lvl w:ilvl="0" w:tentative="0">
      <w:start w:val="1"/>
      <w:numFmt w:val="decimal"/>
      <w:suff w:val="nothing"/>
      <w:lvlText w:val="%1、"/>
      <w:lvlJc w:val="left"/>
    </w:lvl>
  </w:abstractNum>
  <w:abstractNum w:abstractNumId="7">
    <w:nsid w:val="3C2CEB08"/>
    <w:multiLevelType w:val="singleLevel"/>
    <w:tmpl w:val="3C2CEB08"/>
    <w:lvl w:ilvl="0" w:tentative="0">
      <w:start w:val="1"/>
      <w:numFmt w:val="decimal"/>
      <w:suff w:val="nothing"/>
      <w:lvlText w:val="%1、"/>
      <w:lvlJc w:val="left"/>
    </w:lvl>
  </w:abstractNum>
  <w:abstractNum w:abstractNumId="8">
    <w:nsid w:val="4C2E8F89"/>
    <w:multiLevelType w:val="singleLevel"/>
    <w:tmpl w:val="4C2E8F89"/>
    <w:lvl w:ilvl="0" w:tentative="0">
      <w:start w:val="1"/>
      <w:numFmt w:val="decimal"/>
      <w:suff w:val="nothing"/>
      <w:lvlText w:val="%1、"/>
      <w:lvlJc w:val="left"/>
    </w:lvl>
  </w:abstractNum>
  <w:abstractNum w:abstractNumId="9">
    <w:nsid w:val="5DDB67EF"/>
    <w:multiLevelType w:val="singleLevel"/>
    <w:tmpl w:val="5DDB67EF"/>
    <w:lvl w:ilvl="0" w:tentative="0">
      <w:start w:val="1"/>
      <w:numFmt w:val="decimal"/>
      <w:suff w:val="nothing"/>
      <w:lvlText w:val="%1、"/>
      <w:lvlJc w:val="left"/>
    </w:lvl>
  </w:abstractNum>
  <w:abstractNum w:abstractNumId="10">
    <w:nsid w:val="5FA5DE7C"/>
    <w:multiLevelType w:val="singleLevel"/>
    <w:tmpl w:val="5FA5DE7C"/>
    <w:lvl w:ilvl="0" w:tentative="0">
      <w:start w:val="4"/>
      <w:numFmt w:val="chineseCounting"/>
      <w:suff w:val="nothing"/>
      <w:lvlText w:val="%1、"/>
      <w:lvlJc w:val="left"/>
      <w:rPr>
        <w:rFonts w:hint="eastAsia"/>
      </w:rPr>
    </w:lvl>
  </w:abstractNum>
  <w:abstractNum w:abstractNumId="11">
    <w:nsid w:val="65313261"/>
    <w:multiLevelType w:val="singleLevel"/>
    <w:tmpl w:val="65313261"/>
    <w:lvl w:ilvl="0" w:tentative="0">
      <w:start w:val="8"/>
      <w:numFmt w:val="chineseCounting"/>
      <w:suff w:val="nothing"/>
      <w:lvlText w:val="%1、"/>
      <w:lvlJc w:val="left"/>
      <w:rPr>
        <w:rFonts w:hint="eastAsia"/>
      </w:rPr>
    </w:lvl>
  </w:abstractNum>
  <w:abstractNum w:abstractNumId="12">
    <w:nsid w:val="6AF1F102"/>
    <w:multiLevelType w:val="singleLevel"/>
    <w:tmpl w:val="6AF1F102"/>
    <w:lvl w:ilvl="0" w:tentative="0">
      <w:start w:val="1"/>
      <w:numFmt w:val="chineseCounting"/>
      <w:suff w:val="nothing"/>
      <w:lvlText w:val="%1、"/>
      <w:lvlJc w:val="left"/>
      <w:rPr>
        <w:rFonts w:hint="eastAsia"/>
      </w:rPr>
    </w:lvl>
  </w:abstractNum>
  <w:num w:numId="1">
    <w:abstractNumId w:val="3"/>
  </w:num>
  <w:num w:numId="2">
    <w:abstractNumId w:val="0"/>
  </w:num>
  <w:num w:numId="3">
    <w:abstractNumId w:val="4"/>
  </w:num>
  <w:num w:numId="4">
    <w:abstractNumId w:val="6"/>
  </w:num>
  <w:num w:numId="5">
    <w:abstractNumId w:val="5"/>
  </w:num>
  <w:num w:numId="6">
    <w:abstractNumId w:val="1"/>
  </w:num>
  <w:num w:numId="7">
    <w:abstractNumId w:val="12"/>
  </w:num>
  <w:num w:numId="8">
    <w:abstractNumId w:val="10"/>
  </w:num>
  <w:num w:numId="9">
    <w:abstractNumId w:val="9"/>
  </w:num>
  <w:num w:numId="10">
    <w:abstractNumId w:val="2"/>
  </w:num>
  <w:num w:numId="11">
    <w:abstractNumId w:val="8"/>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YWM5Njk2NzhmNDBkMDcwYTM0OGUzMzBiYmFhZGEifQ=="/>
    <w:docVar w:name="KSO_WPS_MARK_KEY" w:val="c040d041-cf25-42f6-8232-10f8e943d6c1"/>
  </w:docVars>
  <w:rsids>
    <w:rsidRoot w:val="00172A27"/>
    <w:rsid w:val="00001C0C"/>
    <w:rsid w:val="00022670"/>
    <w:rsid w:val="0003723A"/>
    <w:rsid w:val="000512E4"/>
    <w:rsid w:val="000579D9"/>
    <w:rsid w:val="00063879"/>
    <w:rsid w:val="0008502C"/>
    <w:rsid w:val="000900B2"/>
    <w:rsid w:val="000A6B6E"/>
    <w:rsid w:val="000A7867"/>
    <w:rsid w:val="000C7BC5"/>
    <w:rsid w:val="000D478D"/>
    <w:rsid w:val="000F0B9A"/>
    <w:rsid w:val="00113126"/>
    <w:rsid w:val="0012327F"/>
    <w:rsid w:val="00126D8E"/>
    <w:rsid w:val="0012730F"/>
    <w:rsid w:val="00140A69"/>
    <w:rsid w:val="00144DC0"/>
    <w:rsid w:val="00156FB3"/>
    <w:rsid w:val="00160B97"/>
    <w:rsid w:val="00160F33"/>
    <w:rsid w:val="00165BA6"/>
    <w:rsid w:val="00172A27"/>
    <w:rsid w:val="00177305"/>
    <w:rsid w:val="00192A8D"/>
    <w:rsid w:val="00193D21"/>
    <w:rsid w:val="001947B1"/>
    <w:rsid w:val="00195780"/>
    <w:rsid w:val="001B2C5D"/>
    <w:rsid w:val="001B43A9"/>
    <w:rsid w:val="001C6839"/>
    <w:rsid w:val="001C7C93"/>
    <w:rsid w:val="001D04F0"/>
    <w:rsid w:val="001D562D"/>
    <w:rsid w:val="001E7D79"/>
    <w:rsid w:val="001F0EA1"/>
    <w:rsid w:val="00210E1A"/>
    <w:rsid w:val="002156C1"/>
    <w:rsid w:val="002235C2"/>
    <w:rsid w:val="00236732"/>
    <w:rsid w:val="00243531"/>
    <w:rsid w:val="00270805"/>
    <w:rsid w:val="00283B01"/>
    <w:rsid w:val="002911B3"/>
    <w:rsid w:val="0029128D"/>
    <w:rsid w:val="00296208"/>
    <w:rsid w:val="00296D25"/>
    <w:rsid w:val="002B06BB"/>
    <w:rsid w:val="002B5F22"/>
    <w:rsid w:val="002C255D"/>
    <w:rsid w:val="002C6529"/>
    <w:rsid w:val="002C7E7D"/>
    <w:rsid w:val="002E2198"/>
    <w:rsid w:val="002E23B9"/>
    <w:rsid w:val="002E6188"/>
    <w:rsid w:val="002F4880"/>
    <w:rsid w:val="002F5B70"/>
    <w:rsid w:val="003002EA"/>
    <w:rsid w:val="00307A4F"/>
    <w:rsid w:val="00310F51"/>
    <w:rsid w:val="00334998"/>
    <w:rsid w:val="00336EEC"/>
    <w:rsid w:val="00362A48"/>
    <w:rsid w:val="00375B6D"/>
    <w:rsid w:val="00377EFF"/>
    <w:rsid w:val="00380190"/>
    <w:rsid w:val="003A2BC3"/>
    <w:rsid w:val="003A37F2"/>
    <w:rsid w:val="003B18F8"/>
    <w:rsid w:val="003C712A"/>
    <w:rsid w:val="003D71E0"/>
    <w:rsid w:val="003E71C7"/>
    <w:rsid w:val="00406C00"/>
    <w:rsid w:val="00414E67"/>
    <w:rsid w:val="00432E43"/>
    <w:rsid w:val="00442028"/>
    <w:rsid w:val="00446764"/>
    <w:rsid w:val="00454E17"/>
    <w:rsid w:val="00457E40"/>
    <w:rsid w:val="00461D08"/>
    <w:rsid w:val="00472C27"/>
    <w:rsid w:val="00477342"/>
    <w:rsid w:val="00493323"/>
    <w:rsid w:val="00494386"/>
    <w:rsid w:val="004A0D7C"/>
    <w:rsid w:val="004C6EEC"/>
    <w:rsid w:val="004E5336"/>
    <w:rsid w:val="004F189C"/>
    <w:rsid w:val="005018AC"/>
    <w:rsid w:val="005105C9"/>
    <w:rsid w:val="00517943"/>
    <w:rsid w:val="00520816"/>
    <w:rsid w:val="00530320"/>
    <w:rsid w:val="005319D6"/>
    <w:rsid w:val="0053623D"/>
    <w:rsid w:val="005473FC"/>
    <w:rsid w:val="005562A6"/>
    <w:rsid w:val="0056345E"/>
    <w:rsid w:val="005643F6"/>
    <w:rsid w:val="00566174"/>
    <w:rsid w:val="00572A98"/>
    <w:rsid w:val="00597966"/>
    <w:rsid w:val="00597BA6"/>
    <w:rsid w:val="005A1200"/>
    <w:rsid w:val="005A7208"/>
    <w:rsid w:val="005A75F8"/>
    <w:rsid w:val="005B0DE9"/>
    <w:rsid w:val="005C10AE"/>
    <w:rsid w:val="005C5733"/>
    <w:rsid w:val="005F2CA3"/>
    <w:rsid w:val="005F56E9"/>
    <w:rsid w:val="005F7846"/>
    <w:rsid w:val="006003AB"/>
    <w:rsid w:val="006034C8"/>
    <w:rsid w:val="00605A47"/>
    <w:rsid w:val="0061087F"/>
    <w:rsid w:val="00615763"/>
    <w:rsid w:val="0062680C"/>
    <w:rsid w:val="00630A98"/>
    <w:rsid w:val="00635D9F"/>
    <w:rsid w:val="006428BD"/>
    <w:rsid w:val="006603D9"/>
    <w:rsid w:val="0067194D"/>
    <w:rsid w:val="006742B9"/>
    <w:rsid w:val="00677CE1"/>
    <w:rsid w:val="00682163"/>
    <w:rsid w:val="00683774"/>
    <w:rsid w:val="006A277C"/>
    <w:rsid w:val="006B5B08"/>
    <w:rsid w:val="006C28F1"/>
    <w:rsid w:val="006C300A"/>
    <w:rsid w:val="006C71B4"/>
    <w:rsid w:val="006D3F4B"/>
    <w:rsid w:val="006D40C0"/>
    <w:rsid w:val="006D7D67"/>
    <w:rsid w:val="006E3F62"/>
    <w:rsid w:val="006F3406"/>
    <w:rsid w:val="006F491C"/>
    <w:rsid w:val="006F5EB8"/>
    <w:rsid w:val="006F77C0"/>
    <w:rsid w:val="007264C9"/>
    <w:rsid w:val="00726A1D"/>
    <w:rsid w:val="007272E3"/>
    <w:rsid w:val="00731013"/>
    <w:rsid w:val="00742DD0"/>
    <w:rsid w:val="00755CD8"/>
    <w:rsid w:val="007576E0"/>
    <w:rsid w:val="00757FBD"/>
    <w:rsid w:val="00763650"/>
    <w:rsid w:val="007670B5"/>
    <w:rsid w:val="0077135E"/>
    <w:rsid w:val="0077336D"/>
    <w:rsid w:val="0077621B"/>
    <w:rsid w:val="00785449"/>
    <w:rsid w:val="00790913"/>
    <w:rsid w:val="00797F2C"/>
    <w:rsid w:val="007A2FDF"/>
    <w:rsid w:val="007B13DE"/>
    <w:rsid w:val="007B229A"/>
    <w:rsid w:val="007C36A6"/>
    <w:rsid w:val="007E3289"/>
    <w:rsid w:val="007E6E69"/>
    <w:rsid w:val="007F3DE5"/>
    <w:rsid w:val="007F42B8"/>
    <w:rsid w:val="008101C0"/>
    <w:rsid w:val="00815AA1"/>
    <w:rsid w:val="00816209"/>
    <w:rsid w:val="00817F98"/>
    <w:rsid w:val="00820504"/>
    <w:rsid w:val="008231EA"/>
    <w:rsid w:val="008301B0"/>
    <w:rsid w:val="0083507D"/>
    <w:rsid w:val="008537F2"/>
    <w:rsid w:val="00856ABE"/>
    <w:rsid w:val="00862FD0"/>
    <w:rsid w:val="00874355"/>
    <w:rsid w:val="00876E5D"/>
    <w:rsid w:val="00887C9B"/>
    <w:rsid w:val="008A6763"/>
    <w:rsid w:val="008C2FB0"/>
    <w:rsid w:val="008D0C70"/>
    <w:rsid w:val="008F0F4B"/>
    <w:rsid w:val="00906BBB"/>
    <w:rsid w:val="00934FA9"/>
    <w:rsid w:val="00940297"/>
    <w:rsid w:val="009771DC"/>
    <w:rsid w:val="00977D24"/>
    <w:rsid w:val="00977F5F"/>
    <w:rsid w:val="00987B92"/>
    <w:rsid w:val="00995889"/>
    <w:rsid w:val="0099644D"/>
    <w:rsid w:val="009A0D52"/>
    <w:rsid w:val="00A03703"/>
    <w:rsid w:val="00A10763"/>
    <w:rsid w:val="00A16749"/>
    <w:rsid w:val="00A1794C"/>
    <w:rsid w:val="00A23A05"/>
    <w:rsid w:val="00A27EBA"/>
    <w:rsid w:val="00A41C89"/>
    <w:rsid w:val="00A541AD"/>
    <w:rsid w:val="00A625CC"/>
    <w:rsid w:val="00A66F5C"/>
    <w:rsid w:val="00A70A0D"/>
    <w:rsid w:val="00A70C5B"/>
    <w:rsid w:val="00A712FE"/>
    <w:rsid w:val="00A74E21"/>
    <w:rsid w:val="00A75BAB"/>
    <w:rsid w:val="00A76AB7"/>
    <w:rsid w:val="00A834D0"/>
    <w:rsid w:val="00A85609"/>
    <w:rsid w:val="00AB40E4"/>
    <w:rsid w:val="00AB5AA9"/>
    <w:rsid w:val="00AC34AB"/>
    <w:rsid w:val="00AC58B3"/>
    <w:rsid w:val="00AD6E5E"/>
    <w:rsid w:val="00AF74BD"/>
    <w:rsid w:val="00B04BC2"/>
    <w:rsid w:val="00B12293"/>
    <w:rsid w:val="00B15CA9"/>
    <w:rsid w:val="00B22C81"/>
    <w:rsid w:val="00B35486"/>
    <w:rsid w:val="00B53D0E"/>
    <w:rsid w:val="00B665D8"/>
    <w:rsid w:val="00B73B5C"/>
    <w:rsid w:val="00B874D5"/>
    <w:rsid w:val="00B92DBF"/>
    <w:rsid w:val="00B95A97"/>
    <w:rsid w:val="00BA5BB5"/>
    <w:rsid w:val="00BC20FF"/>
    <w:rsid w:val="00BC549C"/>
    <w:rsid w:val="00BD3AD1"/>
    <w:rsid w:val="00BD717D"/>
    <w:rsid w:val="00BE06A8"/>
    <w:rsid w:val="00BF5F04"/>
    <w:rsid w:val="00C0438A"/>
    <w:rsid w:val="00C05D51"/>
    <w:rsid w:val="00C127F1"/>
    <w:rsid w:val="00C23820"/>
    <w:rsid w:val="00C24C44"/>
    <w:rsid w:val="00C2631C"/>
    <w:rsid w:val="00C530BA"/>
    <w:rsid w:val="00C65495"/>
    <w:rsid w:val="00C93837"/>
    <w:rsid w:val="00C96D14"/>
    <w:rsid w:val="00CB0307"/>
    <w:rsid w:val="00CC48E2"/>
    <w:rsid w:val="00CD276A"/>
    <w:rsid w:val="00CD3A63"/>
    <w:rsid w:val="00CF0F30"/>
    <w:rsid w:val="00CF65DA"/>
    <w:rsid w:val="00D07CC5"/>
    <w:rsid w:val="00D11898"/>
    <w:rsid w:val="00D13247"/>
    <w:rsid w:val="00D27B60"/>
    <w:rsid w:val="00D60994"/>
    <w:rsid w:val="00D61FC6"/>
    <w:rsid w:val="00D66E62"/>
    <w:rsid w:val="00D71CCC"/>
    <w:rsid w:val="00D809EE"/>
    <w:rsid w:val="00D8539F"/>
    <w:rsid w:val="00D95FE8"/>
    <w:rsid w:val="00DA0582"/>
    <w:rsid w:val="00DA32F1"/>
    <w:rsid w:val="00DB23C2"/>
    <w:rsid w:val="00DB6FB3"/>
    <w:rsid w:val="00DF4501"/>
    <w:rsid w:val="00E11B96"/>
    <w:rsid w:val="00E203F8"/>
    <w:rsid w:val="00E3530B"/>
    <w:rsid w:val="00E66EAC"/>
    <w:rsid w:val="00E72C31"/>
    <w:rsid w:val="00E7552F"/>
    <w:rsid w:val="00E75BF2"/>
    <w:rsid w:val="00E84814"/>
    <w:rsid w:val="00E87933"/>
    <w:rsid w:val="00E92733"/>
    <w:rsid w:val="00E94725"/>
    <w:rsid w:val="00EC5CF3"/>
    <w:rsid w:val="00EC6C06"/>
    <w:rsid w:val="00EC7FC7"/>
    <w:rsid w:val="00ED08E5"/>
    <w:rsid w:val="00ED3BD8"/>
    <w:rsid w:val="00EE04E7"/>
    <w:rsid w:val="00EF3BC8"/>
    <w:rsid w:val="00F1477F"/>
    <w:rsid w:val="00F14B41"/>
    <w:rsid w:val="00F25B7F"/>
    <w:rsid w:val="00F35134"/>
    <w:rsid w:val="00F4054C"/>
    <w:rsid w:val="00F407FA"/>
    <w:rsid w:val="00F533D4"/>
    <w:rsid w:val="00F66603"/>
    <w:rsid w:val="00F73F80"/>
    <w:rsid w:val="00F86A39"/>
    <w:rsid w:val="00F87998"/>
    <w:rsid w:val="00F92855"/>
    <w:rsid w:val="00F93296"/>
    <w:rsid w:val="00FA3168"/>
    <w:rsid w:val="00FC2E4E"/>
    <w:rsid w:val="00FD2274"/>
    <w:rsid w:val="00FE19DD"/>
    <w:rsid w:val="00FE1AA4"/>
    <w:rsid w:val="013018C8"/>
    <w:rsid w:val="021C0CB7"/>
    <w:rsid w:val="022D09ED"/>
    <w:rsid w:val="02532161"/>
    <w:rsid w:val="026F1C9D"/>
    <w:rsid w:val="02D54924"/>
    <w:rsid w:val="03045209"/>
    <w:rsid w:val="033154D6"/>
    <w:rsid w:val="036A7762"/>
    <w:rsid w:val="03BC7892"/>
    <w:rsid w:val="03DA48E8"/>
    <w:rsid w:val="0405748B"/>
    <w:rsid w:val="040C0819"/>
    <w:rsid w:val="042913CB"/>
    <w:rsid w:val="04CD61FB"/>
    <w:rsid w:val="054A57DE"/>
    <w:rsid w:val="05DE23A2"/>
    <w:rsid w:val="066A1827"/>
    <w:rsid w:val="066E57BB"/>
    <w:rsid w:val="06CC603E"/>
    <w:rsid w:val="06E73945"/>
    <w:rsid w:val="07304ED7"/>
    <w:rsid w:val="075276EC"/>
    <w:rsid w:val="07966D78"/>
    <w:rsid w:val="0895522E"/>
    <w:rsid w:val="08C77405"/>
    <w:rsid w:val="092A7C70"/>
    <w:rsid w:val="094E71DE"/>
    <w:rsid w:val="099F5C8C"/>
    <w:rsid w:val="0A2168E3"/>
    <w:rsid w:val="0A4C04BA"/>
    <w:rsid w:val="0A7A78CF"/>
    <w:rsid w:val="0AAB138C"/>
    <w:rsid w:val="0B7A69B0"/>
    <w:rsid w:val="0BCF2858"/>
    <w:rsid w:val="0BD87893"/>
    <w:rsid w:val="0C4D013D"/>
    <w:rsid w:val="0CE20369"/>
    <w:rsid w:val="0CE916F8"/>
    <w:rsid w:val="0D044068"/>
    <w:rsid w:val="0D4C5AF4"/>
    <w:rsid w:val="0D6E006D"/>
    <w:rsid w:val="0D8E04F1"/>
    <w:rsid w:val="0D963A2A"/>
    <w:rsid w:val="0DCB6EE9"/>
    <w:rsid w:val="0DDD6D83"/>
    <w:rsid w:val="0DE47FB8"/>
    <w:rsid w:val="0E49185B"/>
    <w:rsid w:val="0E4B7C02"/>
    <w:rsid w:val="0F285631"/>
    <w:rsid w:val="0F5512C6"/>
    <w:rsid w:val="0F5D562B"/>
    <w:rsid w:val="0F6802E0"/>
    <w:rsid w:val="0FFC7994"/>
    <w:rsid w:val="10307B2A"/>
    <w:rsid w:val="10D206F5"/>
    <w:rsid w:val="111C1C1F"/>
    <w:rsid w:val="1149155F"/>
    <w:rsid w:val="116972AB"/>
    <w:rsid w:val="11C646FD"/>
    <w:rsid w:val="11DF739A"/>
    <w:rsid w:val="12B72298"/>
    <w:rsid w:val="12CD7662"/>
    <w:rsid w:val="12DE15D3"/>
    <w:rsid w:val="13547AE7"/>
    <w:rsid w:val="137170D4"/>
    <w:rsid w:val="13DC1FB6"/>
    <w:rsid w:val="13F866C4"/>
    <w:rsid w:val="14181F6C"/>
    <w:rsid w:val="14302302"/>
    <w:rsid w:val="146D0E60"/>
    <w:rsid w:val="14C80D95"/>
    <w:rsid w:val="14DA7E13"/>
    <w:rsid w:val="14EF7AC7"/>
    <w:rsid w:val="15400323"/>
    <w:rsid w:val="155D0ED5"/>
    <w:rsid w:val="158346B4"/>
    <w:rsid w:val="15D171CD"/>
    <w:rsid w:val="15DC7126"/>
    <w:rsid w:val="16210682"/>
    <w:rsid w:val="163A7FE7"/>
    <w:rsid w:val="167E6DB3"/>
    <w:rsid w:val="16881768"/>
    <w:rsid w:val="16B32D77"/>
    <w:rsid w:val="16DF71AD"/>
    <w:rsid w:val="16FF13CB"/>
    <w:rsid w:val="170610F8"/>
    <w:rsid w:val="17300140"/>
    <w:rsid w:val="17321053"/>
    <w:rsid w:val="17E94D8E"/>
    <w:rsid w:val="17ED2A1B"/>
    <w:rsid w:val="18546054"/>
    <w:rsid w:val="18DA6CE0"/>
    <w:rsid w:val="19793E03"/>
    <w:rsid w:val="19A215AC"/>
    <w:rsid w:val="1A3F329F"/>
    <w:rsid w:val="1A741A14"/>
    <w:rsid w:val="1AC217DA"/>
    <w:rsid w:val="1AFD0E76"/>
    <w:rsid w:val="1B0E2DEF"/>
    <w:rsid w:val="1B146CDE"/>
    <w:rsid w:val="1B5B2440"/>
    <w:rsid w:val="1B9118D8"/>
    <w:rsid w:val="1BDA1357"/>
    <w:rsid w:val="1C222CB7"/>
    <w:rsid w:val="1C856F63"/>
    <w:rsid w:val="1CD9665B"/>
    <w:rsid w:val="1CF50CAB"/>
    <w:rsid w:val="1D0F6E9D"/>
    <w:rsid w:val="1D266050"/>
    <w:rsid w:val="1D540E0F"/>
    <w:rsid w:val="1D5D57EA"/>
    <w:rsid w:val="1DD57051"/>
    <w:rsid w:val="1E1E65FA"/>
    <w:rsid w:val="1E392F4F"/>
    <w:rsid w:val="1E560BB7"/>
    <w:rsid w:val="1E74436F"/>
    <w:rsid w:val="1EC755EC"/>
    <w:rsid w:val="1F3103F1"/>
    <w:rsid w:val="1F5570C1"/>
    <w:rsid w:val="1FAB4D16"/>
    <w:rsid w:val="205E3D53"/>
    <w:rsid w:val="20670E5A"/>
    <w:rsid w:val="20684BD2"/>
    <w:rsid w:val="206C46C2"/>
    <w:rsid w:val="20785CAA"/>
    <w:rsid w:val="20DA4450"/>
    <w:rsid w:val="20F92EC0"/>
    <w:rsid w:val="212B00D9"/>
    <w:rsid w:val="214C7431"/>
    <w:rsid w:val="21D56297"/>
    <w:rsid w:val="21DA4132"/>
    <w:rsid w:val="21FE01EB"/>
    <w:rsid w:val="2278111D"/>
    <w:rsid w:val="22902419"/>
    <w:rsid w:val="22F35618"/>
    <w:rsid w:val="23244DE0"/>
    <w:rsid w:val="23D5432C"/>
    <w:rsid w:val="240E24B8"/>
    <w:rsid w:val="24A36DFA"/>
    <w:rsid w:val="24E85F46"/>
    <w:rsid w:val="25635D40"/>
    <w:rsid w:val="26306192"/>
    <w:rsid w:val="26820A95"/>
    <w:rsid w:val="268548BF"/>
    <w:rsid w:val="26DD6A45"/>
    <w:rsid w:val="27361586"/>
    <w:rsid w:val="27A83C81"/>
    <w:rsid w:val="27B364AA"/>
    <w:rsid w:val="27EC1E48"/>
    <w:rsid w:val="28137CE0"/>
    <w:rsid w:val="282B4E63"/>
    <w:rsid w:val="283F26BC"/>
    <w:rsid w:val="286B1703"/>
    <w:rsid w:val="28B1280D"/>
    <w:rsid w:val="29341AF5"/>
    <w:rsid w:val="29654E52"/>
    <w:rsid w:val="29710F8A"/>
    <w:rsid w:val="297D16EE"/>
    <w:rsid w:val="29A529F3"/>
    <w:rsid w:val="29DF3D43"/>
    <w:rsid w:val="2A377AEF"/>
    <w:rsid w:val="2A3C3080"/>
    <w:rsid w:val="2A7C5560"/>
    <w:rsid w:val="2ACC64FF"/>
    <w:rsid w:val="2ADB491E"/>
    <w:rsid w:val="2ADC41F2"/>
    <w:rsid w:val="2AFF0777"/>
    <w:rsid w:val="2B2362C5"/>
    <w:rsid w:val="2B343AE4"/>
    <w:rsid w:val="2B720544"/>
    <w:rsid w:val="2B824D9A"/>
    <w:rsid w:val="2B8E1123"/>
    <w:rsid w:val="2BFA1E04"/>
    <w:rsid w:val="2C212804"/>
    <w:rsid w:val="2C3D6F12"/>
    <w:rsid w:val="2C923581"/>
    <w:rsid w:val="2CBC367D"/>
    <w:rsid w:val="2CC350F7"/>
    <w:rsid w:val="2D3A16A4"/>
    <w:rsid w:val="2D603E90"/>
    <w:rsid w:val="2DD111B9"/>
    <w:rsid w:val="2E051CB2"/>
    <w:rsid w:val="2E625356"/>
    <w:rsid w:val="2E72433B"/>
    <w:rsid w:val="2ECB4CA9"/>
    <w:rsid w:val="2F2D14C0"/>
    <w:rsid w:val="2F634EE2"/>
    <w:rsid w:val="2F8936CC"/>
    <w:rsid w:val="2F8D6403"/>
    <w:rsid w:val="30124DC7"/>
    <w:rsid w:val="30153172"/>
    <w:rsid w:val="30201103"/>
    <w:rsid w:val="303E4FB3"/>
    <w:rsid w:val="3044527A"/>
    <w:rsid w:val="3059409E"/>
    <w:rsid w:val="308F02EF"/>
    <w:rsid w:val="30B96E22"/>
    <w:rsid w:val="30F770D2"/>
    <w:rsid w:val="314C7616"/>
    <w:rsid w:val="316B600B"/>
    <w:rsid w:val="31A517E2"/>
    <w:rsid w:val="31C93EE5"/>
    <w:rsid w:val="323B2146"/>
    <w:rsid w:val="32690A61"/>
    <w:rsid w:val="32A970B0"/>
    <w:rsid w:val="330A2F1D"/>
    <w:rsid w:val="33296443"/>
    <w:rsid w:val="33350391"/>
    <w:rsid w:val="33835B53"/>
    <w:rsid w:val="338673F1"/>
    <w:rsid w:val="338F44F8"/>
    <w:rsid w:val="34366C11"/>
    <w:rsid w:val="344258C0"/>
    <w:rsid w:val="34CC740B"/>
    <w:rsid w:val="34D16D92"/>
    <w:rsid w:val="3508377C"/>
    <w:rsid w:val="365E4AEE"/>
    <w:rsid w:val="36AF51F1"/>
    <w:rsid w:val="37115BB5"/>
    <w:rsid w:val="37463B0C"/>
    <w:rsid w:val="374E0226"/>
    <w:rsid w:val="37C036A0"/>
    <w:rsid w:val="38077679"/>
    <w:rsid w:val="38275390"/>
    <w:rsid w:val="38D36DBE"/>
    <w:rsid w:val="38F512A1"/>
    <w:rsid w:val="39162FC5"/>
    <w:rsid w:val="392E2DE3"/>
    <w:rsid w:val="39A36E6F"/>
    <w:rsid w:val="3AFE0C57"/>
    <w:rsid w:val="3BB33AD1"/>
    <w:rsid w:val="3BB500E8"/>
    <w:rsid w:val="3BF33E6E"/>
    <w:rsid w:val="3C716E3D"/>
    <w:rsid w:val="3CB925E5"/>
    <w:rsid w:val="3CB94393"/>
    <w:rsid w:val="3CD361B8"/>
    <w:rsid w:val="3CDF21A9"/>
    <w:rsid w:val="3D5E5367"/>
    <w:rsid w:val="3DE43692"/>
    <w:rsid w:val="3E8105A3"/>
    <w:rsid w:val="3E866689"/>
    <w:rsid w:val="3EAF2DBD"/>
    <w:rsid w:val="3EF959A7"/>
    <w:rsid w:val="3F3423F7"/>
    <w:rsid w:val="403A57EB"/>
    <w:rsid w:val="40A47108"/>
    <w:rsid w:val="40B340C5"/>
    <w:rsid w:val="41B63597"/>
    <w:rsid w:val="41C631D2"/>
    <w:rsid w:val="41D61543"/>
    <w:rsid w:val="41DF489C"/>
    <w:rsid w:val="42755200"/>
    <w:rsid w:val="42D65F34"/>
    <w:rsid w:val="430E0E56"/>
    <w:rsid w:val="43B23318"/>
    <w:rsid w:val="43EE526A"/>
    <w:rsid w:val="43F14D5A"/>
    <w:rsid w:val="441F71D0"/>
    <w:rsid w:val="44827F89"/>
    <w:rsid w:val="457C4AF8"/>
    <w:rsid w:val="45B83A6E"/>
    <w:rsid w:val="45CE5264"/>
    <w:rsid w:val="45D97854"/>
    <w:rsid w:val="45E36925"/>
    <w:rsid w:val="46D7149C"/>
    <w:rsid w:val="46EB783F"/>
    <w:rsid w:val="47A81BD4"/>
    <w:rsid w:val="48076156"/>
    <w:rsid w:val="48517B76"/>
    <w:rsid w:val="4860425D"/>
    <w:rsid w:val="499852D0"/>
    <w:rsid w:val="49D7054F"/>
    <w:rsid w:val="4A025719"/>
    <w:rsid w:val="4A527C06"/>
    <w:rsid w:val="4A9B77CE"/>
    <w:rsid w:val="4AC92EC2"/>
    <w:rsid w:val="4AE253FD"/>
    <w:rsid w:val="4B216F3F"/>
    <w:rsid w:val="4B951B65"/>
    <w:rsid w:val="4D371395"/>
    <w:rsid w:val="4D396A45"/>
    <w:rsid w:val="4D3B0DF4"/>
    <w:rsid w:val="4D743F23"/>
    <w:rsid w:val="4D901140"/>
    <w:rsid w:val="4DA674DF"/>
    <w:rsid w:val="4DAA2314"/>
    <w:rsid w:val="4DDA23BB"/>
    <w:rsid w:val="4E8C5DAC"/>
    <w:rsid w:val="4EA84268"/>
    <w:rsid w:val="4EF15C0F"/>
    <w:rsid w:val="4F127065"/>
    <w:rsid w:val="4F361873"/>
    <w:rsid w:val="4F5D1E0D"/>
    <w:rsid w:val="4FCE5F50"/>
    <w:rsid w:val="4FEA113B"/>
    <w:rsid w:val="50504BB7"/>
    <w:rsid w:val="51025EB1"/>
    <w:rsid w:val="51167BAE"/>
    <w:rsid w:val="5121568F"/>
    <w:rsid w:val="514F5E63"/>
    <w:rsid w:val="51823496"/>
    <w:rsid w:val="51912641"/>
    <w:rsid w:val="51CB0999"/>
    <w:rsid w:val="525F7333"/>
    <w:rsid w:val="5266163F"/>
    <w:rsid w:val="5288688A"/>
    <w:rsid w:val="52DE6BCC"/>
    <w:rsid w:val="52E67B99"/>
    <w:rsid w:val="531E5B66"/>
    <w:rsid w:val="533019B0"/>
    <w:rsid w:val="538C7084"/>
    <w:rsid w:val="53AB0A82"/>
    <w:rsid w:val="53CD194D"/>
    <w:rsid w:val="53D0673A"/>
    <w:rsid w:val="53F964C8"/>
    <w:rsid w:val="544773A1"/>
    <w:rsid w:val="544E765F"/>
    <w:rsid w:val="54B27BEE"/>
    <w:rsid w:val="554747DA"/>
    <w:rsid w:val="55935C72"/>
    <w:rsid w:val="55A4591E"/>
    <w:rsid w:val="55CA0F67"/>
    <w:rsid w:val="56062A8E"/>
    <w:rsid w:val="562724C3"/>
    <w:rsid w:val="56414FE4"/>
    <w:rsid w:val="56AD0C13"/>
    <w:rsid w:val="573A3ECB"/>
    <w:rsid w:val="582139C8"/>
    <w:rsid w:val="58BF43EC"/>
    <w:rsid w:val="59030A64"/>
    <w:rsid w:val="592F5CB1"/>
    <w:rsid w:val="5A0272FA"/>
    <w:rsid w:val="5A421A14"/>
    <w:rsid w:val="5A4500A9"/>
    <w:rsid w:val="5A5345E5"/>
    <w:rsid w:val="5BCA630A"/>
    <w:rsid w:val="5C0210E4"/>
    <w:rsid w:val="5C78171D"/>
    <w:rsid w:val="5CBA7F88"/>
    <w:rsid w:val="5D0B2A69"/>
    <w:rsid w:val="5D6B3030"/>
    <w:rsid w:val="5D9D2B26"/>
    <w:rsid w:val="5E3500AC"/>
    <w:rsid w:val="5E5E170D"/>
    <w:rsid w:val="5E736640"/>
    <w:rsid w:val="5E7603F5"/>
    <w:rsid w:val="5E9443E0"/>
    <w:rsid w:val="5F137DD0"/>
    <w:rsid w:val="5F28567D"/>
    <w:rsid w:val="5FD21144"/>
    <w:rsid w:val="60025813"/>
    <w:rsid w:val="60151F2C"/>
    <w:rsid w:val="602C123A"/>
    <w:rsid w:val="602F7926"/>
    <w:rsid w:val="609035D2"/>
    <w:rsid w:val="60C969EB"/>
    <w:rsid w:val="616466CE"/>
    <w:rsid w:val="61682B46"/>
    <w:rsid w:val="619E084C"/>
    <w:rsid w:val="61A3723C"/>
    <w:rsid w:val="61AB4343"/>
    <w:rsid w:val="61FB0E26"/>
    <w:rsid w:val="62C16564"/>
    <w:rsid w:val="62F80CC9"/>
    <w:rsid w:val="632366B5"/>
    <w:rsid w:val="63281027"/>
    <w:rsid w:val="63662621"/>
    <w:rsid w:val="638B56E7"/>
    <w:rsid w:val="64041AE8"/>
    <w:rsid w:val="64047E27"/>
    <w:rsid w:val="642E6FE5"/>
    <w:rsid w:val="646B7DB9"/>
    <w:rsid w:val="64744EC0"/>
    <w:rsid w:val="64753127"/>
    <w:rsid w:val="64763B09"/>
    <w:rsid w:val="64D50816"/>
    <w:rsid w:val="64F8789F"/>
    <w:rsid w:val="659C487E"/>
    <w:rsid w:val="66180FD3"/>
    <w:rsid w:val="664E0674"/>
    <w:rsid w:val="668F7D8F"/>
    <w:rsid w:val="66A94262"/>
    <w:rsid w:val="66B07668"/>
    <w:rsid w:val="66E322A1"/>
    <w:rsid w:val="66F04A22"/>
    <w:rsid w:val="670D18F0"/>
    <w:rsid w:val="67335085"/>
    <w:rsid w:val="683230C8"/>
    <w:rsid w:val="684B4268"/>
    <w:rsid w:val="6850097B"/>
    <w:rsid w:val="68693416"/>
    <w:rsid w:val="68DA62EA"/>
    <w:rsid w:val="693370F8"/>
    <w:rsid w:val="69801C11"/>
    <w:rsid w:val="69E2467A"/>
    <w:rsid w:val="6AB2229E"/>
    <w:rsid w:val="6ACD0E86"/>
    <w:rsid w:val="6AD62431"/>
    <w:rsid w:val="6ADE08A2"/>
    <w:rsid w:val="6B18147C"/>
    <w:rsid w:val="6B5E2426"/>
    <w:rsid w:val="6B5E41D4"/>
    <w:rsid w:val="6BB40298"/>
    <w:rsid w:val="6BD126F0"/>
    <w:rsid w:val="6C0062C3"/>
    <w:rsid w:val="6C543A21"/>
    <w:rsid w:val="6C6E0447"/>
    <w:rsid w:val="6CA8238B"/>
    <w:rsid w:val="6CC938CF"/>
    <w:rsid w:val="6D766449"/>
    <w:rsid w:val="6E00504A"/>
    <w:rsid w:val="6EA63EC8"/>
    <w:rsid w:val="6F265009"/>
    <w:rsid w:val="702C161B"/>
    <w:rsid w:val="70B55D85"/>
    <w:rsid w:val="70C1740A"/>
    <w:rsid w:val="70EB70C9"/>
    <w:rsid w:val="71463497"/>
    <w:rsid w:val="71554DCC"/>
    <w:rsid w:val="71866233"/>
    <w:rsid w:val="726B5F4E"/>
    <w:rsid w:val="72A57E13"/>
    <w:rsid w:val="72BA41D2"/>
    <w:rsid w:val="72EE4103"/>
    <w:rsid w:val="72F571CC"/>
    <w:rsid w:val="7308020B"/>
    <w:rsid w:val="733046A8"/>
    <w:rsid w:val="7372081D"/>
    <w:rsid w:val="73AC128C"/>
    <w:rsid w:val="73BE0F24"/>
    <w:rsid w:val="749B20E4"/>
    <w:rsid w:val="74A13A9D"/>
    <w:rsid w:val="74B80DF9"/>
    <w:rsid w:val="75045DEC"/>
    <w:rsid w:val="75610B49"/>
    <w:rsid w:val="75701AE9"/>
    <w:rsid w:val="758D7B90"/>
    <w:rsid w:val="75D74E24"/>
    <w:rsid w:val="75ED4AD2"/>
    <w:rsid w:val="766034F6"/>
    <w:rsid w:val="767A350B"/>
    <w:rsid w:val="76805946"/>
    <w:rsid w:val="76AC6AD9"/>
    <w:rsid w:val="76BE5591"/>
    <w:rsid w:val="76E75CCC"/>
    <w:rsid w:val="76EE5236"/>
    <w:rsid w:val="76FF14B5"/>
    <w:rsid w:val="77282BC7"/>
    <w:rsid w:val="773B2148"/>
    <w:rsid w:val="77646A02"/>
    <w:rsid w:val="78144E1F"/>
    <w:rsid w:val="783764D9"/>
    <w:rsid w:val="784400DC"/>
    <w:rsid w:val="784A620C"/>
    <w:rsid w:val="787F42CC"/>
    <w:rsid w:val="78D2353D"/>
    <w:rsid w:val="799D7443"/>
    <w:rsid w:val="79D264B9"/>
    <w:rsid w:val="7A0D1421"/>
    <w:rsid w:val="7A146AD1"/>
    <w:rsid w:val="7A755808"/>
    <w:rsid w:val="7B595515"/>
    <w:rsid w:val="7B866F34"/>
    <w:rsid w:val="7BCF54E3"/>
    <w:rsid w:val="7C0148BF"/>
    <w:rsid w:val="7C8D4919"/>
    <w:rsid w:val="7CA37C99"/>
    <w:rsid w:val="7CD12A58"/>
    <w:rsid w:val="7D1B39BE"/>
    <w:rsid w:val="7D627B5B"/>
    <w:rsid w:val="7D90436E"/>
    <w:rsid w:val="7DA7152A"/>
    <w:rsid w:val="7DF73B3E"/>
    <w:rsid w:val="7E7335F9"/>
    <w:rsid w:val="7EB51F05"/>
    <w:rsid w:val="7ED3091C"/>
    <w:rsid w:val="7F0E4302"/>
    <w:rsid w:val="7F970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qFormat="1" w:unhideWhenUsed="0" w:uiPriority="0" w:name="toc 8"/>
    <w:lsdException w:uiPriority="39"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99" w:semiHidden="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6"/>
    <w:qFormat/>
    <w:uiPriority w:val="0"/>
    <w:pPr>
      <w:keepNext/>
      <w:jc w:val="center"/>
      <w:outlineLvl w:val="0"/>
    </w:pPr>
    <w:rPr>
      <w:b/>
      <w:bCs/>
      <w:sz w:val="32"/>
    </w:rPr>
  </w:style>
  <w:style w:type="paragraph" w:styleId="4">
    <w:name w:val="heading 2"/>
    <w:basedOn w:val="1"/>
    <w:next w:val="1"/>
    <w:link w:val="80"/>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qFormat/>
    <w:uiPriority w:val="99"/>
    <w:pPr>
      <w:keepNext/>
      <w:keepLines/>
      <w:spacing w:line="360" w:lineRule="auto"/>
      <w:outlineLvl w:val="2"/>
    </w:pPr>
    <w:rPr>
      <w:rFonts w:eastAsia="黑体"/>
      <w:b/>
      <w:bCs/>
      <w:sz w:val="32"/>
      <w:szCs w:val="32"/>
      <w:lang w:val="zh-CN"/>
    </w:rPr>
  </w:style>
  <w:style w:type="paragraph" w:styleId="6">
    <w:name w:val="heading 4"/>
    <w:basedOn w:val="1"/>
    <w:next w:val="1"/>
    <w:link w:val="49"/>
    <w:qFormat/>
    <w:uiPriority w:val="0"/>
    <w:pPr>
      <w:keepNext/>
      <w:keepLines/>
      <w:spacing w:before="280" w:after="290" w:line="376" w:lineRule="auto"/>
      <w:outlineLvl w:val="3"/>
    </w:pPr>
    <w:rPr>
      <w:rFonts w:ascii="宋体" w:hAnsi="Arial" w:eastAsia="黑体"/>
      <w:b/>
      <w:kern w:val="0"/>
      <w:sz w:val="24"/>
      <w:szCs w:val="20"/>
    </w:rPr>
  </w:style>
  <w:style w:type="paragraph" w:styleId="7">
    <w:name w:val="heading 5"/>
    <w:basedOn w:val="1"/>
    <w:next w:val="2"/>
    <w:link w:val="77"/>
    <w:qFormat/>
    <w:uiPriority w:val="0"/>
    <w:pPr>
      <w:keepNext/>
      <w:keepLines/>
      <w:spacing w:before="280" w:after="290" w:line="376" w:lineRule="auto"/>
      <w:outlineLvl w:val="4"/>
    </w:pPr>
    <w:rPr>
      <w:b/>
      <w:kern w:val="0"/>
      <w:sz w:val="28"/>
      <w:szCs w:val="20"/>
    </w:rPr>
  </w:style>
  <w:style w:type="paragraph" w:styleId="8">
    <w:name w:val="heading 6"/>
    <w:basedOn w:val="1"/>
    <w:next w:val="2"/>
    <w:link w:val="47"/>
    <w:qFormat/>
    <w:uiPriority w:val="0"/>
    <w:pPr>
      <w:keepNext/>
      <w:keepLines/>
      <w:spacing w:before="240" w:after="64" w:line="320" w:lineRule="auto"/>
      <w:outlineLvl w:val="5"/>
    </w:pPr>
    <w:rPr>
      <w:rFonts w:ascii="Arial" w:hAnsi="Arial" w:eastAsia="黑体"/>
      <w:b/>
      <w:kern w:val="0"/>
      <w:sz w:val="24"/>
      <w:szCs w:val="20"/>
    </w:rPr>
  </w:style>
  <w:style w:type="paragraph" w:styleId="9">
    <w:name w:val="heading 7"/>
    <w:basedOn w:val="1"/>
    <w:next w:val="2"/>
    <w:link w:val="63"/>
    <w:qFormat/>
    <w:uiPriority w:val="0"/>
    <w:pPr>
      <w:keepNext/>
      <w:keepLines/>
      <w:spacing w:before="240" w:after="64" w:line="320" w:lineRule="auto"/>
      <w:outlineLvl w:val="6"/>
    </w:pPr>
    <w:rPr>
      <w:b/>
      <w:kern w:val="0"/>
      <w:sz w:val="24"/>
      <w:szCs w:val="20"/>
    </w:rPr>
  </w:style>
  <w:style w:type="paragraph" w:styleId="10">
    <w:name w:val="heading 8"/>
    <w:basedOn w:val="1"/>
    <w:next w:val="2"/>
    <w:link w:val="54"/>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2"/>
    <w:link w:val="81"/>
    <w:qFormat/>
    <w:uiPriority w:val="0"/>
    <w:pPr>
      <w:keepNext/>
      <w:keepLines/>
      <w:spacing w:before="240" w:after="64" w:line="320" w:lineRule="auto"/>
      <w:outlineLvl w:val="8"/>
    </w:pPr>
    <w:rPr>
      <w:rFonts w:ascii="Arial" w:hAnsi="Arial" w:eastAsia="黑体"/>
      <w:kern w:val="0"/>
      <w:sz w:val="20"/>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82"/>
    <w:qFormat/>
    <w:uiPriority w:val="0"/>
    <w:pPr>
      <w:ind w:firstLine="420"/>
    </w:pPr>
    <w:rPr>
      <w:kern w:val="0"/>
      <w:sz w:val="20"/>
      <w:szCs w:val="20"/>
    </w:rPr>
  </w:style>
  <w:style w:type="paragraph" w:styleId="12">
    <w:name w:val="caption"/>
    <w:basedOn w:val="1"/>
    <w:next w:val="1"/>
    <w:semiHidden/>
    <w:unhideWhenUsed/>
    <w:qFormat/>
    <w:uiPriority w:val="0"/>
    <w:pPr>
      <w:spacing w:before="152" w:after="160"/>
    </w:pPr>
    <w:rPr>
      <w:rFonts w:ascii="Arial" w:hAnsi="Arial" w:eastAsia="黑体" w:cs="Arial"/>
      <w:sz w:val="20"/>
      <w:szCs w:val="20"/>
    </w:rPr>
  </w:style>
  <w:style w:type="paragraph" w:styleId="13">
    <w:name w:val="Document Map"/>
    <w:basedOn w:val="1"/>
    <w:link w:val="74"/>
    <w:semiHidden/>
    <w:qFormat/>
    <w:uiPriority w:val="0"/>
    <w:pPr>
      <w:shd w:val="clear" w:color="auto" w:fill="000080"/>
    </w:pPr>
    <w:rPr>
      <w:kern w:val="0"/>
      <w:sz w:val="20"/>
    </w:rPr>
  </w:style>
  <w:style w:type="paragraph" w:styleId="14">
    <w:name w:val="annotation text"/>
    <w:basedOn w:val="1"/>
    <w:link w:val="53"/>
    <w:unhideWhenUsed/>
    <w:qFormat/>
    <w:uiPriority w:val="0"/>
    <w:pPr>
      <w:jc w:val="left"/>
    </w:pPr>
  </w:style>
  <w:style w:type="paragraph" w:styleId="15">
    <w:name w:val="Body Text 3"/>
    <w:basedOn w:val="1"/>
    <w:link w:val="116"/>
    <w:unhideWhenUsed/>
    <w:qFormat/>
    <w:uiPriority w:val="0"/>
    <w:pPr>
      <w:spacing w:after="120"/>
    </w:pPr>
    <w:rPr>
      <w:sz w:val="16"/>
      <w:szCs w:val="16"/>
    </w:rPr>
  </w:style>
  <w:style w:type="paragraph" w:styleId="16">
    <w:name w:val="Body Text"/>
    <w:basedOn w:val="1"/>
    <w:next w:val="1"/>
    <w:link w:val="67"/>
    <w:qFormat/>
    <w:uiPriority w:val="0"/>
    <w:pPr>
      <w:autoSpaceDE w:val="0"/>
      <w:autoSpaceDN w:val="0"/>
      <w:adjustRightInd w:val="0"/>
      <w:spacing w:after="120"/>
      <w:jc w:val="left"/>
    </w:pPr>
    <w:rPr>
      <w:rFonts w:ascii="宋体"/>
      <w:kern w:val="0"/>
      <w:sz w:val="34"/>
      <w:szCs w:val="20"/>
    </w:rPr>
  </w:style>
  <w:style w:type="paragraph" w:styleId="17">
    <w:name w:val="Body Text Indent"/>
    <w:basedOn w:val="1"/>
    <w:link w:val="72"/>
    <w:qFormat/>
    <w:uiPriority w:val="0"/>
    <w:pPr>
      <w:spacing w:line="200" w:lineRule="exact"/>
      <w:ind w:firstLine="301"/>
    </w:pPr>
    <w:rPr>
      <w:rFonts w:ascii="宋体" w:hAnsi="Courier New"/>
      <w:spacing w:val="-4"/>
      <w:kern w:val="0"/>
      <w:sz w:val="18"/>
      <w:szCs w:val="20"/>
    </w:rPr>
  </w:style>
  <w:style w:type="paragraph" w:styleId="18">
    <w:name w:val="toc 3"/>
    <w:basedOn w:val="1"/>
    <w:next w:val="1"/>
    <w:unhideWhenUsed/>
    <w:qFormat/>
    <w:uiPriority w:val="39"/>
    <w:pPr>
      <w:widowControl/>
      <w:spacing w:after="100" w:line="276" w:lineRule="auto"/>
      <w:ind w:left="440"/>
      <w:jc w:val="left"/>
    </w:pPr>
    <w:rPr>
      <w:rFonts w:ascii="Calibri" w:hAnsi="Calibri" w:cs="黑体"/>
      <w:kern w:val="0"/>
      <w:sz w:val="22"/>
      <w:szCs w:val="22"/>
    </w:rPr>
  </w:style>
  <w:style w:type="paragraph" w:styleId="19">
    <w:name w:val="Plain Text"/>
    <w:basedOn w:val="1"/>
    <w:next w:val="6"/>
    <w:link w:val="62"/>
    <w:qFormat/>
    <w:uiPriority w:val="0"/>
    <w:rPr>
      <w:rFonts w:ascii="宋体" w:hAnsi="Courier New"/>
      <w:kern w:val="0"/>
      <w:sz w:val="20"/>
      <w:szCs w:val="20"/>
    </w:rPr>
  </w:style>
  <w:style w:type="paragraph" w:styleId="20">
    <w:name w:val="toc 8"/>
    <w:basedOn w:val="1"/>
    <w:next w:val="1"/>
    <w:semiHidden/>
    <w:qFormat/>
    <w:uiPriority w:val="0"/>
    <w:pPr>
      <w:tabs>
        <w:tab w:val="left" w:pos="358"/>
      </w:tabs>
      <w:ind w:left="2940" w:leftChars="1400"/>
    </w:pPr>
  </w:style>
  <w:style w:type="paragraph" w:styleId="21">
    <w:name w:val="Date"/>
    <w:basedOn w:val="1"/>
    <w:next w:val="1"/>
    <w:link w:val="60"/>
    <w:qFormat/>
    <w:uiPriority w:val="0"/>
    <w:pPr>
      <w:ind w:left="100" w:leftChars="2500"/>
    </w:pPr>
    <w:rPr>
      <w:spacing w:val="30"/>
      <w:kern w:val="0"/>
      <w:sz w:val="28"/>
    </w:rPr>
  </w:style>
  <w:style w:type="paragraph" w:styleId="22">
    <w:name w:val="Body Text Indent 2"/>
    <w:basedOn w:val="1"/>
    <w:link w:val="59"/>
    <w:qFormat/>
    <w:uiPriority w:val="0"/>
    <w:pPr>
      <w:spacing w:line="400" w:lineRule="exact"/>
      <w:ind w:firstLine="480"/>
    </w:pPr>
    <w:rPr>
      <w:kern w:val="0"/>
      <w:sz w:val="20"/>
    </w:rPr>
  </w:style>
  <w:style w:type="paragraph" w:styleId="23">
    <w:name w:val="Balloon Text"/>
    <w:basedOn w:val="1"/>
    <w:link w:val="65"/>
    <w:semiHidden/>
    <w:qFormat/>
    <w:uiPriority w:val="0"/>
    <w:rPr>
      <w:kern w:val="0"/>
      <w:sz w:val="18"/>
      <w:szCs w:val="18"/>
    </w:rPr>
  </w:style>
  <w:style w:type="paragraph" w:styleId="24">
    <w:name w:val="footer"/>
    <w:basedOn w:val="1"/>
    <w:link w:val="66"/>
    <w:qFormat/>
    <w:uiPriority w:val="99"/>
    <w:pPr>
      <w:tabs>
        <w:tab w:val="center" w:pos="4153"/>
        <w:tab w:val="right" w:pos="8306"/>
      </w:tabs>
      <w:snapToGrid w:val="0"/>
      <w:jc w:val="left"/>
    </w:pPr>
    <w:rPr>
      <w:rFonts w:ascii="宋体" w:hAnsi="Courier New"/>
      <w:kern w:val="0"/>
      <w:sz w:val="18"/>
      <w:szCs w:val="20"/>
    </w:rPr>
  </w:style>
  <w:style w:type="paragraph" w:styleId="25">
    <w:name w:val="header"/>
    <w:basedOn w:val="1"/>
    <w:link w:val="56"/>
    <w:qFormat/>
    <w:uiPriority w:val="0"/>
    <w:pPr>
      <w:pBdr>
        <w:bottom w:val="single" w:color="auto" w:sz="6" w:space="1"/>
      </w:pBdr>
      <w:tabs>
        <w:tab w:val="center" w:pos="4153"/>
        <w:tab w:val="right" w:pos="8306"/>
      </w:tabs>
      <w:snapToGrid w:val="0"/>
      <w:jc w:val="center"/>
    </w:pPr>
    <w:rPr>
      <w:rFonts w:ascii="宋体" w:hAnsi="Courier New"/>
      <w:kern w:val="0"/>
      <w:sz w:val="18"/>
      <w:szCs w:val="20"/>
    </w:rPr>
  </w:style>
  <w:style w:type="paragraph" w:styleId="26">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7">
    <w:name w:val="List"/>
    <w:basedOn w:val="1"/>
    <w:semiHidden/>
    <w:unhideWhenUsed/>
    <w:qFormat/>
    <w:uiPriority w:val="0"/>
    <w:pPr>
      <w:ind w:left="200" w:hanging="200" w:hangingChars="200"/>
    </w:pPr>
    <w:rPr>
      <w:sz w:val="28"/>
    </w:rPr>
  </w:style>
  <w:style w:type="paragraph" w:styleId="28">
    <w:name w:val="Body Text Indent 3"/>
    <w:basedOn w:val="1"/>
    <w:link w:val="78"/>
    <w:qFormat/>
    <w:uiPriority w:val="0"/>
    <w:pPr>
      <w:spacing w:line="360" w:lineRule="auto"/>
      <w:ind w:firstLine="359" w:firstLineChars="171"/>
    </w:pPr>
    <w:rPr>
      <w:kern w:val="0"/>
      <w:sz w:val="20"/>
    </w:rPr>
  </w:style>
  <w:style w:type="paragraph" w:styleId="29">
    <w:name w:val="toc 2"/>
    <w:basedOn w:val="1"/>
    <w:next w:val="1"/>
    <w:unhideWhenUsed/>
    <w:qFormat/>
    <w:uiPriority w:val="39"/>
    <w:pPr>
      <w:widowControl/>
      <w:spacing w:after="100" w:line="276" w:lineRule="auto"/>
      <w:ind w:left="220"/>
      <w:jc w:val="left"/>
    </w:pPr>
    <w:rPr>
      <w:rFonts w:ascii="Calibri" w:hAnsi="Calibri" w:cs="黑体"/>
      <w:kern w:val="0"/>
      <w:sz w:val="22"/>
      <w:szCs w:val="22"/>
    </w:rPr>
  </w:style>
  <w:style w:type="paragraph" w:styleId="30">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1">
    <w:name w:val="Normal (Web)"/>
    <w:basedOn w:val="1"/>
    <w:qFormat/>
    <w:uiPriority w:val="0"/>
    <w:pPr>
      <w:spacing w:beforeAutospacing="1" w:afterAutospacing="1"/>
      <w:jc w:val="left"/>
    </w:pPr>
    <w:rPr>
      <w:kern w:val="0"/>
      <w:sz w:val="24"/>
    </w:rPr>
  </w:style>
  <w:style w:type="paragraph" w:styleId="32">
    <w:name w:val="index 1"/>
    <w:basedOn w:val="1"/>
    <w:next w:val="1"/>
    <w:semiHidden/>
    <w:qFormat/>
    <w:uiPriority w:val="0"/>
    <w:pPr>
      <w:spacing w:line="360" w:lineRule="exact"/>
      <w:ind w:firstLine="432" w:firstLineChars="240"/>
    </w:pPr>
    <w:rPr>
      <w:rFonts w:ascii="宋体" w:hAnsi="宋体"/>
      <w:bCs/>
      <w:sz w:val="18"/>
      <w:szCs w:val="18"/>
    </w:rPr>
  </w:style>
  <w:style w:type="paragraph" w:styleId="33">
    <w:name w:val="annotation subject"/>
    <w:basedOn w:val="14"/>
    <w:next w:val="14"/>
    <w:link w:val="113"/>
    <w:semiHidden/>
    <w:unhideWhenUsed/>
    <w:qFormat/>
    <w:uiPriority w:val="0"/>
    <w:rPr>
      <w:b/>
      <w:bCs/>
    </w:rPr>
  </w:style>
  <w:style w:type="paragraph" w:styleId="34">
    <w:name w:val="Body Text First Indent 2"/>
    <w:basedOn w:val="17"/>
    <w:link w:val="122"/>
    <w:qFormat/>
    <w:uiPriority w:val="0"/>
    <w:pPr>
      <w:spacing w:after="120" w:line="240" w:lineRule="auto"/>
      <w:ind w:left="420" w:leftChars="200" w:firstLine="420" w:firstLineChars="200"/>
    </w:pPr>
    <w:rPr>
      <w:rFonts w:ascii="Times New Roman" w:hAnsi="Times New Roman"/>
      <w:spacing w:val="0"/>
      <w:kern w:val="2"/>
      <w:sz w:val="21"/>
      <w:szCs w:val="24"/>
    </w:rPr>
  </w:style>
  <w:style w:type="table" w:styleId="36">
    <w:name w:val="Table Grid"/>
    <w:basedOn w:val="35"/>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8">
    <w:name w:val="Strong"/>
    <w:qFormat/>
    <w:uiPriority w:val="0"/>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Emphasis"/>
    <w:qFormat/>
    <w:uiPriority w:val="0"/>
    <w:rPr>
      <w:color w:val="CC0000"/>
    </w:rPr>
  </w:style>
  <w:style w:type="character" w:styleId="42">
    <w:name w:val="Hyperlink"/>
    <w:qFormat/>
    <w:uiPriority w:val="99"/>
    <w:rPr>
      <w:color w:val="0000FF"/>
      <w:u w:val="single"/>
    </w:rPr>
  </w:style>
  <w:style w:type="character" w:styleId="43">
    <w:name w:val="annotation reference"/>
    <w:qFormat/>
    <w:uiPriority w:val="0"/>
    <w:rPr>
      <w:sz w:val="21"/>
    </w:rPr>
  </w:style>
  <w:style w:type="character" w:styleId="44">
    <w:name w:val="HTML Sample"/>
    <w:unhideWhenUsed/>
    <w:qFormat/>
    <w:uiPriority w:val="99"/>
    <w:rPr>
      <w:rFonts w:ascii="Courier New" w:hAnsi="Courier New"/>
    </w:rPr>
  </w:style>
  <w:style w:type="paragraph" w:customStyle="1" w:styleId="45">
    <w:name w:val="NormalIndent"/>
    <w:basedOn w:val="1"/>
    <w:qFormat/>
    <w:uiPriority w:val="0"/>
    <w:pPr>
      <w:ind w:firstLine="420"/>
    </w:pPr>
    <w:rPr>
      <w:szCs w:val="21"/>
    </w:rPr>
  </w:style>
  <w:style w:type="character" w:customStyle="1" w:styleId="46">
    <w:name w:val="style31"/>
    <w:qFormat/>
    <w:uiPriority w:val="0"/>
    <w:rPr>
      <w:sz w:val="18"/>
      <w:szCs w:val="18"/>
    </w:rPr>
  </w:style>
  <w:style w:type="character" w:customStyle="1" w:styleId="47">
    <w:name w:val="标题 6 Char"/>
    <w:link w:val="8"/>
    <w:qFormat/>
    <w:uiPriority w:val="0"/>
    <w:rPr>
      <w:rFonts w:ascii="Arial" w:hAnsi="Arial" w:eastAsia="黑体"/>
      <w:b/>
      <w:sz w:val="24"/>
    </w:rPr>
  </w:style>
  <w:style w:type="character" w:customStyle="1" w:styleId="48">
    <w:name w:val="apple-style-span"/>
    <w:basedOn w:val="37"/>
    <w:qFormat/>
    <w:uiPriority w:val="0"/>
  </w:style>
  <w:style w:type="character" w:customStyle="1" w:styleId="49">
    <w:name w:val="标题 4 Char"/>
    <w:link w:val="6"/>
    <w:qFormat/>
    <w:uiPriority w:val="0"/>
    <w:rPr>
      <w:rFonts w:ascii="宋体" w:hAnsi="Arial" w:eastAsia="黑体"/>
      <w:b/>
      <w:sz w:val="24"/>
    </w:rPr>
  </w:style>
  <w:style w:type="character" w:customStyle="1" w:styleId="50">
    <w:name w:val="Char Char2"/>
    <w:semiHidden/>
    <w:qFormat/>
    <w:uiPriority w:val="0"/>
    <w:rPr>
      <w:rFonts w:ascii="宋体" w:hAnsi="Courier New" w:eastAsia="宋体"/>
      <w:spacing w:val="-4"/>
      <w:kern w:val="2"/>
      <w:sz w:val="18"/>
      <w:lang w:val="en-US" w:eastAsia="zh-CN" w:bidi="ar-SA"/>
    </w:rPr>
  </w:style>
  <w:style w:type="character" w:customStyle="1" w:styleId="51">
    <w:name w:val="font11"/>
    <w:qFormat/>
    <w:uiPriority w:val="0"/>
    <w:rPr>
      <w:rFonts w:hint="default" w:ascii="Tahoma" w:hAnsi="Tahoma" w:cs="Tahoma"/>
      <w:color w:val="000000"/>
      <w:sz w:val="22"/>
      <w:szCs w:val="22"/>
      <w:u w:val="none"/>
    </w:rPr>
  </w:style>
  <w:style w:type="character" w:customStyle="1" w:styleId="52">
    <w:name w:val="普通文字 Char Char1"/>
    <w:semiHidden/>
    <w:qFormat/>
    <w:uiPriority w:val="0"/>
    <w:rPr>
      <w:rFonts w:ascii="宋体" w:hAnsi="Courier New" w:eastAsia="宋体"/>
      <w:kern w:val="2"/>
      <w:sz w:val="21"/>
      <w:lang w:val="en-US" w:eastAsia="zh-CN" w:bidi="ar-SA"/>
    </w:rPr>
  </w:style>
  <w:style w:type="character" w:customStyle="1" w:styleId="53">
    <w:name w:val="批注文字 Char"/>
    <w:link w:val="14"/>
    <w:qFormat/>
    <w:uiPriority w:val="0"/>
    <w:rPr>
      <w:rFonts w:eastAsia="宋体"/>
      <w:kern w:val="2"/>
      <w:sz w:val="21"/>
      <w:szCs w:val="24"/>
      <w:lang w:val="en-US" w:eastAsia="zh-CN" w:bidi="ar-SA"/>
    </w:rPr>
  </w:style>
  <w:style w:type="character" w:customStyle="1" w:styleId="54">
    <w:name w:val="标题 8 Char"/>
    <w:link w:val="10"/>
    <w:qFormat/>
    <w:uiPriority w:val="0"/>
    <w:rPr>
      <w:rFonts w:ascii="Arial" w:hAnsi="Arial" w:eastAsia="黑体"/>
      <w:sz w:val="24"/>
    </w:rPr>
  </w:style>
  <w:style w:type="character" w:customStyle="1" w:styleId="55">
    <w:name w:val="font31"/>
    <w:qFormat/>
    <w:uiPriority w:val="0"/>
    <w:rPr>
      <w:rFonts w:hint="eastAsia" w:ascii="宋体" w:hAnsi="宋体" w:eastAsia="宋体"/>
      <w:color w:val="000000"/>
      <w:sz w:val="22"/>
      <w:szCs w:val="22"/>
      <w:u w:val="none"/>
    </w:rPr>
  </w:style>
  <w:style w:type="character" w:customStyle="1" w:styleId="56">
    <w:name w:val="页眉 Char"/>
    <w:link w:val="25"/>
    <w:qFormat/>
    <w:uiPriority w:val="0"/>
    <w:rPr>
      <w:rFonts w:ascii="宋体" w:hAnsi="Courier New" w:eastAsia="宋体" w:cs="Times New Roman"/>
      <w:sz w:val="18"/>
      <w:szCs w:val="20"/>
    </w:rPr>
  </w:style>
  <w:style w:type="character" w:customStyle="1" w:styleId="57">
    <w:name w:val="纯文本 Char"/>
    <w:qFormat/>
    <w:uiPriority w:val="0"/>
    <w:rPr>
      <w:rFonts w:ascii="宋体" w:hAnsi="Courier New" w:eastAsia="宋体" w:cs="Courier New"/>
      <w:szCs w:val="21"/>
    </w:rPr>
  </w:style>
  <w:style w:type="character" w:customStyle="1" w:styleId="58">
    <w:name w:val="style54"/>
    <w:basedOn w:val="37"/>
    <w:qFormat/>
    <w:uiPriority w:val="0"/>
  </w:style>
  <w:style w:type="character" w:customStyle="1" w:styleId="59">
    <w:name w:val="正文文本缩进 2 Char"/>
    <w:link w:val="22"/>
    <w:qFormat/>
    <w:uiPriority w:val="0"/>
    <w:rPr>
      <w:rFonts w:ascii="Times New Roman" w:hAnsi="Times New Roman" w:eastAsia="宋体" w:cs="Times New Roman"/>
      <w:szCs w:val="24"/>
    </w:rPr>
  </w:style>
  <w:style w:type="character" w:customStyle="1" w:styleId="60">
    <w:name w:val="日期 Char"/>
    <w:link w:val="21"/>
    <w:qFormat/>
    <w:uiPriority w:val="0"/>
    <w:rPr>
      <w:rFonts w:ascii="Times New Roman" w:hAnsi="Times New Roman" w:eastAsia="宋体" w:cs="Times New Roman"/>
      <w:spacing w:val="30"/>
      <w:sz w:val="28"/>
      <w:szCs w:val="24"/>
    </w:rPr>
  </w:style>
  <w:style w:type="character" w:customStyle="1" w:styleId="61">
    <w:name w:val="font01"/>
    <w:qFormat/>
    <w:uiPriority w:val="0"/>
    <w:rPr>
      <w:rFonts w:hint="eastAsia" w:ascii="宋体" w:hAnsi="宋体" w:eastAsia="宋体"/>
      <w:color w:val="000000"/>
      <w:sz w:val="22"/>
      <w:szCs w:val="22"/>
      <w:u w:val="none"/>
    </w:rPr>
  </w:style>
  <w:style w:type="character" w:customStyle="1" w:styleId="62">
    <w:name w:val="纯文本 Char1"/>
    <w:link w:val="19"/>
    <w:qFormat/>
    <w:uiPriority w:val="0"/>
    <w:rPr>
      <w:rFonts w:ascii="宋体" w:hAnsi="Courier New" w:eastAsia="宋体" w:cs="Times New Roman"/>
      <w:szCs w:val="20"/>
    </w:rPr>
  </w:style>
  <w:style w:type="character" w:customStyle="1" w:styleId="63">
    <w:name w:val="标题 7 Char"/>
    <w:link w:val="9"/>
    <w:qFormat/>
    <w:uiPriority w:val="0"/>
    <w:rPr>
      <w:b/>
      <w:sz w:val="24"/>
    </w:rPr>
  </w:style>
  <w:style w:type="character" w:customStyle="1" w:styleId="64">
    <w:name w:val="1051"/>
    <w:qFormat/>
    <w:uiPriority w:val="0"/>
    <w:rPr>
      <w:sz w:val="21"/>
      <w:szCs w:val="21"/>
    </w:rPr>
  </w:style>
  <w:style w:type="character" w:customStyle="1" w:styleId="65">
    <w:name w:val="批注框文本 Char"/>
    <w:link w:val="23"/>
    <w:semiHidden/>
    <w:qFormat/>
    <w:uiPriority w:val="0"/>
    <w:rPr>
      <w:rFonts w:ascii="Times New Roman" w:hAnsi="Times New Roman" w:eastAsia="宋体" w:cs="Times New Roman"/>
      <w:sz w:val="18"/>
      <w:szCs w:val="18"/>
    </w:rPr>
  </w:style>
  <w:style w:type="character" w:customStyle="1" w:styleId="66">
    <w:name w:val="页脚 Char"/>
    <w:link w:val="24"/>
    <w:qFormat/>
    <w:uiPriority w:val="99"/>
    <w:rPr>
      <w:rFonts w:ascii="宋体" w:hAnsi="Courier New" w:eastAsia="宋体" w:cs="Times New Roman"/>
      <w:sz w:val="18"/>
      <w:szCs w:val="20"/>
    </w:rPr>
  </w:style>
  <w:style w:type="character" w:customStyle="1" w:styleId="67">
    <w:name w:val="正文文本 Char"/>
    <w:link w:val="16"/>
    <w:qFormat/>
    <w:uiPriority w:val="0"/>
    <w:rPr>
      <w:rFonts w:ascii="宋体" w:hAnsi="Times New Roman" w:eastAsia="宋体" w:cs="Times New Roman"/>
      <w:kern w:val="0"/>
      <w:sz w:val="34"/>
      <w:szCs w:val="20"/>
    </w:rPr>
  </w:style>
  <w:style w:type="character" w:customStyle="1" w:styleId="68">
    <w:name w:val="标准文本 Char"/>
    <w:link w:val="69"/>
    <w:qFormat/>
    <w:uiPriority w:val="0"/>
    <w:rPr>
      <w:rFonts w:cs="宋体"/>
      <w:kern w:val="2"/>
      <w:sz w:val="24"/>
    </w:rPr>
  </w:style>
  <w:style w:type="paragraph" w:customStyle="1" w:styleId="69">
    <w:name w:val="标准文本"/>
    <w:basedOn w:val="1"/>
    <w:link w:val="68"/>
    <w:qFormat/>
    <w:uiPriority w:val="0"/>
    <w:pPr>
      <w:spacing w:line="360" w:lineRule="auto"/>
      <w:ind w:firstLine="480" w:firstLineChars="200"/>
    </w:pPr>
    <w:rPr>
      <w:sz w:val="24"/>
      <w:szCs w:val="20"/>
    </w:rPr>
  </w:style>
  <w:style w:type="character" w:customStyle="1" w:styleId="70">
    <w:name w:val="font41"/>
    <w:qFormat/>
    <w:uiPriority w:val="0"/>
    <w:rPr>
      <w:rFonts w:hint="eastAsia" w:ascii="宋体" w:hAnsi="宋体" w:eastAsia="宋体"/>
      <w:b/>
      <w:bCs/>
      <w:color w:val="000000"/>
      <w:sz w:val="22"/>
      <w:szCs w:val="22"/>
      <w:u w:val="none"/>
    </w:rPr>
  </w:style>
  <w:style w:type="character" w:customStyle="1" w:styleId="71">
    <w:name w:val="unnamed21"/>
    <w:basedOn w:val="37"/>
    <w:qFormat/>
    <w:uiPriority w:val="0"/>
  </w:style>
  <w:style w:type="character" w:customStyle="1" w:styleId="72">
    <w:name w:val="正文文本缩进 Char"/>
    <w:link w:val="17"/>
    <w:qFormat/>
    <w:uiPriority w:val="0"/>
    <w:rPr>
      <w:rFonts w:ascii="宋体" w:hAnsi="Courier New" w:eastAsia="宋体" w:cs="Times New Roman"/>
      <w:spacing w:val="-4"/>
      <w:sz w:val="18"/>
      <w:szCs w:val="20"/>
    </w:rPr>
  </w:style>
  <w:style w:type="character" w:customStyle="1" w:styleId="73">
    <w:name w:val="style51"/>
    <w:basedOn w:val="37"/>
    <w:qFormat/>
    <w:uiPriority w:val="0"/>
  </w:style>
  <w:style w:type="character" w:customStyle="1" w:styleId="74">
    <w:name w:val="文档结构图 Char"/>
    <w:link w:val="13"/>
    <w:semiHidden/>
    <w:qFormat/>
    <w:uiPriority w:val="0"/>
    <w:rPr>
      <w:rFonts w:ascii="Times New Roman" w:hAnsi="Times New Roman" w:eastAsia="宋体" w:cs="Times New Roman"/>
      <w:szCs w:val="24"/>
      <w:shd w:val="clear" w:color="auto" w:fill="000080"/>
    </w:rPr>
  </w:style>
  <w:style w:type="character" w:customStyle="1" w:styleId="75">
    <w:name w:val="纯文本 Char Char Char"/>
    <w:qFormat/>
    <w:uiPriority w:val="0"/>
    <w:rPr>
      <w:rFonts w:ascii="宋体" w:hAnsi="Courier New" w:eastAsia="宋体" w:cs="Courier New"/>
      <w:kern w:val="2"/>
      <w:sz w:val="21"/>
      <w:szCs w:val="21"/>
      <w:lang w:val="en-US" w:eastAsia="zh-CN" w:bidi="ar-SA"/>
    </w:rPr>
  </w:style>
  <w:style w:type="character" w:customStyle="1" w:styleId="76">
    <w:name w:val="标题 1 Char"/>
    <w:link w:val="3"/>
    <w:qFormat/>
    <w:uiPriority w:val="0"/>
    <w:rPr>
      <w:b/>
      <w:bCs/>
      <w:kern w:val="2"/>
      <w:sz w:val="32"/>
      <w:szCs w:val="24"/>
    </w:rPr>
  </w:style>
  <w:style w:type="character" w:customStyle="1" w:styleId="77">
    <w:name w:val="标题 5 Char"/>
    <w:link w:val="7"/>
    <w:qFormat/>
    <w:uiPriority w:val="0"/>
    <w:rPr>
      <w:b/>
      <w:sz w:val="28"/>
    </w:rPr>
  </w:style>
  <w:style w:type="character" w:customStyle="1" w:styleId="78">
    <w:name w:val="正文文本缩进 3 Char"/>
    <w:link w:val="28"/>
    <w:qFormat/>
    <w:uiPriority w:val="0"/>
    <w:rPr>
      <w:rFonts w:ascii="Times New Roman" w:hAnsi="Times New Roman" w:eastAsia="宋体" w:cs="Times New Roman"/>
      <w:szCs w:val="24"/>
    </w:rPr>
  </w:style>
  <w:style w:type="character" w:customStyle="1" w:styleId="79">
    <w:name w:val="HTML 预设格式 Char"/>
    <w:link w:val="30"/>
    <w:qFormat/>
    <w:uiPriority w:val="0"/>
    <w:rPr>
      <w:rFonts w:ascii="黑体" w:hAnsi="Courier New" w:eastAsia="黑体" w:cs="Courier New"/>
      <w:kern w:val="0"/>
      <w:sz w:val="20"/>
      <w:szCs w:val="20"/>
    </w:rPr>
  </w:style>
  <w:style w:type="character" w:customStyle="1" w:styleId="80">
    <w:name w:val="标题 2 Char"/>
    <w:link w:val="4"/>
    <w:qFormat/>
    <w:uiPriority w:val="0"/>
    <w:rPr>
      <w:rFonts w:ascii="Arial" w:hAnsi="Arial" w:eastAsia="黑体" w:cs="Times New Roman"/>
      <w:b/>
      <w:bCs/>
      <w:sz w:val="32"/>
      <w:szCs w:val="32"/>
    </w:rPr>
  </w:style>
  <w:style w:type="character" w:customStyle="1" w:styleId="81">
    <w:name w:val="标题 9 Char"/>
    <w:link w:val="11"/>
    <w:qFormat/>
    <w:uiPriority w:val="0"/>
    <w:rPr>
      <w:rFonts w:ascii="Arial" w:hAnsi="Arial" w:eastAsia="黑体"/>
    </w:rPr>
  </w:style>
  <w:style w:type="character" w:customStyle="1" w:styleId="82">
    <w:name w:val="正文缩进 Char"/>
    <w:link w:val="2"/>
    <w:qFormat/>
    <w:locked/>
    <w:uiPriority w:val="0"/>
    <w:rPr>
      <w:rFonts w:ascii="Times New Roman" w:hAnsi="Times New Roman" w:eastAsia="宋体" w:cs="Times New Roman"/>
      <w:szCs w:val="20"/>
    </w:rPr>
  </w:style>
  <w:style w:type="paragraph" w:customStyle="1" w:styleId="8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4">
    <w:name w:val="Table Paragraph"/>
    <w:basedOn w:val="1"/>
    <w:qFormat/>
    <w:uiPriority w:val="1"/>
    <w:pPr>
      <w:ind w:left="100" w:right="-10"/>
      <w:jc w:val="left"/>
    </w:pPr>
    <w:rPr>
      <w:rFonts w:ascii="宋体" w:hAnsi="宋体" w:cs="宋体"/>
      <w:kern w:val="0"/>
      <w:sz w:val="22"/>
      <w:szCs w:val="22"/>
      <w:lang w:eastAsia="en-US"/>
    </w:rPr>
  </w:style>
  <w:style w:type="paragraph" w:customStyle="1" w:styleId="8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styleId="86">
    <w:name w:val="List Paragraph"/>
    <w:basedOn w:val="1"/>
    <w:qFormat/>
    <w:uiPriority w:val="99"/>
    <w:pPr>
      <w:ind w:firstLine="420" w:firstLineChars="200"/>
    </w:pPr>
    <w:rPr>
      <w:rFonts w:ascii="Calibri" w:hAnsi="Calibri"/>
      <w:szCs w:val="22"/>
    </w:rPr>
  </w:style>
  <w:style w:type="paragraph" w:customStyle="1" w:styleId="87">
    <w:name w:val="Char"/>
    <w:basedOn w:val="13"/>
    <w:qFormat/>
    <w:uiPriority w:val="0"/>
    <w:rPr>
      <w:rFonts w:ascii="Tahoma" w:hAnsi="Tahoma"/>
      <w:sz w:val="24"/>
    </w:rPr>
  </w:style>
  <w:style w:type="paragraph" w:customStyle="1" w:styleId="8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89">
    <w:name w:val="p15"/>
    <w:basedOn w:val="1"/>
    <w:qFormat/>
    <w:uiPriority w:val="0"/>
    <w:pPr>
      <w:widowControl/>
    </w:pPr>
    <w:rPr>
      <w:rFonts w:ascii="宋体" w:hAnsi="宋体" w:cs="宋体"/>
      <w:kern w:val="0"/>
      <w:szCs w:val="21"/>
    </w:rPr>
  </w:style>
  <w:style w:type="paragraph" w:customStyle="1" w:styleId="90">
    <w:name w:val="样式3"/>
    <w:basedOn w:val="16"/>
    <w:qFormat/>
    <w:uiPriority w:val="0"/>
    <w:pPr>
      <w:adjustRightInd/>
      <w:spacing w:line="360" w:lineRule="auto"/>
      <w:jc w:val="both"/>
    </w:pPr>
    <w:rPr>
      <w:kern w:val="2"/>
      <w:sz w:val="21"/>
      <w:szCs w:val="24"/>
    </w:rPr>
  </w:style>
  <w:style w:type="paragraph" w:customStyle="1" w:styleId="91">
    <w:name w:val="Char Char Char Char Char Char Char"/>
    <w:basedOn w:val="1"/>
    <w:qFormat/>
    <w:uiPriority w:val="0"/>
  </w:style>
  <w:style w:type="paragraph" w:customStyle="1" w:styleId="92">
    <w:name w:val="Char Char Char Char"/>
    <w:basedOn w:val="13"/>
    <w:qFormat/>
    <w:uiPriority w:val="0"/>
    <w:rPr>
      <w:rFonts w:ascii="Tahoma" w:hAnsi="Tahoma"/>
      <w:sz w:val="24"/>
    </w:rPr>
  </w:style>
  <w:style w:type="paragraph" w:customStyle="1" w:styleId="93">
    <w:name w:val="样式1"/>
    <w:basedOn w:val="1"/>
    <w:qFormat/>
    <w:uiPriority w:val="0"/>
  </w:style>
  <w:style w:type="paragraph" w:customStyle="1" w:styleId="94">
    <w:name w:val="列出段落1"/>
    <w:basedOn w:val="1"/>
    <w:qFormat/>
    <w:uiPriority w:val="34"/>
    <w:pPr>
      <w:ind w:firstLine="420" w:firstLineChars="200"/>
    </w:pPr>
  </w:style>
  <w:style w:type="paragraph" w:customStyle="1" w:styleId="95">
    <w:name w:val="TOC 标题1"/>
    <w:basedOn w:val="3"/>
    <w:next w:val="1"/>
    <w:unhideWhenUsed/>
    <w:qFormat/>
    <w:uiPriority w:val="39"/>
    <w:pPr>
      <w:keepLines/>
      <w:widowControl/>
      <w:spacing w:before="480" w:line="276" w:lineRule="auto"/>
      <w:jc w:val="left"/>
      <w:outlineLvl w:val="9"/>
    </w:pPr>
    <w:rPr>
      <w:rFonts w:ascii="Cambria" w:hAnsi="Cambria" w:cs="黑体"/>
      <w:color w:val="365F90"/>
      <w:kern w:val="0"/>
      <w:sz w:val="28"/>
      <w:szCs w:val="28"/>
    </w:rPr>
  </w:style>
  <w:style w:type="paragraph" w:customStyle="1" w:styleId="9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9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8">
    <w:name w:val="Char Char Char Char Char Char1 Char1"/>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99">
    <w:name w:val="默认段落字体 Para Char Char Char Char Char Char Char Char Char1 Char Char Char Char"/>
    <w:basedOn w:val="1"/>
    <w:qFormat/>
    <w:uiPriority w:val="0"/>
    <w:rPr>
      <w:rFonts w:ascii="Tahoma" w:hAnsi="Tahoma"/>
      <w:sz w:val="24"/>
      <w:szCs w:val="20"/>
    </w:rPr>
  </w:style>
  <w:style w:type="paragraph" w:customStyle="1" w:styleId="100">
    <w:name w:val="Char1"/>
    <w:basedOn w:val="13"/>
    <w:qFormat/>
    <w:uiPriority w:val="0"/>
    <w:pPr>
      <w:widowControl/>
      <w:ind w:firstLine="454"/>
      <w:jc w:val="left"/>
    </w:pPr>
    <w:rPr>
      <w:rFonts w:ascii="Tahoma" w:hAnsi="Tahoma" w:cs="宋体"/>
      <w:sz w:val="24"/>
      <w:szCs w:val="20"/>
    </w:rPr>
  </w:style>
  <w:style w:type="paragraph" w:customStyle="1" w:styleId="10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0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3">
    <w:name w:val="p0"/>
    <w:basedOn w:val="1"/>
    <w:qFormat/>
    <w:uiPriority w:val="0"/>
    <w:pPr>
      <w:widowControl/>
    </w:pPr>
    <w:rPr>
      <w:kern w:val="0"/>
      <w:szCs w:val="21"/>
    </w:rPr>
  </w:style>
  <w:style w:type="paragraph" w:customStyle="1" w:styleId="104">
    <w:name w:val="xl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20"/>
      <w:szCs w:val="20"/>
    </w:rPr>
  </w:style>
  <w:style w:type="paragraph" w:customStyle="1" w:styleId="105">
    <w:name w:val="默认段落字体 Para Char1"/>
    <w:next w:val="1"/>
    <w:qFormat/>
    <w:uiPriority w:val="0"/>
    <w:pPr>
      <w:keepNext/>
      <w:keepLines/>
      <w:tabs>
        <w:tab w:val="left" w:pos="360"/>
      </w:tabs>
      <w:snapToGrid w:val="0"/>
      <w:spacing w:before="240" w:after="240"/>
      <w:outlineLvl w:val="7"/>
    </w:pPr>
    <w:rPr>
      <w:rFonts w:ascii="Arial" w:hAnsi="Arial" w:eastAsia="宋体" w:cs="Arial"/>
      <w:lang w:val="en-US" w:eastAsia="zh-CN" w:bidi="ar-SA"/>
    </w:rPr>
  </w:style>
  <w:style w:type="paragraph" w:customStyle="1" w:styleId="106">
    <w:name w:val="F2"/>
    <w:basedOn w:val="1"/>
    <w:qFormat/>
    <w:uiPriority w:val="0"/>
    <w:pPr>
      <w:autoSpaceDE w:val="0"/>
      <w:autoSpaceDN w:val="0"/>
      <w:adjustRightInd w:val="0"/>
      <w:ind w:firstLine="601"/>
      <w:textAlignment w:val="baseline"/>
    </w:pPr>
    <w:rPr>
      <w:kern w:val="0"/>
      <w:sz w:val="24"/>
      <w:szCs w:val="20"/>
    </w:rPr>
  </w:style>
  <w:style w:type="paragraph" w:customStyle="1" w:styleId="10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8">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10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10">
    <w:name w:val="列出段落2"/>
    <w:basedOn w:val="1"/>
    <w:unhideWhenUsed/>
    <w:qFormat/>
    <w:uiPriority w:val="34"/>
    <w:pPr>
      <w:ind w:firstLine="420" w:firstLineChars="200"/>
    </w:pPr>
    <w:rPr>
      <w:szCs w:val="20"/>
    </w:rPr>
  </w:style>
  <w:style w:type="paragraph" w:customStyle="1" w:styleId="111">
    <w:name w:val="_Style 5"/>
    <w:basedOn w:val="1"/>
    <w:qFormat/>
    <w:uiPriority w:val="34"/>
    <w:pPr>
      <w:spacing w:line="360" w:lineRule="auto"/>
      <w:ind w:firstLine="420" w:firstLineChars="200"/>
    </w:pPr>
    <w:rPr>
      <w:rFonts w:ascii="Calibri" w:hAnsi="Calibri"/>
      <w:szCs w:val="22"/>
    </w:rPr>
  </w:style>
  <w:style w:type="paragraph" w:customStyle="1" w:styleId="112">
    <w:name w:val="_Style 1"/>
    <w:basedOn w:val="1"/>
    <w:qFormat/>
    <w:uiPriority w:val="34"/>
    <w:pPr>
      <w:spacing w:line="360" w:lineRule="auto"/>
      <w:ind w:firstLine="420" w:firstLineChars="200"/>
    </w:pPr>
    <w:rPr>
      <w:rFonts w:ascii="Calibri" w:hAnsi="Calibri"/>
      <w:szCs w:val="22"/>
    </w:rPr>
  </w:style>
  <w:style w:type="character" w:customStyle="1" w:styleId="113">
    <w:name w:val="批注主题 Char"/>
    <w:basedOn w:val="53"/>
    <w:link w:val="33"/>
    <w:semiHidden/>
    <w:qFormat/>
    <w:uiPriority w:val="0"/>
    <w:rPr>
      <w:rFonts w:eastAsia="宋体"/>
      <w:b/>
      <w:bCs/>
      <w:kern w:val="2"/>
      <w:sz w:val="21"/>
      <w:szCs w:val="24"/>
      <w:lang w:val="en-US" w:eastAsia="zh-CN" w:bidi="ar-SA"/>
    </w:rPr>
  </w:style>
  <w:style w:type="paragraph" w:customStyle="1" w:styleId="114">
    <w:name w:val="正文段"/>
    <w:basedOn w:val="1"/>
    <w:qFormat/>
    <w:uiPriority w:val="0"/>
    <w:pPr>
      <w:widowControl/>
      <w:snapToGrid w:val="0"/>
      <w:spacing w:afterLines="50"/>
      <w:ind w:firstLine="200" w:firstLineChars="200"/>
    </w:pPr>
    <w:rPr>
      <w:kern w:val="0"/>
      <w:sz w:val="24"/>
      <w:szCs w:val="20"/>
    </w:rPr>
  </w:style>
  <w:style w:type="character" w:customStyle="1" w:styleId="115">
    <w:name w:val="批注文字 Char1"/>
    <w:basedOn w:val="37"/>
    <w:semiHidden/>
    <w:qFormat/>
    <w:locked/>
    <w:uiPriority w:val="0"/>
    <w:rPr>
      <w:kern w:val="2"/>
      <w:sz w:val="21"/>
      <w:szCs w:val="24"/>
    </w:rPr>
  </w:style>
  <w:style w:type="character" w:customStyle="1" w:styleId="116">
    <w:name w:val="正文文本 3 Char"/>
    <w:basedOn w:val="37"/>
    <w:link w:val="15"/>
    <w:semiHidden/>
    <w:qFormat/>
    <w:uiPriority w:val="0"/>
    <w:rPr>
      <w:kern w:val="2"/>
      <w:sz w:val="16"/>
      <w:szCs w:val="16"/>
    </w:rPr>
  </w:style>
  <w:style w:type="paragraph" w:customStyle="1" w:styleId="117">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8">
    <w:name w:val="项目符号A Char"/>
    <w:link w:val="119"/>
    <w:qFormat/>
    <w:uiPriority w:val="0"/>
    <w:rPr>
      <w:rFonts w:ascii="仿宋_GB2312" w:hAnsi="Arial" w:eastAsia="仿宋_GB2312"/>
      <w:spacing w:val="-4"/>
      <w:kern w:val="2"/>
      <w:sz w:val="24"/>
      <w:szCs w:val="24"/>
    </w:rPr>
  </w:style>
  <w:style w:type="paragraph" w:customStyle="1" w:styleId="119">
    <w:name w:val="项目符号A"/>
    <w:basedOn w:val="1"/>
    <w:link w:val="118"/>
    <w:qFormat/>
    <w:uiPriority w:val="0"/>
    <w:pPr>
      <w:tabs>
        <w:tab w:val="left" w:pos="1021"/>
      </w:tabs>
      <w:spacing w:line="400" w:lineRule="exact"/>
      <w:ind w:firstLine="465"/>
    </w:pPr>
    <w:rPr>
      <w:rFonts w:ascii="仿宋_GB2312" w:hAnsi="Arial" w:eastAsia="仿宋_GB2312"/>
      <w:spacing w:val="-4"/>
      <w:sz w:val="24"/>
    </w:rPr>
  </w:style>
  <w:style w:type="character" w:customStyle="1" w:styleId="120">
    <w:name w:val="article11"/>
    <w:qFormat/>
    <w:uiPriority w:val="0"/>
    <w:rPr>
      <w:color w:val="000000"/>
      <w:sz w:val="23"/>
      <w:szCs w:val="23"/>
    </w:rPr>
  </w:style>
  <w:style w:type="character" w:customStyle="1" w:styleId="121">
    <w:name w:val="case31"/>
    <w:qFormat/>
    <w:uiPriority w:val="0"/>
    <w:rPr>
      <w:rFonts w:hint="default"/>
      <w:sz w:val="21"/>
      <w:szCs w:val="21"/>
    </w:rPr>
  </w:style>
  <w:style w:type="character" w:customStyle="1" w:styleId="122">
    <w:name w:val="正文首行缩进 2 Char"/>
    <w:basedOn w:val="72"/>
    <w:link w:val="34"/>
    <w:qFormat/>
    <w:uiPriority w:val="0"/>
    <w:rPr>
      <w:rFonts w:ascii="宋体" w:hAnsi="Courier New" w:eastAsia="宋体" w:cs="Times New Roman"/>
      <w:spacing w:val="-4"/>
      <w:kern w:val="2"/>
      <w:sz w:val="21"/>
      <w:szCs w:val="24"/>
    </w:rPr>
  </w:style>
  <w:style w:type="character" w:customStyle="1" w:styleId="123">
    <w:name w:val="Char Char20"/>
    <w:qFormat/>
    <w:locked/>
    <w:uiPriority w:val="0"/>
    <w:rPr>
      <w:rFonts w:eastAsia="宋体"/>
      <w:b/>
      <w:bCs/>
      <w:kern w:val="44"/>
      <w:sz w:val="44"/>
      <w:szCs w:val="44"/>
      <w:lang w:bidi="ar-SA"/>
    </w:rPr>
  </w:style>
  <w:style w:type="paragraph" w:customStyle="1" w:styleId="124">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26">
    <w:name w:val="标题 1_0"/>
    <w:basedOn w:val="127"/>
    <w:next w:val="127"/>
    <w:qFormat/>
    <w:uiPriority w:val="99"/>
    <w:pPr>
      <w:keepNext/>
      <w:keepLines/>
      <w:spacing w:line="360" w:lineRule="auto"/>
      <w:outlineLvl w:val="0"/>
    </w:pPr>
    <w:rPr>
      <w:rFonts w:ascii="Times New Roman" w:hAnsi="Times New Roman" w:eastAsia="黑体"/>
      <w:b/>
      <w:bCs/>
      <w:kern w:val="44"/>
      <w:sz w:val="44"/>
      <w:szCs w:val="44"/>
      <w:lang w:val="zh-CN"/>
    </w:rPr>
  </w:style>
  <w:style w:type="paragraph" w:customStyle="1" w:styleId="1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正文_3_0"/>
    <w:basedOn w:val="129"/>
    <w:qFormat/>
    <w:uiPriority w:val="0"/>
    <w:rPr>
      <w:rFonts w:ascii="Calibri" w:hAnsi="Calibri"/>
    </w:rPr>
  </w:style>
  <w:style w:type="paragraph" w:customStyle="1" w:styleId="129">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0">
    <w:name w:val="标题 1_1"/>
    <w:basedOn w:val="131"/>
    <w:next w:val="128"/>
    <w:qFormat/>
    <w:uiPriority w:val="99"/>
    <w:pPr>
      <w:keepNext/>
      <w:keepLines/>
      <w:spacing w:before="340" w:after="330" w:line="578" w:lineRule="auto"/>
      <w:outlineLvl w:val="0"/>
    </w:pPr>
    <w:rPr>
      <w:rFonts w:eastAsia="黑体"/>
      <w:b/>
      <w:bCs/>
      <w:kern w:val="44"/>
      <w:sz w:val="32"/>
      <w:szCs w:val="44"/>
    </w:rPr>
  </w:style>
  <w:style w:type="paragraph" w:customStyle="1" w:styleId="131">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普通(网站)_0"/>
    <w:basedOn w:val="133"/>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纯文本_0"/>
    <w:basedOn w:val="133"/>
    <w:next w:val="135"/>
    <w:qFormat/>
    <w:uiPriority w:val="0"/>
    <w:rPr>
      <w:rFonts w:ascii="宋体" w:hAnsi="Courier New"/>
      <w:szCs w:val="20"/>
    </w:rPr>
  </w:style>
  <w:style w:type="paragraph" w:customStyle="1" w:styleId="135">
    <w:name w:val="标题 4_2"/>
    <w:basedOn w:val="133"/>
    <w:next w:val="133"/>
    <w:qFormat/>
    <w:uiPriority w:val="99"/>
    <w:pPr>
      <w:keepNext/>
      <w:keepLines/>
      <w:spacing w:before="280" w:after="290" w:line="376" w:lineRule="auto"/>
      <w:outlineLvl w:val="3"/>
    </w:pPr>
    <w:rPr>
      <w:rFonts w:ascii="Arial" w:hAnsi="Arial" w:eastAsia="黑体"/>
      <w:b/>
      <w:bCs/>
      <w:sz w:val="28"/>
      <w:szCs w:val="28"/>
    </w:rPr>
  </w:style>
  <w:style w:type="paragraph" w:customStyle="1" w:styleId="136">
    <w:name w:val="列出段落_0"/>
    <w:basedOn w:val="133"/>
    <w:qFormat/>
    <w:uiPriority w:val="34"/>
    <w:pPr>
      <w:ind w:firstLine="420" w:firstLineChars="200"/>
    </w:pPr>
  </w:style>
  <w:style w:type="paragraph" w:customStyle="1" w:styleId="137">
    <w:name w:val="Table Text"/>
    <w:basedOn w:val="1"/>
    <w:semiHidden/>
    <w:qFormat/>
    <w:uiPriority w:val="0"/>
    <w:rPr>
      <w:rFonts w:ascii="宋体" w:hAnsi="宋体" w:cs="宋体"/>
      <w:sz w:val="27"/>
      <w:szCs w:val="27"/>
      <w:lang w:eastAsia="en-US"/>
    </w:rPr>
  </w:style>
  <w:style w:type="table" w:customStyle="1" w:styleId="138">
    <w:name w:val="Table Normal"/>
    <w:semiHidden/>
    <w:unhideWhenUsed/>
    <w:qFormat/>
    <w:uiPriority w:val="0"/>
    <w:tblPr>
      <w:tblCellMar>
        <w:top w:w="0" w:type="dxa"/>
        <w:left w:w="0" w:type="dxa"/>
        <w:bottom w:w="0" w:type="dxa"/>
        <w:right w:w="0" w:type="dxa"/>
      </w:tblCellMar>
    </w:tblPr>
  </w:style>
  <w:style w:type="paragraph" w:customStyle="1" w:styleId="139">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105</Pages>
  <Words>21736</Words>
  <Characters>23096</Characters>
  <Lines>655</Lines>
  <Paragraphs>184</Paragraphs>
  <TotalTime>12</TotalTime>
  <ScaleCrop>false</ScaleCrop>
  <LinksUpToDate>false</LinksUpToDate>
  <CharactersWithSpaces>23534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2024-07-01T21:49:00Z</dcterms:created>
  <dc:creator>liwenjie</dc:creator>
  <cp:lastModifiedBy>DARK</cp:lastModifiedBy>
  <cp:lastPrinted>2025-06-18T07:04:00Z</cp:lastPrinted>
  <dcterms:modified xsi:type="dcterms:W3CDTF">2025-11-17T09:29:59Z</dcterms:modified>
  <dc:titl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53C36FFFA5C64810AADCA8995F0C23B6_13</vt:lpwstr>
  </property>
  <property fmtid="{D5CDD505-2E9C-101B-9397-08002B2CF9AE}" pid="4" name="KSOTemplateDocerSaveRecord">
    <vt:lpwstr>eyJoZGlkIjoiMmNhYWY2YTRkOTJkMjAxMzVlYjkzZTJkNjk0MWQ4ZDAiLCJ1c2VySWQiOiIyODI5NDM5MjAifQ==</vt:lpwstr>
  </property>
</Properties>
</file>