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B5E03">
      <w:pPr>
        <w:ind w:left="0" w:leftChars="0" w:firstLine="0" w:firstLineChars="0"/>
        <w:jc w:val="center"/>
        <w:rPr>
          <w:rFonts w:hint="eastAsia" w:ascii="微软雅黑" w:hAnsi="微软雅黑" w:eastAsia="微软雅黑" w:cs="微软雅黑"/>
          <w:b/>
          <w:color w:val="auto"/>
          <w:kern w:val="1"/>
          <w:sz w:val="52"/>
          <w:szCs w:val="52"/>
          <w:highlight w:val="none"/>
          <w:lang w:eastAsia="zh-CN"/>
        </w:rPr>
      </w:pPr>
    </w:p>
    <w:p w14:paraId="2466A29C">
      <w:pPr>
        <w:ind w:left="0" w:leftChars="0" w:firstLine="0" w:firstLineChars="0"/>
        <w:jc w:val="center"/>
        <w:rPr>
          <w:rFonts w:hint="eastAsia" w:ascii="微软雅黑" w:hAnsi="微软雅黑" w:eastAsia="微软雅黑" w:cs="微软雅黑"/>
          <w:b/>
          <w:color w:val="auto"/>
          <w:kern w:val="1"/>
          <w:sz w:val="52"/>
          <w:szCs w:val="52"/>
          <w:highlight w:val="none"/>
          <w:lang w:eastAsia="zh-CN"/>
        </w:rPr>
      </w:pPr>
      <w:r>
        <w:rPr>
          <w:rFonts w:hint="eastAsia" w:ascii="微软雅黑" w:hAnsi="微软雅黑" w:eastAsia="微软雅黑" w:cs="微软雅黑"/>
          <w:b/>
          <w:color w:val="auto"/>
          <w:kern w:val="1"/>
          <w:sz w:val="52"/>
          <w:szCs w:val="52"/>
          <w:highlight w:val="none"/>
          <w:lang w:eastAsia="zh-CN"/>
        </w:rPr>
        <w:t>广西</w:t>
      </w:r>
      <w:r>
        <w:rPr>
          <w:rFonts w:hint="eastAsia" w:ascii="微软雅黑" w:hAnsi="微软雅黑" w:eastAsia="微软雅黑" w:cs="微软雅黑"/>
          <w:b/>
          <w:color w:val="auto"/>
          <w:kern w:val="1"/>
          <w:sz w:val="52"/>
          <w:szCs w:val="52"/>
          <w:highlight w:val="none"/>
          <w:lang w:val="en-US" w:eastAsia="zh-CN"/>
        </w:rPr>
        <w:t>久致</w:t>
      </w:r>
      <w:r>
        <w:rPr>
          <w:rFonts w:hint="eastAsia" w:ascii="微软雅黑" w:hAnsi="微软雅黑" w:eastAsia="微软雅黑" w:cs="微软雅黑"/>
          <w:b/>
          <w:color w:val="auto"/>
          <w:kern w:val="1"/>
          <w:sz w:val="52"/>
          <w:szCs w:val="52"/>
          <w:highlight w:val="none"/>
          <w:lang w:eastAsia="zh-CN"/>
        </w:rPr>
        <w:t>建设工程咨询有限公司</w:t>
      </w:r>
    </w:p>
    <w:p w14:paraId="39650A57">
      <w:pPr>
        <w:pStyle w:val="35"/>
        <w:jc w:val="center"/>
        <w:rPr>
          <w:rFonts w:hint="eastAsia" w:ascii="宋体" w:hAnsi="宋体" w:eastAsia="宋体" w:cs="宋体"/>
          <w:color w:val="auto"/>
          <w:spacing w:val="0"/>
          <w:w w:val="100"/>
          <w:position w:val="0"/>
          <w:sz w:val="56"/>
          <w:szCs w:val="16"/>
          <w:highlight w:val="none"/>
        </w:rPr>
      </w:pPr>
    </w:p>
    <w:p w14:paraId="2AD0C33F">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color w:val="auto"/>
          <w:sz w:val="32"/>
          <w:szCs w:val="32"/>
          <w:highlight w:val="none"/>
          <w:lang w:eastAsia="zh-CN"/>
        </w:rPr>
      </w:pPr>
      <w:r>
        <w:rPr>
          <w:rFonts w:hint="eastAsia" w:ascii="微软雅黑" w:hAnsi="微软雅黑" w:eastAsia="微软雅黑" w:cs="微软雅黑"/>
          <w:b/>
          <w:color w:val="auto"/>
          <w:sz w:val="84"/>
          <w:szCs w:val="84"/>
          <w:highlight w:val="none"/>
          <w:lang w:val="en-US" w:eastAsia="zh-CN"/>
        </w:rPr>
        <w:t>竞争性磋商文件</w:t>
      </w:r>
    </w:p>
    <w:p w14:paraId="659365BF">
      <w:pPr>
        <w:spacing w:before="120" w:beforeLines="50"/>
        <w:jc w:val="center"/>
        <w:rPr>
          <w:rFonts w:hint="eastAsia" w:ascii="宋体" w:hAnsi="宋体" w:eastAsia="宋体" w:cs="宋体"/>
          <w:color w:val="auto"/>
          <w:kern w:val="0"/>
          <w:sz w:val="72"/>
          <w:szCs w:val="72"/>
          <w:highlight w:val="none"/>
        </w:rPr>
      </w:pPr>
      <w:r>
        <w:rPr>
          <w:rFonts w:hint="eastAsia" w:ascii="宋体" w:hAnsi="宋体" w:eastAsia="宋体" w:cs="宋体"/>
          <w:b/>
          <w:bCs/>
          <w:color w:val="auto"/>
          <w:sz w:val="32"/>
          <w:szCs w:val="32"/>
          <w:highlight w:val="none"/>
          <w:lang w:eastAsia="zh-CN"/>
        </w:rPr>
        <w:drawing>
          <wp:inline distT="0" distB="0" distL="114300" distR="114300">
            <wp:extent cx="1890395" cy="1894205"/>
            <wp:effectExtent l="0" t="0" r="5080" b="1270"/>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5"/>
                    <a:stretch>
                      <a:fillRect/>
                    </a:stretch>
                  </pic:blipFill>
                  <pic:spPr>
                    <a:xfrm>
                      <a:off x="0" y="0"/>
                      <a:ext cx="1890395" cy="1894205"/>
                    </a:xfrm>
                    <a:prstGeom prst="rect">
                      <a:avLst/>
                    </a:prstGeom>
                    <a:noFill/>
                    <a:ln>
                      <a:noFill/>
                    </a:ln>
                  </pic:spPr>
                </pic:pic>
              </a:graphicData>
            </a:graphic>
          </wp:inline>
        </w:drawing>
      </w:r>
    </w:p>
    <w:p w14:paraId="4B0673FC">
      <w:pPr>
        <w:rPr>
          <w:rFonts w:hint="eastAsia"/>
          <w:color w:val="auto"/>
          <w:highlight w:val="none"/>
        </w:rPr>
      </w:pPr>
    </w:p>
    <w:p w14:paraId="370FED7D">
      <w:pPr>
        <w:pStyle w:val="29"/>
        <w:tabs>
          <w:tab w:val="left" w:pos="1276"/>
        </w:tabs>
        <w:spacing w:line="360" w:lineRule="auto"/>
        <w:rPr>
          <w:rFonts w:hint="eastAsia" w:ascii="宋体" w:hAnsi="宋体" w:eastAsia="宋体" w:cs="宋体"/>
          <w:b/>
          <w:bCs/>
          <w:color w:val="auto"/>
          <w:sz w:val="32"/>
          <w:highlight w:val="none"/>
        </w:rPr>
      </w:pPr>
    </w:p>
    <w:p w14:paraId="6A494C19">
      <w:pPr>
        <w:pStyle w:val="29"/>
        <w:spacing w:line="360" w:lineRule="auto"/>
        <w:ind w:left="2249" w:hanging="2249" w:hangingChars="700"/>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项</w:t>
      </w:r>
      <w:r>
        <w:rPr>
          <w:rFonts w:hint="eastAsia" w:hAnsi="宋体" w:cs="宋体"/>
          <w:b/>
          <w:bCs/>
          <w:color w:val="auto"/>
          <w:sz w:val="32"/>
          <w:highlight w:val="none"/>
          <w:lang w:val="en-US" w:eastAsia="zh-CN"/>
        </w:rPr>
        <w:t xml:space="preserve"> </w:t>
      </w:r>
      <w:r>
        <w:rPr>
          <w:rFonts w:hint="eastAsia" w:ascii="宋体" w:hAnsi="宋体" w:eastAsia="宋体" w:cs="宋体"/>
          <w:b/>
          <w:bCs/>
          <w:color w:val="auto"/>
          <w:sz w:val="32"/>
          <w:highlight w:val="none"/>
        </w:rPr>
        <w:t>目</w:t>
      </w:r>
      <w:r>
        <w:rPr>
          <w:rFonts w:hint="eastAsia" w:hAnsi="宋体" w:cs="宋体"/>
          <w:b/>
          <w:bCs/>
          <w:color w:val="auto"/>
          <w:sz w:val="32"/>
          <w:highlight w:val="none"/>
          <w:lang w:val="en-US" w:eastAsia="zh-CN"/>
        </w:rPr>
        <w:t xml:space="preserve"> </w:t>
      </w:r>
      <w:r>
        <w:rPr>
          <w:rFonts w:hint="eastAsia" w:ascii="宋体" w:hAnsi="宋体" w:eastAsia="宋体" w:cs="宋体"/>
          <w:b/>
          <w:bCs/>
          <w:color w:val="auto"/>
          <w:sz w:val="32"/>
          <w:highlight w:val="none"/>
        </w:rPr>
        <w:t>名</w:t>
      </w:r>
      <w:r>
        <w:rPr>
          <w:rFonts w:hint="eastAsia" w:hAnsi="宋体" w:cs="宋体"/>
          <w:b/>
          <w:bCs/>
          <w:color w:val="auto"/>
          <w:sz w:val="32"/>
          <w:highlight w:val="none"/>
          <w:lang w:val="en-US" w:eastAsia="zh-CN"/>
        </w:rPr>
        <w:t xml:space="preserve"> </w:t>
      </w:r>
      <w:r>
        <w:rPr>
          <w:rFonts w:hint="eastAsia" w:ascii="宋体" w:hAnsi="宋体" w:eastAsia="宋体" w:cs="宋体"/>
          <w:b/>
          <w:bCs/>
          <w:color w:val="auto"/>
          <w:sz w:val="32"/>
          <w:highlight w:val="none"/>
        </w:rPr>
        <w:t>称</w:t>
      </w:r>
      <w:r>
        <w:rPr>
          <w:rFonts w:hint="eastAsia" w:hAnsi="宋体" w:cs="宋体"/>
          <w:b/>
          <w:bCs/>
          <w:color w:val="auto"/>
          <w:sz w:val="32"/>
          <w:highlight w:val="none"/>
          <w:lang w:val="en-US" w:eastAsia="zh-CN"/>
        </w:rPr>
        <w:t xml:space="preserve"> </w:t>
      </w:r>
      <w:r>
        <w:rPr>
          <w:rFonts w:hint="eastAsia" w:ascii="宋体" w:hAnsi="宋体" w:eastAsia="宋体" w:cs="宋体"/>
          <w:b/>
          <w:bCs/>
          <w:color w:val="auto"/>
          <w:sz w:val="32"/>
          <w:highlight w:val="none"/>
        </w:rPr>
        <w:t>：</w:t>
      </w:r>
      <w:r>
        <w:rPr>
          <w:rFonts w:hint="eastAsia" w:hAnsi="宋体" w:cs="宋体"/>
          <w:b/>
          <w:bCs/>
          <w:color w:val="auto"/>
          <w:sz w:val="32"/>
          <w:highlight w:val="none"/>
          <w:lang w:eastAsia="zh-CN"/>
        </w:rPr>
        <w:t>2024</w:t>
      </w:r>
      <w:r>
        <w:rPr>
          <w:rFonts w:hint="eastAsia" w:hAnsi="宋体" w:cs="宋体"/>
          <w:b/>
          <w:bCs/>
          <w:color w:val="auto"/>
          <w:sz w:val="32"/>
          <w:highlight w:val="none"/>
          <w:lang w:val="en-US" w:eastAsia="zh-CN"/>
        </w:rPr>
        <w:t>-2025</w:t>
      </w:r>
      <w:r>
        <w:rPr>
          <w:rFonts w:hint="eastAsia" w:hAnsi="宋体" w:cs="宋体"/>
          <w:b/>
          <w:bCs/>
          <w:color w:val="auto"/>
          <w:sz w:val="32"/>
          <w:highlight w:val="none"/>
          <w:lang w:eastAsia="zh-CN"/>
        </w:rPr>
        <w:t>年柳州市三十七中学教学楼及球场维修工程；柳州市育才路小学运动场及围墙维修改造工程；柳州市柳邕路第一小学跑道、围墙及地下消防管道维修改造工程</w:t>
      </w:r>
    </w:p>
    <w:p w14:paraId="3E1EABB2">
      <w:pPr>
        <w:pStyle w:val="29"/>
        <w:spacing w:line="360" w:lineRule="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项</w:t>
      </w:r>
      <w:r>
        <w:rPr>
          <w:rFonts w:hint="eastAsia" w:ascii="宋体" w:hAnsi="宋体" w:eastAsia="宋体" w:cs="宋体"/>
          <w:b/>
          <w:bCs/>
          <w:color w:val="auto"/>
          <w:sz w:val="32"/>
          <w:highlight w:val="none"/>
          <w:lang w:val="en-US" w:eastAsia="zh-CN"/>
        </w:rPr>
        <w:t xml:space="preserve"> </w:t>
      </w:r>
      <w:r>
        <w:rPr>
          <w:rFonts w:hint="eastAsia" w:ascii="宋体" w:hAnsi="宋体" w:eastAsia="宋体" w:cs="宋体"/>
          <w:b/>
          <w:bCs/>
          <w:color w:val="auto"/>
          <w:sz w:val="32"/>
          <w:highlight w:val="none"/>
        </w:rPr>
        <w:t>目</w:t>
      </w:r>
      <w:r>
        <w:rPr>
          <w:rFonts w:hint="eastAsia" w:ascii="宋体" w:hAnsi="宋体" w:eastAsia="宋体" w:cs="宋体"/>
          <w:b/>
          <w:bCs/>
          <w:color w:val="auto"/>
          <w:sz w:val="32"/>
          <w:highlight w:val="none"/>
          <w:lang w:val="en-US" w:eastAsia="zh-CN"/>
        </w:rPr>
        <w:t xml:space="preserve"> </w:t>
      </w:r>
      <w:r>
        <w:rPr>
          <w:rFonts w:hint="eastAsia" w:ascii="宋体" w:hAnsi="宋体" w:eastAsia="宋体" w:cs="宋体"/>
          <w:b/>
          <w:bCs/>
          <w:color w:val="auto"/>
          <w:sz w:val="32"/>
          <w:highlight w:val="none"/>
        </w:rPr>
        <w:t>编</w:t>
      </w:r>
      <w:r>
        <w:rPr>
          <w:rFonts w:hint="eastAsia" w:ascii="宋体" w:hAnsi="宋体" w:eastAsia="宋体" w:cs="宋体"/>
          <w:b/>
          <w:bCs/>
          <w:color w:val="auto"/>
          <w:sz w:val="32"/>
          <w:highlight w:val="none"/>
          <w:lang w:val="en-US" w:eastAsia="zh-CN"/>
        </w:rPr>
        <w:t xml:space="preserve"> </w:t>
      </w:r>
      <w:r>
        <w:rPr>
          <w:rFonts w:hint="eastAsia" w:ascii="宋体" w:hAnsi="宋体" w:eastAsia="宋体" w:cs="宋体"/>
          <w:b/>
          <w:bCs/>
          <w:color w:val="auto"/>
          <w:sz w:val="32"/>
          <w:highlight w:val="none"/>
        </w:rPr>
        <w:t>号</w:t>
      </w:r>
      <w:r>
        <w:rPr>
          <w:rFonts w:hint="eastAsia" w:ascii="宋体" w:hAnsi="宋体" w:eastAsia="宋体" w:cs="宋体"/>
          <w:b/>
          <w:bCs/>
          <w:color w:val="auto"/>
          <w:sz w:val="32"/>
          <w:highlight w:val="none"/>
          <w:lang w:val="en-US" w:eastAsia="zh-CN"/>
        </w:rPr>
        <w:t xml:space="preserve"> </w:t>
      </w:r>
      <w:r>
        <w:rPr>
          <w:rFonts w:hint="eastAsia" w:ascii="宋体" w:hAnsi="宋体" w:eastAsia="宋体" w:cs="宋体"/>
          <w:b/>
          <w:bCs/>
          <w:color w:val="auto"/>
          <w:sz w:val="32"/>
          <w:highlight w:val="none"/>
        </w:rPr>
        <w:t>：LZZC2025-C2-040037-GXJZ</w:t>
      </w:r>
    </w:p>
    <w:p w14:paraId="4CB723F0">
      <w:pPr>
        <w:pStyle w:val="29"/>
        <w:spacing w:line="360" w:lineRule="auto"/>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采 购 单 位 ：</w:t>
      </w:r>
      <w:r>
        <w:rPr>
          <w:rFonts w:hint="eastAsia" w:ascii="宋体" w:hAnsi="宋体" w:eastAsia="宋体" w:cs="宋体"/>
          <w:b/>
          <w:bCs/>
          <w:color w:val="auto"/>
          <w:sz w:val="32"/>
          <w:highlight w:val="none"/>
          <w:lang w:eastAsia="zh-CN"/>
        </w:rPr>
        <w:t>柳州市柳南区</w:t>
      </w:r>
      <w:r>
        <w:rPr>
          <w:rFonts w:hint="eastAsia" w:hAnsi="宋体" w:cs="宋体"/>
          <w:b/>
          <w:bCs/>
          <w:color w:val="auto"/>
          <w:sz w:val="32"/>
          <w:highlight w:val="none"/>
          <w:lang w:eastAsia="zh-CN"/>
        </w:rPr>
        <w:t>教育局</w:t>
      </w:r>
    </w:p>
    <w:p w14:paraId="0873CB18">
      <w:pPr>
        <w:pStyle w:val="29"/>
        <w:spacing w:line="360" w:lineRule="auto"/>
        <w:rPr>
          <w:rFonts w:hint="eastAsia" w:ascii="宋体" w:hAnsi="宋体" w:eastAsia="宋体" w:cs="宋体"/>
          <w:b/>
          <w:bCs/>
          <w:color w:val="auto"/>
          <w:w w:val="95"/>
          <w:sz w:val="32"/>
          <w:szCs w:val="32"/>
          <w:highlight w:val="none"/>
        </w:rPr>
      </w:pPr>
      <w:r>
        <w:rPr>
          <w:rFonts w:hint="eastAsia" w:ascii="宋体" w:hAnsi="宋体" w:eastAsia="宋体" w:cs="宋体"/>
          <w:b/>
          <w:bCs/>
          <w:color w:val="auto"/>
          <w:sz w:val="32"/>
          <w:highlight w:val="none"/>
        </w:rPr>
        <w:t>采购代理机构：</w:t>
      </w:r>
      <w:r>
        <w:rPr>
          <w:rFonts w:hint="eastAsia" w:ascii="宋体" w:hAnsi="宋体" w:eastAsia="宋体" w:cs="宋体"/>
          <w:b/>
          <w:bCs/>
          <w:color w:val="auto"/>
          <w:sz w:val="32"/>
          <w:highlight w:val="none"/>
          <w:lang w:eastAsia="zh-CN"/>
        </w:rPr>
        <w:t>广西</w:t>
      </w:r>
      <w:r>
        <w:rPr>
          <w:rFonts w:hint="eastAsia" w:hAnsi="宋体" w:cs="宋体"/>
          <w:b/>
          <w:bCs/>
          <w:color w:val="auto"/>
          <w:sz w:val="32"/>
          <w:highlight w:val="none"/>
          <w:lang w:val="en-US" w:eastAsia="zh-CN"/>
        </w:rPr>
        <w:t>久致</w:t>
      </w:r>
      <w:r>
        <w:rPr>
          <w:rFonts w:hint="eastAsia" w:ascii="宋体" w:hAnsi="宋体" w:eastAsia="宋体" w:cs="宋体"/>
          <w:b/>
          <w:bCs/>
          <w:color w:val="auto"/>
          <w:sz w:val="32"/>
          <w:highlight w:val="none"/>
          <w:lang w:eastAsia="zh-CN"/>
        </w:rPr>
        <w:t>建设工程咨询</w:t>
      </w:r>
      <w:r>
        <w:rPr>
          <w:rFonts w:hint="eastAsia" w:ascii="宋体" w:hAnsi="宋体" w:eastAsia="宋体" w:cs="宋体"/>
          <w:b/>
          <w:bCs/>
          <w:color w:val="auto"/>
          <w:sz w:val="32"/>
          <w:highlight w:val="none"/>
        </w:rPr>
        <w:t>有限公司</w:t>
      </w:r>
    </w:p>
    <w:p w14:paraId="69264A42">
      <w:pPr>
        <w:pStyle w:val="29"/>
        <w:snapToGrid w:val="0"/>
        <w:spacing w:before="120" w:after="120" w:line="360" w:lineRule="auto"/>
        <w:jc w:val="center"/>
        <w:rPr>
          <w:rFonts w:hint="eastAsia" w:ascii="宋体" w:hAnsi="宋体" w:eastAsia="宋体" w:cs="宋体"/>
          <w:b/>
          <w:bCs/>
          <w:color w:val="auto"/>
          <w:w w:val="95"/>
          <w:sz w:val="32"/>
          <w:szCs w:val="32"/>
          <w:highlight w:val="none"/>
        </w:rPr>
      </w:pPr>
      <w:r>
        <w:rPr>
          <w:rFonts w:hint="eastAsia" w:ascii="宋体" w:hAnsi="宋体" w:eastAsia="宋体" w:cs="宋体"/>
          <w:b/>
          <w:bCs/>
          <w:color w:val="auto"/>
          <w:w w:val="95"/>
          <w:sz w:val="32"/>
          <w:szCs w:val="32"/>
          <w:highlight w:val="none"/>
        </w:rPr>
        <w:t xml:space="preserve"> </w:t>
      </w:r>
      <w:r>
        <w:rPr>
          <w:rFonts w:hint="eastAsia" w:hAnsi="宋体" w:cs="宋体"/>
          <w:b/>
          <w:bCs/>
          <w:color w:val="auto"/>
          <w:w w:val="95"/>
          <w:sz w:val="32"/>
          <w:szCs w:val="32"/>
          <w:highlight w:val="none"/>
          <w:lang w:val="en-US" w:eastAsia="zh-CN"/>
        </w:rPr>
        <w:t>2025</w:t>
      </w:r>
      <w:r>
        <w:rPr>
          <w:rFonts w:hint="eastAsia" w:ascii="宋体" w:hAnsi="宋体" w:eastAsia="宋体" w:cs="宋体"/>
          <w:b/>
          <w:bCs/>
          <w:color w:val="auto"/>
          <w:w w:val="95"/>
          <w:sz w:val="32"/>
          <w:szCs w:val="32"/>
          <w:highlight w:val="none"/>
        </w:rPr>
        <w:t>年</w:t>
      </w:r>
      <w:r>
        <w:rPr>
          <w:rFonts w:hint="eastAsia" w:hAnsi="宋体" w:cs="宋体"/>
          <w:b/>
          <w:bCs/>
          <w:color w:val="auto"/>
          <w:w w:val="95"/>
          <w:sz w:val="32"/>
          <w:szCs w:val="32"/>
          <w:highlight w:val="none"/>
          <w:lang w:val="en-US" w:eastAsia="zh-CN"/>
        </w:rPr>
        <w:t>7</w:t>
      </w:r>
      <w:r>
        <w:rPr>
          <w:rFonts w:hint="eastAsia" w:ascii="宋体" w:hAnsi="宋体" w:eastAsia="宋体" w:cs="宋体"/>
          <w:b/>
          <w:bCs/>
          <w:color w:val="auto"/>
          <w:w w:val="95"/>
          <w:sz w:val="32"/>
          <w:szCs w:val="32"/>
          <w:highlight w:val="none"/>
        </w:rPr>
        <w:t>月</w:t>
      </w:r>
    </w:p>
    <w:p w14:paraId="262A487F">
      <w:pPr>
        <w:keepNext/>
        <w:keepLines/>
        <w:spacing w:before="340" w:after="330" w:line="360" w:lineRule="auto"/>
        <w:jc w:val="both"/>
        <w:rPr>
          <w:rFonts w:hint="eastAsia" w:ascii="宋体" w:hAnsi="宋体" w:eastAsia="宋体" w:cs="宋体"/>
          <w:b/>
          <w:bCs/>
          <w:color w:val="auto"/>
          <w:w w:val="95"/>
          <w:sz w:val="40"/>
          <w:szCs w:val="36"/>
          <w:highlight w:val="none"/>
          <w:lang w:val="zh-CN"/>
        </w:rPr>
        <w:sectPr>
          <w:pgSz w:w="11907" w:h="16840"/>
          <w:pgMar w:top="1440" w:right="1440" w:bottom="1440" w:left="1797" w:header="851" w:footer="851" w:gutter="0"/>
          <w:pgNumType w:start="1"/>
          <w:cols w:space="720" w:num="1"/>
          <w:docGrid w:linePitch="312" w:charSpace="0"/>
        </w:sectPr>
      </w:pPr>
      <w:bookmarkStart w:id="0" w:name="_Toc21142"/>
    </w:p>
    <w:p w14:paraId="6C35FA78">
      <w:pPr>
        <w:keepNext/>
        <w:keepLines/>
        <w:spacing w:before="340" w:after="330" w:line="360" w:lineRule="auto"/>
        <w:jc w:val="center"/>
        <w:rPr>
          <w:rFonts w:hint="eastAsia" w:ascii="宋体" w:hAnsi="宋体" w:eastAsia="宋体" w:cs="宋体"/>
          <w:b/>
          <w:bCs/>
          <w:color w:val="auto"/>
          <w:w w:val="95"/>
          <w:sz w:val="40"/>
          <w:szCs w:val="36"/>
          <w:highlight w:val="none"/>
          <w:lang w:val="zh-CN"/>
        </w:rPr>
      </w:pPr>
      <w:r>
        <w:rPr>
          <w:rFonts w:hint="eastAsia" w:ascii="宋体" w:hAnsi="宋体" w:eastAsia="宋体" w:cs="宋体"/>
          <w:b/>
          <w:bCs/>
          <w:color w:val="auto"/>
          <w:w w:val="95"/>
          <w:sz w:val="40"/>
          <w:szCs w:val="36"/>
          <w:highlight w:val="none"/>
          <w:lang w:val="zh-CN"/>
        </w:rPr>
        <w:t>目  录</w:t>
      </w:r>
      <w:bookmarkEnd w:id="0"/>
    </w:p>
    <w:p w14:paraId="133349DB">
      <w:pPr>
        <w:keepNext/>
        <w:keepLines/>
        <w:spacing w:before="340" w:after="330" w:line="360" w:lineRule="auto"/>
        <w:jc w:val="center"/>
        <w:rPr>
          <w:rFonts w:hint="eastAsia" w:ascii="宋体" w:hAnsi="宋体" w:eastAsia="宋体" w:cs="宋体"/>
          <w:b/>
          <w:bCs/>
          <w:color w:val="auto"/>
          <w:w w:val="95"/>
          <w:sz w:val="40"/>
          <w:szCs w:val="36"/>
          <w:highlight w:val="none"/>
          <w:lang w:val="zh-CN"/>
        </w:rPr>
      </w:pPr>
    </w:p>
    <w:p w14:paraId="3F0DFC4A">
      <w:pPr>
        <w:pStyle w:val="37"/>
        <w:spacing w:line="480" w:lineRule="auto"/>
        <w:rPr>
          <w:rFonts w:hint="eastAsia" w:ascii="宋体" w:hAnsi="宋体" w:eastAsia="宋体" w:cs="宋体"/>
          <w:b w:val="0"/>
          <w:color w:val="auto"/>
          <w:kern w:val="2"/>
          <w:sz w:val="21"/>
          <w:szCs w:val="22"/>
          <w:highlight w:val="none"/>
        </w:rPr>
      </w:pPr>
      <w:r>
        <w:rPr>
          <w:rFonts w:hint="eastAsia" w:ascii="宋体" w:hAnsi="宋体" w:eastAsia="宋体" w:cs="宋体"/>
          <w:b w:val="0"/>
          <w:color w:val="auto"/>
          <w:sz w:val="44"/>
          <w:szCs w:val="44"/>
          <w:highlight w:val="none"/>
        </w:rPr>
        <w:fldChar w:fldCharType="begin"/>
      </w:r>
      <w:r>
        <w:rPr>
          <w:rFonts w:hint="eastAsia" w:ascii="宋体" w:hAnsi="宋体" w:eastAsia="宋体" w:cs="宋体"/>
          <w:b w:val="0"/>
          <w:color w:val="auto"/>
          <w:sz w:val="44"/>
          <w:szCs w:val="44"/>
          <w:highlight w:val="none"/>
        </w:rPr>
        <w:instrText xml:space="preserve"> TOC \o "1-2" \h \z \u </w:instrText>
      </w:r>
      <w:r>
        <w:rPr>
          <w:rFonts w:hint="eastAsia" w:ascii="宋体" w:hAnsi="宋体" w:eastAsia="宋体" w:cs="宋体"/>
          <w:b w:val="0"/>
          <w:color w:val="auto"/>
          <w:sz w:val="44"/>
          <w:szCs w:val="4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"_Toc162340980"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 xml:space="preserve">第一章 </w:t>
      </w:r>
      <w:r>
        <w:rPr>
          <w:rStyle w:val="65"/>
          <w:rFonts w:hint="default" w:hAnsi="宋体" w:eastAsia="宋体" w:cs="宋体"/>
          <w:color w:val="auto"/>
          <w:highlight w:val="none"/>
        </w:rPr>
        <w:t xml:space="preserve"> </w:t>
      </w:r>
      <w:r>
        <w:rPr>
          <w:rStyle w:val="65"/>
          <w:rFonts w:hint="eastAsia" w:ascii="宋体" w:hAnsi="宋体" w:eastAsia="宋体" w:cs="宋体"/>
          <w:color w:val="auto"/>
          <w:highlight w:val="none"/>
        </w:rPr>
        <w:t>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_Toc162340980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8B269F">
      <w:pPr>
        <w:pStyle w:val="37"/>
        <w:spacing w:line="480" w:lineRule="auto"/>
        <w:rPr>
          <w:rFonts w:hint="eastAsia" w:ascii="宋体" w:hAnsi="宋体" w:eastAsia="宋体" w:cs="宋体"/>
          <w:b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"_Toc162340981"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第二章</w:t>
      </w:r>
      <w:r>
        <w:rPr>
          <w:rStyle w:val="65"/>
          <w:rFonts w:hint="default" w:hAnsi="宋体" w:eastAsia="宋体" w:cs="宋体"/>
          <w:color w:val="auto"/>
          <w:highlight w:val="none"/>
        </w:rPr>
        <w:t xml:space="preserve"> </w:t>
      </w:r>
      <w:r>
        <w:rPr>
          <w:rStyle w:val="65"/>
          <w:rFonts w:hint="eastAsia" w:ascii="宋体" w:hAnsi="宋体" w:eastAsia="宋体" w:cs="宋体"/>
          <w:color w:val="auto"/>
          <w:highlight w:val="none"/>
        </w:rPr>
        <w:t xml:space="preserve"> </w:t>
      </w:r>
      <w:r>
        <w:rPr>
          <w:rStyle w:val="65"/>
          <w:rFonts w:hint="eastAsia" w:ascii="宋体" w:hAnsi="宋体" w:eastAsia="宋体" w:cs="宋体"/>
          <w:bCs/>
          <w:color w:val="auto"/>
          <w:highlight w:val="none"/>
        </w:rPr>
        <w:t>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_Toc162340981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5A05E4C">
      <w:pPr>
        <w:pStyle w:val="37"/>
        <w:spacing w:line="480" w:lineRule="auto"/>
        <w:rPr>
          <w:rFonts w:hint="eastAsia" w:ascii="宋体" w:hAnsi="宋体" w:eastAsia="宋体" w:cs="宋体"/>
          <w:b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"_Toc162340982"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第三章</w:t>
      </w:r>
      <w:r>
        <w:rPr>
          <w:rStyle w:val="65"/>
          <w:rFonts w:hint="default" w:hAnsi="宋体" w:eastAsia="宋体" w:cs="宋体"/>
          <w:color w:val="auto"/>
          <w:highlight w:val="none"/>
        </w:rPr>
        <w:t xml:space="preserve"> </w:t>
      </w:r>
      <w:r>
        <w:rPr>
          <w:rStyle w:val="65"/>
          <w:rFonts w:hint="eastAsia" w:ascii="宋体" w:hAnsi="宋体" w:eastAsia="宋体" w:cs="宋体"/>
          <w:iCs/>
          <w:color w:val="auto"/>
          <w:highlight w:val="none"/>
        </w:rPr>
        <w:t xml:space="preserve"> 评</w:t>
      </w:r>
      <w:r>
        <w:rPr>
          <w:rStyle w:val="65"/>
          <w:rFonts w:hint="eastAsia" w:ascii="宋体" w:hAnsi="宋体" w:eastAsia="宋体" w:cs="宋体"/>
          <w:iCs/>
          <w:color w:val="auto"/>
          <w:highlight w:val="none"/>
          <w:lang w:val="en-US" w:eastAsia="zh-CN"/>
        </w:rPr>
        <w:t>审</w:t>
      </w:r>
      <w:r>
        <w:rPr>
          <w:rStyle w:val="65"/>
          <w:rFonts w:hint="eastAsia" w:ascii="宋体" w:hAnsi="宋体" w:eastAsia="宋体" w:cs="宋体"/>
          <w:iCs/>
          <w:color w:val="auto"/>
          <w:highlight w:val="none"/>
        </w:rPr>
        <w:t>办法及评</w:t>
      </w:r>
      <w:r>
        <w:rPr>
          <w:rStyle w:val="65"/>
          <w:rFonts w:hint="eastAsia" w:ascii="宋体" w:hAnsi="宋体" w:eastAsia="宋体" w:cs="宋体"/>
          <w:iCs/>
          <w:color w:val="auto"/>
          <w:highlight w:val="none"/>
          <w:lang w:val="en-US" w:eastAsia="zh-CN"/>
        </w:rPr>
        <w:t>审</w:t>
      </w:r>
      <w:r>
        <w:rPr>
          <w:rStyle w:val="65"/>
          <w:rFonts w:hint="eastAsia" w:ascii="宋体" w:hAnsi="宋体" w:eastAsia="宋体" w:cs="宋体"/>
          <w:iCs/>
          <w:color w:val="auto"/>
          <w:highlight w:val="none"/>
        </w:rPr>
        <w:t>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_Toc162340982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AB414FA">
      <w:pPr>
        <w:pStyle w:val="37"/>
        <w:spacing w:line="480" w:lineRule="auto"/>
        <w:rPr>
          <w:rFonts w:hint="eastAsia" w:ascii="宋体" w:hAnsi="宋体" w:eastAsia="宋体" w:cs="宋体"/>
          <w:b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"_Toc162340983"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w:t>
      </w:r>
      <w:r>
        <w:rPr>
          <w:rStyle w:val="65"/>
          <w:rFonts w:hint="eastAsia" w:ascii="宋体" w:hAnsi="宋体" w:eastAsia="宋体" w:cs="宋体"/>
          <w:iCs/>
          <w:color w:val="auto"/>
          <w:highlight w:val="none"/>
        </w:rPr>
        <w:t xml:space="preserve">四章 </w:t>
      </w:r>
      <w:r>
        <w:rPr>
          <w:rStyle w:val="65"/>
          <w:rFonts w:hint="default" w:hAnsi="宋体" w:eastAsia="宋体" w:cs="宋体"/>
          <w:iCs/>
          <w:color w:val="auto"/>
          <w:highlight w:val="none"/>
        </w:rPr>
        <w:t xml:space="preserve"> </w:t>
      </w:r>
      <w:r>
        <w:rPr>
          <w:rStyle w:val="65"/>
          <w:rFonts w:hint="eastAsia" w:ascii="宋体" w:hAnsi="宋体" w:eastAsia="宋体" w:cs="宋体"/>
          <w:iCs/>
          <w:color w:val="auto"/>
          <w:highlight w:val="none"/>
        </w:rPr>
        <w:t>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_Toc162340983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11AECD9">
      <w:pPr>
        <w:pStyle w:val="37"/>
        <w:spacing w:line="480" w:lineRule="auto"/>
        <w:rPr>
          <w:rFonts w:hint="eastAsia" w:ascii="宋体" w:hAnsi="宋体" w:eastAsia="宋体" w:cs="宋体"/>
          <w:b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"_Toc162340984"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第五章  图纸及工程量清单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_Toc162340984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539952">
      <w:pPr>
        <w:pStyle w:val="37"/>
        <w:spacing w:line="480" w:lineRule="auto"/>
        <w:rPr>
          <w:rFonts w:hint="eastAsia" w:ascii="宋体" w:hAnsi="宋体" w:eastAsia="宋体" w:cs="宋体"/>
          <w:b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"_Toc162340985"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 xml:space="preserve">第六章  </w:t>
      </w:r>
      <w:r>
        <w:rPr>
          <w:rStyle w:val="65"/>
          <w:rFonts w:hint="eastAsia" w:ascii="宋体" w:hAnsi="宋体" w:eastAsia="宋体" w:cs="宋体"/>
          <w:bCs/>
          <w:color w:val="auto"/>
          <w:highlight w:val="none"/>
        </w:rPr>
        <w:t>技术规范</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_Toc162340985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C077FD">
      <w:pPr>
        <w:pStyle w:val="37"/>
        <w:spacing w:line="480" w:lineRule="auto"/>
        <w:rPr>
          <w:rFonts w:hint="eastAsia" w:ascii="宋体" w:hAnsi="宋体" w:eastAsia="宋体" w:cs="宋体"/>
          <w:b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"_Toc162340986"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第七章</w:t>
      </w:r>
      <w:r>
        <w:rPr>
          <w:rStyle w:val="65"/>
          <w:rFonts w:hint="default" w:hAnsi="宋体" w:eastAsia="宋体" w:cs="宋体"/>
          <w:color w:val="auto"/>
          <w:highlight w:val="none"/>
        </w:rPr>
        <w:t xml:space="preserve"> </w:t>
      </w:r>
      <w:r>
        <w:rPr>
          <w:rStyle w:val="65"/>
          <w:rFonts w:hint="eastAsia" w:ascii="宋体" w:hAnsi="宋体" w:eastAsia="宋体" w:cs="宋体"/>
          <w:color w:val="auto"/>
          <w:highlight w:val="none"/>
        </w:rPr>
        <w:t xml:space="preserve"> 竞争性磋商响应文件格式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_Toc162340986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A34733B">
      <w:pPr>
        <w:spacing w:line="480" w:lineRule="auto"/>
        <w:jc w:val="center"/>
        <w:rPr>
          <w:rFonts w:hint="eastAsia" w:ascii="宋体" w:hAnsi="宋体" w:eastAsia="宋体" w:cs="宋体"/>
          <w:color w:val="auto"/>
          <w:szCs w:val="24"/>
          <w:highlight w:val="none"/>
        </w:rPr>
      </w:pPr>
      <w:r>
        <w:rPr>
          <w:rFonts w:hint="eastAsia" w:ascii="宋体" w:hAnsi="宋体" w:eastAsia="宋体" w:cs="宋体"/>
          <w:b/>
          <w:color w:val="auto"/>
          <w:kern w:val="0"/>
          <w:sz w:val="44"/>
          <w:szCs w:val="44"/>
          <w:highlight w:val="none"/>
        </w:rPr>
        <w:fldChar w:fldCharType="end"/>
      </w:r>
    </w:p>
    <w:p w14:paraId="02084DDA">
      <w:pPr>
        <w:widowControl/>
        <w:spacing w:line="360" w:lineRule="auto"/>
        <w:jc w:val="left"/>
        <w:rPr>
          <w:rFonts w:hint="eastAsia" w:ascii="宋体" w:hAnsi="宋体" w:eastAsia="宋体" w:cs="宋体"/>
          <w:b/>
          <w:color w:val="auto"/>
          <w:kern w:val="0"/>
          <w:sz w:val="24"/>
          <w:szCs w:val="21"/>
          <w:highlight w:val="none"/>
        </w:rPr>
        <w:sectPr>
          <w:footerReference r:id="rId3" w:type="default"/>
          <w:pgSz w:w="11907" w:h="16840"/>
          <w:pgMar w:top="1440" w:right="1440" w:bottom="1440" w:left="1797" w:header="851" w:footer="851" w:gutter="0"/>
          <w:pgNumType w:start="1"/>
          <w:cols w:space="720" w:num="1"/>
          <w:docGrid w:linePitch="312" w:charSpace="0"/>
        </w:sectPr>
      </w:pPr>
    </w:p>
    <w:p w14:paraId="6DC48EA5">
      <w:pPr>
        <w:numPr>
          <w:ilvl w:val="0"/>
          <w:numId w:val="0"/>
        </w:numPr>
        <w:snapToGrid w:val="0"/>
        <w:spacing w:before="120" w:after="120" w:line="360" w:lineRule="auto"/>
        <w:jc w:val="center"/>
        <w:outlineLvl w:val="0"/>
        <w:rPr>
          <w:rFonts w:hint="eastAsia" w:ascii="宋体" w:hAnsi="宋体" w:eastAsia="宋体" w:cs="宋体"/>
          <w:b/>
          <w:color w:val="auto"/>
          <w:sz w:val="44"/>
          <w:szCs w:val="44"/>
          <w:highlight w:val="none"/>
        </w:rPr>
      </w:pPr>
      <w:bookmarkStart w:id="1" w:name="_Toc162340980"/>
      <w:bookmarkStart w:id="2" w:name="_Toc38295167"/>
      <w:r>
        <w:rPr>
          <w:rFonts w:hint="eastAsia" w:ascii="宋体" w:hAnsi="宋体" w:eastAsia="宋体" w:cs="宋体"/>
          <w:b/>
          <w:color w:val="auto"/>
          <w:sz w:val="44"/>
          <w:szCs w:val="44"/>
          <w:highlight w:val="none"/>
          <w:lang w:val="en-US" w:eastAsia="zh-CN"/>
        </w:rPr>
        <w:t xml:space="preserve">第一章 </w:t>
      </w:r>
      <w:r>
        <w:rPr>
          <w:rFonts w:hint="eastAsia" w:ascii="宋体" w:hAnsi="宋体" w:eastAsia="宋体" w:cs="宋体"/>
          <w:b/>
          <w:color w:val="auto"/>
          <w:sz w:val="44"/>
          <w:szCs w:val="44"/>
          <w:highlight w:val="none"/>
        </w:rPr>
        <w:t>竞争性磋商公告</w:t>
      </w:r>
      <w:bookmarkEnd w:id="1"/>
      <w:bookmarkEnd w:id="2"/>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36"/>
      </w:tblGrid>
      <w:tr w14:paraId="7525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36" w:type="dxa"/>
          </w:tcPr>
          <w:p w14:paraId="29064CF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14:paraId="6A0A26B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Cs w:val="21"/>
                <w:highlight w:val="none"/>
                <w:u w:val="single"/>
                <w:lang w:eastAsia="zh-CN"/>
              </w:rPr>
              <w:t>2024-2025年柳州市三十七中学教学楼及球场维修工程；柳州市育才路小学运动场及围墙维修改造工程；柳州市柳邕路第一小学跑道、围墙及地下消防管道维修改造工程</w:t>
            </w:r>
            <w:r>
              <w:rPr>
                <w:rFonts w:hint="eastAsia" w:ascii="宋体" w:hAnsi="宋体" w:eastAsia="宋体" w:cs="宋体"/>
                <w:color w:val="auto"/>
                <w:spacing w:val="0"/>
                <w:w w:val="100"/>
                <w:position w:val="0"/>
                <w:szCs w:val="21"/>
                <w:highlight w:val="none"/>
              </w:rPr>
              <w:t>采购项目</w:t>
            </w:r>
            <w:r>
              <w:rPr>
                <w:rFonts w:hint="eastAsia" w:ascii="宋体" w:hAnsi="宋体" w:eastAsia="宋体" w:cs="宋体"/>
                <w:color w:val="auto"/>
                <w:sz w:val="21"/>
                <w:szCs w:val="21"/>
                <w:highlight w:val="none"/>
              </w:rPr>
              <w:t xml:space="preserve">的潜在供应商应在广西政府采购云平台（https://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"http://www.gcy.zfcg.gxzf.gov.cn）获取采购文件，并于2024年"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www.gcy.zfcg.gxzf.gov.cn）获取采购文件，并于202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日09:</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（北京时间）前提交响应文件。</w:t>
            </w:r>
          </w:p>
        </w:tc>
      </w:tr>
    </w:tbl>
    <w:p w14:paraId="79586A61">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bookmarkStart w:id="3" w:name="_Toc28359089"/>
      <w:bookmarkStart w:id="4" w:name="_Toc28359012"/>
      <w:bookmarkStart w:id="5" w:name="_Toc35393629"/>
      <w:bookmarkStart w:id="6" w:name="_Toc35393798"/>
      <w:r>
        <w:rPr>
          <w:rFonts w:hint="eastAsia" w:ascii="宋体" w:hAnsi="宋体" w:eastAsia="宋体" w:cs="宋体"/>
          <w:b/>
          <w:bCs/>
          <w:color w:val="auto"/>
          <w:sz w:val="21"/>
          <w:szCs w:val="21"/>
          <w:highlight w:val="none"/>
        </w:rPr>
        <w:t>一、项目基本情况</w:t>
      </w:r>
    </w:p>
    <w:p w14:paraId="5B8B778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项目编号：LZZC2025-C2-040037-GXJZ</w:t>
      </w:r>
    </w:p>
    <w:p w14:paraId="69E2EDD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2024-2025年柳州市三十七中学教学楼及球场维修工程；柳州市育才路小学运动场及围墙维修改造工程；柳州市柳邕路第一小学跑道、围墙及地下消防管道维修改造工程</w:t>
      </w:r>
    </w:p>
    <w:p w14:paraId="3EF2654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24201C2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预算总金额（元）：</w:t>
      </w:r>
      <w:r>
        <w:rPr>
          <w:rFonts w:hint="eastAsia" w:ascii="宋体" w:hAnsi="宋体" w:eastAsia="宋体" w:cs="宋体"/>
          <w:color w:val="auto"/>
          <w:sz w:val="21"/>
          <w:szCs w:val="21"/>
          <w:highlight w:val="none"/>
          <w:lang w:val="en-US" w:eastAsia="zh-CN"/>
        </w:rPr>
        <w:t>2455112.23</w:t>
      </w:r>
    </w:p>
    <w:p w14:paraId="24FA8AC1">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采购需求：</w:t>
      </w:r>
    </w:p>
    <w:bookmarkEnd w:id="3"/>
    <w:bookmarkEnd w:id="4"/>
    <w:bookmarkEnd w:id="5"/>
    <w:bookmarkEnd w:id="6"/>
    <w:p w14:paraId="6230351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bookmarkStart w:id="7" w:name="_Toc35393630"/>
      <w:bookmarkStart w:id="8" w:name="_Toc28359013"/>
      <w:bookmarkStart w:id="9" w:name="_Toc35393799"/>
      <w:bookmarkStart w:id="10" w:name="_Toc28359090"/>
      <w:r>
        <w:rPr>
          <w:rFonts w:hint="eastAsia" w:ascii="宋体" w:hAnsi="宋体" w:eastAsia="宋体" w:cs="宋体"/>
          <w:b w:val="0"/>
          <w:bCs/>
          <w:color w:val="auto"/>
          <w:sz w:val="21"/>
          <w:szCs w:val="21"/>
          <w:highlight w:val="none"/>
        </w:rPr>
        <w:t>标项名称</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eastAsia="zh-CN"/>
        </w:rPr>
        <w:t>2024-2025年柳州市三十七中学教学楼及球场维修工程；柳州市育才路小学运动场及围墙维修改造工程；柳州市柳邕路第一小学跑道、围墙及地下消防管道维修改造工程</w:t>
      </w:r>
    </w:p>
    <w:p w14:paraId="7DACC63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数量:1</w:t>
      </w:r>
    </w:p>
    <w:p w14:paraId="418EEBC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预算金额（元）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2455112.23</w:t>
      </w:r>
    </w:p>
    <w:p w14:paraId="0AADF1C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b w:val="0"/>
          <w:bCs/>
          <w:color w:val="auto"/>
          <w:sz w:val="21"/>
          <w:szCs w:val="21"/>
          <w:highlight w:val="none"/>
        </w:rPr>
        <w:t>简要规格描述或项目基本概况介绍、用途：</w:t>
      </w:r>
      <w:r>
        <w:rPr>
          <w:rFonts w:hint="eastAsia" w:ascii="宋体" w:hAnsi="宋体" w:eastAsia="宋体" w:cs="宋体"/>
          <w:b w:val="0"/>
          <w:bCs/>
          <w:color w:val="auto"/>
          <w:sz w:val="21"/>
          <w:szCs w:val="21"/>
          <w:highlight w:val="none"/>
          <w:lang w:val="en-US" w:eastAsia="zh-CN"/>
        </w:rPr>
        <w:t>本项目为</w:t>
      </w:r>
      <w:r>
        <w:rPr>
          <w:rFonts w:hint="eastAsia" w:ascii="宋体" w:hAnsi="宋体" w:eastAsia="宋体" w:cs="宋体"/>
          <w:b w:val="0"/>
          <w:bCs/>
          <w:color w:val="auto"/>
          <w:sz w:val="21"/>
          <w:szCs w:val="21"/>
          <w:highlight w:val="none"/>
          <w:lang w:eastAsia="zh-CN"/>
        </w:rPr>
        <w:t>2024-2025年柳州市三十七中学教学楼及球场维修工程；柳州市育才路小学运动场及围墙维修改造工程；柳州市柳邕路第一小学跑道、围墙及地下消防管道维修改造工程</w:t>
      </w:r>
      <w:r>
        <w:rPr>
          <w:rFonts w:hint="eastAsia" w:ascii="宋体" w:hAnsi="宋体" w:eastAsia="宋体" w:cs="宋体"/>
          <w:b w:val="0"/>
          <w:bCs/>
          <w:color w:val="auto"/>
          <w:sz w:val="21"/>
          <w:szCs w:val="21"/>
          <w:highlight w:val="none"/>
          <w:lang w:val="en-US" w:eastAsia="zh-CN"/>
        </w:rPr>
        <w:t>一项，</w:t>
      </w:r>
      <w:r>
        <w:rPr>
          <w:rFonts w:hint="eastAsia" w:ascii="宋体" w:hAnsi="宋体" w:eastAsia="宋体" w:cs="宋体"/>
          <w:color w:val="auto"/>
          <w:spacing w:val="0"/>
          <w:w w:val="100"/>
          <w:position w:val="0"/>
          <w:sz w:val="21"/>
          <w:szCs w:val="21"/>
          <w:highlight w:val="none"/>
        </w:rPr>
        <w:t>详见图纸及工程量清单</w:t>
      </w:r>
      <w:r>
        <w:rPr>
          <w:rFonts w:hint="eastAsia" w:ascii="宋体" w:hAnsi="宋体" w:eastAsia="宋体" w:cs="宋体"/>
          <w:color w:val="auto"/>
          <w:spacing w:val="0"/>
          <w:w w:val="100"/>
          <w:position w:val="0"/>
          <w:sz w:val="21"/>
          <w:szCs w:val="21"/>
          <w:highlight w:val="none"/>
          <w:lang w:eastAsia="zh-CN"/>
        </w:rPr>
        <w:t>。</w:t>
      </w:r>
      <w:bookmarkStart w:id="1300" w:name="_GoBack"/>
      <w:bookmarkEnd w:id="1300"/>
    </w:p>
    <w:p w14:paraId="1B16F6E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rPr>
        <w:t>最高限价（如有）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2455112.23元</w:t>
      </w:r>
    </w:p>
    <w:p w14:paraId="5B0F1E9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合同履约期限：</w:t>
      </w:r>
      <w:r>
        <w:rPr>
          <w:rFonts w:hint="eastAsia" w:ascii="宋体" w:hAnsi="宋体" w:eastAsia="宋体" w:cs="宋体"/>
          <w:b w:val="0"/>
          <w:bCs/>
          <w:color w:val="auto"/>
          <w:sz w:val="21"/>
          <w:szCs w:val="21"/>
          <w:highlight w:val="none"/>
          <w:lang w:val="en-US" w:eastAsia="zh-CN"/>
        </w:rPr>
        <w:t>工期30日历天</w:t>
      </w:r>
    </w:p>
    <w:p w14:paraId="0AFB4A0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本标项（否）接受联合体投标</w:t>
      </w:r>
    </w:p>
    <w:p w14:paraId="43F50B6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lang w:val="en-US"/>
        </w:rPr>
      </w:pPr>
      <w:r>
        <w:rPr>
          <w:rFonts w:hint="eastAsia" w:ascii="宋体" w:hAnsi="宋体" w:eastAsia="宋体" w:cs="宋体"/>
          <w:b w:val="0"/>
          <w:bCs/>
          <w:color w:val="auto"/>
          <w:sz w:val="21"/>
          <w:szCs w:val="21"/>
          <w:highlight w:val="none"/>
          <w:lang w:val="en-US" w:eastAsia="zh-CN"/>
        </w:rPr>
        <w:t>备注：无。</w:t>
      </w:r>
    </w:p>
    <w:p w14:paraId="4D2858B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bookmarkEnd w:id="7"/>
      <w:bookmarkEnd w:id="8"/>
      <w:bookmarkEnd w:id="9"/>
      <w:bookmarkEnd w:id="10"/>
    </w:p>
    <w:p w14:paraId="14E037E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5B47BF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eastAsia="zh-CN"/>
        </w:rPr>
      </w:pPr>
      <w:bookmarkStart w:id="11" w:name="_Toc35393800"/>
      <w:bookmarkStart w:id="12" w:name="_Toc28359014"/>
      <w:bookmarkStart w:id="13" w:name="_Toc35393631"/>
      <w:bookmarkStart w:id="14" w:name="_Toc28359091"/>
      <w:r>
        <w:rPr>
          <w:rFonts w:hint="eastAsia" w:ascii="宋体" w:hAnsi="宋体" w:eastAsia="宋体" w:cs="宋体"/>
          <w:bCs/>
          <w:color w:val="auto"/>
          <w:sz w:val="21"/>
          <w:szCs w:val="21"/>
          <w:highlight w:val="none"/>
        </w:rPr>
        <w:t>2.落实政府采购政策需满足的资格要求：本项目属于专门面向中小企业采购的项目，监狱企业、残疾人福利单位视同小型、微型企业</w:t>
      </w:r>
      <w:r>
        <w:rPr>
          <w:rFonts w:hint="eastAsia" w:ascii="宋体" w:hAnsi="宋体" w:eastAsia="宋体" w:cs="宋体"/>
          <w:bCs/>
          <w:color w:val="auto"/>
          <w:sz w:val="21"/>
          <w:szCs w:val="21"/>
          <w:highlight w:val="none"/>
          <w:lang w:eastAsia="zh-CN"/>
        </w:rPr>
        <w:t>；</w:t>
      </w:r>
    </w:p>
    <w:p w14:paraId="5099857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3.本项目的特定资格要求：</w:t>
      </w:r>
    </w:p>
    <w:p w14:paraId="1B60134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sz w:val="21"/>
          <w:szCs w:val="21"/>
          <w:highlight w:val="none"/>
          <w:lang w:val="en-US" w:eastAsia="zh-CN"/>
        </w:rPr>
        <w:t>供应商须具备</w:t>
      </w:r>
      <w:r>
        <w:rPr>
          <w:rFonts w:hint="eastAsia" w:ascii="宋体" w:hAnsi="宋体" w:eastAsia="宋体" w:cs="宋体"/>
          <w:bCs/>
          <w:color w:val="auto"/>
          <w:sz w:val="21"/>
          <w:szCs w:val="21"/>
          <w:highlight w:val="none"/>
        </w:rPr>
        <w:t>有效的建筑工程施工总承包三级（含）以上或建筑装修装饰工程专业承包二级（含）以上</w:t>
      </w:r>
      <w:r>
        <w:rPr>
          <w:rFonts w:hint="eastAsia" w:ascii="宋体" w:hAnsi="宋体" w:eastAsia="宋体" w:cs="宋体"/>
          <w:bCs/>
          <w:color w:val="auto"/>
          <w:sz w:val="21"/>
          <w:szCs w:val="21"/>
          <w:highlight w:val="none"/>
          <w:lang w:val="en-US" w:eastAsia="zh-CN"/>
        </w:rPr>
        <w:t>资质</w:t>
      </w:r>
      <w:r>
        <w:rPr>
          <w:rFonts w:hint="eastAsia" w:ascii="宋体" w:hAnsi="宋体" w:eastAsia="宋体" w:cs="宋体"/>
          <w:color w:val="auto"/>
          <w:kern w:val="0"/>
          <w:sz w:val="21"/>
          <w:szCs w:val="21"/>
          <w:highlight w:val="none"/>
        </w:rPr>
        <w:t>，具备有效的安全生产许可证，并在人员、设备、资金等方面具备相应的施工能力</w:t>
      </w:r>
      <w:r>
        <w:rPr>
          <w:rFonts w:hint="eastAsia" w:ascii="宋体" w:hAnsi="宋体" w:eastAsia="宋体" w:cs="宋体"/>
          <w:color w:val="auto"/>
          <w:kern w:val="0"/>
          <w:sz w:val="21"/>
          <w:szCs w:val="21"/>
          <w:highlight w:val="none"/>
          <w:lang w:eastAsia="zh-CN"/>
        </w:rPr>
        <w:t>；</w:t>
      </w:r>
    </w:p>
    <w:p w14:paraId="3627122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（2）拟投入本工程项目经理须具备</w:t>
      </w:r>
      <w:r>
        <w:rPr>
          <w:rFonts w:hint="eastAsia" w:ascii="宋体" w:hAnsi="宋体" w:eastAsia="宋体" w:cs="宋体"/>
          <w:bCs/>
          <w:color w:val="auto"/>
          <w:sz w:val="21"/>
          <w:szCs w:val="21"/>
          <w:highlight w:val="none"/>
          <w:lang w:eastAsia="zh-CN"/>
        </w:rPr>
        <w:t>有效的建筑工程专业二级(含)以上注册建造师执业资格证书</w:t>
      </w:r>
      <w:r>
        <w:rPr>
          <w:rFonts w:hint="eastAsia" w:ascii="宋体" w:hAnsi="宋体" w:eastAsia="宋体" w:cs="宋体"/>
          <w:color w:val="auto"/>
          <w:kern w:val="0"/>
          <w:sz w:val="21"/>
          <w:szCs w:val="21"/>
          <w:highlight w:val="none"/>
        </w:rPr>
        <w:t>，并具备有效的安全生产考核合格证（B类）</w:t>
      </w:r>
      <w:r>
        <w:rPr>
          <w:rFonts w:hint="eastAsia" w:ascii="宋体" w:hAnsi="宋体" w:eastAsia="宋体" w:cs="宋体"/>
          <w:color w:val="auto"/>
          <w:kern w:val="0"/>
          <w:sz w:val="21"/>
          <w:szCs w:val="21"/>
          <w:highlight w:val="none"/>
          <w:lang w:eastAsia="zh-CN"/>
        </w:rPr>
        <w:t>，本项目不接受有在建、已中标未开工或已列为其他项目中标候选人第一名的建造师作为项目经理）(符合桂建管〔 2013 〕17号文、桂建管﹝2014﹞25号文和桂建管﹝2016﹞70 除外；</w:t>
      </w:r>
    </w:p>
    <w:p w14:paraId="09587E9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（3）专职安全员要求：拟派专职安全员须具备有效的安全生产考核合格证书（C类）</w:t>
      </w:r>
      <w:r>
        <w:rPr>
          <w:rFonts w:hint="eastAsia" w:ascii="宋体" w:hAnsi="宋体" w:eastAsia="宋体" w:cs="宋体"/>
          <w:color w:val="auto"/>
          <w:kern w:val="0"/>
          <w:sz w:val="21"/>
          <w:szCs w:val="21"/>
          <w:highlight w:val="none"/>
          <w:lang w:eastAsia="zh-CN"/>
        </w:rPr>
        <w:t>。</w:t>
      </w:r>
    </w:p>
    <w:p w14:paraId="3289940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三、获取采购文件</w:t>
      </w:r>
      <w:bookmarkEnd w:id="11"/>
      <w:bookmarkEnd w:id="12"/>
      <w:bookmarkEnd w:id="13"/>
      <w:bookmarkEnd w:id="14"/>
    </w:p>
    <w:p w14:paraId="7E96FFF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 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07</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日至202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07</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日，每天上午0</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:00至12:00，下午12:00至</w:t>
      </w:r>
      <w:r>
        <w:rPr>
          <w:rFonts w:hint="eastAsia" w:ascii="宋体" w:hAnsi="宋体" w:eastAsia="宋体" w:cs="宋体"/>
          <w:bCs/>
          <w:color w:val="auto"/>
          <w:sz w:val="21"/>
          <w:szCs w:val="21"/>
          <w:highlight w:val="none"/>
          <w:lang w:val="en-US" w:eastAsia="zh-CN"/>
        </w:rPr>
        <w:t>17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（北京时间，法定节假日除外）。</w:t>
      </w:r>
    </w:p>
    <w:p w14:paraId="1FA0886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地点：广西政府采购云平台（https:// www.gcy.zfcg.gxzf.gov.cn）</w:t>
      </w:r>
    </w:p>
    <w:p w14:paraId="1B8E5C16">
      <w:pPr>
        <w:pageBreakBefore w:val="0"/>
        <w:widowControl w:val="0"/>
        <w:kinsoku/>
        <w:wordWrap/>
        <w:overflowPunct/>
        <w:topLinePunct/>
        <w:autoSpaceDE/>
        <w:autoSpaceDN/>
        <w:bidi w:val="0"/>
        <w:adjustRightInd/>
        <w:snapToGrid/>
        <w:spacing w:line="440" w:lineRule="exact"/>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方式：</w:t>
      </w:r>
      <w:r>
        <w:rPr>
          <w:rFonts w:hint="eastAsia" w:ascii="宋体" w:hAnsi="宋体" w:eastAsia="宋体" w:cs="宋体"/>
          <w:bCs/>
          <w:color w:val="auto"/>
          <w:spacing w:val="0"/>
          <w:w w:val="100"/>
          <w:kern w:val="0"/>
          <w:position w:val="0"/>
          <w:sz w:val="21"/>
          <w:szCs w:val="21"/>
          <w:highlight w:val="none"/>
        </w:rPr>
        <w:t>线上获取。潜在供应商需使用账号登录或者使用CA登录广西政府采购云平台（https://www.gcy.zfcg.gxzf.gov.cn/）-进入“项目采购”应用，在获取采购文件菜单中选择项目，获取</w:t>
      </w:r>
      <w:r>
        <w:rPr>
          <w:rFonts w:hint="eastAsia" w:ascii="宋体" w:hAnsi="宋体" w:eastAsia="宋体" w:cs="宋体"/>
          <w:bCs/>
          <w:color w:val="auto"/>
          <w:spacing w:val="0"/>
          <w:w w:val="100"/>
          <w:kern w:val="0"/>
          <w:position w:val="0"/>
          <w:sz w:val="21"/>
          <w:szCs w:val="21"/>
          <w:highlight w:val="none"/>
          <w:lang w:val="en-US" w:eastAsia="zh-CN"/>
        </w:rPr>
        <w:t>采购</w:t>
      </w:r>
      <w:r>
        <w:rPr>
          <w:rFonts w:hint="eastAsia" w:ascii="宋体" w:hAnsi="宋体" w:eastAsia="宋体" w:cs="宋体"/>
          <w:bCs/>
          <w:color w:val="auto"/>
          <w:spacing w:val="0"/>
          <w:w w:val="100"/>
          <w:kern w:val="0"/>
          <w:position w:val="0"/>
          <w:sz w:val="21"/>
          <w:szCs w:val="21"/>
          <w:highlight w:val="none"/>
        </w:rPr>
        <w:t>文件（或在“广西政府采购云平台客户端-获取采购文件”跳转到政采云系统获取）。</w:t>
      </w:r>
      <w:r>
        <w:rPr>
          <w:rFonts w:hint="eastAsia" w:ascii="宋体" w:hAnsi="宋体" w:eastAsia="宋体" w:cs="宋体"/>
          <w:bCs/>
          <w:color w:val="auto"/>
          <w:spacing w:val="0"/>
          <w:w w:val="100"/>
          <w:kern w:val="0"/>
          <w:position w:val="0"/>
          <w:sz w:val="21"/>
          <w:szCs w:val="21"/>
          <w:highlight w:val="none"/>
          <w:lang w:eastAsia="zh-CN"/>
        </w:rPr>
        <w:t>响应文件</w:t>
      </w:r>
      <w:r>
        <w:rPr>
          <w:rFonts w:hint="eastAsia" w:ascii="宋体" w:hAnsi="宋体" w:eastAsia="宋体" w:cs="宋体"/>
          <w:bCs/>
          <w:color w:val="auto"/>
          <w:spacing w:val="0"/>
          <w:w w:val="100"/>
          <w:kern w:val="0"/>
          <w:position w:val="0"/>
          <w:sz w:val="21"/>
          <w:szCs w:val="21"/>
          <w:highlight w:val="none"/>
        </w:rPr>
        <w:t>制作需要基于广西政府采购云平台（https://www.gcy.zfcg.gxzf.gov.cn/）获取的磋商文件编制，通过其他方式获取</w:t>
      </w:r>
      <w:r>
        <w:rPr>
          <w:rFonts w:hint="eastAsia" w:ascii="宋体" w:hAnsi="宋体" w:eastAsia="宋体" w:cs="宋体"/>
          <w:bCs/>
          <w:color w:val="auto"/>
          <w:spacing w:val="0"/>
          <w:w w:val="100"/>
          <w:kern w:val="0"/>
          <w:position w:val="0"/>
          <w:sz w:val="21"/>
          <w:szCs w:val="21"/>
          <w:highlight w:val="none"/>
          <w:lang w:val="en-US" w:eastAsia="zh-CN"/>
        </w:rPr>
        <w:t>采购</w:t>
      </w:r>
      <w:r>
        <w:rPr>
          <w:rFonts w:hint="eastAsia" w:ascii="宋体" w:hAnsi="宋体" w:eastAsia="宋体" w:cs="宋体"/>
          <w:bCs/>
          <w:color w:val="auto"/>
          <w:spacing w:val="0"/>
          <w:w w:val="100"/>
          <w:kern w:val="0"/>
          <w:position w:val="0"/>
          <w:sz w:val="21"/>
          <w:szCs w:val="21"/>
          <w:highlight w:val="none"/>
        </w:rPr>
        <w:t>文件的，将有可能导致供应商无法在广西政府采购云平台（https://www.gcy.zfcg.gxzf.gov.cn/）编制及上传响应文件。已获取</w:t>
      </w:r>
      <w:r>
        <w:rPr>
          <w:rFonts w:hint="eastAsia" w:ascii="宋体" w:hAnsi="宋体" w:eastAsia="宋体" w:cs="宋体"/>
          <w:bCs/>
          <w:color w:val="auto"/>
          <w:spacing w:val="0"/>
          <w:w w:val="100"/>
          <w:kern w:val="0"/>
          <w:position w:val="0"/>
          <w:sz w:val="21"/>
          <w:szCs w:val="21"/>
          <w:highlight w:val="none"/>
          <w:lang w:val="en-US" w:eastAsia="zh-CN"/>
        </w:rPr>
        <w:t>采购</w:t>
      </w:r>
      <w:r>
        <w:rPr>
          <w:rFonts w:hint="eastAsia" w:ascii="宋体" w:hAnsi="宋体" w:eastAsia="宋体" w:cs="宋体"/>
          <w:bCs/>
          <w:color w:val="auto"/>
          <w:spacing w:val="0"/>
          <w:w w:val="100"/>
          <w:kern w:val="0"/>
          <w:position w:val="0"/>
          <w:sz w:val="21"/>
          <w:szCs w:val="21"/>
          <w:highlight w:val="none"/>
        </w:rPr>
        <w:t>文件的竞标人不等于符合本项目的竞标人资格。</w:t>
      </w:r>
    </w:p>
    <w:p w14:paraId="79DA264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售价：0 元。</w:t>
      </w:r>
      <w:bookmarkStart w:id="15" w:name="_Toc35393632"/>
      <w:bookmarkStart w:id="16" w:name="_Toc28359092"/>
      <w:bookmarkStart w:id="17" w:name="_Toc35393801"/>
      <w:bookmarkStart w:id="18" w:name="_Toc28359015"/>
    </w:p>
    <w:p w14:paraId="78B38E4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四、响应文件提交</w:t>
      </w:r>
      <w:bookmarkEnd w:id="15"/>
      <w:bookmarkEnd w:id="16"/>
      <w:bookmarkEnd w:id="17"/>
      <w:bookmarkEnd w:id="18"/>
    </w:p>
    <w:p w14:paraId="22C92169">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提交响应文件截止时间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08</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04</w:t>
      </w:r>
      <w:r>
        <w:rPr>
          <w:rFonts w:hint="eastAsia" w:ascii="宋体" w:hAnsi="宋体" w:eastAsia="宋体" w:cs="宋体"/>
          <w:color w:val="auto"/>
          <w:sz w:val="21"/>
          <w:szCs w:val="21"/>
          <w:highlight w:val="none"/>
          <w:u w:val="none"/>
        </w:rPr>
        <w:t>日09:</w:t>
      </w:r>
      <w:r>
        <w:rPr>
          <w:rFonts w:hint="eastAsia" w:ascii="宋体" w:hAnsi="宋体" w:eastAsia="宋体" w:cs="宋体"/>
          <w:color w:val="auto"/>
          <w:sz w:val="21"/>
          <w:szCs w:val="21"/>
          <w:highlight w:val="none"/>
          <w:u w:val="none"/>
          <w:lang w:val="en-US" w:eastAsia="zh-CN"/>
        </w:rPr>
        <w:t>20</w:t>
      </w:r>
      <w:r>
        <w:rPr>
          <w:rFonts w:hint="eastAsia" w:ascii="宋体" w:hAnsi="宋体" w:eastAsia="宋体" w:cs="宋体"/>
          <w:color w:val="auto"/>
          <w:sz w:val="21"/>
          <w:szCs w:val="21"/>
          <w:highlight w:val="none"/>
        </w:rPr>
        <w:t>（北京时间）</w:t>
      </w:r>
    </w:p>
    <w:p w14:paraId="2DEB7375">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w:t>
      </w:r>
      <w:bookmarkStart w:id="19" w:name="_Toc35393802"/>
      <w:bookmarkStart w:id="20" w:name="_Toc28359016"/>
      <w:bookmarkStart w:id="21" w:name="_Toc28359093"/>
      <w:bookmarkStart w:id="22" w:name="_Toc35393633"/>
      <w:r>
        <w:rPr>
          <w:rFonts w:hint="eastAsia" w:ascii="宋体" w:hAnsi="宋体" w:eastAsia="宋体" w:cs="宋体"/>
          <w:color w:val="auto"/>
          <w:sz w:val="21"/>
          <w:szCs w:val="21"/>
          <w:highlight w:val="none"/>
        </w:rPr>
        <w:t>广西政府采购云平台（https:// www.gcy.zfcg.gxzf.gov.cn）</w:t>
      </w:r>
    </w:p>
    <w:p w14:paraId="41B6D1B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五、响应文件开启</w:t>
      </w:r>
      <w:bookmarkEnd w:id="19"/>
      <w:bookmarkEnd w:id="20"/>
      <w:bookmarkEnd w:id="21"/>
      <w:bookmarkEnd w:id="22"/>
    </w:p>
    <w:p w14:paraId="7844A5F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日09:</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（北京时间）</w:t>
      </w:r>
    </w:p>
    <w:p w14:paraId="2CED0DA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bookmarkStart w:id="23" w:name="_Toc35393803"/>
      <w:bookmarkStart w:id="24" w:name="_Toc28359094"/>
      <w:bookmarkStart w:id="25" w:name="_Toc28359017"/>
      <w:bookmarkStart w:id="26" w:name="_Toc35393634"/>
      <w:r>
        <w:rPr>
          <w:rFonts w:hint="eastAsia" w:ascii="宋体" w:hAnsi="宋体" w:eastAsia="宋体" w:cs="宋体"/>
          <w:color w:val="auto"/>
          <w:sz w:val="21"/>
          <w:szCs w:val="21"/>
          <w:highlight w:val="none"/>
        </w:rPr>
        <w:t>广西政府采购云平台（https:// www.gcy.zfcg.gxzf.gov.cn）</w:t>
      </w:r>
    </w:p>
    <w:p w14:paraId="792083C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六、公告期限</w:t>
      </w:r>
      <w:bookmarkEnd w:id="23"/>
      <w:bookmarkEnd w:id="24"/>
      <w:bookmarkEnd w:id="25"/>
      <w:bookmarkEnd w:id="26"/>
    </w:p>
    <w:p w14:paraId="41C3E9E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w:t>
      </w:r>
    </w:p>
    <w:p w14:paraId="5767D63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bookmarkStart w:id="27" w:name="_Toc35393804"/>
      <w:bookmarkStart w:id="28" w:name="_Toc35393635"/>
      <w:r>
        <w:rPr>
          <w:rFonts w:hint="eastAsia" w:ascii="宋体" w:hAnsi="宋体" w:eastAsia="宋体" w:cs="宋体"/>
          <w:b/>
          <w:color w:val="auto"/>
          <w:sz w:val="21"/>
          <w:szCs w:val="21"/>
          <w:highlight w:val="none"/>
        </w:rPr>
        <w:t>七、其他补充事宜</w:t>
      </w:r>
      <w:bookmarkEnd w:id="27"/>
      <w:bookmarkEnd w:id="28"/>
      <w:r>
        <w:rPr>
          <w:rFonts w:hint="eastAsia" w:ascii="宋体" w:hAnsi="宋体" w:eastAsia="宋体" w:cs="宋体"/>
          <w:b/>
          <w:color w:val="auto"/>
          <w:sz w:val="21"/>
          <w:szCs w:val="21"/>
          <w:highlight w:val="none"/>
        </w:rPr>
        <w:t>：</w:t>
      </w:r>
    </w:p>
    <w:p w14:paraId="36591FE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0"/>
          <w:sz w:val="21"/>
          <w:szCs w:val="21"/>
          <w:highlight w:val="none"/>
          <w:lang w:val="en-US" w:eastAsia="zh-CN"/>
        </w:rPr>
      </w:pPr>
      <w:bookmarkStart w:id="29" w:name="_Toc35393636"/>
      <w:bookmarkStart w:id="30" w:name="_Toc28359095"/>
      <w:bookmarkStart w:id="31" w:name="_Toc28359018"/>
      <w:bookmarkStart w:id="32" w:name="_Toc35393805"/>
      <w:r>
        <w:rPr>
          <w:rFonts w:hint="eastAsia" w:ascii="宋体" w:hAnsi="宋体" w:eastAsia="宋体" w:cs="宋体"/>
          <w:bCs/>
          <w:color w:val="auto"/>
          <w:kern w:val="0"/>
          <w:sz w:val="21"/>
          <w:szCs w:val="21"/>
          <w:highlight w:val="none"/>
        </w:rPr>
        <w:t>1.磋商保证金：本项目不收取磋商保证金。</w:t>
      </w:r>
    </w:p>
    <w:p w14:paraId="22A9377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网上查询地址：</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"http://www.ccgp.gov.cn（中国政府采购网）、zfcg.gxzf.gov.cn（广西壮族自治区政府采购网）、zfcg.lzscz.liuzhou.gov.cn（广西柳州政府采购网）。"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www.ccgp.gov.cn（中国政府采购网）、zfcg.gxzf.gov.cn（广西壮族自治区政府采购网）、zfcg.lzscz.liuzhou.gov.cn（广西柳州政府采购网）。</w:t>
      </w:r>
      <w:r>
        <w:rPr>
          <w:rFonts w:hint="eastAsia" w:ascii="宋体" w:hAnsi="宋体" w:eastAsia="宋体" w:cs="宋体"/>
          <w:bCs/>
          <w:color w:val="auto"/>
          <w:sz w:val="21"/>
          <w:szCs w:val="21"/>
          <w:highlight w:val="none"/>
        </w:rPr>
        <w:fldChar w:fldCharType="end"/>
      </w:r>
    </w:p>
    <w:p w14:paraId="0A7DBCC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.本项目需要落实的政府采购政策</w:t>
      </w:r>
    </w:p>
    <w:p w14:paraId="64020FE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（1）政府采购促进中小企业发展。</w:t>
      </w:r>
    </w:p>
    <w:p w14:paraId="1B65947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（2）政府采购支持采用本国产品的政策。</w:t>
      </w:r>
    </w:p>
    <w:p w14:paraId="65792A6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（3）强制采购节能产品；优先采购节能产品、环境标志产品。</w:t>
      </w:r>
    </w:p>
    <w:p w14:paraId="3FC1837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（4）政府采购促进残疾人就业政策。</w:t>
      </w:r>
    </w:p>
    <w:p w14:paraId="46AFE2C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（5）政府采购支持监狱企业发展。</w:t>
      </w:r>
    </w:p>
    <w:p w14:paraId="2428493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.供应商竞标注意事项</w:t>
      </w:r>
    </w:p>
    <w:p w14:paraId="79C82E9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本项目为全流程电子化采购项目，通过广西政府采购云平台（https://www.gcy.zfcg.gxzf.gov.cn/）实行在线电子竞标，竞标人应先安装“</w:t>
      </w:r>
      <w:bookmarkStart w:id="33" w:name="_Hlk160529463"/>
      <w:r>
        <w:rPr>
          <w:rFonts w:hint="eastAsia" w:ascii="宋体" w:hAnsi="宋体" w:eastAsia="宋体" w:cs="宋体"/>
          <w:color w:val="auto"/>
          <w:sz w:val="21"/>
          <w:szCs w:val="21"/>
          <w:highlight w:val="none"/>
        </w:rPr>
        <w:t>广西政府采购云平台客户端</w:t>
      </w:r>
      <w:bookmarkEnd w:id="33"/>
      <w:r>
        <w:rPr>
          <w:rFonts w:hint="eastAsia" w:ascii="宋体" w:hAnsi="宋体" w:eastAsia="宋体" w:cs="宋体"/>
          <w:color w:val="auto"/>
          <w:sz w:val="21"/>
          <w:szCs w:val="21"/>
          <w:highlight w:val="none"/>
        </w:rPr>
        <w:t>”（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竞标人在广西政府采购云平台提交电子响应文件时，请填写参加远程采购活动经办人联系方式。竞标人登录广西政府采购云平台，依次进入“服务中心-项目采购-操作流程-电子招投标-政府采购项目电子交易管理操作指南-供应商”查看电子竞标具体操作流程。</w:t>
      </w:r>
    </w:p>
    <w:p w14:paraId="7D4D283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2</w:t>
      </w:r>
      <w:r>
        <w:rPr>
          <w:rFonts w:hint="eastAsia" w:ascii="宋体" w:hAnsi="宋体" w:eastAsia="宋体" w:cs="宋体"/>
          <w:color w:val="auto"/>
          <w:sz w:val="21"/>
          <w:szCs w:val="21"/>
          <w:highlight w:val="none"/>
        </w:rPr>
        <w:t>）未进行网上注册并办理数字证书（CA认证）竞标人的竞标人将无法参与本项目政府采购活动，竞标人应当在提交响应文件截止时间前，完成电子交易平台上的CA数字证书办理及响应文件的提交（竞标人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95763）。</w:t>
      </w:r>
    </w:p>
    <w:p w14:paraId="30970EC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85C58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为确保网上操作合法、有效和安全，请竞标人确保在电子竞标过程中能够对相关数据电文进行加密和使用电子签章，妥善保管CA数字证书并使用有效的CA数字证书参与整个采购活动。2）竞标人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1A295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（4）竞标人需要在具备有摄像头及语音功能且互联网网络状况良好的电脑登录广西政府采购云平台远程开标大厅参与本次磋商，否则后果自负。</w:t>
      </w:r>
    </w:p>
    <w:p w14:paraId="08EB781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八、凡对本次采购提出询问，请按以下方式联系。</w:t>
      </w:r>
      <w:bookmarkEnd w:id="29"/>
      <w:bookmarkEnd w:id="30"/>
      <w:bookmarkEnd w:id="31"/>
      <w:bookmarkEnd w:id="32"/>
    </w:p>
    <w:p w14:paraId="77FA84E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bookmarkStart w:id="34" w:name="_Toc28359019"/>
      <w:bookmarkStart w:id="35" w:name="_Toc35393806"/>
      <w:bookmarkStart w:id="36" w:name="_Toc35393637"/>
      <w:bookmarkStart w:id="37" w:name="_Toc28359096"/>
      <w:r>
        <w:rPr>
          <w:rFonts w:hint="eastAsia" w:ascii="宋体" w:hAnsi="宋体" w:eastAsia="宋体" w:cs="宋体"/>
          <w:bCs/>
          <w:color w:val="auto"/>
          <w:sz w:val="21"/>
          <w:szCs w:val="21"/>
          <w:highlight w:val="none"/>
        </w:rPr>
        <w:t>1.采购人信息</w:t>
      </w:r>
    </w:p>
    <w:p w14:paraId="246F6F0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名    称：</w:t>
      </w:r>
      <w:r>
        <w:rPr>
          <w:rFonts w:hint="eastAsia" w:ascii="宋体" w:hAnsi="宋体" w:eastAsia="宋体" w:cs="宋体"/>
          <w:bCs/>
          <w:color w:val="auto"/>
          <w:sz w:val="21"/>
          <w:szCs w:val="21"/>
          <w:highlight w:val="none"/>
          <w:lang w:eastAsia="zh-CN"/>
        </w:rPr>
        <w:t>柳州市柳南区教育局</w:t>
      </w:r>
    </w:p>
    <w:p w14:paraId="1E4BED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地    址：</w:t>
      </w:r>
      <w:r>
        <w:rPr>
          <w:rFonts w:hint="eastAsia" w:ascii="宋体" w:hAnsi="宋体" w:eastAsia="宋体" w:cs="宋体"/>
          <w:bCs/>
          <w:color w:val="auto"/>
          <w:sz w:val="21"/>
          <w:szCs w:val="21"/>
          <w:highlight w:val="none"/>
          <w:lang w:eastAsia="zh-CN"/>
        </w:rPr>
        <w:t>柳州市柳南区潭中西路</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号</w:t>
      </w:r>
    </w:p>
    <w:p w14:paraId="1AB2FC9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项目联系人：</w:t>
      </w:r>
      <w:r>
        <w:rPr>
          <w:rFonts w:hint="eastAsia" w:ascii="宋体" w:hAnsi="宋体" w:eastAsia="宋体" w:cs="宋体"/>
          <w:bCs/>
          <w:color w:val="auto"/>
          <w:sz w:val="21"/>
          <w:szCs w:val="21"/>
          <w:highlight w:val="none"/>
          <w:lang w:val="en-US" w:eastAsia="zh-CN"/>
        </w:rPr>
        <w:t>覃老师</w:t>
      </w:r>
    </w:p>
    <w:p w14:paraId="396D1E3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i w:val="0"/>
          <w:iCs w:val="0"/>
          <w:color w:val="auto"/>
          <w:sz w:val="21"/>
          <w:szCs w:val="21"/>
          <w:highlight w:val="none"/>
          <w:u w:val="none"/>
        </w:rPr>
        <w:t>联系方式</w:t>
      </w:r>
      <w:r>
        <w:rPr>
          <w:rFonts w:hint="eastAsia" w:ascii="宋体" w:hAnsi="宋体" w:eastAsia="宋体" w:cs="宋体"/>
          <w:bCs/>
          <w:color w:val="auto"/>
          <w:sz w:val="21"/>
          <w:szCs w:val="21"/>
          <w:highlight w:val="none"/>
        </w:rPr>
        <w:t>：0772-3713061</w:t>
      </w:r>
    </w:p>
    <w:p w14:paraId="64AA339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2.采购代理机构信息</w:t>
      </w:r>
    </w:p>
    <w:bookmarkEnd w:id="34"/>
    <w:bookmarkEnd w:id="35"/>
    <w:bookmarkEnd w:id="36"/>
    <w:bookmarkEnd w:id="37"/>
    <w:p w14:paraId="1BF50E19">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名称：</w:t>
      </w:r>
      <w:r>
        <w:rPr>
          <w:rFonts w:hint="eastAsia" w:ascii="宋体" w:hAnsi="宋体" w:eastAsia="宋体" w:cs="宋体"/>
          <w:color w:val="auto"/>
          <w:spacing w:val="0"/>
          <w:w w:val="100"/>
          <w:position w:val="0"/>
          <w:sz w:val="21"/>
          <w:szCs w:val="21"/>
          <w:highlight w:val="none"/>
          <w:lang w:eastAsia="zh-CN"/>
        </w:rPr>
        <w:t>广西久致建设工程咨询有限公司</w:t>
      </w:r>
    </w:p>
    <w:p w14:paraId="2F0755C2">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地址：柳州市柳南区潭中西路18号金绿洲如意家园35栋3-2 3AF第L3A05-2</w:t>
      </w:r>
    </w:p>
    <w:p w14:paraId="3142537B">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项目</w:t>
      </w:r>
      <w:r>
        <w:rPr>
          <w:rFonts w:hint="eastAsia" w:ascii="宋体" w:hAnsi="宋体" w:eastAsia="宋体" w:cs="宋体"/>
          <w:color w:val="auto"/>
          <w:spacing w:val="0"/>
          <w:w w:val="100"/>
          <w:position w:val="0"/>
          <w:sz w:val="21"/>
          <w:szCs w:val="21"/>
          <w:highlight w:val="none"/>
        </w:rPr>
        <w:t>联系人：</w:t>
      </w:r>
      <w:r>
        <w:rPr>
          <w:rFonts w:hint="eastAsia" w:ascii="宋体" w:hAnsi="宋体" w:eastAsia="宋体" w:cs="宋体"/>
          <w:color w:val="auto"/>
          <w:spacing w:val="0"/>
          <w:w w:val="100"/>
          <w:position w:val="0"/>
          <w:sz w:val="21"/>
          <w:szCs w:val="21"/>
          <w:highlight w:val="none"/>
          <w:lang w:val="en-US" w:eastAsia="zh-CN"/>
        </w:rPr>
        <w:t>陆晓颖</w:t>
      </w:r>
    </w:p>
    <w:p w14:paraId="5A1F0289">
      <w:pPr>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项目</w:t>
      </w:r>
      <w:r>
        <w:rPr>
          <w:rFonts w:hint="eastAsia" w:ascii="宋体" w:hAnsi="宋体" w:eastAsia="宋体" w:cs="宋体"/>
          <w:color w:val="auto"/>
          <w:spacing w:val="0"/>
          <w:w w:val="100"/>
          <w:position w:val="0"/>
          <w:sz w:val="21"/>
          <w:szCs w:val="21"/>
          <w:highlight w:val="none"/>
        </w:rPr>
        <w:t>联系方式：0772-</w:t>
      </w:r>
      <w:r>
        <w:rPr>
          <w:rFonts w:hint="eastAsia" w:ascii="宋体" w:hAnsi="宋体" w:eastAsia="宋体" w:cs="宋体"/>
          <w:color w:val="auto"/>
          <w:spacing w:val="0"/>
          <w:w w:val="100"/>
          <w:position w:val="0"/>
          <w:sz w:val="21"/>
          <w:szCs w:val="21"/>
          <w:highlight w:val="none"/>
          <w:lang w:val="en-US" w:eastAsia="zh-CN"/>
        </w:rPr>
        <w:t>2209557</w:t>
      </w:r>
    </w:p>
    <w:p w14:paraId="2394DDB5">
      <w:pPr>
        <w:snapToGrid w:val="0"/>
        <w:spacing w:line="360" w:lineRule="auto"/>
        <w:jc w:val="center"/>
        <w:outlineLvl w:val="0"/>
        <w:rPr>
          <w:rFonts w:hint="eastAsia" w:ascii="宋体" w:hAnsi="宋体" w:eastAsia="宋体" w:cs="宋体"/>
          <w:b/>
          <w:color w:val="auto"/>
          <w:sz w:val="44"/>
          <w:szCs w:val="44"/>
          <w:highlight w:val="none"/>
        </w:rPr>
      </w:pPr>
      <w:r>
        <w:rPr>
          <w:rFonts w:hint="eastAsia" w:ascii="宋体" w:hAnsi="宋体" w:eastAsia="宋体" w:cs="宋体"/>
          <w:color w:val="auto"/>
          <w:sz w:val="24"/>
          <w:szCs w:val="24"/>
          <w:highlight w:val="none"/>
        </w:rPr>
        <w:br w:type="page"/>
      </w:r>
      <w:bookmarkStart w:id="38" w:name="_Toc162340981"/>
      <w:r>
        <w:rPr>
          <w:rFonts w:hint="eastAsia" w:ascii="宋体" w:hAnsi="宋体" w:eastAsia="宋体" w:cs="宋体"/>
          <w:b/>
          <w:color w:val="auto"/>
          <w:sz w:val="44"/>
          <w:szCs w:val="44"/>
          <w:highlight w:val="none"/>
        </w:rPr>
        <w:t xml:space="preserve">第二章 </w:t>
      </w:r>
      <w:r>
        <w:rPr>
          <w:rFonts w:hint="eastAsia" w:ascii="宋体" w:hAnsi="宋体" w:eastAsia="宋体" w:cs="宋体"/>
          <w:b/>
          <w:bCs/>
          <w:color w:val="auto"/>
          <w:sz w:val="44"/>
          <w:szCs w:val="44"/>
          <w:highlight w:val="none"/>
        </w:rPr>
        <w:t>供应商须知</w:t>
      </w:r>
      <w:bookmarkEnd w:id="38"/>
    </w:p>
    <w:p w14:paraId="54312158">
      <w:pPr>
        <w:spacing w:line="360" w:lineRule="auto"/>
        <w:jc w:val="center"/>
        <w:outlineLvl w:val="1"/>
        <w:rPr>
          <w:rFonts w:hint="eastAsia" w:ascii="宋体" w:hAnsi="宋体" w:eastAsia="宋体" w:cs="宋体"/>
          <w:b/>
          <w:color w:val="auto"/>
          <w:szCs w:val="21"/>
          <w:highlight w:val="none"/>
        </w:rPr>
      </w:pPr>
      <w:bookmarkStart w:id="39" w:name="_Toc38295168"/>
      <w:r>
        <w:rPr>
          <w:rFonts w:hint="eastAsia" w:ascii="宋体" w:hAnsi="宋体" w:eastAsia="宋体" w:cs="宋体"/>
          <w:b/>
          <w:color w:val="auto"/>
          <w:sz w:val="32"/>
          <w:szCs w:val="32"/>
          <w:highlight w:val="none"/>
        </w:rPr>
        <w:t>供应商须知前附表</w:t>
      </w:r>
      <w:bookmarkEnd w:id="39"/>
    </w:p>
    <w:tbl>
      <w:tblPr>
        <w:tblStyle w:val="5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57"/>
        <w:gridCol w:w="8153"/>
      </w:tblGrid>
      <w:tr w14:paraId="2AFF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7" w:type="dxa"/>
            <w:vAlign w:val="center"/>
          </w:tcPr>
          <w:p w14:paraId="6E599C3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57" w:type="dxa"/>
            <w:vAlign w:val="center"/>
          </w:tcPr>
          <w:p w14:paraId="0EA2D3E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8153" w:type="dxa"/>
            <w:vAlign w:val="center"/>
          </w:tcPr>
          <w:p w14:paraId="202D54E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7C40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27" w:type="dxa"/>
            <w:vAlign w:val="center"/>
          </w:tcPr>
          <w:p w14:paraId="36F6F8F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957" w:type="dxa"/>
            <w:vAlign w:val="center"/>
          </w:tcPr>
          <w:p w14:paraId="066EA04D">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w:t>
            </w:r>
          </w:p>
        </w:tc>
        <w:tc>
          <w:tcPr>
            <w:tcW w:w="8153" w:type="dxa"/>
            <w:vAlign w:val="center"/>
          </w:tcPr>
          <w:p w14:paraId="3BD5E4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eastAsia="宋体" w:cs="宋体"/>
                <w:b/>
                <w:bCs/>
                <w:color w:val="auto"/>
                <w:sz w:val="21"/>
                <w:szCs w:val="21"/>
                <w:highlight w:val="none"/>
              </w:rPr>
              <w:t>：</w:t>
            </w:r>
            <w:r>
              <w:rPr>
                <w:rFonts w:hint="eastAsia" w:ascii="宋体" w:hAnsi="宋体" w:eastAsia="宋体" w:cs="宋体"/>
                <w:b w:val="0"/>
                <w:bCs/>
                <w:color w:val="auto"/>
                <w:sz w:val="21"/>
                <w:szCs w:val="21"/>
                <w:highlight w:val="none"/>
                <w:lang w:eastAsia="zh-CN"/>
              </w:rPr>
              <w:t>2024-2025年柳州市三十七中学教学楼及球场维修工程；柳州市育才路小学运动场及围墙维修改造工程；柳州市柳邕路第一小学跑道、围墙及地下消防管道维修改造工程</w:t>
            </w:r>
          </w:p>
          <w:p w14:paraId="4C09C12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项目编号：</w:t>
            </w:r>
            <w:r>
              <w:rPr>
                <w:rFonts w:hint="eastAsia" w:ascii="宋体" w:hAnsi="宋体" w:eastAsia="宋体" w:cs="宋体"/>
                <w:color w:val="auto"/>
                <w:sz w:val="21"/>
                <w:szCs w:val="21"/>
                <w:highlight w:val="none"/>
                <w:lang w:eastAsia="zh-CN"/>
              </w:rPr>
              <w:t>LZZC2025-C2-040037-GXJZ</w:t>
            </w:r>
          </w:p>
          <w:p w14:paraId="2E6784A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标段划分</w:t>
            </w:r>
            <w:r>
              <w:rPr>
                <w:rFonts w:hint="eastAsia" w:ascii="宋体" w:hAnsi="宋体" w:eastAsia="宋体" w:cs="宋体"/>
                <w:color w:val="auto"/>
                <w:kern w:val="0"/>
                <w:sz w:val="21"/>
                <w:szCs w:val="21"/>
                <w:highlight w:val="none"/>
              </w:rPr>
              <w:t xml:space="preserve">：本项目划分为一个标段 </w:t>
            </w:r>
          </w:p>
          <w:p w14:paraId="7403CB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建设地点：</w:t>
            </w:r>
            <w:r>
              <w:rPr>
                <w:rFonts w:hint="eastAsia" w:ascii="宋体" w:hAnsi="宋体" w:eastAsia="宋体" w:cs="宋体"/>
                <w:b w:val="0"/>
                <w:bCs w:val="0"/>
                <w:color w:val="auto"/>
                <w:kern w:val="0"/>
                <w:sz w:val="21"/>
                <w:szCs w:val="21"/>
                <w:highlight w:val="none"/>
              </w:rPr>
              <w:t>柳州市柳南区</w:t>
            </w:r>
          </w:p>
          <w:p w14:paraId="3A1F488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工程概况：</w:t>
            </w:r>
            <w:r>
              <w:rPr>
                <w:rFonts w:hint="eastAsia" w:ascii="宋体" w:hAnsi="宋体" w:eastAsia="宋体" w:cs="宋体"/>
                <w:b w:val="0"/>
                <w:bCs/>
                <w:color w:val="auto"/>
                <w:sz w:val="21"/>
                <w:szCs w:val="21"/>
                <w:highlight w:val="none"/>
                <w:lang w:val="en-US" w:eastAsia="zh-CN"/>
              </w:rPr>
              <w:t>本项目为</w:t>
            </w:r>
            <w:r>
              <w:rPr>
                <w:rFonts w:hint="eastAsia" w:ascii="宋体" w:hAnsi="宋体" w:eastAsia="宋体" w:cs="宋体"/>
                <w:b w:val="0"/>
                <w:bCs/>
                <w:color w:val="auto"/>
                <w:sz w:val="21"/>
                <w:szCs w:val="21"/>
                <w:highlight w:val="none"/>
                <w:lang w:eastAsia="zh-CN"/>
              </w:rPr>
              <w:t>2024-2025年柳州市三十七中学教学楼及球场维修工程；柳州市育才路小学运动场及围墙维修改造工程；柳州市柳邕路第一小学跑道、围墙及地下消防管道维修改造工程</w:t>
            </w:r>
            <w:r>
              <w:rPr>
                <w:rFonts w:hint="eastAsia" w:ascii="宋体" w:hAnsi="宋体" w:eastAsia="宋体" w:cs="宋体"/>
                <w:b w:val="0"/>
                <w:bCs/>
                <w:color w:val="auto"/>
                <w:sz w:val="21"/>
                <w:szCs w:val="21"/>
                <w:highlight w:val="none"/>
                <w:lang w:val="en-US" w:eastAsia="zh-CN"/>
              </w:rPr>
              <w:t>一项，</w:t>
            </w:r>
            <w:r>
              <w:rPr>
                <w:rFonts w:hint="eastAsia" w:ascii="宋体" w:hAnsi="宋体" w:eastAsia="宋体" w:cs="宋体"/>
                <w:color w:val="auto"/>
                <w:spacing w:val="0"/>
                <w:w w:val="100"/>
                <w:position w:val="0"/>
                <w:sz w:val="21"/>
                <w:szCs w:val="21"/>
                <w:highlight w:val="none"/>
              </w:rPr>
              <w:t>详见图纸及工程量清单</w:t>
            </w:r>
            <w:r>
              <w:rPr>
                <w:rFonts w:hint="eastAsia" w:ascii="宋体" w:hAnsi="宋体" w:eastAsia="宋体" w:cs="宋体"/>
                <w:color w:val="auto"/>
                <w:spacing w:val="0"/>
                <w:w w:val="100"/>
                <w:position w:val="0"/>
                <w:sz w:val="21"/>
                <w:szCs w:val="21"/>
                <w:highlight w:val="none"/>
                <w:lang w:eastAsia="zh-CN"/>
              </w:rPr>
              <w:t>。</w:t>
            </w:r>
          </w:p>
          <w:p w14:paraId="715C28A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质量标准：</w:t>
            </w:r>
            <w:r>
              <w:rPr>
                <w:rFonts w:hint="eastAsia" w:ascii="宋体" w:hAnsi="宋体" w:eastAsia="宋体" w:cs="宋体"/>
                <w:b w:val="0"/>
                <w:bCs w:val="0"/>
                <w:color w:val="auto"/>
                <w:kern w:val="0"/>
                <w:sz w:val="21"/>
                <w:szCs w:val="21"/>
                <w:highlight w:val="none"/>
                <w:lang w:val="en-US" w:eastAsia="zh-CN"/>
              </w:rPr>
              <w:t>达到国家工程施工验收规范合格标准</w:t>
            </w:r>
            <w:r>
              <w:rPr>
                <w:rFonts w:hint="eastAsia" w:ascii="宋体" w:hAnsi="宋体" w:eastAsia="宋体" w:cs="宋体"/>
                <w:color w:val="auto"/>
                <w:kern w:val="0"/>
                <w:sz w:val="21"/>
                <w:szCs w:val="21"/>
                <w:highlight w:val="none"/>
              </w:rPr>
              <w:t>。</w:t>
            </w:r>
          </w:p>
          <w:p w14:paraId="21EA757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竞标范围：</w:t>
            </w:r>
            <w:r>
              <w:rPr>
                <w:rFonts w:hint="eastAsia" w:ascii="宋体" w:hAnsi="宋体" w:eastAsia="宋体" w:cs="宋体"/>
                <w:color w:val="auto"/>
                <w:kern w:val="0"/>
                <w:sz w:val="21"/>
                <w:szCs w:val="21"/>
                <w:highlight w:val="none"/>
              </w:rPr>
              <w:t>施工图及工程量清单包含的所有内容。</w:t>
            </w:r>
          </w:p>
          <w:p w14:paraId="055A85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bCs/>
                <w:color w:val="auto"/>
                <w:kern w:val="0"/>
                <w:sz w:val="21"/>
                <w:szCs w:val="21"/>
                <w:highlight w:val="none"/>
              </w:rPr>
              <w:t>要求工期：</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日历天</w:t>
            </w:r>
          </w:p>
        </w:tc>
      </w:tr>
      <w:tr w14:paraId="2C47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27" w:type="dxa"/>
            <w:vAlign w:val="center"/>
          </w:tcPr>
          <w:p w14:paraId="0DE9DB3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957" w:type="dxa"/>
            <w:vAlign w:val="center"/>
          </w:tcPr>
          <w:p w14:paraId="44B02521">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p>
        </w:tc>
        <w:tc>
          <w:tcPr>
            <w:tcW w:w="8153" w:type="dxa"/>
            <w:vAlign w:val="center"/>
          </w:tcPr>
          <w:p w14:paraId="3CD5DB1D">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磋商供应商资</w:t>
            </w:r>
            <w:r>
              <w:rPr>
                <w:rFonts w:hint="eastAsia" w:ascii="宋体" w:hAnsi="宋体" w:eastAsia="宋体" w:cs="宋体"/>
                <w:b/>
                <w:bCs/>
                <w:color w:val="auto"/>
                <w:sz w:val="21"/>
                <w:szCs w:val="21"/>
                <w:highlight w:val="none"/>
              </w:rPr>
              <w:t>格：详见竞争性磋商公告。</w:t>
            </w:r>
          </w:p>
        </w:tc>
      </w:tr>
      <w:tr w14:paraId="6DB4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27" w:type="dxa"/>
            <w:vAlign w:val="center"/>
          </w:tcPr>
          <w:p w14:paraId="2EB0ECED">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957" w:type="dxa"/>
            <w:vAlign w:val="center"/>
          </w:tcPr>
          <w:p w14:paraId="3B656A6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w:t>
            </w:r>
          </w:p>
        </w:tc>
        <w:tc>
          <w:tcPr>
            <w:tcW w:w="8153" w:type="dxa"/>
            <w:vAlign w:val="center"/>
          </w:tcPr>
          <w:p w14:paraId="01E00902">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竞争性磋商响应文件分为资格证明文件、报价文件、商务技术文件</w:t>
            </w:r>
            <w:r>
              <w:rPr>
                <w:rFonts w:hint="eastAsia" w:ascii="宋体" w:hAnsi="宋体" w:eastAsia="宋体" w:cs="宋体"/>
                <w:b/>
                <w:color w:val="auto"/>
                <w:sz w:val="21"/>
                <w:szCs w:val="21"/>
                <w:highlight w:val="none"/>
              </w:rPr>
              <w:t>。</w:t>
            </w:r>
          </w:p>
        </w:tc>
      </w:tr>
      <w:tr w14:paraId="4C6C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7" w:type="dxa"/>
            <w:vAlign w:val="center"/>
          </w:tcPr>
          <w:p w14:paraId="4070EF9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957" w:type="dxa"/>
            <w:vAlign w:val="center"/>
          </w:tcPr>
          <w:p w14:paraId="6511BCE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10.1.1</w:t>
            </w:r>
          </w:p>
        </w:tc>
        <w:tc>
          <w:tcPr>
            <w:tcW w:w="8153" w:type="dxa"/>
            <w:vAlign w:val="center"/>
          </w:tcPr>
          <w:p w14:paraId="28BC708C">
            <w:pPr>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本项目磋商报价采用工程量清单报价。</w:t>
            </w:r>
          </w:p>
        </w:tc>
      </w:tr>
      <w:tr w14:paraId="5EC1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7" w:type="dxa"/>
            <w:vAlign w:val="center"/>
          </w:tcPr>
          <w:p w14:paraId="5602630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957" w:type="dxa"/>
            <w:vAlign w:val="center"/>
          </w:tcPr>
          <w:p w14:paraId="0E6F238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10.3</w:t>
            </w:r>
          </w:p>
        </w:tc>
        <w:tc>
          <w:tcPr>
            <w:tcW w:w="8153" w:type="dxa"/>
            <w:vAlign w:val="center"/>
          </w:tcPr>
          <w:p w14:paraId="58CF3BF2">
            <w:pPr>
              <w:keepNext w:val="0"/>
              <w:keepLines w:val="0"/>
              <w:widowControl/>
              <w:suppressLineNumbers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本项目的最高限价</w:t>
            </w:r>
            <w:r>
              <w:rPr>
                <w:rFonts w:hint="eastAsia" w:ascii="宋体" w:hAnsi="宋体" w:eastAsia="宋体" w:cs="宋体"/>
                <w:b/>
                <w:bCs/>
                <w:color w:val="auto"/>
                <w:sz w:val="21"/>
                <w:szCs w:val="21"/>
                <w:highlight w:val="none"/>
                <w:lang w:val="en-US" w:eastAsia="zh-CN"/>
              </w:rPr>
              <w:t>为2455112.23</w:t>
            </w:r>
            <w:r>
              <w:rPr>
                <w:rFonts w:hint="eastAsia" w:ascii="宋体" w:hAnsi="宋体" w:eastAsia="宋体" w:cs="宋体"/>
                <w:b/>
                <w:bCs/>
                <w:color w:val="auto"/>
                <w:sz w:val="21"/>
                <w:szCs w:val="21"/>
                <w:highlight w:val="none"/>
              </w:rPr>
              <w:t>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其中</w:t>
            </w:r>
            <w:r>
              <w:rPr>
                <w:rFonts w:hint="eastAsia" w:ascii="宋体" w:hAnsi="宋体" w:eastAsia="宋体" w:cs="宋体"/>
                <w:b/>
                <w:bCs/>
                <w:color w:val="auto"/>
                <w:sz w:val="21"/>
                <w:szCs w:val="21"/>
                <w:highlight w:val="none"/>
                <w:lang w:eastAsia="zh-CN"/>
              </w:rPr>
              <w:t>柳州市三十七中学教学楼及球场维修工程</w:t>
            </w:r>
            <w:r>
              <w:rPr>
                <w:rFonts w:hint="eastAsia" w:ascii="宋体" w:hAnsi="宋体" w:eastAsia="宋体" w:cs="宋体"/>
                <w:b/>
                <w:bCs/>
                <w:color w:val="auto"/>
                <w:sz w:val="21"/>
                <w:szCs w:val="21"/>
                <w:highlight w:val="none"/>
                <w:lang w:val="en-US" w:eastAsia="zh-CN"/>
              </w:rPr>
              <w:t>为913148.41元</w:t>
            </w:r>
            <w:r>
              <w:rPr>
                <w:rFonts w:hint="eastAsia" w:ascii="宋体" w:hAnsi="宋体" w:eastAsia="宋体" w:cs="宋体"/>
                <w:b/>
                <w:bCs/>
                <w:color w:val="auto"/>
                <w:sz w:val="21"/>
                <w:szCs w:val="21"/>
                <w:highlight w:val="none"/>
                <w:lang w:eastAsia="zh-CN"/>
              </w:rPr>
              <w:t>；柳州市育才路小学运动场及围墙维修改造工程</w:t>
            </w:r>
            <w:r>
              <w:rPr>
                <w:rFonts w:hint="eastAsia" w:ascii="宋体" w:hAnsi="宋体" w:eastAsia="宋体" w:cs="宋体"/>
                <w:b/>
                <w:bCs/>
                <w:color w:val="auto"/>
                <w:sz w:val="21"/>
                <w:szCs w:val="21"/>
                <w:highlight w:val="none"/>
                <w:lang w:val="en-US" w:eastAsia="zh-CN"/>
              </w:rPr>
              <w:t>为838339.83元</w:t>
            </w:r>
            <w:r>
              <w:rPr>
                <w:rFonts w:hint="eastAsia" w:ascii="宋体" w:hAnsi="宋体" w:eastAsia="宋体" w:cs="宋体"/>
                <w:b/>
                <w:bCs/>
                <w:color w:val="auto"/>
                <w:sz w:val="21"/>
                <w:szCs w:val="21"/>
                <w:highlight w:val="none"/>
                <w:lang w:eastAsia="zh-CN"/>
              </w:rPr>
              <w:t>；柳州市柳邕路第一小学跑道、围墙及地下消防管道维修改造工程</w:t>
            </w:r>
            <w:r>
              <w:rPr>
                <w:rFonts w:hint="eastAsia" w:ascii="宋体" w:hAnsi="宋体" w:eastAsia="宋体" w:cs="宋体"/>
                <w:b/>
                <w:bCs/>
                <w:color w:val="auto"/>
                <w:sz w:val="21"/>
                <w:szCs w:val="21"/>
                <w:highlight w:val="none"/>
                <w:lang w:val="en-US" w:eastAsia="zh-CN"/>
              </w:rPr>
              <w:t>为703623.99元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当某个磋商供应商的磋商最后报价高于政府采购预算价时，为无效报价。磋商小组不予评审。当全部最终磋商报价均超出政府采购预算价且采购人不能支付的，将按政府采购管理的有关规定处理。</w:t>
            </w:r>
          </w:p>
        </w:tc>
      </w:tr>
      <w:tr w14:paraId="7321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7" w:type="dxa"/>
            <w:vAlign w:val="center"/>
          </w:tcPr>
          <w:p w14:paraId="5E2538A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957" w:type="dxa"/>
            <w:vAlign w:val="center"/>
          </w:tcPr>
          <w:p w14:paraId="596EC0E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10.5</w:t>
            </w:r>
          </w:p>
        </w:tc>
        <w:tc>
          <w:tcPr>
            <w:tcW w:w="8153" w:type="dxa"/>
            <w:vAlign w:val="center"/>
          </w:tcPr>
          <w:p w14:paraId="7AFE0599">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磋商有效期：60日历天。</w:t>
            </w:r>
          </w:p>
        </w:tc>
      </w:tr>
      <w:tr w14:paraId="3D95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7" w:type="dxa"/>
            <w:vAlign w:val="center"/>
          </w:tcPr>
          <w:p w14:paraId="3DE1C719">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957" w:type="dxa"/>
            <w:vAlign w:val="center"/>
          </w:tcPr>
          <w:p w14:paraId="413D4DF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8153" w:type="dxa"/>
            <w:vAlign w:val="center"/>
          </w:tcPr>
          <w:p w14:paraId="0EE5F3D0">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磋商保证金</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本项目不收取磋商保证金。</w:t>
            </w:r>
          </w:p>
        </w:tc>
      </w:tr>
      <w:tr w14:paraId="6722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7" w:type="dxa"/>
            <w:vAlign w:val="center"/>
          </w:tcPr>
          <w:p w14:paraId="426C3C4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957" w:type="dxa"/>
            <w:vAlign w:val="center"/>
          </w:tcPr>
          <w:p w14:paraId="2F83704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w:t>
            </w:r>
          </w:p>
        </w:tc>
        <w:tc>
          <w:tcPr>
            <w:tcW w:w="8153" w:type="dxa"/>
            <w:vAlign w:val="center"/>
          </w:tcPr>
          <w:p w14:paraId="7CC2DABF">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电子响应文件（必须提供）：</w:t>
            </w:r>
          </w:p>
          <w:p w14:paraId="1F7FD51E">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p>
          <w:p w14:paraId="141EB536">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2.未按规定传输提交电子响应文件的，视为响应无效。</w:t>
            </w:r>
          </w:p>
          <w:p w14:paraId="42926F8A">
            <w:pPr>
              <w:spacing w:line="360" w:lineRule="auto"/>
              <w:ind w:left="2"/>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3.电子响应文件成功提交后，供应商可自行打印响应文件接收回执。</w:t>
            </w:r>
          </w:p>
        </w:tc>
      </w:tr>
      <w:tr w14:paraId="7448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27" w:type="dxa"/>
            <w:vAlign w:val="center"/>
          </w:tcPr>
          <w:p w14:paraId="369802B9">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957" w:type="dxa"/>
            <w:vAlign w:val="center"/>
          </w:tcPr>
          <w:p w14:paraId="732CF7F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w:t>
            </w:r>
          </w:p>
        </w:tc>
        <w:tc>
          <w:tcPr>
            <w:tcW w:w="8153" w:type="dxa"/>
            <w:vAlign w:val="center"/>
          </w:tcPr>
          <w:p w14:paraId="74FF107F">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提交响应文件截止时间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日9点</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分（北京时间）</w:t>
            </w:r>
          </w:p>
          <w:p w14:paraId="5B6E29F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：广西政府采购云平台（https:// www.gcy.zfcg.gxzf.gov.cn）</w:t>
            </w:r>
          </w:p>
        </w:tc>
      </w:tr>
      <w:tr w14:paraId="370F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27" w:type="dxa"/>
            <w:vAlign w:val="center"/>
          </w:tcPr>
          <w:p w14:paraId="2A39F56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p>
        </w:tc>
        <w:tc>
          <w:tcPr>
            <w:tcW w:w="957" w:type="dxa"/>
            <w:vAlign w:val="center"/>
          </w:tcPr>
          <w:p w14:paraId="68661F4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p>
        </w:tc>
        <w:tc>
          <w:tcPr>
            <w:tcW w:w="8153" w:type="dxa"/>
            <w:vAlign w:val="center"/>
          </w:tcPr>
          <w:p w14:paraId="3568561F">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电子响应文件解密时间：</w:t>
            </w:r>
          </w:p>
          <w:p w14:paraId="2581F7B4">
            <w:pPr>
              <w:widowControl/>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采购代理机构开启解密标书后30分钟内，供应商必须在此时间段内登录广西政府采购云平台，用“项目采购-开标评标”功能完成电子响应文件的解密。若供应商在规定时间内未按时解密的，视为放弃磋商。</w:t>
            </w:r>
          </w:p>
        </w:tc>
      </w:tr>
      <w:tr w14:paraId="5628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27" w:type="dxa"/>
            <w:vAlign w:val="center"/>
          </w:tcPr>
          <w:p w14:paraId="3A7D1CD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957" w:type="dxa"/>
            <w:vAlign w:val="center"/>
          </w:tcPr>
          <w:p w14:paraId="50043659">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20.1</w:t>
            </w:r>
          </w:p>
        </w:tc>
        <w:tc>
          <w:tcPr>
            <w:tcW w:w="8153" w:type="dxa"/>
            <w:vAlign w:val="center"/>
          </w:tcPr>
          <w:p w14:paraId="72FD8ABA">
            <w:pPr>
              <w:tabs>
                <w:tab w:val="left" w:pos="540"/>
              </w:tab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磋商时间：</w:t>
            </w:r>
            <w:r>
              <w:rPr>
                <w:rFonts w:hint="eastAsia" w:ascii="宋体" w:hAnsi="宋体" w:eastAsia="宋体" w:cs="宋体"/>
                <w:color w:val="auto"/>
                <w:sz w:val="21"/>
                <w:szCs w:val="21"/>
                <w:highlight w:val="none"/>
              </w:rPr>
              <w:t>首次电子响应文件递交截止时间后，具体时间由采购代理机构另行通知；</w:t>
            </w:r>
          </w:p>
          <w:p w14:paraId="395F90B6">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磋商地点：</w:t>
            </w:r>
            <w:r>
              <w:rPr>
                <w:rFonts w:hint="eastAsia" w:ascii="宋体" w:hAnsi="宋体" w:eastAsia="宋体" w:cs="宋体"/>
                <w:color w:val="auto"/>
                <w:sz w:val="21"/>
                <w:szCs w:val="21"/>
                <w:highlight w:val="none"/>
              </w:rPr>
              <w:t>通过广西政府采购云平台实行在线磋商。</w:t>
            </w:r>
          </w:p>
          <w:p w14:paraId="093E527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供应商应在电子响应文件递交截止时间后在广西政府采购云平台上在线等候磋商，如由于供应商未在线等候造成未能够参加磋商的后果由供应商自负。</w:t>
            </w:r>
          </w:p>
        </w:tc>
      </w:tr>
      <w:tr w14:paraId="508F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27" w:type="dxa"/>
            <w:vAlign w:val="center"/>
          </w:tcPr>
          <w:p w14:paraId="2F95BDD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p>
        </w:tc>
        <w:tc>
          <w:tcPr>
            <w:tcW w:w="957" w:type="dxa"/>
            <w:vAlign w:val="center"/>
          </w:tcPr>
          <w:p w14:paraId="19FD91A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p>
        </w:tc>
        <w:tc>
          <w:tcPr>
            <w:tcW w:w="8153" w:type="dxa"/>
            <w:vAlign w:val="center"/>
          </w:tcPr>
          <w:p w14:paraId="0989AE70">
            <w:pPr>
              <w:tabs>
                <w:tab w:val="left" w:pos="540"/>
              </w:tabs>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最后报价：</w:t>
            </w:r>
            <w:r>
              <w:rPr>
                <w:rFonts w:hint="eastAsia" w:ascii="宋体" w:hAnsi="宋体" w:eastAsia="宋体" w:cs="宋体"/>
                <w:bCs/>
                <w:color w:val="auto"/>
                <w:sz w:val="21"/>
                <w:szCs w:val="21"/>
                <w:highlight w:val="none"/>
              </w:rPr>
              <w:t>资格审查合格、未被磋商小组拒绝并且商务评审和技术评审合格的供应商在规定的时间内进行最后报价。</w:t>
            </w:r>
          </w:p>
        </w:tc>
      </w:tr>
      <w:tr w14:paraId="4534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27" w:type="dxa"/>
            <w:vAlign w:val="center"/>
          </w:tcPr>
          <w:p w14:paraId="61182DA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p>
        </w:tc>
        <w:tc>
          <w:tcPr>
            <w:tcW w:w="957" w:type="dxa"/>
            <w:vAlign w:val="center"/>
          </w:tcPr>
          <w:p w14:paraId="38AD4AC2">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27.3</w:t>
            </w:r>
          </w:p>
        </w:tc>
        <w:tc>
          <w:tcPr>
            <w:tcW w:w="8153" w:type="dxa"/>
            <w:vAlign w:val="center"/>
          </w:tcPr>
          <w:p w14:paraId="0585AF59">
            <w:pPr>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成交供应商确定后，采购代理机构2个工作日内在本项目采购公告发布的政府采购网站上发布成交公告。公告期为1个工作日。</w:t>
            </w:r>
          </w:p>
        </w:tc>
      </w:tr>
      <w:tr w14:paraId="2568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7" w:type="dxa"/>
            <w:vAlign w:val="center"/>
          </w:tcPr>
          <w:p w14:paraId="5D8955C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p>
        </w:tc>
        <w:tc>
          <w:tcPr>
            <w:tcW w:w="957" w:type="dxa"/>
            <w:vAlign w:val="center"/>
          </w:tcPr>
          <w:p w14:paraId="13DF6E2D">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w:t>
            </w:r>
          </w:p>
        </w:tc>
        <w:tc>
          <w:tcPr>
            <w:tcW w:w="8153" w:type="dxa"/>
            <w:vAlign w:val="center"/>
          </w:tcPr>
          <w:p w14:paraId="19BEDD70">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本项目无需提供履约保证金</w:t>
            </w:r>
          </w:p>
        </w:tc>
      </w:tr>
      <w:tr w14:paraId="6C72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7" w:type="dxa"/>
            <w:vAlign w:val="center"/>
          </w:tcPr>
          <w:p w14:paraId="201D7DAC">
            <w:pPr>
              <w:spacing w:line="360" w:lineRule="auto"/>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w:t>
            </w:r>
          </w:p>
        </w:tc>
        <w:tc>
          <w:tcPr>
            <w:tcW w:w="957" w:type="dxa"/>
            <w:vAlign w:val="center"/>
          </w:tcPr>
          <w:p w14:paraId="50D4395E">
            <w:pPr>
              <w:spacing w:line="360" w:lineRule="auto"/>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36.1</w:t>
            </w:r>
          </w:p>
        </w:tc>
        <w:tc>
          <w:tcPr>
            <w:tcW w:w="8153" w:type="dxa"/>
            <w:vAlign w:val="center"/>
          </w:tcPr>
          <w:p w14:paraId="6999F0F1">
            <w:pPr>
              <w:pStyle w:val="29"/>
              <w:pageBreakBefore w:val="0"/>
              <w:kinsoku/>
              <w:overflowPunct/>
              <w:topLinePunct/>
              <w:bidi w:val="0"/>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1.采购代理费支付方式：</w:t>
            </w:r>
          </w:p>
          <w:p w14:paraId="59251026">
            <w:pPr>
              <w:pStyle w:val="29"/>
              <w:pageBreakBefore w:val="0"/>
              <w:kinsoku/>
              <w:overflowPunct/>
              <w:topLinePunct/>
              <w:bidi w:val="0"/>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b/>
                <w:bCs/>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在领取成交通知书前，一次性向采购代理机构支付。</w:t>
            </w:r>
          </w:p>
          <w:p w14:paraId="631E14E7">
            <w:pPr>
              <w:pStyle w:val="29"/>
              <w:pageBreakBefore w:val="0"/>
              <w:kinsoku/>
              <w:overflowPunct/>
              <w:topLinePunct/>
              <w:bidi w:val="0"/>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0A05657F">
            <w:pPr>
              <w:pStyle w:val="29"/>
              <w:pageBreakBefore w:val="0"/>
              <w:kinsoku/>
              <w:overflowPunct/>
              <w:topLinePunct/>
              <w:bidi w:val="0"/>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2.采购代理费收取标准：</w:t>
            </w:r>
          </w:p>
          <w:p w14:paraId="40614083">
            <w:pPr>
              <w:pStyle w:val="29"/>
              <w:pageBreakBefore w:val="0"/>
              <w:kinsoku/>
              <w:overflowPunct/>
              <w:topLinePunct/>
              <w:bidi w:val="0"/>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w:t>
            </w:r>
            <w:r>
              <w:rPr>
                <w:rFonts w:hint="eastAsia" w:ascii="宋体" w:hAnsi="宋体" w:eastAsia="宋体" w:cs="宋体"/>
                <w:color w:val="auto"/>
                <w:sz w:val="21"/>
                <w:highlight w:val="none"/>
                <w:u w:val="single"/>
                <w:lang w:val="en-US" w:eastAsia="zh-CN"/>
              </w:rPr>
              <w:t>成交金额</w:t>
            </w:r>
            <w:r>
              <w:rPr>
                <w:rFonts w:hint="eastAsia" w:ascii="宋体" w:hAnsi="宋体" w:eastAsia="宋体" w:cs="宋体"/>
                <w:color w:val="auto"/>
                <w:sz w:val="21"/>
                <w:highlight w:val="none"/>
                <w:lang w:val="en-US" w:eastAsia="zh-CN"/>
              </w:rPr>
              <w:t>为计费额，按本须知正文第3</w:t>
            </w:r>
            <w:r>
              <w:rPr>
                <w:rFonts w:hint="eastAsia" w:hAnsi="宋体" w:eastAsia="宋体" w:cs="宋体"/>
                <w:color w:val="auto"/>
                <w:sz w:val="21"/>
                <w:highlight w:val="none"/>
                <w:lang w:val="en-US" w:eastAsia="zh-CN"/>
              </w:rPr>
              <w:t>6</w:t>
            </w:r>
            <w:r>
              <w:rPr>
                <w:rFonts w:hint="eastAsia" w:ascii="宋体" w:hAnsi="宋体" w:eastAsia="宋体" w:cs="宋体"/>
                <w:color w:val="auto"/>
                <w:sz w:val="21"/>
                <w:highlight w:val="none"/>
                <w:lang w:val="en-US" w:eastAsia="zh-CN"/>
              </w:rPr>
              <w:t>.2条规定的收费计算标准（工程类）采用差额定率累进法计算出收费基准价格，采购代理收费以收费基准价格收取。</w:t>
            </w:r>
          </w:p>
          <w:p w14:paraId="729E6F8B">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highlight w:val="none"/>
                <w:lang w:val="en-US" w:eastAsia="zh-CN"/>
              </w:rPr>
              <w:t>□固定采购代理收费</w:t>
            </w:r>
            <w:r>
              <w:rPr>
                <w:rFonts w:hint="eastAsia" w:ascii="宋体" w:hAnsi="宋体" w:eastAsia="宋体" w:cs="宋体"/>
                <w:color w:val="auto"/>
                <w:sz w:val="21"/>
                <w:highlight w:val="none"/>
                <w:u w:val="single"/>
                <w:lang w:val="en-US" w:eastAsia="zh-CN"/>
              </w:rPr>
              <w:t xml:space="preserve">    /    </w:t>
            </w:r>
            <w:r>
              <w:rPr>
                <w:rFonts w:hint="eastAsia" w:ascii="宋体" w:hAnsi="宋体" w:eastAsia="宋体" w:cs="宋体"/>
                <w:color w:val="auto"/>
                <w:sz w:val="21"/>
                <w:highlight w:val="none"/>
                <w:u w:val="none"/>
                <w:lang w:val="en-US" w:eastAsia="zh-CN"/>
              </w:rPr>
              <w:t>。</w:t>
            </w:r>
          </w:p>
        </w:tc>
      </w:tr>
    </w:tbl>
    <w:p w14:paraId="1771B20B">
      <w:pPr>
        <w:rPr>
          <w:rFonts w:hint="eastAsia" w:ascii="宋体" w:hAnsi="宋体" w:eastAsia="宋体" w:cs="宋体"/>
          <w:color w:val="auto"/>
          <w:highlight w:val="none"/>
        </w:rPr>
      </w:pPr>
    </w:p>
    <w:p w14:paraId="677F4D30">
      <w:pPr>
        <w:widowControl/>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9CC3A28">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供应商须知</w:t>
      </w:r>
    </w:p>
    <w:p w14:paraId="423CCD5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一、总 则</w:t>
      </w:r>
    </w:p>
    <w:p w14:paraId="65CC361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0667F32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1.1本文件仅适用于本文件中所叙述的政府采购项目。</w:t>
      </w:r>
    </w:p>
    <w:p w14:paraId="1AF961BC">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 定义</w:t>
      </w:r>
    </w:p>
    <w:p w14:paraId="691DCDDF">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2.1“采购人”（也称“招标人”）是指：</w:t>
      </w:r>
      <w:r>
        <w:rPr>
          <w:rFonts w:hint="eastAsia" w:ascii="宋体" w:hAnsi="宋体" w:eastAsia="宋体" w:cs="宋体"/>
          <w:b/>
          <w:color w:val="auto"/>
          <w:sz w:val="24"/>
          <w:szCs w:val="24"/>
          <w:highlight w:val="none"/>
          <w:lang w:eastAsia="zh-CN"/>
        </w:rPr>
        <w:t>柳州市柳南区教育局</w:t>
      </w:r>
    </w:p>
    <w:p w14:paraId="07A62687">
      <w:pPr>
        <w:spacing w:line="360" w:lineRule="auto"/>
        <w:ind w:firstLine="360" w:firstLineChars="150"/>
        <w:rPr>
          <w:rFonts w:hint="eastAsia" w:ascii="宋体" w:hAnsi="宋体" w:eastAsia="宋体" w:cs="宋体"/>
          <w:bCs/>
          <w:color w:val="auto"/>
          <w:kern w:val="0"/>
          <w:sz w:val="21"/>
          <w:szCs w:val="21"/>
          <w:highlight w:val="none"/>
          <w:u w:val="none"/>
          <w:lang w:val="en-US" w:eastAsia="zh-CN"/>
        </w:rPr>
      </w:pPr>
      <w:r>
        <w:rPr>
          <w:rFonts w:hint="eastAsia" w:ascii="宋体" w:hAnsi="宋体" w:eastAsia="宋体" w:cs="宋体"/>
          <w:color w:val="auto"/>
          <w:sz w:val="24"/>
          <w:szCs w:val="24"/>
          <w:highlight w:val="none"/>
        </w:rPr>
        <w:t>2.2“政府采购代理机构”是指：</w:t>
      </w:r>
      <w:r>
        <w:rPr>
          <w:rFonts w:hint="eastAsia" w:ascii="宋体" w:hAnsi="宋体" w:eastAsia="宋体" w:cs="宋体"/>
          <w:b/>
          <w:color w:val="auto"/>
          <w:sz w:val="24"/>
          <w:szCs w:val="24"/>
          <w:highlight w:val="none"/>
          <w:lang w:val="en-US" w:eastAsia="zh-CN"/>
        </w:rPr>
        <w:t>广西久致建设工程咨询有限公司</w:t>
      </w:r>
    </w:p>
    <w:p w14:paraId="09C0EB6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2.3“磋商供应商（也称“竞标人”）”是指响应本文件要求，参加磋商的法人或者其他组织。如果该供应商在本次磋商中成交,即成为“成交供应商”。</w:t>
      </w:r>
    </w:p>
    <w:p w14:paraId="4581736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2.4“竞争性磋商响应文件（也称“响应文件”、“竞标文件”）”是指：供应商根据本文件要求，编制包含报价、商务、技术等所有内容的文件。</w:t>
      </w:r>
    </w:p>
    <w:p w14:paraId="566649E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2.5磋商供应商“相互串通竞标行为”指：</w:t>
      </w:r>
    </w:p>
    <w:p w14:paraId="6F5D332F">
      <w:pPr>
        <w:widowControl/>
        <w:shd w:val="clear" w:color="auto" w:fill="FFFFFF"/>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（1）不同“磋商供</w:t>
      </w:r>
      <w:r>
        <w:rPr>
          <w:rFonts w:hint="eastAsia" w:ascii="宋体" w:hAnsi="宋体" w:eastAsia="宋体" w:cs="宋体"/>
          <w:color w:val="auto"/>
          <w:sz w:val="24"/>
          <w:szCs w:val="24"/>
          <w:highlight w:val="none"/>
        </w:rPr>
        <w:t>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由同一单位或者个人编制；或不同磋商供应商报名的IP地址一致的;</w:t>
      </w:r>
    </w:p>
    <w:p w14:paraId="17949E27">
      <w:pPr>
        <w:widowControl/>
        <w:shd w:val="clear" w:color="auto" w:fill="FFFFFF"/>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w:t>
      </w:r>
      <w:r>
        <w:rPr>
          <w:rFonts w:hint="eastAsia" w:ascii="宋体" w:hAnsi="宋体" w:eastAsia="宋体" w:cs="宋体"/>
          <w:color w:val="auto"/>
          <w:sz w:val="24"/>
          <w:szCs w:val="24"/>
          <w:highlight w:val="none"/>
        </w:rPr>
        <w:t>磋商供应商”</w:t>
      </w:r>
      <w:r>
        <w:rPr>
          <w:rFonts w:hint="eastAsia" w:ascii="宋体" w:hAnsi="宋体" w:eastAsia="宋体" w:cs="宋体"/>
          <w:color w:val="auto"/>
          <w:kern w:val="0"/>
          <w:sz w:val="24"/>
          <w:szCs w:val="24"/>
          <w:highlight w:val="none"/>
        </w:rPr>
        <w:t>委托同一单位或者个人办理投标事宜;</w:t>
      </w:r>
    </w:p>
    <w:p w14:paraId="1E5DF756">
      <w:pPr>
        <w:widowControl/>
        <w:shd w:val="clear" w:color="auto" w:fill="FFFFFF"/>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（3）不同的“</w:t>
      </w:r>
      <w:r>
        <w:rPr>
          <w:rFonts w:hint="eastAsia" w:ascii="宋体" w:hAnsi="宋体" w:eastAsia="宋体" w:cs="宋体"/>
          <w:color w:val="auto"/>
          <w:sz w:val="24"/>
          <w:szCs w:val="24"/>
          <w:highlight w:val="none"/>
        </w:rPr>
        <w:t>磋商供应商”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载明的项目管理员为同一个人;</w:t>
      </w:r>
    </w:p>
    <w:p w14:paraId="6CD54417">
      <w:pPr>
        <w:widowControl/>
        <w:shd w:val="clear" w:color="auto" w:fill="FFFFFF"/>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w:t>
      </w:r>
      <w:r>
        <w:rPr>
          <w:rFonts w:hint="eastAsia" w:ascii="宋体" w:hAnsi="宋体" w:eastAsia="宋体" w:cs="宋体"/>
          <w:color w:val="auto"/>
          <w:sz w:val="24"/>
          <w:szCs w:val="24"/>
          <w:highlight w:val="none"/>
        </w:rPr>
        <w:t>磋商供应商”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异常一致或投标报价呈规律性差异;</w:t>
      </w:r>
    </w:p>
    <w:p w14:paraId="5ECAB07C">
      <w:pPr>
        <w:widowControl/>
        <w:shd w:val="clear" w:color="auto" w:fill="FFFFFF"/>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（5）不同“</w:t>
      </w:r>
      <w:r>
        <w:rPr>
          <w:rFonts w:hint="eastAsia" w:ascii="宋体" w:hAnsi="宋体" w:eastAsia="宋体" w:cs="宋体"/>
          <w:color w:val="auto"/>
          <w:sz w:val="24"/>
          <w:szCs w:val="24"/>
          <w:highlight w:val="none"/>
        </w:rPr>
        <w:t>磋商供应商”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相互混装;</w:t>
      </w:r>
    </w:p>
    <w:p w14:paraId="5BA36284">
      <w:pPr>
        <w:widowControl/>
        <w:shd w:val="clear" w:color="auto" w:fill="FFFFFF"/>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（6）不同“</w:t>
      </w:r>
      <w:r>
        <w:rPr>
          <w:rFonts w:hint="eastAsia" w:ascii="宋体" w:hAnsi="宋体" w:eastAsia="宋体" w:cs="宋体"/>
          <w:color w:val="auto"/>
          <w:sz w:val="24"/>
          <w:szCs w:val="24"/>
          <w:highlight w:val="none"/>
        </w:rPr>
        <w:t>磋商供应商”</w:t>
      </w:r>
      <w:r>
        <w:rPr>
          <w:rFonts w:hint="eastAsia" w:ascii="宋体" w:hAnsi="宋体" w:eastAsia="宋体" w:cs="宋体"/>
          <w:color w:val="auto"/>
          <w:kern w:val="0"/>
          <w:sz w:val="24"/>
          <w:szCs w:val="24"/>
          <w:highlight w:val="none"/>
        </w:rPr>
        <w:t>的磋商保证金从同一单位或者个人账户转出。</w:t>
      </w:r>
      <w:bookmarkStart w:id="40" w:name="_Toc38295169"/>
    </w:p>
    <w:p w14:paraId="667B1F8B">
      <w:pPr>
        <w:widowControl/>
        <w:shd w:val="clear" w:color="auto" w:fill="FFFFFF"/>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2.6“▲”系指实质性要求条款。</w:t>
      </w:r>
      <w:bookmarkEnd w:id="40"/>
    </w:p>
    <w:p w14:paraId="758C1BB9">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2.7对于非法人单位的磋商供应商，本采购文件中所称的“法定代表人”指“负责人”或“经营者”。非法人单位的竞标人在使用本采购文件中的“响应文件格式”时，可相应将“法定代表人”修改为“负责人” 或“经营者”。</w:t>
      </w:r>
    </w:p>
    <w:p w14:paraId="153A1424">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 “书面形式”是信件、电报、电传、传真等可以有形地表现所载内容的形式。以电子数据交换、电子邮件等方式能够有形地表现所载内容，并可以随时调取查用的数据电文，视为书面形式。</w:t>
      </w:r>
    </w:p>
    <w:p w14:paraId="63EFC870">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3.工程说明</w:t>
      </w:r>
    </w:p>
    <w:p w14:paraId="357E30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本工程的说明</w:t>
      </w:r>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供应商须知前附表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（以下称“前附表”）第1项所述。</w:t>
      </w:r>
    </w:p>
    <w:p w14:paraId="34739C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本工程按照《中华人民共和国政府采购法》、《政府采购竞争性磋商采购方式管理暂行办法》等相关法律法规规定，已经办理相关手续，现通过竞争性磋商采购方式来择优选定施工单位。</w:t>
      </w:r>
    </w:p>
    <w:p w14:paraId="3EB0E78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4.磋商供应商的资格条件</w:t>
      </w:r>
    </w:p>
    <w:p w14:paraId="083CA7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4.1本采购项目供应商资格条件详见“前附表”第2项所述。</w:t>
      </w:r>
    </w:p>
    <w:p w14:paraId="48CD6DCC">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color w:val="auto"/>
          <w:sz w:val="24"/>
          <w:szCs w:val="24"/>
          <w:highlight w:val="none"/>
        </w:rPr>
        <w:t>磋商费用及其他事项</w:t>
      </w:r>
    </w:p>
    <w:p w14:paraId="7EED0A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磋商供应商应自行承担所有与编写和提交响应文件有关的费用，不论磋商结果如何，采购人</w:t>
      </w:r>
      <w:r>
        <w:rPr>
          <w:rFonts w:hint="eastAsia" w:ascii="宋体" w:hAnsi="宋体" w:eastAsia="宋体" w:cs="宋体"/>
          <w:color w:val="auto"/>
          <w:sz w:val="24"/>
          <w:szCs w:val="24"/>
          <w:highlight w:val="none"/>
          <w:u w:val="none"/>
        </w:rPr>
        <w:t>和采购代理机构在任何情况下</w:t>
      </w:r>
      <w:r>
        <w:rPr>
          <w:rFonts w:hint="eastAsia" w:ascii="宋体" w:hAnsi="宋体" w:eastAsia="宋体" w:cs="宋体"/>
          <w:color w:val="auto"/>
          <w:sz w:val="24"/>
          <w:szCs w:val="24"/>
          <w:highlight w:val="none"/>
        </w:rPr>
        <w:t>无义务和责任承担此类费用。</w:t>
      </w:r>
    </w:p>
    <w:p w14:paraId="38D47224">
      <w:pPr>
        <w:widowControl/>
        <w:shd w:val="clear" w:color="auto" w:fill="FFFFFF"/>
        <w:spacing w:line="360" w:lineRule="auto"/>
        <w:ind w:firstLine="480" w:firstLineChars="200"/>
        <w:jc w:val="left"/>
        <w:rPr>
          <w:rFonts w:hint="eastAsia" w:ascii="宋体" w:hAnsi="宋体" w:eastAsia="宋体" w:cs="宋体"/>
          <w:b/>
          <w:color w:val="auto"/>
          <w:kern w:val="0"/>
          <w:sz w:val="27"/>
          <w:szCs w:val="27"/>
          <w:highlight w:val="none"/>
        </w:rPr>
      </w:pPr>
      <w:r>
        <w:rPr>
          <w:rFonts w:hint="eastAsia" w:ascii="宋体" w:hAnsi="宋体" w:eastAsia="宋体" w:cs="宋体"/>
          <w:color w:val="auto"/>
          <w:sz w:val="24"/>
          <w:szCs w:val="24"/>
          <w:highlight w:val="none"/>
        </w:rPr>
        <w:t>5.2.</w:t>
      </w:r>
      <w:r>
        <w:rPr>
          <w:rFonts w:hint="eastAsia" w:ascii="宋体" w:hAnsi="宋体" w:eastAsia="宋体" w:cs="宋体"/>
          <w:b/>
          <w:color w:val="auto"/>
          <w:kern w:val="0"/>
          <w:sz w:val="24"/>
          <w:szCs w:val="24"/>
          <w:highlight w:val="none"/>
        </w:rPr>
        <w:t>关联供应商不得参加同一合同项下政府采购活动，否则其“竞争性磋商响应文件”将被视为</w:t>
      </w:r>
      <w:r>
        <w:rPr>
          <w:rFonts w:hint="eastAsia" w:ascii="宋体" w:hAnsi="宋体" w:eastAsia="宋体" w:cs="宋体"/>
          <w:b/>
          <w:color w:val="auto"/>
          <w:sz w:val="24"/>
          <w:szCs w:val="24"/>
          <w:highlight w:val="none"/>
        </w:rPr>
        <w:t>无效文件导致其</w:t>
      </w:r>
      <w:r>
        <w:rPr>
          <w:rFonts w:hint="eastAsia" w:ascii="宋体" w:hAnsi="宋体" w:eastAsia="宋体" w:cs="宋体"/>
          <w:b/>
          <w:color w:val="auto"/>
          <w:kern w:val="0"/>
          <w:sz w:val="24"/>
          <w:szCs w:val="24"/>
          <w:highlight w:val="none"/>
        </w:rPr>
        <w:t>磋商无效：</w:t>
      </w:r>
    </w:p>
    <w:p w14:paraId="478C71B5">
      <w:pPr>
        <w:snapToGrid w:val="0"/>
        <w:spacing w:line="360" w:lineRule="auto"/>
        <w:ind w:firstLine="482" w:firstLineChars="200"/>
        <w:rPr>
          <w:rFonts w:hint="eastAsia" w:ascii="宋体" w:hAnsi="宋体" w:eastAsia="宋体" w:cs="宋体"/>
          <w:color w:val="auto"/>
          <w:szCs w:val="24"/>
          <w:highlight w:val="none"/>
        </w:rPr>
      </w:pPr>
      <w:r>
        <w:rPr>
          <w:rFonts w:hint="eastAsia" w:ascii="宋体" w:hAnsi="宋体" w:eastAsia="宋体" w:cs="宋体"/>
          <w:b/>
          <w:color w:val="auto"/>
          <w:kern w:val="0"/>
          <w:sz w:val="24"/>
          <w:szCs w:val="24"/>
          <w:highlight w:val="none"/>
        </w:rPr>
        <w:t>（1）单位负责人为同一人或者存在直接控股、管理关系的不同的供应商，不得参加同一合同项下的政府采购活动。除单一来源采购项目外，为采购项目提供整体设计、规范编制或者项目管理、监理、检测等服务的供应商，不得再参加该采购项目的其他采购活动。</w:t>
      </w:r>
    </w:p>
    <w:p w14:paraId="3FE81093">
      <w:pPr>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5.3 转包与分包 </w:t>
      </w:r>
    </w:p>
    <w:p w14:paraId="5E1D6D5C">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（1）本项目不允许转包。</w:t>
      </w:r>
    </w:p>
    <w:p w14:paraId="6F6AF4B6">
      <w:pPr>
        <w:snapToGrid w:val="0"/>
        <w:spacing w:line="360" w:lineRule="auto"/>
        <w:ind w:firstLine="480" w:firstLineChars="200"/>
        <w:rPr>
          <w:rFonts w:hint="eastAsia" w:ascii="宋体" w:hAnsi="宋体" w:eastAsia="宋体" w:cs="宋体"/>
          <w:color w:val="auto"/>
          <w:sz w:val="24"/>
          <w:szCs w:val="24"/>
          <w:highlight w:val="none"/>
        </w:rPr>
      </w:pPr>
      <w:bookmarkStart w:id="41" w:name="_Toc1117"/>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本项目不可以分包。</w:t>
      </w:r>
    </w:p>
    <w:p w14:paraId="380ACECB">
      <w:pPr>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5.4．现场考察 </w:t>
      </w:r>
    </w:p>
    <w:p w14:paraId="7A0CFAAD">
      <w:pPr>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（1）磋商供应商可自行对工程施工现场和周围环境进行勘察，以获取编制响应文件和签署合同所需的资料。 </w:t>
      </w:r>
    </w:p>
    <w:p w14:paraId="777D2181">
      <w:p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bCs/>
          <w:color w:val="auto"/>
          <w:kern w:val="0"/>
          <w:sz w:val="24"/>
          <w:szCs w:val="24"/>
          <w:highlight w:val="none"/>
        </w:rPr>
        <w:t>（2）磋商供应商应承担现场考察的责任和风险。考察现场的费用由磋商供应商自己承担。</w:t>
      </w:r>
    </w:p>
    <w:bookmarkEnd w:id="41"/>
    <w:p w14:paraId="53EA0B16">
      <w:pPr>
        <w:snapToGrid w:val="0"/>
        <w:spacing w:line="360" w:lineRule="auto"/>
        <w:ind w:firstLine="551" w:firstLineChars="196"/>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二、竞争性磋商文件</w:t>
      </w:r>
    </w:p>
    <w:p w14:paraId="79F464D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6.竞争性磋商文件的构成。本竞争性磋商文件由以下部份组成：</w:t>
      </w:r>
    </w:p>
    <w:p w14:paraId="3D76227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4A8AAC0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488FE57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w:t>
      </w:r>
      <w:r>
        <w:rPr>
          <w:rFonts w:hint="default" w:ascii="宋体" w:hAnsi="宋体" w:eastAsia="宋体" w:cs="宋体"/>
          <w:color w:val="auto"/>
          <w:sz w:val="24"/>
          <w:szCs w:val="24"/>
          <w:highlight w:val="none"/>
        </w:rPr>
        <w:t>审</w:t>
      </w:r>
      <w:r>
        <w:rPr>
          <w:rFonts w:hint="eastAsia" w:ascii="宋体" w:hAnsi="宋体" w:eastAsia="宋体" w:cs="宋体"/>
          <w:color w:val="auto"/>
          <w:sz w:val="24"/>
          <w:szCs w:val="24"/>
          <w:highlight w:val="none"/>
        </w:rPr>
        <w:t>办法及评</w:t>
      </w:r>
      <w:r>
        <w:rPr>
          <w:rFonts w:hint="default" w:ascii="宋体" w:hAnsi="宋体" w:eastAsia="宋体" w:cs="宋体"/>
          <w:color w:val="auto"/>
          <w:sz w:val="24"/>
          <w:szCs w:val="24"/>
          <w:highlight w:val="none"/>
        </w:rPr>
        <w:t>审</w:t>
      </w:r>
      <w:r>
        <w:rPr>
          <w:rFonts w:hint="eastAsia" w:ascii="宋体" w:hAnsi="宋体" w:eastAsia="宋体" w:cs="宋体"/>
          <w:color w:val="auto"/>
          <w:sz w:val="24"/>
          <w:szCs w:val="24"/>
          <w:highlight w:val="none"/>
        </w:rPr>
        <w:t>标准</w:t>
      </w:r>
    </w:p>
    <w:p w14:paraId="461355D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060503A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（5）图纸及工程量清单</w:t>
      </w:r>
    </w:p>
    <w:p w14:paraId="1CEF6F6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）技术规范</w:t>
      </w:r>
    </w:p>
    <w:p w14:paraId="19584C5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）竞争性磋商响应文件格式</w:t>
      </w:r>
    </w:p>
    <w:p w14:paraId="6EED2201">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7.竞争性磋商文件的澄清与修改 </w:t>
      </w:r>
    </w:p>
    <w:p w14:paraId="34FE25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7.1.供应商应认真阅读本磋商文件，发现其中有误或有不合理要求的，供应商应当于获取磋商文件之日起七个工作日内，以书面形式要求采购单位澄清。</w:t>
      </w:r>
    </w:p>
    <w:p w14:paraId="3EAC11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提交首次响应文件截止之日前，采购人、采购代理机构可以对已发出的磋商文件进行必要的澄清或者修改。澄清或者修改应当在财政部门指定的政府采购信息发布媒体上发布更正公告，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E146B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澄清或者修改的内容作为磋商文件的组成部分的内容。当磋商文件与磋商文件的答复、澄清、修改、补充通知就同一内容的表述不一致时，以最后发出的书面文件为准。</w:t>
      </w:r>
    </w:p>
    <w:p w14:paraId="566CB61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三、竞争性磋商响应文件</w:t>
      </w:r>
    </w:p>
    <w:p w14:paraId="426D90F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8.竞争性磋商响应文件编制</w:t>
      </w:r>
    </w:p>
    <w:p w14:paraId="17ADF3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8.1磋商供应商应认真阅读、并充分理解本文件的全部内容（包括所有的补充、修改内容），承诺并履行本文件中各项条款规定及要求。</w:t>
      </w:r>
    </w:p>
    <w:p w14:paraId="751533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8.2响应文件必须按本文件的全部内容（包括所有的补充通知及附件）和本须知第六条要求进行编制。</w:t>
      </w:r>
    </w:p>
    <w:p w14:paraId="23866C8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8.3如因磋商供应商只填写和提供了本文件要求的部分内容和附件，而给评审造成困难，其可能导致的结果和责任由磋商供应商自行承担。</w:t>
      </w:r>
    </w:p>
    <w:p w14:paraId="2F53A6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8.4竞争性磋商响应文件的组成</w:t>
      </w:r>
    </w:p>
    <w:p w14:paraId="1909B0BF">
      <w:pPr>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竞争性磋商响应文件分为资格证明文件、报价文件、商务技术文件组成</w:t>
      </w:r>
      <w:r>
        <w:rPr>
          <w:rFonts w:hint="eastAsia" w:ascii="宋体" w:hAnsi="宋体" w:eastAsia="宋体" w:cs="宋体"/>
          <w:b/>
          <w:color w:val="auto"/>
          <w:sz w:val="24"/>
          <w:szCs w:val="24"/>
          <w:highlight w:val="none"/>
        </w:rPr>
        <w:t>。</w:t>
      </w:r>
    </w:p>
    <w:p w14:paraId="3385098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（1）资格证明文件（以下1至1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项资料必须按要求提供且须加盖</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单位电子公章或自然人加盖手指指印，否则磋商无效。</w:t>
      </w:r>
      <w:r>
        <w:rPr>
          <w:rFonts w:hint="eastAsia" w:ascii="宋体" w:hAnsi="宋体" w:eastAsia="宋体" w:cs="宋体"/>
          <w:color w:val="auto"/>
          <w:sz w:val="24"/>
          <w:szCs w:val="24"/>
          <w:highlight w:val="none"/>
        </w:rPr>
        <w:t>）</w:t>
      </w:r>
    </w:p>
    <w:p w14:paraId="6DC042FB">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供应商有效的主体资格证明（如营业执照、事业单位法人证书、执业许可证等。如供应商为非法人分公司的，除按要求提供供应商的主体资格证明外，同时还须提供总公司的授权书或者其他能够证明总公司授权其独立开展业务的相关证明材料）扫描件</w:t>
      </w:r>
      <w:r>
        <w:rPr>
          <w:rFonts w:hint="eastAsia" w:ascii="宋体" w:hAnsi="宋体" w:eastAsia="宋体" w:cs="宋体"/>
          <w:bCs/>
          <w:color w:val="auto"/>
          <w:sz w:val="24"/>
          <w:szCs w:val="24"/>
          <w:highlight w:val="none"/>
          <w:lang w:eastAsia="zh-CN"/>
        </w:rPr>
        <w:t>；</w:t>
      </w:r>
    </w:p>
    <w:p w14:paraId="02B2299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2）政府采购供应商资格信用承诺函（格式</w:t>
      </w:r>
      <w:r>
        <w:rPr>
          <w:rFonts w:hint="eastAsia" w:ascii="宋体" w:hAnsi="宋体" w:eastAsia="宋体" w:cs="宋体"/>
          <w:bCs/>
          <w:color w:val="auto"/>
          <w:sz w:val="24"/>
          <w:szCs w:val="24"/>
          <w:highlight w:val="none"/>
          <w:lang w:val="en-US" w:eastAsia="zh-CN"/>
        </w:rPr>
        <w:t>见</w:t>
      </w:r>
      <w:r>
        <w:rPr>
          <w:rFonts w:hint="eastAsia" w:ascii="宋体" w:hAnsi="宋体" w:eastAsia="宋体" w:cs="宋体"/>
          <w:bCs/>
          <w:color w:val="auto"/>
          <w:sz w:val="24"/>
          <w:szCs w:val="24"/>
          <w:highlight w:val="none"/>
        </w:rPr>
        <w:t>第七章）；</w:t>
      </w:r>
    </w:p>
    <w:p w14:paraId="452B3243">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 供应商直接控股、管理关系信息表（格式见第七章）；</w:t>
      </w:r>
    </w:p>
    <w:p w14:paraId="5C9B7A2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磋商供应商为</w:t>
      </w:r>
      <w:r>
        <w:rPr>
          <w:rFonts w:hint="eastAsia" w:ascii="宋体" w:hAnsi="宋体" w:eastAsia="宋体" w:cs="宋体"/>
          <w:bCs/>
          <w:color w:val="auto"/>
          <w:spacing w:val="-6"/>
          <w:sz w:val="24"/>
          <w:szCs w:val="24"/>
          <w:highlight w:val="none"/>
        </w:rPr>
        <w:t>中小企业的</w:t>
      </w:r>
      <w:r>
        <w:rPr>
          <w:rFonts w:hint="eastAsia" w:ascii="宋体" w:hAnsi="宋体" w:eastAsia="宋体" w:cs="宋体"/>
          <w:bCs/>
          <w:color w:val="auto"/>
          <w:sz w:val="24"/>
          <w:szCs w:val="24"/>
          <w:highlight w:val="none"/>
        </w:rPr>
        <w:t>政策功能证明文件（如中小企业声明函、监狱企业、残疾人福利性单位声明函等。）；</w:t>
      </w:r>
    </w:p>
    <w:p w14:paraId="42814510">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5）竞标声明（格式见第七章）；</w:t>
      </w:r>
    </w:p>
    <w:p w14:paraId="4F9DC613">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）供应商有效的资质证书扫描件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(证书中须包含有效的建筑工程施工总承包三级（含）以上或建筑装修装饰工程专业承包二级（含）以上</w:t>
      </w:r>
      <w:r>
        <w:rPr>
          <w:rFonts w:hint="eastAsia" w:ascii="宋体" w:hAnsi="宋体" w:eastAsia="宋体" w:cs="宋体"/>
          <w:bCs/>
          <w:color w:val="auto"/>
          <w:sz w:val="24"/>
          <w:szCs w:val="24"/>
          <w:highlight w:val="none"/>
          <w:lang w:val="en-US" w:eastAsia="zh-CN"/>
        </w:rPr>
        <w:t>资质</w:t>
      </w:r>
      <w:r>
        <w:rPr>
          <w:rFonts w:hint="eastAsia" w:ascii="宋体" w:hAnsi="宋体" w:eastAsia="宋体" w:cs="宋体"/>
          <w:bCs/>
          <w:color w:val="auto"/>
          <w:sz w:val="24"/>
          <w:szCs w:val="24"/>
          <w:highlight w:val="none"/>
        </w:rPr>
        <w:t>）</w:t>
      </w:r>
    </w:p>
    <w:p w14:paraId="0BA5D25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）磋商供应商有效的安全生产许可证扫描件；</w:t>
      </w:r>
    </w:p>
    <w:p w14:paraId="071B2C3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）拟派项目经理的注册建造师执业资格证书扫描件（拟派项目经理须具备</w:t>
      </w:r>
      <w:r>
        <w:rPr>
          <w:rFonts w:hint="eastAsia" w:ascii="宋体" w:hAnsi="宋体" w:eastAsia="宋体" w:cs="宋体"/>
          <w:bCs/>
          <w:color w:val="auto"/>
          <w:sz w:val="24"/>
          <w:szCs w:val="24"/>
          <w:highlight w:val="none"/>
          <w:lang w:eastAsia="zh-CN"/>
        </w:rPr>
        <w:t>有效的建筑工程专业二级(含)以上注册建造师执业资格</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p>
    <w:p w14:paraId="235639E9">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）拟派项目经理有效的安全生产考核合格证书（B类）</w:t>
      </w:r>
      <w:bookmarkStart w:id="42" w:name="_Hlk162345299"/>
      <w:r>
        <w:rPr>
          <w:rFonts w:hint="eastAsia" w:ascii="宋体" w:hAnsi="宋体" w:eastAsia="宋体" w:cs="宋体"/>
          <w:bCs/>
          <w:color w:val="auto"/>
          <w:sz w:val="24"/>
          <w:szCs w:val="24"/>
          <w:highlight w:val="none"/>
        </w:rPr>
        <w:t>扫描件</w:t>
      </w:r>
      <w:bookmarkEnd w:id="42"/>
      <w:r>
        <w:rPr>
          <w:rFonts w:hint="eastAsia" w:ascii="宋体" w:hAnsi="宋体" w:eastAsia="宋体" w:cs="宋体"/>
          <w:bCs/>
          <w:color w:val="auto"/>
          <w:sz w:val="24"/>
          <w:szCs w:val="24"/>
          <w:highlight w:val="none"/>
          <w:lang w:eastAsia="zh-CN"/>
        </w:rPr>
        <w:t>；</w:t>
      </w:r>
    </w:p>
    <w:p w14:paraId="280EB767">
      <w:pPr>
        <w:widowControl/>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w:t>
      </w:r>
      <w:bookmarkStart w:id="43" w:name="OLE_LINK56"/>
      <w:r>
        <w:rPr>
          <w:rFonts w:hint="eastAsia" w:ascii="宋体" w:hAnsi="宋体" w:eastAsia="宋体" w:cs="宋体"/>
          <w:bCs/>
          <w:color w:val="auto"/>
          <w:sz w:val="24"/>
          <w:szCs w:val="24"/>
          <w:highlight w:val="none"/>
        </w:rPr>
        <w:t>拟派项目经理无在建工程承诺书（格式</w:t>
      </w:r>
      <w:r>
        <w:rPr>
          <w:rFonts w:hint="eastAsia" w:ascii="宋体" w:hAnsi="宋体" w:eastAsia="宋体" w:cs="宋体"/>
          <w:bCs/>
          <w:color w:val="auto"/>
          <w:sz w:val="24"/>
          <w:szCs w:val="24"/>
          <w:highlight w:val="none"/>
          <w:lang w:val="en-US" w:eastAsia="zh-CN"/>
        </w:rPr>
        <w:t>见</w:t>
      </w:r>
      <w:r>
        <w:rPr>
          <w:rFonts w:hint="eastAsia" w:ascii="宋体" w:hAnsi="宋体" w:eastAsia="宋体" w:cs="宋体"/>
          <w:bCs/>
          <w:color w:val="auto"/>
          <w:sz w:val="24"/>
          <w:szCs w:val="24"/>
          <w:highlight w:val="none"/>
        </w:rPr>
        <w:t>第七章）</w:t>
      </w:r>
      <w:bookmarkEnd w:id="43"/>
      <w:r>
        <w:rPr>
          <w:rFonts w:hint="eastAsia" w:ascii="宋体" w:hAnsi="宋体" w:eastAsia="宋体" w:cs="宋体"/>
          <w:bCs/>
          <w:color w:val="auto"/>
          <w:sz w:val="24"/>
          <w:szCs w:val="24"/>
          <w:highlight w:val="none"/>
          <w:lang w:eastAsia="zh-CN"/>
        </w:rPr>
        <w:t>；</w:t>
      </w:r>
    </w:p>
    <w:p w14:paraId="472A2FF0">
      <w:pPr>
        <w:widowControl/>
        <w:spacing w:line="360" w:lineRule="auto"/>
        <w:ind w:firstLine="480" w:firstLineChars="200"/>
        <w:jc w:val="left"/>
        <w:rPr>
          <w:rFonts w:hint="eastAsia" w:ascii="宋体" w:hAnsi="宋体" w:eastAsia="宋体" w:cs="宋体"/>
          <w:bCs/>
          <w:color w:val="auto"/>
          <w:sz w:val="24"/>
          <w:szCs w:val="24"/>
          <w:highlight w:val="none"/>
          <w:lang w:eastAsia="zh-CN"/>
        </w:rPr>
      </w:pPr>
      <w:bookmarkStart w:id="44" w:name="OLE_LINK58"/>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）拟派</w:t>
      </w:r>
      <w:bookmarkStart w:id="45" w:name="OLE_LINK57"/>
      <w:r>
        <w:rPr>
          <w:rFonts w:hint="eastAsia" w:ascii="宋体" w:hAnsi="宋体" w:eastAsia="宋体" w:cs="宋体"/>
          <w:bCs/>
          <w:color w:val="auto"/>
          <w:sz w:val="24"/>
          <w:szCs w:val="24"/>
          <w:highlight w:val="none"/>
        </w:rPr>
        <w:t>专职安全员</w:t>
      </w:r>
      <w:bookmarkEnd w:id="45"/>
      <w:r>
        <w:rPr>
          <w:rFonts w:hint="eastAsia" w:ascii="宋体" w:hAnsi="宋体" w:eastAsia="宋体" w:cs="宋体"/>
          <w:bCs/>
          <w:color w:val="auto"/>
          <w:sz w:val="24"/>
          <w:szCs w:val="24"/>
          <w:highlight w:val="none"/>
        </w:rPr>
        <w:t>须有效的安全生产考核合格证书（C类）</w:t>
      </w:r>
      <w:r>
        <w:rPr>
          <w:rFonts w:hint="eastAsia" w:ascii="宋体" w:hAnsi="宋体" w:eastAsia="宋体" w:cs="宋体"/>
          <w:bCs/>
          <w:color w:val="auto"/>
          <w:sz w:val="24"/>
          <w:szCs w:val="24"/>
          <w:highlight w:val="none"/>
          <w:lang w:eastAsia="zh-CN"/>
        </w:rPr>
        <w:t>；</w:t>
      </w:r>
    </w:p>
    <w:p w14:paraId="0E65B00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）拟派专职安全员无在建工程承诺书（格式</w:t>
      </w:r>
      <w:r>
        <w:rPr>
          <w:rFonts w:hint="eastAsia" w:ascii="宋体" w:hAnsi="宋体" w:eastAsia="宋体" w:cs="宋体"/>
          <w:bCs/>
          <w:color w:val="auto"/>
          <w:sz w:val="24"/>
          <w:szCs w:val="24"/>
          <w:highlight w:val="none"/>
          <w:lang w:val="en-US" w:eastAsia="zh-CN"/>
        </w:rPr>
        <w:t>见</w:t>
      </w:r>
      <w:r>
        <w:rPr>
          <w:rFonts w:hint="eastAsia" w:ascii="宋体" w:hAnsi="宋体" w:eastAsia="宋体" w:cs="宋体"/>
          <w:bCs/>
          <w:color w:val="auto"/>
          <w:sz w:val="24"/>
          <w:szCs w:val="24"/>
          <w:highlight w:val="none"/>
        </w:rPr>
        <w:t>第七章）扫描件</w:t>
      </w:r>
      <w:r>
        <w:rPr>
          <w:rFonts w:hint="eastAsia" w:ascii="宋体" w:hAnsi="宋体" w:eastAsia="宋体" w:cs="宋体"/>
          <w:bCs/>
          <w:color w:val="auto"/>
          <w:sz w:val="24"/>
          <w:szCs w:val="24"/>
          <w:highlight w:val="none"/>
          <w:lang w:eastAsia="zh-CN"/>
        </w:rPr>
        <w:t>；</w:t>
      </w:r>
    </w:p>
    <w:bookmarkEnd w:id="44"/>
    <w:p w14:paraId="5AB0F53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）供应商认为有必要提供的与资格审查相关的其他材料(如有)。</w:t>
      </w:r>
    </w:p>
    <w:p w14:paraId="1C9C82B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（2）报价文件（以下资料必须按要求提供且须加盖</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单位电子公章或自然人加盖手指指印，否则磋商无效。</w:t>
      </w:r>
      <w:r>
        <w:rPr>
          <w:rFonts w:hint="eastAsia" w:ascii="宋体" w:hAnsi="宋体" w:eastAsia="宋体" w:cs="宋体"/>
          <w:color w:val="auto"/>
          <w:sz w:val="24"/>
          <w:szCs w:val="24"/>
          <w:highlight w:val="none"/>
        </w:rPr>
        <w:t>）</w:t>
      </w:r>
    </w:p>
    <w:p w14:paraId="476AFE5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1）磋商</w:t>
      </w:r>
      <w:r>
        <w:rPr>
          <w:rFonts w:hint="eastAsia" w:ascii="宋体" w:hAnsi="宋体" w:eastAsia="宋体" w:cs="宋体"/>
          <w:bCs/>
          <w:color w:val="auto"/>
          <w:sz w:val="24"/>
          <w:szCs w:val="24"/>
          <w:highlight w:val="none"/>
          <w:lang w:val="en-US" w:eastAsia="zh-CN"/>
        </w:rPr>
        <w:t>函</w:t>
      </w:r>
      <w:r>
        <w:rPr>
          <w:rFonts w:hint="eastAsia" w:ascii="宋体" w:hAnsi="宋体" w:eastAsia="宋体" w:cs="宋体"/>
          <w:bCs/>
          <w:color w:val="auto"/>
          <w:sz w:val="24"/>
          <w:szCs w:val="24"/>
          <w:highlight w:val="none"/>
        </w:rPr>
        <w:t>；（格式</w:t>
      </w:r>
      <w:r>
        <w:rPr>
          <w:rFonts w:hint="eastAsia" w:ascii="宋体" w:hAnsi="宋体" w:eastAsia="宋体" w:cs="宋体"/>
          <w:bCs/>
          <w:color w:val="auto"/>
          <w:sz w:val="24"/>
          <w:szCs w:val="24"/>
          <w:highlight w:val="none"/>
          <w:lang w:val="en-US" w:eastAsia="zh-CN"/>
        </w:rPr>
        <w:t>见</w:t>
      </w:r>
      <w:r>
        <w:rPr>
          <w:rFonts w:hint="eastAsia" w:ascii="宋体" w:hAnsi="宋体" w:eastAsia="宋体" w:cs="宋体"/>
          <w:bCs/>
          <w:color w:val="auto"/>
          <w:sz w:val="24"/>
          <w:szCs w:val="24"/>
          <w:highlight w:val="none"/>
        </w:rPr>
        <w:t>第七章）</w:t>
      </w:r>
    </w:p>
    <w:p w14:paraId="4ADFDD1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2）磋商</w:t>
      </w:r>
      <w:r>
        <w:rPr>
          <w:rFonts w:hint="eastAsia" w:ascii="宋体" w:hAnsi="宋体" w:eastAsia="宋体" w:cs="宋体"/>
          <w:bCs/>
          <w:color w:val="auto"/>
          <w:sz w:val="24"/>
          <w:szCs w:val="24"/>
          <w:highlight w:val="none"/>
          <w:lang w:val="en-US" w:eastAsia="zh-CN"/>
        </w:rPr>
        <w:t>函</w:t>
      </w:r>
      <w:r>
        <w:rPr>
          <w:rFonts w:hint="eastAsia" w:ascii="宋体" w:hAnsi="宋体" w:eastAsia="宋体" w:cs="宋体"/>
          <w:bCs/>
          <w:color w:val="auto"/>
          <w:sz w:val="24"/>
          <w:szCs w:val="24"/>
          <w:highlight w:val="none"/>
        </w:rPr>
        <w:t>附录；</w:t>
      </w:r>
    </w:p>
    <w:p w14:paraId="2572E20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3）已标价的工程量清单</w:t>
      </w:r>
      <w:bookmarkStart w:id="46" w:name="_Toc38295170"/>
      <w:r>
        <w:rPr>
          <w:rFonts w:hint="eastAsia" w:ascii="宋体" w:hAnsi="宋体" w:eastAsia="宋体" w:cs="宋体"/>
          <w:bCs/>
          <w:color w:val="auto"/>
          <w:sz w:val="24"/>
          <w:szCs w:val="24"/>
          <w:highlight w:val="none"/>
        </w:rPr>
        <w:t>；</w:t>
      </w:r>
    </w:p>
    <w:p w14:paraId="6B5699B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（3）商务技术文件（以下1至</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项资料必须按要求提供且须加盖</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单位电子公章或自然人加盖手指指印，否则磋商无效。</w:t>
      </w:r>
      <w:r>
        <w:rPr>
          <w:rFonts w:hint="eastAsia" w:ascii="宋体" w:hAnsi="宋体" w:eastAsia="宋体" w:cs="宋体"/>
          <w:color w:val="auto"/>
          <w:sz w:val="24"/>
          <w:szCs w:val="24"/>
          <w:highlight w:val="none"/>
        </w:rPr>
        <w:t>）</w:t>
      </w:r>
    </w:p>
    <w:bookmarkEnd w:id="46"/>
    <w:p w14:paraId="2A5B518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1）供应商法定代表人身份证明书；（格式</w:t>
      </w:r>
      <w:r>
        <w:rPr>
          <w:rFonts w:hint="eastAsia" w:ascii="宋体" w:hAnsi="宋体" w:eastAsia="宋体" w:cs="宋体"/>
          <w:bCs/>
          <w:color w:val="auto"/>
          <w:sz w:val="24"/>
          <w:szCs w:val="24"/>
          <w:highlight w:val="none"/>
          <w:lang w:val="en-US" w:eastAsia="zh-CN"/>
        </w:rPr>
        <w:t>见</w:t>
      </w:r>
      <w:r>
        <w:rPr>
          <w:rFonts w:hint="eastAsia" w:ascii="宋体" w:hAnsi="宋体" w:eastAsia="宋体" w:cs="宋体"/>
          <w:bCs/>
          <w:color w:val="auto"/>
          <w:sz w:val="24"/>
          <w:szCs w:val="24"/>
          <w:highlight w:val="none"/>
        </w:rPr>
        <w:t>第七章）</w:t>
      </w:r>
    </w:p>
    <w:p w14:paraId="38440DB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2）法定代表人授权书；（格式</w:t>
      </w:r>
      <w:r>
        <w:rPr>
          <w:rFonts w:hint="eastAsia" w:ascii="宋体" w:hAnsi="宋体" w:eastAsia="宋体" w:cs="宋体"/>
          <w:bCs/>
          <w:color w:val="auto"/>
          <w:sz w:val="24"/>
          <w:szCs w:val="24"/>
          <w:highlight w:val="none"/>
          <w:lang w:val="en-US" w:eastAsia="zh-CN"/>
        </w:rPr>
        <w:t>见</w:t>
      </w:r>
      <w:r>
        <w:rPr>
          <w:rFonts w:hint="eastAsia" w:ascii="宋体" w:hAnsi="宋体" w:eastAsia="宋体" w:cs="宋体"/>
          <w:bCs/>
          <w:color w:val="auto"/>
          <w:sz w:val="24"/>
          <w:szCs w:val="24"/>
          <w:highlight w:val="none"/>
        </w:rPr>
        <w:t>第七章，委托代理时必须提供）</w:t>
      </w:r>
    </w:p>
    <w:p w14:paraId="5EA9C48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3）建设工程项目管理承诺书；（格式</w:t>
      </w:r>
      <w:r>
        <w:rPr>
          <w:rFonts w:hint="eastAsia" w:ascii="宋体" w:hAnsi="宋体" w:eastAsia="宋体" w:cs="宋体"/>
          <w:bCs/>
          <w:color w:val="auto"/>
          <w:sz w:val="24"/>
          <w:szCs w:val="24"/>
          <w:highlight w:val="none"/>
          <w:lang w:val="en-US" w:eastAsia="zh-CN"/>
        </w:rPr>
        <w:t>见</w:t>
      </w:r>
      <w:r>
        <w:rPr>
          <w:rFonts w:hint="eastAsia" w:ascii="宋体" w:hAnsi="宋体" w:eastAsia="宋体" w:cs="宋体"/>
          <w:bCs/>
          <w:color w:val="auto"/>
          <w:sz w:val="24"/>
          <w:szCs w:val="24"/>
          <w:highlight w:val="none"/>
        </w:rPr>
        <w:t>第七章）</w:t>
      </w:r>
    </w:p>
    <w:p w14:paraId="66FFA62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4）施工组织设计； </w:t>
      </w:r>
    </w:p>
    <w:p w14:paraId="6B77A22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5）项目管理机构；</w:t>
      </w:r>
    </w:p>
    <w:p w14:paraId="6B48BE4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①项目管理机构配备情况表； </w:t>
      </w:r>
    </w:p>
    <w:p w14:paraId="0DB41CD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②项目经理（注册建造师）简历表； </w:t>
      </w:r>
    </w:p>
    <w:p w14:paraId="315B628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 xml:space="preserve">技术负责人简历表。 </w:t>
      </w:r>
    </w:p>
    <w:p w14:paraId="114C4BF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6）磋商文件要求或磋商供应商认为需要提供的其他资料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(如有)</w:t>
      </w:r>
    </w:p>
    <w:p w14:paraId="142E81C0">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9.计量单位</w:t>
      </w:r>
    </w:p>
    <w:p w14:paraId="7230C3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9.1除技术要求中另有规定外，本文件所要求使用的计量单位均应采用国家法定计量单位。</w:t>
      </w:r>
    </w:p>
    <w:p w14:paraId="59F82B5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四、磋商报价要求</w:t>
      </w:r>
    </w:p>
    <w:p w14:paraId="03286312">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 xml:space="preserve">10．磋商价格 </w:t>
      </w:r>
    </w:p>
    <w:p w14:paraId="0C2D1F9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10.1 报价计价说明 </w:t>
      </w:r>
    </w:p>
    <w:p w14:paraId="1AC5C414">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10.1.1 本项目磋商报价采用工程量清单报价。</w:t>
      </w:r>
    </w:p>
    <w:p w14:paraId="487CF998">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根据竞争性磋商文件中提供的要求，施工现场实际情况及拟定的施工方案或施工组织设计，依据本企业的实际情况和市场价格信息，或参照广西建设行政主管部门发布的现行工程造价依据的有关规定，并结合本企业的技术管理水平自主报价。</w:t>
      </w:r>
    </w:p>
    <w:p w14:paraId="6C2F28A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10.1.2 供应商磋商报价应是完成本工程和合同条款上所列的采购工程范围及工期的全部，不得以任何理由予以重复，作为供应商的计算单价或总价的依据。 </w:t>
      </w:r>
    </w:p>
    <w:p w14:paraId="4538C60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10.1.3 除非合同中另有规定，供应商在报价中所报的价格均包括完成该工程项目的成本、利润、税金、开办费、技术措施费、大型机械进出场费、风险费、政策性文件规定费用等所有费用。 </w:t>
      </w:r>
    </w:p>
    <w:p w14:paraId="7E38A371">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10.1.4 本项目的工程按以下方式签订工程施工承包合同：</w:t>
      </w:r>
      <w:r>
        <w:rPr>
          <w:rFonts w:hint="eastAsia" w:ascii="宋体" w:hAnsi="宋体" w:eastAsia="宋体" w:cs="宋体"/>
          <w:b/>
          <w:bCs/>
          <w:color w:val="auto"/>
          <w:kern w:val="0"/>
          <w:sz w:val="24"/>
          <w:szCs w:val="24"/>
          <w:highlight w:val="none"/>
        </w:rPr>
        <w:t>本合同价款采用工程量清单报价，包工包料，固定综合单价包干，按实际发生的工程量结算</w:t>
      </w:r>
      <w:r>
        <w:rPr>
          <w:rFonts w:hint="eastAsia" w:ascii="宋体" w:hAnsi="宋体" w:eastAsia="宋体" w:cs="宋体"/>
          <w:color w:val="auto"/>
          <w:kern w:val="0"/>
          <w:sz w:val="24"/>
          <w:szCs w:val="24"/>
          <w:highlight w:val="none"/>
        </w:rPr>
        <w:t>。设计变更可以调整，调整办法见采购文件“合同条款及格式”第三部分“专用合同条款”的相关内容。国家政策性变化按规定进行调整。</w:t>
      </w:r>
    </w:p>
    <w:p w14:paraId="501D8D4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10.2 竞标货币 </w:t>
      </w:r>
    </w:p>
    <w:p w14:paraId="38B17AC7">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本工程的竞标应以人民币报价。</w:t>
      </w:r>
    </w:p>
    <w:p w14:paraId="22B5BBC3">
      <w:pPr>
        <w:spacing w:line="360" w:lineRule="auto"/>
        <w:ind w:firstLine="474" w:firstLineChars="200"/>
        <w:rPr>
          <w:rFonts w:hint="eastAsia" w:ascii="宋体" w:hAnsi="宋体" w:eastAsia="宋体" w:cs="宋体"/>
          <w:color w:val="auto"/>
          <w:spacing w:val="-2"/>
          <w:kern w:val="0"/>
          <w:sz w:val="24"/>
          <w:szCs w:val="24"/>
          <w:highlight w:val="none"/>
        </w:rPr>
      </w:pPr>
      <w:r>
        <w:rPr>
          <w:rFonts w:hint="eastAsia" w:ascii="宋体" w:hAnsi="宋体" w:eastAsia="宋体" w:cs="宋体"/>
          <w:b/>
          <w:bCs/>
          <w:color w:val="auto"/>
          <w:spacing w:val="-2"/>
          <w:kern w:val="0"/>
          <w:sz w:val="24"/>
          <w:szCs w:val="24"/>
          <w:highlight w:val="none"/>
        </w:rPr>
        <w:t>10.3最后报价超过规定的政府采购预算价或者最高限价的，其响应文件将按无效处理。政府采购预算价见</w:t>
      </w:r>
      <w:r>
        <w:rPr>
          <w:rFonts w:hint="eastAsia" w:ascii="宋体" w:hAnsi="宋体" w:eastAsia="宋体" w:cs="宋体"/>
          <w:b/>
          <w:bCs/>
          <w:color w:val="auto"/>
          <w:spacing w:val="-2"/>
          <w:kern w:val="0"/>
          <w:sz w:val="24"/>
          <w:szCs w:val="24"/>
          <w:highlight w:val="none"/>
          <w:lang w:eastAsia="zh-CN"/>
        </w:rPr>
        <w:t>“</w:t>
      </w:r>
      <w:r>
        <w:rPr>
          <w:rFonts w:hint="eastAsia" w:ascii="宋体" w:hAnsi="宋体" w:eastAsia="宋体" w:cs="宋体"/>
          <w:b/>
          <w:bCs/>
          <w:color w:val="auto"/>
          <w:sz w:val="24"/>
          <w:szCs w:val="24"/>
          <w:highlight w:val="none"/>
        </w:rPr>
        <w:t>供应商须知前附表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项</w:t>
      </w:r>
      <w:r>
        <w:rPr>
          <w:rFonts w:hint="eastAsia" w:ascii="宋体" w:hAnsi="宋体" w:eastAsia="宋体" w:cs="宋体"/>
          <w:color w:val="auto"/>
          <w:sz w:val="24"/>
          <w:szCs w:val="24"/>
          <w:highlight w:val="none"/>
        </w:rPr>
        <w:t>。</w:t>
      </w:r>
    </w:p>
    <w:p w14:paraId="64A6BF23">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响应文件最终只允许有一个报价，有选择的或有条件的报价将不予接受。</w:t>
      </w:r>
    </w:p>
    <w:p w14:paraId="0DD316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10.5 </w:t>
      </w:r>
      <w:r>
        <w:rPr>
          <w:rFonts w:hint="eastAsia" w:ascii="宋体" w:hAnsi="宋体" w:eastAsia="宋体" w:cs="宋体"/>
          <w:color w:val="auto"/>
          <w:spacing w:val="-2"/>
          <w:kern w:val="0"/>
          <w:sz w:val="24"/>
          <w:szCs w:val="24"/>
          <w:highlight w:val="none"/>
        </w:rPr>
        <w:t>磋商</w:t>
      </w:r>
      <w:r>
        <w:rPr>
          <w:rFonts w:hint="eastAsia" w:ascii="宋体" w:hAnsi="宋体" w:eastAsia="宋体" w:cs="宋体"/>
          <w:color w:val="auto"/>
          <w:sz w:val="24"/>
          <w:szCs w:val="24"/>
          <w:highlight w:val="none"/>
        </w:rPr>
        <w:t>有效期：</w:t>
      </w:r>
      <w:r>
        <w:rPr>
          <w:rFonts w:hint="eastAsia" w:ascii="宋体" w:hAnsi="宋体" w:eastAsia="宋体" w:cs="宋体"/>
          <w:color w:val="auto"/>
          <w:spacing w:val="-2"/>
          <w:kern w:val="0"/>
          <w:sz w:val="24"/>
          <w:szCs w:val="24"/>
          <w:highlight w:val="none"/>
        </w:rPr>
        <w:t>见</w:t>
      </w:r>
      <w:r>
        <w:rPr>
          <w:rFonts w:hint="eastAsia" w:ascii="宋体" w:hAnsi="宋体" w:eastAsia="宋体" w:cs="宋体"/>
          <w:color w:val="auto"/>
          <w:spacing w:val="-2"/>
          <w:kern w:val="0"/>
          <w:sz w:val="24"/>
          <w:szCs w:val="24"/>
          <w:highlight w:val="none"/>
          <w:lang w:eastAsia="zh-CN"/>
        </w:rPr>
        <w:t>“</w:t>
      </w:r>
      <w:r>
        <w:rPr>
          <w:rFonts w:hint="eastAsia" w:ascii="宋体" w:hAnsi="宋体" w:eastAsia="宋体" w:cs="宋体"/>
          <w:color w:val="auto"/>
          <w:spacing w:val="-2"/>
          <w:kern w:val="0"/>
          <w:sz w:val="24"/>
          <w:szCs w:val="24"/>
          <w:highlight w:val="none"/>
        </w:rPr>
        <w:t>供应商须知前附表</w:t>
      </w:r>
      <w:r>
        <w:rPr>
          <w:rFonts w:hint="eastAsia" w:ascii="宋体" w:hAnsi="宋体" w:eastAsia="宋体" w:cs="宋体"/>
          <w:color w:val="auto"/>
          <w:spacing w:val="-2"/>
          <w:kern w:val="0"/>
          <w:sz w:val="24"/>
          <w:szCs w:val="24"/>
          <w:highlight w:val="none"/>
          <w:lang w:eastAsia="zh-CN"/>
        </w:rPr>
        <w:t>”</w:t>
      </w:r>
      <w:r>
        <w:rPr>
          <w:rFonts w:hint="eastAsia" w:ascii="宋体" w:hAnsi="宋体" w:eastAsia="宋体" w:cs="宋体"/>
          <w:color w:val="auto"/>
          <w:sz w:val="24"/>
          <w:szCs w:val="24"/>
          <w:highlight w:val="none"/>
        </w:rPr>
        <w:t>第6项。</w:t>
      </w:r>
    </w:p>
    <w:p w14:paraId="6D7D8C7B">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五、磋商保证金</w:t>
      </w:r>
    </w:p>
    <w:p w14:paraId="3EE1FF4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11.磋商保证金</w:t>
      </w:r>
    </w:p>
    <w:p w14:paraId="37B46357">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本项目不收取磋商保证金。</w:t>
      </w:r>
    </w:p>
    <w:p w14:paraId="54E6407B">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六、电子响应文件的编制、加密和递交、解密</w:t>
      </w:r>
    </w:p>
    <w:p w14:paraId="2070EA37">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12.电子响应文件的编制、加密要求</w:t>
      </w:r>
    </w:p>
    <w:p w14:paraId="315AC60A">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12.1电子响应文件的编制要求</w:t>
      </w:r>
    </w:p>
    <w:p w14:paraId="733D2B60">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未设置或设置关联点错误导致电子响应文件被误读、漏读或者查找不到相关内容，导致磋商小组在评审时做出对供应商不利的评审，所引起的后果由供应商自行承担。</w:t>
      </w:r>
    </w:p>
    <w:p w14:paraId="7946F86C">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（2）竞争性磋商文件中规定须由供应商在规定处盖章的，供应商应加盖CA电子签章，否则视为无效响应（如不属于磋商文件中规定必须提交的资料，则视为无效资料）。</w:t>
      </w:r>
    </w:p>
    <w:p w14:paraId="4A3F6B20">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竞争性磋商文件中规定须由法定代表人（负责人、自然人）或授权委托代理人签字的，若广西政府采购云平台客户端的CA证书无法实现法定代表人（负责人、自然人）或授权委托代理人线上亲笔签字，供应商应在线下完成亲笔签字后扫描或者拍照做成PDF格式上传，</w:t>
      </w:r>
      <w:r>
        <w:rPr>
          <w:rFonts w:hint="eastAsia" w:ascii="宋体" w:hAnsi="宋体" w:eastAsia="宋体" w:cs="宋体"/>
          <w:b/>
          <w:color w:val="auto"/>
          <w:sz w:val="24"/>
          <w:szCs w:val="24"/>
          <w:highlight w:val="none"/>
        </w:rPr>
        <w:t>否则视为无效响应。</w:t>
      </w:r>
    </w:p>
    <w:p w14:paraId="25671A9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（4）电子响应文件不得涂改，若有修改错漏处，须加盖供应商CA电子签章或者法定代表人（负责人、自然人）或授权委托代理人签字。电子响应文件因字迹潦草或表达不清所引起的后果由供应商负责。</w:t>
      </w:r>
    </w:p>
    <w:p w14:paraId="768E43F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（5）电子响应文件所提供的相关材料的尺寸和清晰度应该能够在电脑上被阅读、识别和判断。</w:t>
      </w:r>
    </w:p>
    <w:p w14:paraId="7172BF2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（6）电子响应文件内容无法阅读、识别和判断的，视为未提供。</w:t>
      </w:r>
    </w:p>
    <w:p w14:paraId="5C703E7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（7）电子响应文件的容量大小须符合广西政府采购云平台客户端规定。</w:t>
      </w:r>
    </w:p>
    <w:p w14:paraId="22F3FC1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（8）供应商所上传的材料必须为PDF格式。</w:t>
      </w:r>
    </w:p>
    <w:p w14:paraId="50050BC3">
      <w:pPr>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12.2电子响应文件的加密要求</w:t>
      </w:r>
    </w:p>
    <w:p w14:paraId="47A25737">
      <w:pPr>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电子响应文件应按广西政府采购云平台客户端软件有关规定加密，否则广西政府采购云平台将拒收。由此造成的风险由供应商承担。</w:t>
      </w:r>
    </w:p>
    <w:p w14:paraId="3504BA2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13.电子响应文件的提交</w:t>
      </w:r>
    </w:p>
    <w:p w14:paraId="7397E92C">
      <w:pPr>
        <w:tabs>
          <w:tab w:val="left" w:pos="3870"/>
          <w:tab w:val="left" w:pos="4085"/>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13.1.电子响应文件的提交</w:t>
      </w:r>
    </w:p>
    <w:p w14:paraId="495E2C48">
      <w:pPr>
        <w:tabs>
          <w:tab w:val="left" w:pos="3870"/>
          <w:tab w:val="left" w:pos="4085"/>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（1）本项目实行“网上投标、电子评标”，供应商应于提交响应文件截止时间前在广西政府采购云平台上提交已经加密的电子响应文件。</w:t>
      </w:r>
    </w:p>
    <w:p w14:paraId="78B97D62">
      <w:pPr>
        <w:tabs>
          <w:tab w:val="left" w:pos="3870"/>
          <w:tab w:val="left" w:pos="4085"/>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（2）未按规定上传的电子响应文件将被拒绝，由此造成电子响应文件解密失败或被误投的风险由供应商自行承担。</w:t>
      </w:r>
    </w:p>
    <w:p w14:paraId="50A95D08">
      <w:pPr>
        <w:tabs>
          <w:tab w:val="left" w:pos="3870"/>
          <w:tab w:val="left" w:pos="4085"/>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当在提交截止时间前完成电子响应文件的提交，提交截止时间前并可以补充、修改或者撤回电子响应文件。补充或者修改电子响应文件的，应当先行撤回原文件，补充、修改、加密后重新传输提交。提交截止时间前未完成传输的，视为放弃磋商。提交截止时间后上传的文件，将被广西政府采购云平台拒收。</w:t>
      </w:r>
    </w:p>
    <w:p w14:paraId="06DCAF39">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14、解密</w:t>
      </w:r>
    </w:p>
    <w:p w14:paraId="6D70974E">
      <w:pPr>
        <w:tabs>
          <w:tab w:val="left" w:pos="3870"/>
          <w:tab w:val="left" w:pos="4085"/>
        </w:tabs>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14.1.电子响应文件提交截止时间后，磋商开始。</w:t>
      </w:r>
    </w:p>
    <w:p w14:paraId="18819889">
      <w:pPr>
        <w:tabs>
          <w:tab w:val="left" w:pos="3870"/>
          <w:tab w:val="left" w:pos="4085"/>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（1）磋商开始时，广西政府采购云平台自动提取所有供应商的响应文件，供应商须在采购代理机构开启解密标书后30分钟内对上传广西政府采购云平台的响应文件进行解密。</w:t>
      </w:r>
    </w:p>
    <w:p w14:paraId="20146C0E">
      <w:pPr>
        <w:tabs>
          <w:tab w:val="left" w:pos="3870"/>
          <w:tab w:val="left" w:pos="4085"/>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（2）非政采云技术原因造成的供应商超过解密时限未完成解密的，或响应文件无法解密或解密失败，视为供应商放弃磋商。</w:t>
      </w:r>
    </w:p>
    <w:p w14:paraId="5ED471C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14.2.如有特殊情况，本项目延长截止时间和开启时间，采购人、采购代理机构和供应商的权利和义务将受到新的截止时间和开启时间的约束。 </w:t>
      </w:r>
    </w:p>
    <w:p w14:paraId="033E7FD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七、评审及磋商</w:t>
      </w:r>
    </w:p>
    <w:p w14:paraId="0334D2F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15.评审专家组成</w:t>
      </w:r>
    </w:p>
    <w:p w14:paraId="582767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采购代理机构根据竞标项目的特点依法组建“磋商小组”,“磋商小组”由采购人代表和评审专家共三人以上的单数组成，其中评审专家的人数不得少于磋商小组成员总数的三分之二。在整个磋商过程中，“磋商小组”将负责对全部响应文件进行审查、磋商及评审工作。</w:t>
      </w:r>
    </w:p>
    <w:p w14:paraId="42E853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15.2评审专家与参加采购活动的供应商存在下列利害关系之一的,应当回避：</w:t>
      </w:r>
    </w:p>
    <w:p w14:paraId="23AD76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（1）参加采购活动前三年内，与供应商存在劳动关系,或者担任过供应商的董事、监事,或者是供应商的控股股东或实际控制人；</w:t>
      </w:r>
    </w:p>
    <w:p w14:paraId="6B3D6C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（2）与供应商的法定代表人或者负责人有夫妻、直系血亲、三代以内旁系血亲或者近姻亲关系；</w:t>
      </w:r>
    </w:p>
    <w:p w14:paraId="44AEF5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（3）与供应商有其他可能影响政府采购活动公平、公正进行的关系。</w:t>
      </w:r>
    </w:p>
    <w:p w14:paraId="102071BA">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16.评审原则及方法</w:t>
      </w:r>
    </w:p>
    <w:p w14:paraId="1B6AFB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16.1评审原则：</w:t>
      </w:r>
    </w:p>
    <w:p w14:paraId="0C6AAF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磋商小组成员按照客观、公正、审慎的原则，根据磋商文件规定的评审程序、评审方法和评审标准进行独立评审。</w:t>
      </w:r>
    </w:p>
    <w:p w14:paraId="3CBCC1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评审方法</w:t>
      </w:r>
    </w:p>
    <w:p w14:paraId="611992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第六章“评审方法及评审标准”规定的方法、评审因素和标准对响应文件进行评审。在评审中，不得改变第六章“评审方法及评审标准”规定的方法、评审因素和标准；第六章“评审方法及评审标准”没有规定的方法、评审因素和标准，不作为评审依据。</w:t>
      </w:r>
    </w:p>
    <w:p w14:paraId="2E78E62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17.评审程序</w:t>
      </w:r>
    </w:p>
    <w:p w14:paraId="3A0D3AC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17.1响应文件初步审查</w:t>
      </w:r>
    </w:p>
    <w:p w14:paraId="6D33F3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（1）初步审查分为资格审查和符合性审查。</w:t>
      </w:r>
    </w:p>
    <w:p w14:paraId="2BB1BCBB">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（2）磋商小组对供应商资格条件和响应文件的有效性、完整性和响应程度进行审查。对资格条件不符合的供应商或未实质性响应磋商文件的响应文件按无效响应处理。</w:t>
      </w:r>
    </w:p>
    <w:p w14:paraId="0ACAF789">
      <w:pPr>
        <w:autoSpaceDN w:val="0"/>
        <w:snapToGrid w:val="0"/>
        <w:spacing w:line="360" w:lineRule="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18. 澄清</w:t>
      </w:r>
    </w:p>
    <w:p w14:paraId="6E59DE25">
      <w:pPr>
        <w:autoSpaceDN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小组对响应文件的有效性、完整性和响应程度进行审查时，可以要求磋商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86CE4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宋体" w:hAnsi="宋体" w:eastAsia="宋体" w:cs="宋体"/>
          <w:b/>
          <w:bCs/>
          <w:color w:val="auto"/>
          <w:sz w:val="24"/>
          <w:szCs w:val="24"/>
          <w:highlight w:val="none"/>
        </w:rPr>
        <w:t>加盖CA电子签章</w:t>
      </w:r>
      <w:r>
        <w:rPr>
          <w:rFonts w:hint="eastAsia" w:ascii="宋体" w:hAnsi="宋体" w:eastAsia="宋体" w:cs="宋体"/>
          <w:bCs/>
          <w:color w:val="auto"/>
          <w:sz w:val="24"/>
          <w:szCs w:val="24"/>
          <w:highlight w:val="none"/>
        </w:rPr>
        <w:t>。截止时间前不澄清、补正或经澄清、补正后仍不符合竞争性磋商文件要求的，应认定其响应无效。</w:t>
      </w:r>
    </w:p>
    <w:p w14:paraId="34C953E4">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19.错误修正</w:t>
      </w:r>
    </w:p>
    <w:p w14:paraId="47FCEF6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19.1响应文件（含磋商过程中的应答文件，下同）如果出现计算或表达上的错误，修正错误的原则如下：</w:t>
      </w:r>
    </w:p>
    <w:p w14:paraId="604B65B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（1）响应文件的大写金额与小写金额不一致的，以大写金额为准；</w:t>
      </w:r>
    </w:p>
    <w:p w14:paraId="0C2A055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（2）总价金额与按单价汇总金额不一致的，以单价金额计算结果为准；</w:t>
      </w:r>
    </w:p>
    <w:p w14:paraId="3AF6FB7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（3）对不同文字文本响应文件的解释发生异议的，以中文文本为准。</w:t>
      </w:r>
    </w:p>
    <w:p w14:paraId="03F9F31E">
      <w:pPr>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同时出现两种以上不一致的，按照前款规定的顺序修正。磋商小组通过广西政府采购云平台发起询标函，</w:t>
      </w:r>
      <w:r>
        <w:rPr>
          <w:rFonts w:hint="eastAsia" w:ascii="宋体" w:hAnsi="宋体" w:eastAsia="宋体" w:cs="宋体"/>
          <w:b/>
          <w:bCs/>
          <w:color w:val="auto"/>
          <w:sz w:val="24"/>
          <w:szCs w:val="24"/>
          <w:highlight w:val="none"/>
        </w:rPr>
        <w:t>供应商</w:t>
      </w:r>
      <w:r>
        <w:rPr>
          <w:rFonts w:hint="eastAsia" w:ascii="宋体" w:hAnsi="宋体" w:eastAsia="宋体" w:cs="宋体"/>
          <w:b/>
          <w:color w:val="auto"/>
          <w:sz w:val="24"/>
          <w:szCs w:val="24"/>
          <w:highlight w:val="none"/>
        </w:rPr>
        <w:t>在规定时间内通过广西政府采购云平台确认，</w:t>
      </w:r>
      <w:r>
        <w:rPr>
          <w:rFonts w:hint="eastAsia" w:ascii="宋体" w:hAnsi="宋体" w:eastAsia="宋体" w:cs="宋体"/>
          <w:b/>
          <w:bCs/>
          <w:color w:val="auto"/>
          <w:sz w:val="24"/>
          <w:szCs w:val="24"/>
          <w:highlight w:val="none"/>
        </w:rPr>
        <w:t>供应商</w:t>
      </w:r>
      <w:r>
        <w:rPr>
          <w:rFonts w:hint="eastAsia" w:ascii="宋体" w:hAnsi="宋体" w:eastAsia="宋体" w:cs="宋体"/>
          <w:b/>
          <w:color w:val="auto"/>
          <w:sz w:val="24"/>
          <w:szCs w:val="24"/>
          <w:highlight w:val="none"/>
        </w:rPr>
        <w:t>的确认应当加盖CA电子签章。修正后的报价经</w:t>
      </w:r>
      <w:r>
        <w:rPr>
          <w:rFonts w:hint="eastAsia" w:ascii="宋体" w:hAnsi="宋体" w:eastAsia="宋体" w:cs="宋体"/>
          <w:b/>
          <w:bCs/>
          <w:color w:val="auto"/>
          <w:sz w:val="24"/>
          <w:szCs w:val="24"/>
          <w:highlight w:val="none"/>
        </w:rPr>
        <w:t>供应商</w:t>
      </w:r>
      <w:r>
        <w:rPr>
          <w:rFonts w:hint="eastAsia" w:ascii="宋体" w:hAnsi="宋体" w:eastAsia="宋体" w:cs="宋体"/>
          <w:b/>
          <w:color w:val="auto"/>
          <w:sz w:val="24"/>
          <w:szCs w:val="24"/>
          <w:highlight w:val="none"/>
        </w:rPr>
        <w:t>确认后产生约束力，</w:t>
      </w:r>
      <w:r>
        <w:rPr>
          <w:rFonts w:hint="eastAsia" w:ascii="宋体" w:hAnsi="宋体" w:eastAsia="宋体" w:cs="宋体"/>
          <w:b/>
          <w:bCs/>
          <w:color w:val="auto"/>
          <w:sz w:val="24"/>
          <w:szCs w:val="24"/>
          <w:highlight w:val="none"/>
        </w:rPr>
        <w:t>供应商</w:t>
      </w:r>
      <w:r>
        <w:rPr>
          <w:rFonts w:hint="eastAsia" w:ascii="宋体" w:hAnsi="宋体" w:eastAsia="宋体" w:cs="宋体"/>
          <w:b/>
          <w:color w:val="auto"/>
          <w:sz w:val="24"/>
          <w:szCs w:val="24"/>
          <w:highlight w:val="none"/>
        </w:rPr>
        <w:t>不确认的，其竞标无效。</w:t>
      </w:r>
    </w:p>
    <w:p w14:paraId="137D791A">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20. 磋商</w:t>
      </w:r>
    </w:p>
    <w:p w14:paraId="7414DB21">
      <w:pPr>
        <w:tabs>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磋商时间及地点：</w:t>
      </w:r>
    </w:p>
    <w:p w14:paraId="50F3EAE0">
      <w:pPr>
        <w:tabs>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时间：首次电子响应文件递交截止时间后，具体时间由采购代理机构另行通知。供应商应在电子响应文件递交截止时间后在广西政府采购云平台上在线等候磋商，如由于供应商未在线等候造成未能够参加磋商的后果由供应商自负。</w:t>
      </w:r>
    </w:p>
    <w:p w14:paraId="0BF1F5EE">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 磋商地点：通过广西政府采购云平台实行在线磋商。</w:t>
      </w:r>
    </w:p>
    <w:p w14:paraId="53C31DE3">
      <w:pPr>
        <w:tabs>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20.2 磋商小组所有成员应当集中与单一供应商分别进行在线磋商，并给予所有参加磋商的供应商平等的磋商机会。</w:t>
      </w:r>
      <w:r>
        <w:rPr>
          <w:rFonts w:hint="eastAsia" w:ascii="宋体" w:hAnsi="宋体" w:eastAsia="宋体" w:cs="宋体"/>
          <w:bCs/>
          <w:color w:val="auto"/>
          <w:sz w:val="24"/>
          <w:szCs w:val="24"/>
          <w:highlight w:val="none"/>
        </w:rPr>
        <w:t>供应商应当在采购人或采购代理机构发出磋商通知（开启新一轮报价）后在广西政府采购云平台设定的时间内进行响应，否则视同放弃参加磋商权利，其响应文件按无效响应处理。</w:t>
      </w:r>
    </w:p>
    <w:p w14:paraId="0A198E9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在磋商过程中，磋商小组可以根据磋商文件和磋商情况实质性变动采购需求中的技术、服务要求以及合同草案条款，但不得变动磋商文件中的其他内容。实质性变动的内容，须经采购人代表确认。</w:t>
      </w:r>
    </w:p>
    <w:p w14:paraId="0629C77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对磋商文件作出的实质性变动是磋商文件的有效组成部分，磋商小组应当及时通过广西政府采购云平台以书面形式同时通知所有参加磋商的供应商。</w:t>
      </w:r>
    </w:p>
    <w:p w14:paraId="1556E85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20.5 </w:t>
      </w:r>
      <w:r>
        <w:rPr>
          <w:rFonts w:hint="eastAsia" w:ascii="宋体" w:hAnsi="宋体" w:eastAsia="宋体" w:cs="宋体"/>
          <w:bCs/>
          <w:color w:val="auto"/>
          <w:sz w:val="24"/>
          <w:szCs w:val="24"/>
          <w:highlight w:val="none"/>
        </w:rPr>
        <w:t>供应商应当按照磋商文件的变动情况和磋商小组的要求重新提交电子响应文件，并由其法定代表人（负责人或自然人）或授权代表签字或者加盖CA电子签章。由授权代表签字的，应当附法定代表人（负责人或自然人）授权书。电子响应文件应通过广西政府采购云平台上传，逾时未上传的，视同放弃磋商，其响应文件作无效处理。重新上传的电子响应文件与首次响应文件同具法律效力。</w:t>
      </w:r>
    </w:p>
    <w:p w14:paraId="52A09C0D">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20.6 磋商小组可以集中就重新提交的响应文件或磋商小组提出的磋商意见再次与单一供应商分别进行</w:t>
      </w:r>
      <w:r>
        <w:rPr>
          <w:rFonts w:hint="eastAsia" w:ascii="宋体" w:hAnsi="宋体" w:eastAsia="宋体" w:cs="宋体"/>
          <w:color w:val="auto"/>
          <w:sz w:val="24"/>
          <w:szCs w:val="24"/>
          <w:highlight w:val="none"/>
        </w:rPr>
        <w:t>在线</w:t>
      </w:r>
      <w:r>
        <w:rPr>
          <w:rFonts w:hint="eastAsia" w:ascii="宋体" w:hAnsi="宋体" w:eastAsia="宋体" w:cs="宋体"/>
          <w:bCs/>
          <w:color w:val="auto"/>
          <w:sz w:val="24"/>
          <w:szCs w:val="24"/>
          <w:highlight w:val="none"/>
        </w:rPr>
        <w:t>磋商。（具体磋商次数由磋商小组根据磋商情况确定）。</w:t>
      </w:r>
    </w:p>
    <w:p w14:paraId="10AC8A17">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20.7 磋商应在严格保密的情况下进行，磋商的任何一方不得透露与磋商有关的其他供应商的技术资料、价格和其他信息。采购代理机构对磋商过程和重要磋商内容进行记录，磋商双方在记录上确认。</w:t>
      </w:r>
    </w:p>
    <w:p w14:paraId="7AF529C4">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20.8磋商后，供应商根据磋商小组统一整理的书面磋商记录要求做出书面承诺，并加盖CA电子签章后按规定提交，以上操作均通过广西政府采购云平台完成。</w:t>
      </w:r>
    </w:p>
    <w:p w14:paraId="3DFA6B47">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20.9 磋商小组对磋商过程提交的响应文件进行有效性、完整性和响应程度审查。</w:t>
      </w:r>
    </w:p>
    <w:p w14:paraId="60E197D7">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 最后报价</w:t>
      </w:r>
    </w:p>
    <w:p w14:paraId="72808A4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21.1磋商小组只要求</w:t>
      </w:r>
      <w:r>
        <w:rPr>
          <w:rFonts w:hint="eastAsia" w:ascii="宋体" w:hAnsi="宋体" w:eastAsia="宋体" w:cs="宋体"/>
          <w:bCs/>
          <w:color w:val="auto"/>
          <w:sz w:val="24"/>
          <w:szCs w:val="24"/>
          <w:highlight w:val="none"/>
        </w:rPr>
        <w:t>资格审查合格、</w:t>
      </w:r>
      <w:r>
        <w:rPr>
          <w:rFonts w:hint="eastAsia" w:ascii="宋体" w:hAnsi="宋体" w:eastAsia="宋体" w:cs="宋体"/>
          <w:color w:val="auto"/>
          <w:sz w:val="24"/>
          <w:szCs w:val="24"/>
          <w:highlight w:val="none"/>
        </w:rPr>
        <w:t>未被磋商小组拒绝并且商务评审和技术评审合格的供应商在规定的时间内进行最后报价。</w:t>
      </w:r>
    </w:p>
    <w:p w14:paraId="23207EDD">
      <w:pPr>
        <w:spacing w:line="360" w:lineRule="auto"/>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 w:val="24"/>
          <w:szCs w:val="24"/>
          <w:highlight w:val="none"/>
        </w:rPr>
        <w:t>最后报价不得采用总价报价或总价下浮的方式（最后报价与首次提交的响应文件中的报价完全一致除外，但在最后报价时必须写明清楚)；如供应商的最后报价有变动的，则必须随总报价一同提交与最后报价一致的“已标价工程量清单”，否则，作磋商无效处理。最后报价高于</w:t>
      </w:r>
      <w:r>
        <w:rPr>
          <w:rFonts w:hint="eastAsia" w:ascii="宋体" w:hAnsi="宋体" w:eastAsia="宋体" w:cs="宋体"/>
          <w:b/>
          <w:color w:val="auto"/>
          <w:sz w:val="24"/>
          <w:szCs w:val="24"/>
          <w:highlight w:val="none"/>
        </w:rPr>
        <w:t>政府采购预算价</w:t>
      </w:r>
      <w:r>
        <w:rPr>
          <w:rFonts w:hint="eastAsia" w:ascii="宋体" w:hAnsi="宋体" w:eastAsia="宋体" w:cs="宋体"/>
          <w:b/>
          <w:bCs/>
          <w:color w:val="auto"/>
          <w:sz w:val="24"/>
          <w:szCs w:val="24"/>
          <w:highlight w:val="none"/>
        </w:rPr>
        <w:t>的响应文件作磋商无效处理。</w:t>
      </w:r>
    </w:p>
    <w:p w14:paraId="0F9D13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21.2磋商文件能够详细列明采购标的的技术、服务要求的，磋商结束后，磋商小组应当要求所有实质性响应的供应商在规定时间内通过广西政府采购云平台线上提交最后报价，提交最后报价的供应商不得少于3家(符合《政府采购竞争性磋商采购方式管理暂行办法》第二十一条特别规定情形，或者符合</w:t>
      </w:r>
      <w:r>
        <w:rPr>
          <w:rFonts w:hint="eastAsia" w:ascii="宋体" w:hAnsi="宋体" w:eastAsia="宋体" w:cs="宋体"/>
          <w:bCs/>
          <w:color w:val="auto"/>
          <w:sz w:val="24"/>
          <w:szCs w:val="24"/>
          <w:highlight w:val="none"/>
        </w:rPr>
        <w:t>《财政部关于政府采购竞争性磋商采购方式管理暂行办法有关问题的补充通知》（财库〔2015〕124号）规定的</w:t>
      </w:r>
      <w:r>
        <w:rPr>
          <w:rFonts w:hint="eastAsia" w:ascii="宋体" w:hAnsi="宋体" w:eastAsia="宋体" w:cs="宋体"/>
          <w:color w:val="auto"/>
          <w:sz w:val="24"/>
          <w:szCs w:val="24"/>
          <w:highlight w:val="none"/>
        </w:rPr>
        <w:t>，可以不少于2家)。</w:t>
      </w:r>
    </w:p>
    <w:p w14:paraId="3A64B3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通过广西政府采购云平台线上提交最后报价。</w:t>
      </w:r>
    </w:p>
    <w:p w14:paraId="6BEBFC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已提交响应文件的供应商，在提交最后报价之前，可以根据磋商情况退出磋商。供应商提供有磋商保证金的，采购人、采购代理机构应当退还退出磋商的供应商的磋商保证金。</w:t>
      </w:r>
    </w:p>
    <w:p w14:paraId="0C8833D4">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21.5最后报价应由供应商加盖CA电子签章后在规定时间内通过广西政府采购云平台线上提交。</w:t>
      </w:r>
    </w:p>
    <w:p w14:paraId="67DE7A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w:t>
      </w:r>
      <w:r>
        <w:rPr>
          <w:rFonts w:hint="eastAsia" w:ascii="宋体" w:hAnsi="宋体" w:eastAsia="宋体" w:cs="宋体"/>
          <w:bCs/>
          <w:color w:val="auto"/>
          <w:sz w:val="24"/>
          <w:szCs w:val="24"/>
          <w:highlight w:val="none"/>
        </w:rPr>
        <w:t>供应商未在规定时间内通过广西政府采购云平台线上提交最后报价的，视为退出磋商，其响应文件作无效处理。</w:t>
      </w:r>
    </w:p>
    <w:p w14:paraId="01562BB8">
      <w:pPr>
        <w:tabs>
          <w:tab w:val="left" w:pos="540"/>
        </w:tabs>
        <w:spacing w:line="360" w:lineRule="auto"/>
        <w:ind w:firstLine="482" w:firstLineChars="20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21.7响应文件最后报价出现前后不一致的，按照本正文第16条的规定修正。修正后的报价出现下列情形的，按无效响应处理：</w:t>
      </w:r>
    </w:p>
    <w:p w14:paraId="36E7BAE6">
      <w:pPr>
        <w:tabs>
          <w:tab w:val="left" w:pos="540"/>
        </w:tabs>
        <w:spacing w:line="360" w:lineRule="auto"/>
        <w:ind w:firstLine="482" w:firstLineChars="20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（1）供应商拒绝确认的；</w:t>
      </w:r>
    </w:p>
    <w:p w14:paraId="4D826CBC">
      <w:pPr>
        <w:tabs>
          <w:tab w:val="left" w:pos="540"/>
        </w:tabs>
        <w:spacing w:line="360" w:lineRule="auto"/>
        <w:ind w:firstLine="482" w:firstLineChars="20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（2）经供应商确认修正后的竞标报价（包含首次报价、最后报价）超过所竞标分标规定的采购预算金额或者最高限价的（如本项目公布了最高限价）或未按本项目采购文件要求的报价的；</w:t>
      </w:r>
    </w:p>
    <w:p w14:paraId="765E1716">
      <w:pPr>
        <w:tabs>
          <w:tab w:val="left" w:pos="540"/>
        </w:tabs>
        <w:spacing w:line="360" w:lineRule="auto"/>
        <w:ind w:firstLine="482" w:firstLineChars="20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21.8经供应商确认修正后的最后报价作为评审及签订合同的依据。</w:t>
      </w:r>
    </w:p>
    <w:p w14:paraId="5ABC0A83">
      <w:pPr>
        <w:tabs>
          <w:tab w:val="left" w:pos="540"/>
        </w:tabs>
        <w:spacing w:line="360" w:lineRule="auto"/>
        <w:ind w:firstLine="482" w:firstLineChars="20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21.9最后报价结束后，磋商小组不得再与供应商进行任何形式的商谈。</w:t>
      </w:r>
    </w:p>
    <w:p w14:paraId="1B3173E6">
      <w:pPr>
        <w:tabs>
          <w:tab w:val="left" w:pos="54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22.评审与比较</w:t>
      </w:r>
    </w:p>
    <w:p w14:paraId="61CE0180">
      <w:pPr>
        <w:tabs>
          <w:tab w:val="left" w:pos="540"/>
        </w:tabs>
        <w:spacing w:line="360" w:lineRule="auto"/>
        <w:ind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经磋商确定最终采购需求和提交最后报价的供应商后，由磋商小组采用综合评分法，根据第四章“评审方法及评审标准”规定的方法、评审因素和标准对提交最后报价的供应商的响应文件和最后报价进行综合评分。</w:t>
      </w:r>
    </w:p>
    <w:p w14:paraId="0D8CC4A3">
      <w:pPr>
        <w:tabs>
          <w:tab w:val="left" w:pos="540"/>
        </w:tabs>
        <w:spacing w:line="360" w:lineRule="auto"/>
        <w:ind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22.2磋商小组须公平、公正、客观，不带任何倾向性和启发性；不得向外界透露任何与评审有关的内容；任何单位和个人不得干扰、影响评审工作的正常进行。</w:t>
      </w:r>
    </w:p>
    <w:p w14:paraId="428E778C">
      <w:pPr>
        <w:tabs>
          <w:tab w:val="left" w:pos="540"/>
        </w:tabs>
        <w:spacing w:line="360" w:lineRule="auto"/>
        <w:ind w:firstLine="482" w:firstLineChars="201"/>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22.3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2A3A988">
      <w:pPr>
        <w:tabs>
          <w:tab w:val="left" w:pos="54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 评审过程的保密</w:t>
      </w:r>
    </w:p>
    <w:p w14:paraId="2D315B6C">
      <w:pPr>
        <w:tabs>
          <w:tab w:val="left" w:pos="540"/>
        </w:tabs>
        <w:spacing w:line="360" w:lineRule="auto"/>
        <w:ind w:firstLine="482" w:firstLineChars="20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在评审活动中，凡属于审查、澄清、评价和比较的有关资料及有关授予合同的信息，都不应向供应商或与评审无关的其他人泄露。</w:t>
      </w:r>
    </w:p>
    <w:p w14:paraId="4394CBB3">
      <w:pPr>
        <w:tabs>
          <w:tab w:val="left" w:pos="540"/>
        </w:tabs>
        <w:spacing w:line="360" w:lineRule="auto"/>
        <w:ind w:firstLine="482" w:firstLineChars="20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23.2 在响应文件的审查、澄清、评价和比较以及授予合同的过程中，供应商对采购人和磋商小组成员施加影响的任何行为，都将导致被取消磋商资格。</w:t>
      </w:r>
    </w:p>
    <w:p w14:paraId="7CF4695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 出现下列情形之一的，采购人或者采购代理机构应当终止竞争性磋商采购活动，发布项目终止公告并说明原因，重新开展采购活动：</w:t>
      </w:r>
    </w:p>
    <w:p w14:paraId="5FB329E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（1）因情况变化，不再符合规定的竞争性磋商采购方式适用情形的；</w:t>
      </w:r>
    </w:p>
    <w:p w14:paraId="237BB7D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（2）出现影响采购公正的违法、违规行为的；</w:t>
      </w:r>
    </w:p>
    <w:p w14:paraId="74A418A2">
      <w:pPr>
        <w:widowControl/>
        <w:spacing w:line="360" w:lineRule="auto"/>
        <w:jc w:val="left"/>
        <w:rPr>
          <w:rFonts w:hint="eastAsia" w:ascii="宋体" w:hAnsi="宋体" w:eastAsia="宋体" w:cs="宋体"/>
          <w:color w:val="auto"/>
          <w:sz w:val="24"/>
          <w:szCs w:val="24"/>
          <w:highlight w:val="none"/>
        </w:rPr>
      </w:pPr>
      <w:bookmarkStart w:id="47" w:name="_Toc38295171"/>
      <w:r>
        <w:rPr>
          <w:rFonts w:hint="eastAsia" w:ascii="宋体" w:hAnsi="宋体" w:eastAsia="宋体" w:cs="宋体"/>
          <w:color w:val="auto"/>
          <w:sz w:val="24"/>
          <w:szCs w:val="24"/>
          <w:highlight w:val="none"/>
        </w:rPr>
        <w:t xml:space="preserve">  （3）除《政府采购竞争性磋商采购方式管理暂行办法》、《财政部关于政府采购竞争性磋商采购方式管理暂行办法有关问题的补充通知》（财库〔2015〕124号）规定的情形外，在采购过程中符合要求的供应商或者报价未超过采购预算的供应商不足3家的。</w:t>
      </w:r>
      <w:bookmarkEnd w:id="47"/>
    </w:p>
    <w:p w14:paraId="168D9D86">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25.特别说明</w:t>
      </w:r>
    </w:p>
    <w:p w14:paraId="5B09561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25.1政采云公司如对电子化磋商及评审程序有调整的，按调整后的程序操作。</w:t>
      </w:r>
    </w:p>
    <w:p w14:paraId="1CA0CA8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25.2磋商评审在严格保密的情况下进行，磋商的任何一方不得透露与磋商有关的其他供应商的技术资料、价格和其他信息。</w:t>
      </w:r>
    </w:p>
    <w:p w14:paraId="2074766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25.3电子磋商过程中需要供应商在线确认的所有内容，供应商不予确认的应说明理由，超过规定时间未确认的，将被视为放弃确认或者无异议。</w:t>
      </w:r>
    </w:p>
    <w:p w14:paraId="4B27514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25.4可中止电子交易活动的情形</w:t>
      </w:r>
    </w:p>
    <w:p w14:paraId="2E37FE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采购过程中出现以下情形，导致广西政府采购云平台无法正常运行，或者无法保证电子交易的公平、公正和安全时，采购代理机构可中止电子交易活动：</w:t>
      </w:r>
    </w:p>
    <w:p w14:paraId="04C3F513">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（1）广西政府采购云平台发生故障而无法登录访问的；</w:t>
      </w:r>
    </w:p>
    <w:p w14:paraId="63BA3E70">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（2）广西政府采购云平台应用或数据库出现错误，不能进行正常操作的；</w:t>
      </w:r>
    </w:p>
    <w:p w14:paraId="4B182B1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（3）广西政府采购云平台发现严重安全漏洞，有潜在泄密危险的；</w:t>
      </w:r>
    </w:p>
    <w:p w14:paraId="08982EAC">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14:paraId="34012AB3">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14:paraId="20DFCB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出现前款规定情形，不影响采购公平、公正性的，采购代理机构可以待上述情形消除后继续组织电子交易活动，也可以决定某些环节以纸质形式进行；影响或可能影响采购公平、公正性的，应当重新采购。</w:t>
      </w:r>
    </w:p>
    <w:p w14:paraId="7D93D714">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八、确定成交供应商办法</w:t>
      </w:r>
    </w:p>
    <w:p w14:paraId="4D9CD75F">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26. 确定成交供应商</w:t>
      </w:r>
    </w:p>
    <w:p w14:paraId="1949EF0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26.1根据以下原则确定成交供应商：详见第六章《评审方法及评审标准》中相关内容。</w:t>
      </w:r>
    </w:p>
    <w:p w14:paraId="628E76CB">
      <w:pPr>
        <w:spacing w:line="360" w:lineRule="auto"/>
        <w:jc w:val="center"/>
        <w:rPr>
          <w:rFonts w:hint="eastAsia" w:ascii="宋体" w:hAnsi="宋体" w:eastAsia="宋体" w:cs="宋体"/>
          <w:b/>
          <w:color w:val="auto"/>
          <w:sz w:val="28"/>
          <w:szCs w:val="28"/>
          <w:highlight w:val="none"/>
        </w:rPr>
      </w:pPr>
      <w:bookmarkStart w:id="48" w:name="_Toc288401354"/>
      <w:r>
        <w:rPr>
          <w:rFonts w:hint="eastAsia" w:ascii="宋体" w:hAnsi="宋体" w:eastAsia="宋体" w:cs="宋体"/>
          <w:b/>
          <w:color w:val="auto"/>
          <w:sz w:val="28"/>
          <w:szCs w:val="28"/>
          <w:highlight w:val="none"/>
        </w:rPr>
        <w:t>九、评审结果</w:t>
      </w:r>
    </w:p>
    <w:p w14:paraId="23BCCB4C">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 评审结果</w:t>
      </w:r>
    </w:p>
    <w:p w14:paraId="50DF7B2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27.1采购代理机构在评审结束后2个工作日内将评审报告送采购人，采购人在5个工作日内按照评审报告中推荐的成交候选供应商顺序确定成交供应商。</w:t>
      </w:r>
    </w:p>
    <w:p w14:paraId="2830E87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成交供应商确定后，采购人或采购代理机构发出成交通知书前，应当对成交供应商信用进行查询，对列入“严重失信主体名单”、“重大税收违法失信主体名单”、“政府采购严重违法失信行为记录名单”及其他不符合《中华人民共和国政府采购法》第二十二条规定条件的供应商，取消其成交资格，并在符合法律规定的情况下，依法确定排名第二的成交候选人为成交供应商。</w:t>
      </w:r>
    </w:p>
    <w:p w14:paraId="56347F6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排名第二的成交候选人因前款规定的同样原因被取消成交资格的，采购人可以确定排名第三的中标候选人为成交供应商。</w:t>
      </w:r>
    </w:p>
    <w:p w14:paraId="48B9C98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以上信息查询记录及相关证据与采购文件一并保存。</w:t>
      </w:r>
    </w:p>
    <w:p w14:paraId="19EEA94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27.3成交供应商确定后，采购代理机构2个工作日内在本项目采购公告发布的政府采购网站上发布成交结果公告。公告期为1个工作日。</w:t>
      </w:r>
    </w:p>
    <w:p w14:paraId="107E44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27.4发布成交公告的同时，采购代理机构向成交供应商发出成交通知书。</w:t>
      </w:r>
    </w:p>
    <w:p w14:paraId="2594C799">
      <w:pPr>
        <w:spacing w:line="360" w:lineRule="auto"/>
        <w:jc w:val="center"/>
        <w:rPr>
          <w:rFonts w:hint="eastAsia" w:ascii="宋体" w:hAnsi="宋体" w:eastAsia="宋体" w:cs="宋体"/>
          <w:b/>
          <w:color w:val="auto"/>
          <w:sz w:val="28"/>
          <w:szCs w:val="28"/>
          <w:highlight w:val="none"/>
        </w:rPr>
      </w:pPr>
      <w:bookmarkStart w:id="49" w:name="_Toc38295172"/>
      <w:r>
        <w:rPr>
          <w:rFonts w:hint="eastAsia" w:ascii="宋体" w:hAnsi="宋体" w:eastAsia="宋体" w:cs="宋体"/>
          <w:b/>
          <w:color w:val="auto"/>
          <w:sz w:val="28"/>
          <w:szCs w:val="28"/>
          <w:highlight w:val="none"/>
        </w:rPr>
        <w:t>十、质疑与投诉</w:t>
      </w:r>
      <w:bookmarkEnd w:id="48"/>
      <w:bookmarkEnd w:id="49"/>
    </w:p>
    <w:p w14:paraId="254E0E4B">
      <w:pPr>
        <w:snapToGrid w:val="0"/>
        <w:spacing w:line="360" w:lineRule="auto"/>
        <w:ind w:firstLine="482" w:firstLineChars="200"/>
        <w:rPr>
          <w:rFonts w:hint="eastAsia" w:ascii="宋体" w:hAnsi="宋体" w:eastAsia="宋体" w:cs="宋体"/>
          <w:color w:val="auto"/>
          <w:sz w:val="24"/>
          <w:szCs w:val="21"/>
          <w:highlight w:val="none"/>
        </w:rPr>
      </w:pPr>
      <w:bookmarkStart w:id="50" w:name="_Toc38295173"/>
      <w:bookmarkStart w:id="51" w:name="_Toc288401355"/>
      <w:r>
        <w:rPr>
          <w:rFonts w:hint="eastAsia" w:ascii="宋体" w:hAnsi="宋体" w:eastAsia="宋体" w:cs="宋体"/>
          <w:b/>
          <w:color w:val="auto"/>
          <w:sz w:val="24"/>
          <w:szCs w:val="21"/>
          <w:highlight w:val="none"/>
        </w:rPr>
        <w:t>注：供应商对电子标项目提出质疑和投诉的，应按照《政府采购质疑和投诉办法》（财政部令第94号）规定的方式提交质疑和投诉。</w:t>
      </w:r>
    </w:p>
    <w:p w14:paraId="5C0B5853">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28．质疑</w:t>
      </w:r>
      <w:bookmarkEnd w:id="50"/>
      <w:bookmarkEnd w:id="51"/>
    </w:p>
    <w:p w14:paraId="033A14F2">
      <w:pPr>
        <w:snapToGrid w:val="0"/>
        <w:spacing w:line="360" w:lineRule="auto"/>
        <w:ind w:firstLine="480" w:firstLineChars="200"/>
        <w:rPr>
          <w:rFonts w:hint="eastAsia" w:ascii="宋体" w:hAnsi="宋体" w:eastAsia="宋体" w:cs="宋体"/>
          <w:bCs/>
          <w:color w:val="auto"/>
          <w:sz w:val="24"/>
          <w:szCs w:val="24"/>
          <w:highlight w:val="none"/>
        </w:rPr>
      </w:pPr>
      <w:bookmarkStart w:id="52" w:name="_Toc288401356"/>
      <w:r>
        <w:rPr>
          <w:rFonts w:hint="eastAsia" w:ascii="宋体" w:hAnsi="宋体" w:eastAsia="宋体" w:cs="宋体"/>
          <w:color w:val="auto"/>
          <w:sz w:val="24"/>
          <w:szCs w:val="21"/>
          <w:highlight w:val="none"/>
        </w:rPr>
        <w:t>28.1</w:t>
      </w:r>
      <w:r>
        <w:rPr>
          <w:rFonts w:hint="eastAsia" w:ascii="宋体" w:hAnsi="宋体" w:eastAsia="宋体" w:cs="宋体"/>
          <w:color w:val="auto"/>
          <w:kern w:val="0"/>
          <w:sz w:val="24"/>
          <w:szCs w:val="21"/>
          <w:highlight w:val="none"/>
        </w:rPr>
        <w:t>供应商</w:t>
      </w:r>
      <w:r>
        <w:rPr>
          <w:rFonts w:hint="eastAsia" w:ascii="宋体" w:hAnsi="宋体" w:eastAsia="宋体" w:cs="宋体"/>
          <w:bCs/>
          <w:color w:val="auto"/>
          <w:sz w:val="24"/>
          <w:szCs w:val="24"/>
          <w:highlight w:val="none"/>
        </w:rPr>
        <w:t>认为采购文件、采购过程或成交结果使自己的合法权益受到损害的，应当在知道或者应知其权益受到损害之日起七个工作日内，以书面形式向采购人、采购代理机构提出质疑。</w:t>
      </w:r>
    </w:p>
    <w:p w14:paraId="5C5D614C">
      <w:pPr>
        <w:widowControl/>
        <w:shd w:val="clear" w:color="auto" w:fill="FFFFFF"/>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28.2供应商必须在法定质疑期内一次性提出针对同一采购程序环节的质疑，否则质疑无效。</w:t>
      </w:r>
    </w:p>
    <w:p w14:paraId="660B0CA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28.3采购代理机构将就采购人委托授权范围内的事项在收到磋商供应商的书面质疑后七个工作日内做出答复，但答复的内容不得涉及商业秘密。</w:t>
      </w:r>
    </w:p>
    <w:p w14:paraId="33C4A213">
      <w:pPr>
        <w:spacing w:line="360" w:lineRule="auto"/>
        <w:rPr>
          <w:rFonts w:hint="eastAsia" w:ascii="宋体" w:hAnsi="宋体" w:eastAsia="宋体" w:cs="宋体"/>
          <w:color w:val="auto"/>
          <w:sz w:val="24"/>
          <w:szCs w:val="21"/>
          <w:highlight w:val="none"/>
        </w:rPr>
      </w:pPr>
      <w:bookmarkStart w:id="53" w:name="_Toc38295174"/>
      <w:r>
        <w:rPr>
          <w:rFonts w:hint="eastAsia" w:ascii="宋体" w:hAnsi="宋体" w:eastAsia="宋体" w:cs="宋体"/>
          <w:b/>
          <w:color w:val="auto"/>
          <w:sz w:val="24"/>
          <w:szCs w:val="21"/>
          <w:highlight w:val="none"/>
        </w:rPr>
        <w:t>29．投诉</w:t>
      </w:r>
      <w:bookmarkEnd w:id="52"/>
      <w:bookmarkEnd w:id="53"/>
    </w:p>
    <w:p w14:paraId="7A96DF68">
      <w:pPr>
        <w:spacing w:line="360" w:lineRule="auto"/>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29.1投诉人必须首先经过质疑程序，在对采购代理机构的答复不满意或者本公司未在规定的时间内做出答复的，可以在答复期满后十五个工作日内按《政府采购质疑和投诉办法》（</w:t>
      </w:r>
      <w:r>
        <w:rPr>
          <w:rFonts w:hint="eastAsia" w:ascii="宋体" w:hAnsi="宋体" w:eastAsia="宋体" w:cs="宋体"/>
          <w:color w:val="auto"/>
          <w:sz w:val="24"/>
          <w:szCs w:val="24"/>
          <w:highlight w:val="none"/>
        </w:rPr>
        <w:t>中华人民共和国财政部令第94号</w:t>
      </w:r>
      <w:r>
        <w:rPr>
          <w:rFonts w:hint="eastAsia" w:ascii="宋体" w:hAnsi="宋体" w:eastAsia="宋体" w:cs="宋体"/>
          <w:color w:val="auto"/>
          <w:sz w:val="24"/>
          <w:szCs w:val="21"/>
          <w:highlight w:val="none"/>
        </w:rPr>
        <w:t>）的要求书面向</w:t>
      </w:r>
      <w:r>
        <w:rPr>
          <w:rFonts w:hint="eastAsia" w:ascii="宋体" w:hAnsi="宋体" w:eastAsia="宋体" w:cs="宋体"/>
          <w:color w:val="auto"/>
          <w:sz w:val="24"/>
          <w:szCs w:val="24"/>
          <w:highlight w:val="none"/>
        </w:rPr>
        <w:t>同级</w:t>
      </w:r>
      <w:r>
        <w:rPr>
          <w:rFonts w:hint="eastAsia" w:ascii="宋体" w:hAnsi="宋体" w:eastAsia="宋体" w:cs="宋体"/>
          <w:color w:val="auto"/>
          <w:sz w:val="24"/>
          <w:szCs w:val="21"/>
          <w:highlight w:val="none"/>
        </w:rPr>
        <w:t>政府采购监督管理部门投诉。</w:t>
      </w:r>
    </w:p>
    <w:p w14:paraId="5B224F4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1"/>
          <w:highlight w:val="none"/>
        </w:rPr>
        <w:t>29.2政府采购监督管理部门在处理投诉事项期间，可以视具体情况书面通知采购人暂停</w:t>
      </w:r>
      <w:r>
        <w:rPr>
          <w:rFonts w:hint="eastAsia" w:ascii="宋体" w:hAnsi="宋体" w:eastAsia="宋体" w:cs="宋体"/>
          <w:color w:val="auto"/>
          <w:sz w:val="24"/>
          <w:szCs w:val="24"/>
          <w:highlight w:val="none"/>
        </w:rPr>
        <w:t>采购活动。</w:t>
      </w:r>
      <w:r>
        <w:rPr>
          <w:rFonts w:hint="eastAsia" w:ascii="宋体" w:hAnsi="宋体" w:eastAsia="宋体" w:cs="宋体"/>
          <w:bCs/>
          <w:color w:val="auto"/>
          <w:sz w:val="24"/>
          <w:szCs w:val="24"/>
          <w:highlight w:val="none"/>
        </w:rPr>
        <w:t xml:space="preserve">    </w:t>
      </w:r>
    </w:p>
    <w:p w14:paraId="462345F5">
      <w:pPr>
        <w:spacing w:line="360" w:lineRule="auto"/>
        <w:ind w:firstLine="480" w:firstLineChars="200"/>
        <w:rPr>
          <w:rFonts w:hint="default" w:ascii="宋体" w:hAnsi="宋体" w:eastAsia="宋体" w:cs="宋体"/>
          <w:color w:val="auto"/>
          <w:sz w:val="24"/>
          <w:szCs w:val="21"/>
          <w:highlight w:val="none"/>
          <w:lang w:val="en-US"/>
        </w:rPr>
      </w:pPr>
      <w:bookmarkStart w:id="54" w:name="_Toc288401357"/>
      <w:r>
        <w:rPr>
          <w:rFonts w:hint="eastAsia" w:ascii="宋体" w:hAnsi="宋体" w:eastAsia="宋体" w:cs="宋体"/>
          <w:color w:val="auto"/>
          <w:sz w:val="24"/>
          <w:szCs w:val="24"/>
          <w:highlight w:val="none"/>
        </w:rPr>
        <w:t>29.3质疑电话：</w:t>
      </w:r>
      <w:r>
        <w:rPr>
          <w:rFonts w:hint="eastAsia" w:ascii="宋体" w:hAnsi="宋体" w:eastAsia="宋体" w:cs="宋体"/>
          <w:color w:val="auto"/>
          <w:sz w:val="24"/>
          <w:szCs w:val="21"/>
          <w:highlight w:val="none"/>
          <w:lang w:eastAsia="zh-CN"/>
        </w:rPr>
        <w:t>广西</w:t>
      </w:r>
      <w:r>
        <w:rPr>
          <w:rFonts w:hint="eastAsia" w:ascii="宋体" w:hAnsi="宋体" w:eastAsia="宋体" w:cs="宋体"/>
          <w:color w:val="auto"/>
          <w:sz w:val="24"/>
          <w:szCs w:val="21"/>
          <w:highlight w:val="none"/>
          <w:lang w:val="en-US" w:eastAsia="zh-CN"/>
        </w:rPr>
        <w:t>久致</w:t>
      </w:r>
      <w:r>
        <w:rPr>
          <w:rFonts w:hint="eastAsia" w:ascii="宋体" w:hAnsi="宋体" w:eastAsia="宋体" w:cs="宋体"/>
          <w:color w:val="auto"/>
          <w:sz w:val="24"/>
          <w:szCs w:val="21"/>
          <w:highlight w:val="none"/>
          <w:lang w:eastAsia="zh-CN"/>
        </w:rPr>
        <w:t>建设工程咨询</w:t>
      </w:r>
      <w:r>
        <w:rPr>
          <w:rFonts w:hint="eastAsia" w:ascii="宋体" w:hAnsi="宋体" w:eastAsia="宋体" w:cs="宋体"/>
          <w:color w:val="auto"/>
          <w:sz w:val="24"/>
          <w:szCs w:val="21"/>
          <w:highlight w:val="none"/>
        </w:rPr>
        <w:t>有限公司</w:t>
      </w:r>
      <w:r>
        <w:rPr>
          <w:rFonts w:hint="eastAsia" w:ascii="宋体" w:hAnsi="宋体" w:eastAsia="宋体" w:cs="宋体"/>
          <w:color w:val="auto"/>
          <w:sz w:val="24"/>
          <w:szCs w:val="21"/>
          <w:highlight w:val="none"/>
          <w:lang w:eastAsia="zh-CN"/>
        </w:rPr>
        <w:t>：0772-</w:t>
      </w:r>
      <w:r>
        <w:rPr>
          <w:rFonts w:hint="eastAsia" w:ascii="宋体" w:hAnsi="宋体" w:eastAsia="宋体" w:cs="宋体"/>
          <w:color w:val="auto"/>
          <w:sz w:val="24"/>
          <w:szCs w:val="21"/>
          <w:highlight w:val="none"/>
          <w:lang w:val="en-US" w:eastAsia="zh-CN"/>
        </w:rPr>
        <w:t>2209557</w:t>
      </w:r>
    </w:p>
    <w:p w14:paraId="3C184F76">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1"/>
          <w:highlight w:val="none"/>
        </w:rPr>
        <w:t>30．质疑书面要求</w:t>
      </w:r>
      <w:bookmarkEnd w:id="54"/>
    </w:p>
    <w:p w14:paraId="705B1232">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30.1质疑人提供的质疑书面材料（如材料中有外文资料应同时附上中文译本）应按《政府采购质疑和投诉办法》（</w:t>
      </w:r>
      <w:r>
        <w:rPr>
          <w:rFonts w:hint="eastAsia" w:ascii="宋体" w:hAnsi="宋体" w:eastAsia="宋体" w:cs="宋体"/>
          <w:color w:val="auto"/>
          <w:sz w:val="24"/>
          <w:szCs w:val="24"/>
          <w:highlight w:val="none"/>
        </w:rPr>
        <w:t>中华人民共和国财政部令第94号</w:t>
      </w:r>
      <w:r>
        <w:rPr>
          <w:rFonts w:hint="eastAsia" w:ascii="宋体" w:hAnsi="宋体" w:eastAsia="宋体" w:cs="宋体"/>
          <w:color w:val="auto"/>
          <w:sz w:val="24"/>
          <w:szCs w:val="21"/>
          <w:highlight w:val="none"/>
        </w:rPr>
        <w:t>）的要求提供。</w:t>
      </w:r>
    </w:p>
    <w:p w14:paraId="7EFEFC96">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十一、签订合同</w:t>
      </w:r>
    </w:p>
    <w:p w14:paraId="02D6BE5D">
      <w:pPr>
        <w:spacing w:line="360" w:lineRule="auto"/>
        <w:rPr>
          <w:rFonts w:hint="eastAsia" w:ascii="宋体" w:hAnsi="宋体" w:eastAsia="宋体" w:cs="宋体"/>
          <w:b/>
          <w:bCs/>
          <w:color w:val="auto"/>
          <w:sz w:val="24"/>
          <w:szCs w:val="24"/>
          <w:highlight w:val="none"/>
        </w:rPr>
      </w:pPr>
      <w:bookmarkStart w:id="55" w:name="_Toc29493"/>
      <w:r>
        <w:rPr>
          <w:rFonts w:hint="eastAsia" w:ascii="宋体" w:hAnsi="宋体" w:eastAsia="宋体" w:cs="宋体"/>
          <w:b/>
          <w:bCs/>
          <w:color w:val="auto"/>
          <w:sz w:val="24"/>
          <w:szCs w:val="24"/>
          <w:highlight w:val="none"/>
        </w:rPr>
        <w:t>31.</w:t>
      </w:r>
      <w:bookmarkStart w:id="56" w:name="_Toc389065187"/>
      <w:bookmarkStart w:id="57" w:name="_Toc1448385315"/>
      <w:bookmarkStart w:id="58" w:name="_Toc1153757931"/>
      <w:bookmarkStart w:id="59" w:name="_Toc78449668"/>
      <w:bookmarkStart w:id="60" w:name="_Toc407135122"/>
      <w:r>
        <w:rPr>
          <w:rFonts w:hint="eastAsia" w:ascii="宋体" w:hAnsi="宋体" w:eastAsia="宋体" w:cs="宋体"/>
          <w:b/>
          <w:bCs/>
          <w:color w:val="auto"/>
          <w:sz w:val="24"/>
          <w:szCs w:val="24"/>
          <w:highlight w:val="none"/>
        </w:rPr>
        <w:t>履约</w:t>
      </w:r>
      <w:bookmarkEnd w:id="56"/>
      <w:r>
        <w:rPr>
          <w:rFonts w:hint="eastAsia" w:ascii="宋体" w:hAnsi="宋体" w:eastAsia="宋体" w:cs="宋体"/>
          <w:b/>
          <w:bCs/>
          <w:color w:val="auto"/>
          <w:sz w:val="24"/>
          <w:szCs w:val="24"/>
          <w:highlight w:val="none"/>
        </w:rPr>
        <w:t>保证金</w:t>
      </w:r>
      <w:bookmarkEnd w:id="55"/>
      <w:bookmarkEnd w:id="57"/>
      <w:bookmarkEnd w:id="58"/>
      <w:bookmarkEnd w:id="59"/>
      <w:bookmarkEnd w:id="60"/>
    </w:p>
    <w:p w14:paraId="74ED3DAB">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本项目不收取履约保证金</w:t>
      </w:r>
      <w:r>
        <w:rPr>
          <w:rFonts w:hint="eastAsia" w:ascii="宋体" w:hAnsi="宋体" w:eastAsia="宋体" w:cs="宋体"/>
          <w:b/>
          <w:bCs/>
          <w:color w:val="auto"/>
          <w:sz w:val="24"/>
          <w:szCs w:val="24"/>
          <w:highlight w:val="none"/>
          <w:lang w:eastAsia="zh-CN"/>
        </w:rPr>
        <w:t>。</w:t>
      </w:r>
    </w:p>
    <w:p w14:paraId="3F85E1D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32.签订合同</w:t>
      </w:r>
    </w:p>
    <w:p w14:paraId="141FA94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32.1如磋商文件其他地方无特别规定，成交供应商应在接到成交通知书后25日内，按成交通知书规定与采购人签订合同。</w:t>
      </w:r>
    </w:p>
    <w:p w14:paraId="6139734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32.2如果成交供应商不按成交通知书中规定签订合同，则按成交供应商违约处理。采购代理机构将不予退还成交供应商提交的全部磋商保证金并上缴同级财政国库。</w:t>
      </w:r>
    </w:p>
    <w:p w14:paraId="77C837CE">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32.3成交供应商违约或因不可抗力或者自身原因不能履行政府采购合同的，采购人可以与</w:t>
      </w:r>
      <w:r>
        <w:rPr>
          <w:rFonts w:hint="eastAsia" w:ascii="宋体" w:hAnsi="宋体" w:eastAsia="宋体" w:cs="宋体"/>
          <w:color w:val="auto"/>
          <w:sz w:val="24"/>
          <w:szCs w:val="21"/>
          <w:highlight w:val="none"/>
        </w:rPr>
        <w:t>成交</w:t>
      </w:r>
      <w:r>
        <w:rPr>
          <w:rFonts w:hint="eastAsia" w:ascii="宋体" w:hAnsi="宋体" w:eastAsia="宋体" w:cs="宋体"/>
          <w:color w:val="auto"/>
          <w:sz w:val="24"/>
          <w:szCs w:val="24"/>
          <w:highlight w:val="none"/>
        </w:rPr>
        <w:t>供应商之后排名第一的中标候选供应商签订采购合同，以此类推。也可以重新开展政府采购活动。</w:t>
      </w:r>
    </w:p>
    <w:p w14:paraId="18EABE4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 合同公告及备案</w:t>
      </w:r>
    </w:p>
    <w:p w14:paraId="2BB5F70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成交供应商应在签订合同后1 个工作日内，将政府采购合同副本送采购代理机构备案。</w:t>
      </w:r>
    </w:p>
    <w:p w14:paraId="7F3B535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采购人应当自政府采购合同签订之日起2 个工作日内，将政府采购合同在省级以上人民政府财政部门指定的媒体上公告，但政府采购合同中涉及国家秘密、商业秘密的内容除外。</w:t>
      </w:r>
    </w:p>
    <w:p w14:paraId="4E43B77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自签订之日起七个工作日内，采购人应当将合同副本报同级政府采购监督管理部门和有关部门备案。</w:t>
      </w:r>
    </w:p>
    <w:p w14:paraId="6232495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34.履行合同</w:t>
      </w:r>
    </w:p>
    <w:p w14:paraId="58D5076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成交供应商与采购人签订合同后，合同双方应严格执行合同条款，履行合同规定的义务，保证合同的顺利完成。</w:t>
      </w:r>
    </w:p>
    <w:p w14:paraId="444C2EB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在合同履行过程中，如发生合同纠纷，合同双方应按照《中华人民共和国民法典》的有关规定进行处理。</w:t>
      </w:r>
    </w:p>
    <w:p w14:paraId="53D52FD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 履约验收</w:t>
      </w:r>
    </w:p>
    <w:p w14:paraId="3D5D565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采购人可以根据政府采购项目具体情况自行组织验收，或者委托政府采购代理机构、国家认可的质量检测机构开展采购项目履约验收工作。</w:t>
      </w:r>
    </w:p>
    <w:p w14:paraId="17A3465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采购项目属于政府向社会公众提供的公共服务项目，采购人或者采购代理机构应当将验收结果（验收书）在省级以上人民政府财政部门指定的媒体上向社会公告，公告期不得少于5 个工作日。</w:t>
      </w:r>
    </w:p>
    <w:p w14:paraId="19CC8CB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03793BE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采购合同项目完成验收后，采购人应当将验收原始记录、验收书等资料作为该采购项目档案妥善保管，不得伪造、变造、隐匿或者销毁，验收资料保存期为采购结束之日起至少保存15 年。</w:t>
      </w:r>
    </w:p>
    <w:p w14:paraId="67EB41A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 本项目将严格按照本磋商文件及合同有关规定进行合同履约验收。磋商文件或合同未规定的按《广西壮族自治区政府采购项目履约验收管理办法》（桂财采〔2015〕22 号）以及财政部关于进一步加强政府采购需求和履约验收管理的指导意见（财库〔2016〕205 号）的规定执行。</w:t>
      </w:r>
    </w:p>
    <w:p w14:paraId="20FC192B">
      <w:pPr>
        <w:snapToGrid w:val="0"/>
        <w:spacing w:line="360" w:lineRule="auto"/>
        <w:ind w:firstLine="416" w:firstLineChars="148"/>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十二、采购代理服务费</w:t>
      </w:r>
    </w:p>
    <w:p w14:paraId="5A9F9E3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.采购代理服务费</w:t>
      </w:r>
    </w:p>
    <w:p w14:paraId="075B6C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3</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.1</w:t>
      </w:r>
      <w:r>
        <w:rPr>
          <w:rFonts w:hint="eastAsia" w:ascii="宋体" w:hAnsi="宋体" w:eastAsia="宋体" w:cs="宋体"/>
          <w:color w:val="auto"/>
          <w:sz w:val="24"/>
          <w:szCs w:val="24"/>
          <w:highlight w:val="none"/>
        </w:rPr>
        <w:t>采购代理服务费参照原国家计委《招标代理服务收费管理暂行办法》计价格[2002]1980号文“工程招标”收费标准向</w:t>
      </w:r>
      <w:r>
        <w:rPr>
          <w:rFonts w:hint="eastAsia" w:ascii="宋体" w:hAnsi="宋体" w:eastAsia="宋体" w:cs="宋体"/>
          <w:color w:val="auto"/>
          <w:sz w:val="24"/>
          <w:szCs w:val="21"/>
          <w:highlight w:val="none"/>
        </w:rPr>
        <w:t>成交</w:t>
      </w:r>
      <w:r>
        <w:rPr>
          <w:rFonts w:hint="eastAsia" w:ascii="宋体" w:hAnsi="宋体" w:eastAsia="宋体" w:cs="宋体"/>
          <w:color w:val="auto"/>
          <w:sz w:val="24"/>
          <w:szCs w:val="24"/>
          <w:highlight w:val="none"/>
        </w:rPr>
        <w:t>人收取。签订合同前，</w:t>
      </w:r>
      <w:r>
        <w:rPr>
          <w:rFonts w:hint="eastAsia" w:ascii="宋体" w:hAnsi="宋体" w:eastAsia="宋体" w:cs="宋体"/>
          <w:color w:val="auto"/>
          <w:sz w:val="24"/>
          <w:szCs w:val="21"/>
          <w:highlight w:val="none"/>
        </w:rPr>
        <w:t>成交</w:t>
      </w:r>
      <w:r>
        <w:rPr>
          <w:rFonts w:hint="eastAsia" w:ascii="宋体" w:hAnsi="宋体" w:eastAsia="宋体" w:cs="宋体"/>
          <w:color w:val="auto"/>
          <w:sz w:val="24"/>
          <w:szCs w:val="24"/>
          <w:highlight w:val="none"/>
        </w:rPr>
        <w:t>人应当以转账方式向采购代理机构一次性付清采购代理服务费。否则，采购人将视之为违约，取消该</w:t>
      </w:r>
      <w:r>
        <w:rPr>
          <w:rFonts w:hint="eastAsia" w:ascii="宋体" w:hAnsi="宋体" w:eastAsia="宋体" w:cs="宋体"/>
          <w:color w:val="auto"/>
          <w:sz w:val="24"/>
          <w:szCs w:val="21"/>
          <w:highlight w:val="none"/>
        </w:rPr>
        <w:t>成交</w:t>
      </w:r>
      <w:r>
        <w:rPr>
          <w:rFonts w:hint="eastAsia" w:ascii="宋体" w:hAnsi="宋体" w:eastAsia="宋体" w:cs="宋体"/>
          <w:color w:val="auto"/>
          <w:sz w:val="24"/>
          <w:szCs w:val="24"/>
          <w:highlight w:val="none"/>
        </w:rPr>
        <w:t>决定并不予退还</w:t>
      </w:r>
      <w:r>
        <w:rPr>
          <w:rFonts w:hint="eastAsia" w:ascii="宋体" w:hAnsi="宋体" w:eastAsia="宋体" w:cs="宋体"/>
          <w:color w:val="auto"/>
          <w:sz w:val="24"/>
          <w:szCs w:val="21"/>
          <w:highlight w:val="none"/>
        </w:rPr>
        <w:t>成交</w:t>
      </w:r>
      <w:r>
        <w:rPr>
          <w:rFonts w:hint="eastAsia" w:ascii="宋体" w:hAnsi="宋体" w:eastAsia="宋体" w:cs="宋体"/>
          <w:color w:val="auto"/>
          <w:sz w:val="24"/>
          <w:szCs w:val="24"/>
          <w:highlight w:val="none"/>
        </w:rPr>
        <w:t>人已提交的全部磋商保证金。</w:t>
      </w:r>
    </w:p>
    <w:p w14:paraId="0FE7FC1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采购代理服务收费标准</w:t>
      </w:r>
    </w:p>
    <w:tbl>
      <w:tblPr>
        <w:tblStyle w:val="57"/>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95"/>
        <w:gridCol w:w="2325"/>
        <w:gridCol w:w="2565"/>
      </w:tblGrid>
      <w:tr w14:paraId="7CB2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448" w:type="dxa"/>
          </w:tcPr>
          <w:p w14:paraId="08F498C5">
            <w:pPr>
              <w:spacing w:line="360" w:lineRule="auto"/>
              <w:ind w:firstLine="1033" w:firstLineChars="492"/>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289560</wp:posOffset>
                      </wp:positionH>
                      <wp:positionV relativeFrom="paragraph">
                        <wp:posOffset>635</wp:posOffset>
                      </wp:positionV>
                      <wp:extent cx="1190625" cy="972185"/>
                      <wp:effectExtent l="3175" t="3810" r="10160" b="14605"/>
                      <wp:wrapNone/>
                      <wp:docPr id="3" name="直接连接符 4"/>
                      <wp:cNvGraphicFramePr/>
                      <a:graphic xmlns:a="http://schemas.openxmlformats.org/drawingml/2006/main">
                        <a:graphicData uri="http://schemas.microsoft.com/office/word/2010/wordprocessingShape">
                          <wps:wsp>
                            <wps:cNvCnPr>
                              <a:cxnSpLocks noChangeShapeType="1"/>
                            </wps:cNvCnPr>
                            <wps:spPr bwMode="auto">
                              <a:xfrm flipH="1" flipV="1">
                                <a:off x="0" y="0"/>
                                <a:ext cx="1190625" cy="972185"/>
                              </a:xfrm>
                              <a:prstGeom prst="line">
                                <a:avLst/>
                              </a:prstGeom>
                              <a:noFill/>
                              <a:ln w="9525">
                                <a:solidFill>
                                  <a:srgbClr val="000000"/>
                                </a:solidFill>
                                <a:round/>
                              </a:ln>
                              <a:effectLst/>
                            </wps:spPr>
                            <wps:bodyPr/>
                          </wps:wsp>
                        </a:graphicData>
                      </a:graphic>
                    </wp:anchor>
                  </w:drawing>
                </mc:Choice>
                <mc:Fallback>
                  <w:pict>
                    <v:line id="直接连接符 4" o:spid="_x0000_s1026" o:spt="20" style="position:absolute;left:0pt;flip:x y;margin-left:22.8pt;margin-top:0.05pt;height:76.55pt;width:93.75pt;z-index:251661312;mso-width-relative:page;mso-height-relative:page;" filled="f" stroked="t" coordsize="21600,21600" o:gfxdata="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FatB0gAAAAcBAAAPAAAAAAAAAAEAIAAAACIAAABkcnMvZG93bnJldi54bWxQSwECFAAU&#10;AAAACACHTuJAhi8iX/cBAADRAwAADgAAAAAAAAABACAAAAAh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接连接符 3"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NG6xs+UB&#10;AAC0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eastAsia="宋体" w:cs="宋体"/>
                <w:b/>
                <w:bCs/>
                <w:color w:val="auto"/>
                <w:sz w:val="24"/>
                <w:szCs w:val="24"/>
                <w:highlight w:val="none"/>
              </w:rPr>
              <w:t>服务类</w:t>
            </w:r>
          </w:p>
          <w:p w14:paraId="7E40D255">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186055</wp:posOffset>
                      </wp:positionV>
                      <wp:extent cx="1531620" cy="504825"/>
                      <wp:effectExtent l="1270" t="4445" r="6350" b="889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531620" cy="5048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4.1pt;margin-top:14.65pt;height:39.75pt;width:120.6pt;z-index:251660288;mso-width-relative:page;mso-height-relative:page;" filled="f" stroked="t" coordsize="21600,21600" o:gfxdata="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j2si1AAAAAkBAAAPAAAAAAAAAAEAIAAAACIAAABkcnMvZG93bnJldi54bWxQSwEC&#10;FAAUAAAACACHTuJAwI/5DPgBAADRAwAADgAAAAAAAAABACAAAAAjAQAAZHJzL2Uyb0RvYy54bWxQ&#10;SwUGAAAAAAYABgBZAQAAjQUAAAAA&#10;">
                      <v:fill on="f" focussize="0,0"/>
                      <v:stroke color="#000000" joinstyle="round"/>
                      <v:imagedata o:title=""/>
                      <o:lock v:ext="edit" aspectratio="f"/>
                    </v:line>
                  </w:pict>
                </mc:Fallback>
              </mc:AlternateContent>
            </w:r>
            <w:r>
              <w:rPr>
                <w:rFonts w:hint="eastAsia" w:ascii="宋体" w:hAnsi="宋体" w:eastAsia="宋体" w:cs="宋体"/>
                <w:b/>
                <w:bCs/>
                <w:color w:val="auto"/>
                <w:sz w:val="24"/>
                <w:szCs w:val="24"/>
                <w:highlight w:val="none"/>
              </w:rPr>
              <w:t>费率</w:t>
            </w:r>
          </w:p>
          <w:p w14:paraId="002AA88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成交额（万元）</w:t>
            </w:r>
          </w:p>
        </w:tc>
        <w:tc>
          <w:tcPr>
            <w:tcW w:w="2295" w:type="dxa"/>
            <w:vAlign w:val="center"/>
          </w:tcPr>
          <w:p w14:paraId="2DE4795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货物招标</w:t>
            </w:r>
          </w:p>
        </w:tc>
        <w:tc>
          <w:tcPr>
            <w:tcW w:w="2325" w:type="dxa"/>
            <w:vAlign w:val="center"/>
          </w:tcPr>
          <w:p w14:paraId="4F854A0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服务招标</w:t>
            </w:r>
          </w:p>
        </w:tc>
        <w:tc>
          <w:tcPr>
            <w:tcW w:w="2565" w:type="dxa"/>
            <w:vAlign w:val="center"/>
          </w:tcPr>
          <w:p w14:paraId="7684336E">
            <w:pPr>
              <w:spacing w:line="360" w:lineRule="auto"/>
              <w:ind w:left="99" w:hanging="99" w:hangingChars="4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工程招标</w:t>
            </w:r>
          </w:p>
        </w:tc>
      </w:tr>
      <w:tr w14:paraId="7E23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48" w:type="dxa"/>
          </w:tcPr>
          <w:p w14:paraId="09FFD2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295" w:type="dxa"/>
          </w:tcPr>
          <w:p w14:paraId="65C84C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325" w:type="dxa"/>
          </w:tcPr>
          <w:p w14:paraId="2044378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565" w:type="dxa"/>
          </w:tcPr>
          <w:p w14:paraId="7AB7C5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7160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B8E8F2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295" w:type="dxa"/>
          </w:tcPr>
          <w:p w14:paraId="339D23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325" w:type="dxa"/>
          </w:tcPr>
          <w:p w14:paraId="6460D3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565" w:type="dxa"/>
          </w:tcPr>
          <w:p w14:paraId="311878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14:paraId="0E86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8F1FF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295" w:type="dxa"/>
          </w:tcPr>
          <w:p w14:paraId="1784A4D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325" w:type="dxa"/>
          </w:tcPr>
          <w:p w14:paraId="0931E47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2565" w:type="dxa"/>
          </w:tcPr>
          <w:p w14:paraId="2E5B041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14:paraId="07DB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86510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295" w:type="dxa"/>
          </w:tcPr>
          <w:p w14:paraId="1B6478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2325" w:type="dxa"/>
          </w:tcPr>
          <w:p w14:paraId="7BDC42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565" w:type="dxa"/>
          </w:tcPr>
          <w:p w14:paraId="62A9AB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14:paraId="0B35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265EE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295" w:type="dxa"/>
          </w:tcPr>
          <w:p w14:paraId="3D195CA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325" w:type="dxa"/>
          </w:tcPr>
          <w:p w14:paraId="783EC42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2565" w:type="dxa"/>
          </w:tcPr>
          <w:p w14:paraId="115B43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14:paraId="25DC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BAD03F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10000-100000</w:t>
            </w:r>
          </w:p>
        </w:tc>
        <w:tc>
          <w:tcPr>
            <w:tcW w:w="2295" w:type="dxa"/>
          </w:tcPr>
          <w:p w14:paraId="45F55E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325" w:type="dxa"/>
          </w:tcPr>
          <w:p w14:paraId="78406F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565" w:type="dxa"/>
          </w:tcPr>
          <w:p w14:paraId="067E2E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r w14:paraId="6E10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55FC8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1000000以上</w:t>
            </w:r>
          </w:p>
        </w:tc>
        <w:tc>
          <w:tcPr>
            <w:tcW w:w="2295" w:type="dxa"/>
          </w:tcPr>
          <w:p w14:paraId="04B543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325" w:type="dxa"/>
          </w:tcPr>
          <w:p w14:paraId="3368C4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565" w:type="dxa"/>
          </w:tcPr>
          <w:p w14:paraId="49DACC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r>
    </w:tbl>
    <w:p w14:paraId="255A05FD">
      <w:pPr>
        <w:spacing w:line="360" w:lineRule="auto"/>
        <w:ind w:left="660" w:leftChars="200" w:hanging="240" w:hangingChars="10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注：招标代理服务收费按差额定率累进法计算。</w:t>
      </w:r>
    </w:p>
    <w:p w14:paraId="7F31EAFC">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十三、其他说明</w:t>
      </w:r>
    </w:p>
    <w:p w14:paraId="4EC6B5C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37</w:t>
      </w:r>
      <w:r>
        <w:rPr>
          <w:rFonts w:hint="eastAsia" w:ascii="宋体" w:hAnsi="宋体" w:eastAsia="宋体" w:cs="宋体"/>
          <w:b/>
          <w:color w:val="auto"/>
          <w:sz w:val="24"/>
          <w:szCs w:val="24"/>
          <w:highlight w:val="none"/>
        </w:rPr>
        <w:t>.需要补充的其他内容</w:t>
      </w:r>
    </w:p>
    <w:p w14:paraId="0EAA2E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37.1</w:t>
      </w:r>
      <w:r>
        <w:rPr>
          <w:rFonts w:hint="eastAsia" w:ascii="宋体" w:hAnsi="宋体" w:eastAsia="宋体" w:cs="宋体"/>
          <w:color w:val="auto"/>
          <w:sz w:val="24"/>
          <w:szCs w:val="24"/>
          <w:highlight w:val="none"/>
        </w:rPr>
        <w:t>自获取磋商文件之日起，供应商应保证其提供的联系方式（电话、传真、电子邮件）一直有效，以保证往来函件（磋商文件的澄清、修改等）能及时通知供应商，并能及时反馈信息，否则采购人及采购代理机构不承担由此引起的一切后果。</w:t>
      </w:r>
    </w:p>
    <w:p w14:paraId="13FD76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37.2</w:t>
      </w:r>
      <w:r>
        <w:rPr>
          <w:rFonts w:hint="eastAsia" w:ascii="宋体" w:hAnsi="宋体" w:eastAsia="宋体" w:cs="宋体"/>
          <w:color w:val="auto"/>
          <w:sz w:val="24"/>
          <w:szCs w:val="24"/>
          <w:highlight w:val="none"/>
        </w:rPr>
        <w:t>采购代理机构无义务向未成交的供应商解释未成交原因和退还响应文件。</w:t>
      </w:r>
    </w:p>
    <w:p w14:paraId="34D3BEE5">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38.关于中小企业的相关规定</w:t>
      </w:r>
    </w:p>
    <w:p w14:paraId="15E430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38.1根据《政府采购促进中小企业发展管理办法》(财库[2020]46号），本招标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14:paraId="0039AB5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38.2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 </w:t>
      </w:r>
    </w:p>
    <w:p w14:paraId="313593E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38.3在货物采购项目中，供应商提供的货物既有中小企业制造货物，也有大型企业制造货物的，不享受中小企业扶持政策。 </w:t>
      </w:r>
    </w:p>
    <w:p w14:paraId="4F7C70A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38.4以联合体形式参加政府采购活动，联合体各方均为中小企业的，联合体视同中小企业。其中，联合体各方均为小微企业的，联合体视同小微企业。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14:paraId="7E86E9B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38.5享受中小企业扶持政策获得政府采购合同的，小微企业不得将合同分包给大中型企业，中型企业不得将合同分包给大型企业。 </w:t>
      </w:r>
    </w:p>
    <w:p w14:paraId="64C3AEB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38.6供应商（货物项目时为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 </w:t>
      </w:r>
    </w:p>
    <w:p w14:paraId="083A933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38.7供应商（货物项目时为竞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 </w:t>
      </w:r>
    </w:p>
    <w:p w14:paraId="5D27DF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38.8对于专门面向中小企业采购的采购项目或者采购包，通过发布公告方式邀请供应商后，符合资格条件的中小企业数量不足3家的，应当中止采购活动，视同非专门面向中小企业采购的采购项目或者采购包，按照《政府采购促进中小企业发展管理办法》(财库[2020]46号）第九条有关规定重新组织采购活动。</w:t>
      </w:r>
    </w:p>
    <w:p w14:paraId="5F716C37">
      <w:pPr>
        <w:spacing w:line="360" w:lineRule="auto"/>
        <w:ind w:firstLine="480" w:firstLineChars="200"/>
        <w:rPr>
          <w:rFonts w:hint="eastAsia" w:ascii="宋体" w:hAnsi="宋体" w:eastAsia="宋体" w:cs="宋体"/>
          <w:color w:val="auto"/>
          <w:sz w:val="24"/>
          <w:szCs w:val="24"/>
          <w:highlight w:val="none"/>
        </w:rPr>
        <w:sectPr>
          <w:footerReference r:id="rId4" w:type="default"/>
          <w:pgSz w:w="11905" w:h="16838"/>
          <w:pgMar w:top="1134" w:right="1134" w:bottom="1134" w:left="1247" w:header="850" w:footer="992" w:gutter="0"/>
          <w:pgNumType w:fmt="decimal" w:start="1"/>
          <w:cols w:space="720" w:num="1"/>
          <w:rtlGutter w:val="0"/>
          <w:docGrid w:type="lines" w:linePitch="317" w:charSpace="0"/>
        </w:sectPr>
      </w:pPr>
    </w:p>
    <w:p w14:paraId="653C96DB">
      <w:pPr>
        <w:spacing w:line="360" w:lineRule="auto"/>
        <w:rPr>
          <w:rFonts w:hint="eastAsia" w:ascii="宋体" w:hAnsi="宋体" w:eastAsia="宋体" w:cs="宋体"/>
          <w:b/>
          <w:color w:val="auto"/>
          <w:sz w:val="44"/>
          <w:szCs w:val="44"/>
          <w:highlight w:val="none"/>
        </w:rPr>
      </w:pPr>
    </w:p>
    <w:p w14:paraId="128935E2">
      <w:pPr>
        <w:snapToGrid w:val="0"/>
        <w:spacing w:line="360" w:lineRule="auto"/>
        <w:jc w:val="center"/>
        <w:outlineLvl w:val="0"/>
        <w:rPr>
          <w:rFonts w:hint="eastAsia" w:ascii="宋体" w:hAnsi="宋体" w:eastAsia="宋体" w:cs="宋体"/>
          <w:b/>
          <w:color w:val="auto"/>
          <w:sz w:val="44"/>
          <w:szCs w:val="44"/>
          <w:highlight w:val="none"/>
        </w:rPr>
      </w:pPr>
      <w:bookmarkStart w:id="61" w:name="_Toc162340982"/>
      <w:r>
        <w:rPr>
          <w:rFonts w:hint="eastAsia" w:ascii="宋体" w:hAnsi="宋体" w:eastAsia="宋体" w:cs="宋体"/>
          <w:b/>
          <w:color w:val="auto"/>
          <w:sz w:val="44"/>
          <w:szCs w:val="44"/>
          <w:highlight w:val="none"/>
          <w:lang w:val="en-US" w:eastAsia="zh-CN"/>
        </w:rPr>
        <w:t xml:space="preserve">第三章 </w:t>
      </w:r>
      <w:r>
        <w:rPr>
          <w:rFonts w:hint="eastAsia" w:ascii="宋体" w:hAnsi="宋体" w:eastAsia="宋体" w:cs="宋体"/>
          <w:b/>
          <w:color w:val="auto"/>
          <w:sz w:val="44"/>
          <w:szCs w:val="44"/>
          <w:highlight w:val="none"/>
        </w:rPr>
        <w:t>评</w:t>
      </w:r>
      <w:r>
        <w:rPr>
          <w:rFonts w:hint="eastAsia" w:ascii="宋体" w:hAnsi="宋体" w:eastAsia="宋体" w:cs="宋体"/>
          <w:b/>
          <w:color w:val="auto"/>
          <w:sz w:val="44"/>
          <w:szCs w:val="44"/>
          <w:highlight w:val="none"/>
          <w:lang w:val="en-US" w:eastAsia="zh-CN"/>
        </w:rPr>
        <w:t>审</w:t>
      </w:r>
      <w:r>
        <w:rPr>
          <w:rFonts w:hint="eastAsia" w:ascii="宋体" w:hAnsi="宋体" w:eastAsia="宋体" w:cs="宋体"/>
          <w:b/>
          <w:color w:val="auto"/>
          <w:sz w:val="44"/>
          <w:szCs w:val="44"/>
          <w:highlight w:val="none"/>
        </w:rPr>
        <w:t>办法及评</w:t>
      </w:r>
      <w:r>
        <w:rPr>
          <w:rFonts w:hint="eastAsia" w:ascii="宋体" w:hAnsi="宋体" w:eastAsia="宋体" w:cs="宋体"/>
          <w:b/>
          <w:color w:val="auto"/>
          <w:sz w:val="44"/>
          <w:szCs w:val="44"/>
          <w:highlight w:val="none"/>
          <w:lang w:val="en-US" w:eastAsia="zh-CN"/>
        </w:rPr>
        <w:t>审</w:t>
      </w:r>
      <w:r>
        <w:rPr>
          <w:rFonts w:hint="eastAsia" w:ascii="宋体" w:hAnsi="宋体" w:eastAsia="宋体" w:cs="宋体"/>
          <w:b/>
          <w:color w:val="auto"/>
          <w:sz w:val="44"/>
          <w:szCs w:val="44"/>
          <w:highlight w:val="none"/>
        </w:rPr>
        <w:t>标准</w:t>
      </w:r>
      <w:bookmarkEnd w:id="61"/>
    </w:p>
    <w:p w14:paraId="5F93DE15">
      <w:pPr>
        <w:spacing w:line="360" w:lineRule="auto"/>
        <w:ind w:firstLine="48" w:firstLineChars="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一、评标原则</w:t>
      </w:r>
    </w:p>
    <w:p w14:paraId="2000676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w:t>
      </w:r>
      <w:r>
        <w:rPr>
          <w:rFonts w:hint="eastAsia" w:ascii="宋体" w:hAnsi="宋体" w:eastAsia="宋体" w:cs="宋体"/>
          <w:color w:val="auto"/>
          <w:sz w:val="24"/>
          <w:szCs w:val="24"/>
          <w:highlight w:val="none"/>
        </w:rPr>
        <w:t xml:space="preserve"> 磋商小组</w:t>
      </w:r>
      <w:r>
        <w:rPr>
          <w:rFonts w:hint="eastAsia" w:ascii="宋体" w:hAnsi="宋体" w:eastAsia="宋体" w:cs="宋体"/>
          <w:bCs/>
          <w:color w:val="auto"/>
          <w:sz w:val="24"/>
          <w:szCs w:val="24"/>
          <w:highlight w:val="none"/>
        </w:rPr>
        <w:t>构成：本采购项目的</w:t>
      </w:r>
      <w:r>
        <w:rPr>
          <w:rFonts w:hint="eastAsia" w:ascii="宋体" w:hAnsi="宋体" w:eastAsia="宋体" w:cs="宋体"/>
          <w:color w:val="auto"/>
          <w:sz w:val="24"/>
          <w:szCs w:val="24"/>
          <w:highlight w:val="none"/>
        </w:rPr>
        <w:t>磋商小组成员</w:t>
      </w:r>
      <w:r>
        <w:rPr>
          <w:rFonts w:hint="eastAsia" w:ascii="宋体" w:hAnsi="宋体" w:eastAsia="宋体" w:cs="宋体"/>
          <w:bCs/>
          <w:color w:val="auto"/>
          <w:sz w:val="24"/>
          <w:szCs w:val="24"/>
          <w:highlight w:val="none"/>
        </w:rPr>
        <w:t>分别由依法组成的专家、采购单位代表共3人以上</w:t>
      </w:r>
      <w:r>
        <w:rPr>
          <w:rFonts w:hint="eastAsia" w:ascii="宋体" w:hAnsi="宋体" w:eastAsia="宋体" w:cs="宋体"/>
          <w:bCs/>
          <w:color w:val="auto"/>
          <w:sz w:val="24"/>
          <w:szCs w:val="24"/>
          <w:highlight w:val="none"/>
          <w:lang w:val="en-US" w:eastAsia="zh-CN"/>
        </w:rPr>
        <w:t>单数</w:t>
      </w:r>
      <w:r>
        <w:rPr>
          <w:rFonts w:hint="eastAsia" w:ascii="宋体" w:hAnsi="宋体" w:eastAsia="宋体" w:cs="宋体"/>
          <w:bCs/>
          <w:color w:val="auto"/>
          <w:sz w:val="24"/>
          <w:szCs w:val="24"/>
          <w:highlight w:val="none"/>
        </w:rPr>
        <w:t>构成，其中专家人数不少于成员总数的三分之二。</w:t>
      </w:r>
    </w:p>
    <w:p w14:paraId="685284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(二)评标依据：</w:t>
      </w:r>
      <w:r>
        <w:rPr>
          <w:rFonts w:hint="eastAsia" w:ascii="宋体" w:hAnsi="宋体" w:eastAsia="宋体" w:cs="宋体"/>
          <w:color w:val="auto"/>
          <w:sz w:val="24"/>
          <w:szCs w:val="24"/>
          <w:highlight w:val="none"/>
        </w:rPr>
        <w:t>以</w:t>
      </w:r>
      <w:r>
        <w:rPr>
          <w:rFonts w:hint="eastAsia" w:ascii="宋体" w:hAnsi="宋体" w:eastAsia="宋体" w:cs="宋体"/>
          <w:color w:val="auto"/>
          <w:spacing w:val="0"/>
          <w:w w:val="100"/>
          <w:position w:val="0"/>
          <w:sz w:val="24"/>
          <w:szCs w:val="24"/>
          <w:highlight w:val="none"/>
        </w:rPr>
        <w:t>竞争性磋商</w:t>
      </w:r>
      <w:r>
        <w:rPr>
          <w:rFonts w:hint="eastAsia" w:ascii="宋体" w:hAnsi="宋体" w:eastAsia="宋体" w:cs="宋体"/>
          <w:color w:val="auto"/>
          <w:sz w:val="24"/>
          <w:szCs w:val="24"/>
          <w:highlight w:val="none"/>
        </w:rPr>
        <w:t>文件和供应商提供的响应文件（含磋商过程中的相关材料）为评定依据。</w:t>
      </w:r>
    </w:p>
    <w:p w14:paraId="03C8280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(三)评标方式：以封闭方式进行。</w:t>
      </w:r>
    </w:p>
    <w:p w14:paraId="4C846E2D">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二、评定方法</w:t>
      </w:r>
    </w:p>
    <w:p w14:paraId="3DBE15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Cs/>
          <w:color w:val="auto"/>
          <w:sz w:val="24"/>
          <w:szCs w:val="24"/>
          <w:highlight w:val="none"/>
        </w:rPr>
        <w:t>本项目</w:t>
      </w:r>
      <w:r>
        <w:rPr>
          <w:rFonts w:hint="eastAsia" w:ascii="宋体" w:hAnsi="宋体" w:eastAsia="宋体" w:cs="宋体"/>
          <w:color w:val="auto"/>
          <w:sz w:val="24"/>
          <w:szCs w:val="24"/>
          <w:highlight w:val="none"/>
        </w:rPr>
        <w:t>采用综合评分法。</w:t>
      </w:r>
    </w:p>
    <w:p w14:paraId="479419D0">
      <w:pPr>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Cs/>
          <w:color w:val="auto"/>
          <w:sz w:val="24"/>
          <w:szCs w:val="24"/>
          <w:highlight w:val="none"/>
        </w:rPr>
        <w:t>本项目为专门面向</w:t>
      </w:r>
      <w:r>
        <w:rPr>
          <w:rFonts w:hint="eastAsia" w:ascii="宋体" w:hAnsi="宋体" w:eastAsia="宋体" w:cs="宋体"/>
          <w:bCs/>
          <w:color w:val="auto"/>
          <w:sz w:val="24"/>
          <w:szCs w:val="24"/>
          <w:highlight w:val="none"/>
          <w:lang w:val="en-US" w:eastAsia="zh-CN"/>
        </w:rPr>
        <w:t>中小</w:t>
      </w:r>
      <w:r>
        <w:rPr>
          <w:rFonts w:hint="eastAsia" w:ascii="宋体" w:hAnsi="宋体" w:eastAsia="宋体" w:cs="宋体"/>
          <w:bCs/>
          <w:color w:val="auto"/>
          <w:sz w:val="24"/>
          <w:szCs w:val="24"/>
          <w:highlight w:val="none"/>
        </w:rPr>
        <w:t>企业采购的采购项目，</w:t>
      </w:r>
      <w:r>
        <w:rPr>
          <w:rFonts w:hint="eastAsia" w:ascii="宋体" w:hAnsi="宋体" w:eastAsia="宋体" w:cs="宋体"/>
          <w:color w:val="auto"/>
          <w:spacing w:val="-6"/>
          <w:sz w:val="24"/>
          <w:szCs w:val="24"/>
          <w:highlight w:val="none"/>
        </w:rPr>
        <w:t>要求</w:t>
      </w:r>
      <w:r>
        <w:rPr>
          <w:rFonts w:hint="eastAsia" w:ascii="宋体" w:hAnsi="宋体" w:eastAsia="宋体" w:cs="宋体"/>
          <w:color w:val="auto"/>
          <w:sz w:val="24"/>
          <w:szCs w:val="24"/>
          <w:highlight w:val="none"/>
        </w:rPr>
        <w:t>供应商</w:t>
      </w:r>
      <w:r>
        <w:rPr>
          <w:rFonts w:hint="eastAsia" w:ascii="宋体" w:hAnsi="宋体" w:eastAsia="宋体" w:cs="宋体"/>
          <w:color w:val="auto"/>
          <w:spacing w:val="-6"/>
          <w:sz w:val="24"/>
          <w:szCs w:val="24"/>
          <w:highlight w:val="none"/>
        </w:rPr>
        <w:t>提供相应的</w:t>
      </w:r>
      <w:r>
        <w:rPr>
          <w:rFonts w:hint="eastAsia" w:ascii="宋体" w:hAnsi="宋体" w:eastAsia="宋体" w:cs="宋体"/>
          <w:color w:val="auto"/>
          <w:sz w:val="24"/>
          <w:szCs w:val="24"/>
          <w:highlight w:val="none"/>
        </w:rPr>
        <w:t>政策功能证明文件（如中小企业声明函、监狱企业、残疾人福利性单位声明函等），否则视为资格审查不合格，磋商无效</w:t>
      </w:r>
      <w:r>
        <w:rPr>
          <w:rFonts w:hint="eastAsia" w:ascii="宋体" w:hAnsi="宋体" w:eastAsia="宋体" w:cs="宋体"/>
          <w:color w:val="auto"/>
          <w:spacing w:val="-6"/>
          <w:sz w:val="24"/>
          <w:szCs w:val="24"/>
          <w:highlight w:val="none"/>
        </w:rPr>
        <w:t>。</w:t>
      </w:r>
    </w:p>
    <w:p w14:paraId="379236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根据《政府采购促进中小企业发展管理办法》（财库﹝2020﹞46号）第九条的规定，对符合《政府采购促进中小企业发展管理办法》规定的</w:t>
      </w:r>
      <w:r>
        <w:rPr>
          <w:rFonts w:hint="eastAsia" w:ascii="宋体" w:hAnsi="宋体" w:eastAsia="宋体" w:cs="宋体"/>
          <w:color w:val="auto"/>
          <w:kern w:val="0"/>
          <w:sz w:val="24"/>
          <w:szCs w:val="24"/>
          <w:highlight w:val="none"/>
          <w:lang w:val="en-US" w:eastAsia="zh-CN"/>
        </w:rPr>
        <w:t>中小</w:t>
      </w:r>
      <w:r>
        <w:rPr>
          <w:rFonts w:hint="eastAsia" w:ascii="宋体" w:hAnsi="宋体" w:eastAsia="宋体" w:cs="宋体"/>
          <w:color w:val="auto"/>
          <w:kern w:val="0"/>
          <w:sz w:val="24"/>
          <w:szCs w:val="24"/>
          <w:highlight w:val="none"/>
        </w:rPr>
        <w:t>企业报价</w:t>
      </w:r>
      <w:r>
        <w:rPr>
          <w:rFonts w:hint="eastAsia" w:ascii="宋体" w:hAnsi="宋体" w:eastAsia="宋体" w:cs="宋体"/>
          <w:color w:val="auto"/>
          <w:sz w:val="24"/>
          <w:szCs w:val="24"/>
          <w:highlight w:val="none"/>
        </w:rPr>
        <w:t>不再给予价格扣除。供应商有效的最终报价即为评标价。</w:t>
      </w:r>
    </w:p>
    <w:p w14:paraId="70BA3F7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14:paraId="179363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促进残疾人就业政府采购政策的通知》（财库【2017】141号）规定，残疾人福利性单位视同小型、微型企业。符合条件的残疾人福利性单位在参加政府采购活动时，应当提供本通知规定的《残疾人福利性单位声明函》，《中小企业声明函》格式必须按“财库【2017】141号”文附件规定的格式。并对声明的真实性负责。中标为残疾人福利性单位的，招标代理机构将随中标、成交结果同时公告其《残疾人福利性单位声明函》，接受社会监督。</w:t>
      </w:r>
    </w:p>
    <w:p w14:paraId="700BAE76">
      <w:pPr>
        <w:spacing w:line="360" w:lineRule="auto"/>
        <w:ind w:firstLine="648" w:firstLineChars="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本项目采购标的对应的中小企业划分标准所属行业为《中小企业划型标准规定》（工信部联企业〔2011〕300号）“划型标准”中“建筑业”行业。</w:t>
      </w:r>
    </w:p>
    <w:p w14:paraId="43D3A763">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小组在评标过程中认为供应商的报价明显低于其它通过符合性审查磋商供应商的报价，有可能影响商品质量或不能诚信履约的，应当要求磋商供应商在评标现场合理的时间内提供书面说明，并提供报价来源相关证明材料。磋商供应商不能证明报价合理性的，磋商小组应当将其作无效磋商处理。</w:t>
      </w:r>
    </w:p>
    <w:p w14:paraId="079D0022">
      <w:pPr>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（四）计分办法：每个供应商最终得分为所有评委评分汇总后的算术平均值（按四舍五入取至百分位）</w:t>
      </w:r>
      <w:r>
        <w:rPr>
          <w:rFonts w:hint="eastAsia" w:ascii="宋体" w:hAnsi="宋体" w:eastAsia="宋体" w:cs="宋体"/>
          <w:color w:val="auto"/>
          <w:sz w:val="24"/>
          <w:szCs w:val="24"/>
          <w:highlight w:val="none"/>
          <w:lang w:eastAsia="zh-CN"/>
        </w:rPr>
        <w:t>。</w:t>
      </w:r>
    </w:p>
    <w:p w14:paraId="3EB69BD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三、评标程序</w:t>
      </w:r>
    </w:p>
    <w:p w14:paraId="0EC2516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（一）初步评审：</w:t>
      </w:r>
    </w:p>
    <w:p w14:paraId="7BB39813">
      <w:pPr>
        <w:spacing w:line="360" w:lineRule="auto"/>
        <w:ind w:firstLine="600" w:firstLineChars="250"/>
        <w:rPr>
          <w:rFonts w:hint="eastAsia" w:ascii="宋体" w:hAnsi="宋体" w:eastAsia="宋体" w:cs="宋体"/>
          <w:color w:val="auto"/>
          <w:sz w:val="24"/>
          <w:szCs w:val="24"/>
          <w:highlight w:val="none"/>
        </w:rPr>
      </w:pPr>
      <w:bookmarkStart w:id="62" w:name="_Toc270606584"/>
      <w:r>
        <w:rPr>
          <w:rFonts w:hint="eastAsia" w:ascii="宋体" w:hAnsi="宋体" w:eastAsia="宋体" w:cs="宋体"/>
          <w:color w:val="auto"/>
          <w:sz w:val="24"/>
          <w:szCs w:val="24"/>
          <w:highlight w:val="none"/>
        </w:rPr>
        <w:t>磋商小组首先对供应商提供的响应文件的资格性进行审查。然后对资格审查合格的响应文件进行符合性鉴定，对响应文件进行符合性鉴定。磋商小组对实质性不响应采购文件要求的响应文件予以拒绝。</w:t>
      </w:r>
    </w:p>
    <w:p w14:paraId="4FCC41D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磋商小组只对提交了最后报价的供应商的技术标和商务标进行综合评分。</w:t>
      </w:r>
      <w:bookmarkEnd w:id="62"/>
    </w:p>
    <w:p w14:paraId="16CF8743">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1.在资格审查时，如发现下列情形之一的，</w:t>
      </w:r>
      <w:r>
        <w:rPr>
          <w:rFonts w:hint="eastAsia" w:ascii="宋体" w:hAnsi="宋体" w:eastAsia="宋体" w:cs="宋体"/>
          <w:b/>
          <w:color w:val="auto"/>
          <w:sz w:val="24"/>
          <w:szCs w:val="24"/>
          <w:highlight w:val="none"/>
        </w:rPr>
        <w:t>响应文件</w:t>
      </w:r>
      <w:r>
        <w:rPr>
          <w:rFonts w:hint="eastAsia" w:ascii="宋体" w:hAnsi="宋体" w:eastAsia="宋体" w:cs="宋体"/>
          <w:b/>
          <w:bCs/>
          <w:color w:val="auto"/>
          <w:sz w:val="24"/>
          <w:szCs w:val="24"/>
          <w:highlight w:val="none"/>
        </w:rPr>
        <w:t>将被视为无效：</w:t>
      </w:r>
    </w:p>
    <w:p w14:paraId="71EDB17A">
      <w:pPr>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（1）超越了按照法律法规规定获得行政许可或者行政审批的经营范围的；</w:t>
      </w:r>
    </w:p>
    <w:p w14:paraId="5DE6F364">
      <w:pPr>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（2）资格证明文件不全的，或者不符合竞争性磋商文件标明的资格要求的；</w:t>
      </w:r>
    </w:p>
    <w:p w14:paraId="6B364938">
      <w:pPr>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（3）响应文件未按磋商文件规定要求加密、或者响应文件中属于竞争性磋商文件规定必须提供的资料未按规定要求签署、加盖CA电子签章的, 或为非法定代表人签署时但未提供法定代表人授权委托书的；</w:t>
      </w:r>
    </w:p>
    <w:p w14:paraId="16E5EFB9">
      <w:pPr>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2.在进行商务评审和技术评审时，磋商后如存在下列情形之一的</w:t>
      </w:r>
      <w:r>
        <w:rPr>
          <w:rFonts w:hint="eastAsia" w:ascii="宋体" w:hAnsi="宋体" w:eastAsia="宋体" w:cs="宋体"/>
          <w:b/>
          <w:bCs/>
          <w:color w:val="auto"/>
          <w:sz w:val="24"/>
          <w:szCs w:val="24"/>
          <w:highlight w:val="none"/>
        </w:rPr>
        <w:t>，视为</w:t>
      </w:r>
      <w:r>
        <w:rPr>
          <w:rFonts w:hint="eastAsia" w:ascii="宋体" w:hAnsi="宋体" w:eastAsia="宋体" w:cs="宋体"/>
          <w:b/>
          <w:color w:val="auto"/>
          <w:sz w:val="24"/>
          <w:szCs w:val="24"/>
          <w:highlight w:val="none"/>
        </w:rPr>
        <w:t>商务评审和技术评审不合格，磋商将被视为无效：</w:t>
      </w:r>
    </w:p>
    <w:p w14:paraId="7858FD6D">
      <w:pPr>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（1）磋商有效期、工期及合同主要条款不能满足竞争性磋商文件要求的（以磋商</w:t>
      </w:r>
      <w:r>
        <w:rPr>
          <w:rFonts w:hint="eastAsia" w:ascii="宋体" w:hAnsi="宋体" w:eastAsia="宋体" w:cs="宋体"/>
          <w:b/>
          <w:color w:val="auto"/>
          <w:sz w:val="24"/>
          <w:szCs w:val="24"/>
          <w:highlight w:val="none"/>
          <w:lang w:val="en-US" w:eastAsia="zh-CN"/>
        </w:rPr>
        <w:t>函</w:t>
      </w:r>
      <w:r>
        <w:rPr>
          <w:rFonts w:hint="eastAsia" w:ascii="宋体" w:hAnsi="宋体" w:eastAsia="宋体" w:cs="宋体"/>
          <w:b/>
          <w:color w:val="auto"/>
          <w:sz w:val="24"/>
          <w:szCs w:val="24"/>
          <w:highlight w:val="none"/>
        </w:rPr>
        <w:t>及磋商</w:t>
      </w:r>
      <w:r>
        <w:rPr>
          <w:rFonts w:hint="eastAsia" w:ascii="宋体" w:hAnsi="宋体" w:eastAsia="宋体" w:cs="宋体"/>
          <w:b/>
          <w:color w:val="auto"/>
          <w:sz w:val="24"/>
          <w:szCs w:val="24"/>
          <w:highlight w:val="none"/>
          <w:lang w:val="en-US" w:eastAsia="zh-CN"/>
        </w:rPr>
        <w:t>函</w:t>
      </w:r>
      <w:r>
        <w:rPr>
          <w:rFonts w:hint="eastAsia" w:ascii="宋体" w:hAnsi="宋体" w:eastAsia="宋体" w:cs="宋体"/>
          <w:b/>
          <w:color w:val="auto"/>
          <w:sz w:val="24"/>
          <w:szCs w:val="24"/>
          <w:highlight w:val="none"/>
        </w:rPr>
        <w:t>附录的响应为准）；</w:t>
      </w:r>
    </w:p>
    <w:p w14:paraId="6A052C91">
      <w:pPr>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0"/>
          <w:highlight w:val="none"/>
        </w:rPr>
        <w:t>（2）</w:t>
      </w:r>
      <w:r>
        <w:rPr>
          <w:rFonts w:hint="eastAsia" w:ascii="宋体" w:hAnsi="宋体" w:eastAsia="宋体" w:cs="宋体"/>
          <w:b/>
          <w:color w:val="auto"/>
          <w:sz w:val="24"/>
          <w:szCs w:val="24"/>
          <w:highlight w:val="none"/>
        </w:rPr>
        <w:t>未在磋商小组规定的时间内重新提交响应文件（含应磋商小组要求提供或补正、更正的商务或技术资料）的；</w:t>
      </w:r>
    </w:p>
    <w:p w14:paraId="56B5FCBF">
      <w:pPr>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（3）有采购方不能接受的附加条件，或者存在法律、法规或竞争性磋商文件规定的其他“磋商无效”情形的。（本项由磋商小组根据响应文件进行评审，无需供应商提供其他特定资料）</w:t>
      </w:r>
    </w:p>
    <w:p w14:paraId="70A01565">
      <w:pPr>
        <w:spacing w:line="360" w:lineRule="auto"/>
        <w:ind w:right="-178" w:rightChars="-85"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3.在报价评审时，如发现下列情形之一的，磋商将被视为无效：</w:t>
      </w:r>
    </w:p>
    <w:p w14:paraId="36EA4159">
      <w:pPr>
        <w:spacing w:line="360" w:lineRule="auto"/>
        <w:ind w:right="-178" w:rightChars="-85"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（1）未采用人民币报价或者未按照竞争性磋商文件标明的币种报价的；</w:t>
      </w:r>
    </w:p>
    <w:p w14:paraId="443B0088">
      <w:pPr>
        <w:spacing w:line="360" w:lineRule="auto"/>
        <w:ind w:right="-178" w:rightChars="-85"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（2）最后报价超出最高限价，或者超出采购预算金额，采购人不能支付的：</w:t>
      </w:r>
    </w:p>
    <w:p w14:paraId="7A4F62B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（3）如最后报价与首次提交的响应文件中的报价有变动时，未提交与最后报价一致的“已标价工程量清单”。</w:t>
      </w:r>
    </w:p>
    <w:p w14:paraId="6B64411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（4）最后报价具有选择性。</w:t>
      </w:r>
    </w:p>
    <w:p w14:paraId="7AB81FF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供应商在线制作电子响应文件时填写的报价金额与解密后“电子加密响应文件”中《报价要求文件》填写的金额不一致或供应商在最后报价时，在线填写的最后报价总金额与加盖CA电子签章的最后报价表总金额不一致时，拒绝按竞争性磋商文件要求确认的；</w:t>
      </w:r>
    </w:p>
    <w:p w14:paraId="65ABFD65">
      <w:pPr>
        <w:spacing w:line="360" w:lineRule="auto"/>
        <w:ind w:right="-178" w:rightChars="-85"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4.被磋商小组拒绝的响应文件为无效文件。</w:t>
      </w:r>
    </w:p>
    <w:p w14:paraId="783EFAE4">
      <w:pPr>
        <w:spacing w:line="360" w:lineRule="auto"/>
        <w:ind w:firstLine="420"/>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rPr>
        <w:t>被视为无效的</w:t>
      </w:r>
      <w:r>
        <w:rPr>
          <w:rFonts w:hint="eastAsia" w:ascii="宋体" w:hAnsi="宋体" w:eastAsia="宋体" w:cs="宋体"/>
          <w:color w:val="auto"/>
          <w:sz w:val="24"/>
          <w:szCs w:val="21"/>
          <w:highlight w:val="none"/>
        </w:rPr>
        <w:t>响应文件，将不得进入磋商或作最后报价。（已作最后报价的也将视为无效报价）</w:t>
      </w:r>
    </w:p>
    <w:p w14:paraId="2AD6AADB">
      <w:pPr>
        <w:numPr>
          <w:ilvl w:val="0"/>
          <w:numId w:val="3"/>
        </w:num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详细评审</w:t>
      </w:r>
    </w:p>
    <w:p w14:paraId="1A1B3C8B">
      <w:pPr>
        <w:numPr>
          <w:ilvl w:val="0"/>
          <w:numId w:val="0"/>
        </w:numPr>
        <w:spacing w:line="360" w:lineRule="auto"/>
        <w:rPr>
          <w:rFonts w:hint="eastAsia" w:ascii="宋体" w:hAnsi="宋体" w:eastAsia="宋体" w:cs="宋体"/>
          <w:b/>
          <w:bCs/>
          <w:color w:val="auto"/>
          <w:sz w:val="24"/>
          <w:szCs w:val="24"/>
          <w:highlight w:val="none"/>
        </w:rPr>
      </w:pPr>
    </w:p>
    <w:tbl>
      <w:tblPr>
        <w:tblStyle w:val="57"/>
        <w:tblW w:w="5382"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2071"/>
        <w:gridCol w:w="923"/>
        <w:gridCol w:w="935"/>
        <w:gridCol w:w="5998"/>
      </w:tblGrid>
      <w:tr w14:paraId="3E472A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12" w:hRule="atLeast"/>
          <w:tblHeader/>
        </w:trPr>
        <w:tc>
          <w:tcPr>
            <w:tcW w:w="1043" w:type="pct"/>
            <w:tcBorders>
              <w:top w:val="outset" w:color="auto" w:sz="6" w:space="0"/>
              <w:left w:val="outset" w:color="auto" w:sz="6" w:space="0"/>
              <w:bottom w:val="outset" w:color="auto" w:sz="6" w:space="0"/>
              <w:right w:val="outset" w:color="auto" w:sz="6" w:space="0"/>
            </w:tcBorders>
            <w:shd w:val="clear" w:color="auto" w:fill="D9D9D9"/>
            <w:vAlign w:val="center"/>
          </w:tcPr>
          <w:p w14:paraId="061346C6">
            <w:pPr>
              <w:spacing w:line="360" w:lineRule="auto"/>
              <w:jc w:val="center"/>
              <w:rPr>
                <w:rFonts w:hint="eastAsia" w:ascii="宋体" w:hAnsi="宋体" w:eastAsia="宋体" w:cs="宋体"/>
                <w:b/>
                <w:color w:val="auto"/>
                <w:sz w:val="22"/>
                <w:highlight w:val="none"/>
              </w:rPr>
            </w:pPr>
            <w:bookmarkStart w:id="63" w:name="_Toc327456297"/>
            <w:bookmarkStart w:id="64" w:name="OLE_LINK14"/>
            <w:bookmarkStart w:id="65" w:name="_Toc448820128"/>
            <w:bookmarkStart w:id="66" w:name="OLE_LINK13"/>
            <w:r>
              <w:rPr>
                <w:rFonts w:hint="eastAsia" w:ascii="宋体" w:hAnsi="宋体" w:eastAsia="宋体" w:cs="宋体"/>
                <w:b/>
                <w:color w:val="auto"/>
                <w:sz w:val="22"/>
                <w:highlight w:val="none"/>
              </w:rPr>
              <w:t>条款号</w:t>
            </w:r>
          </w:p>
        </w:tc>
        <w:tc>
          <w:tcPr>
            <w:tcW w:w="936" w:type="pct"/>
            <w:gridSpan w:val="2"/>
            <w:tcBorders>
              <w:top w:val="outset" w:color="auto" w:sz="6" w:space="0"/>
              <w:left w:val="outset" w:color="auto" w:sz="6" w:space="0"/>
              <w:bottom w:val="outset" w:color="auto" w:sz="6" w:space="0"/>
              <w:right w:val="outset" w:color="auto" w:sz="6" w:space="0"/>
            </w:tcBorders>
            <w:shd w:val="clear" w:color="auto" w:fill="D9D9D9"/>
            <w:vAlign w:val="center"/>
          </w:tcPr>
          <w:p w14:paraId="1AF8E866">
            <w:pPr>
              <w:spacing w:line="360" w:lineRule="auto"/>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评审因素</w:t>
            </w:r>
          </w:p>
        </w:tc>
        <w:tc>
          <w:tcPr>
            <w:tcW w:w="3020" w:type="pct"/>
            <w:tcBorders>
              <w:top w:val="outset" w:color="auto" w:sz="6" w:space="0"/>
              <w:left w:val="outset" w:color="auto" w:sz="6" w:space="0"/>
              <w:bottom w:val="outset" w:color="auto" w:sz="6" w:space="0"/>
              <w:right w:val="outset" w:color="auto" w:sz="6" w:space="0"/>
            </w:tcBorders>
            <w:shd w:val="clear" w:color="auto" w:fill="D9D9D9"/>
            <w:vAlign w:val="center"/>
          </w:tcPr>
          <w:p w14:paraId="698E7A2D">
            <w:pPr>
              <w:spacing w:line="360" w:lineRule="auto"/>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评审标准</w:t>
            </w:r>
          </w:p>
        </w:tc>
      </w:tr>
      <w:tr w14:paraId="6E41821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tcBorders>
              <w:top w:val="outset" w:color="auto" w:sz="6" w:space="0"/>
              <w:left w:val="outset" w:color="auto" w:sz="6" w:space="0"/>
              <w:bottom w:val="single" w:color="auto" w:sz="4" w:space="0"/>
              <w:right w:val="outset" w:color="auto" w:sz="6" w:space="0"/>
            </w:tcBorders>
            <w:vAlign w:val="center"/>
          </w:tcPr>
          <w:p w14:paraId="156CDFF7">
            <w:pPr>
              <w:spacing w:line="360" w:lineRule="auto"/>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分值构成</w:t>
            </w:r>
          </w:p>
        </w:tc>
        <w:tc>
          <w:tcPr>
            <w:tcW w:w="936" w:type="pct"/>
            <w:gridSpan w:val="2"/>
            <w:tcBorders>
              <w:top w:val="outset" w:color="auto" w:sz="6" w:space="0"/>
              <w:left w:val="outset" w:color="auto" w:sz="6" w:space="0"/>
              <w:bottom w:val="single" w:color="auto" w:sz="4" w:space="0"/>
              <w:right w:val="outset" w:color="auto" w:sz="6" w:space="0"/>
            </w:tcBorders>
            <w:vAlign w:val="center"/>
          </w:tcPr>
          <w:p w14:paraId="5A102CCB">
            <w:pPr>
              <w:spacing w:line="360" w:lineRule="auto"/>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分值构成（总分100分）</w:t>
            </w:r>
          </w:p>
        </w:tc>
        <w:tc>
          <w:tcPr>
            <w:tcW w:w="3020" w:type="pct"/>
            <w:tcBorders>
              <w:top w:val="outset" w:color="auto" w:sz="6" w:space="0"/>
              <w:left w:val="outset" w:color="auto" w:sz="6" w:space="0"/>
              <w:bottom w:val="single" w:color="auto" w:sz="4" w:space="0"/>
              <w:right w:val="outset" w:color="auto" w:sz="6" w:space="0"/>
            </w:tcBorders>
            <w:vAlign w:val="center"/>
          </w:tcPr>
          <w:p w14:paraId="2FE0B492">
            <w:pPr>
              <w:spacing w:line="360" w:lineRule="auto"/>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商务标得分：</w:t>
            </w:r>
            <w:r>
              <w:rPr>
                <w:rFonts w:hint="eastAsia" w:ascii="宋体" w:hAnsi="宋体" w:eastAsia="宋体" w:cs="宋体"/>
                <w:b/>
                <w:color w:val="auto"/>
                <w:sz w:val="22"/>
                <w:highlight w:val="none"/>
                <w:lang w:val="en-US" w:eastAsia="zh-CN"/>
              </w:rPr>
              <w:t>10</w:t>
            </w:r>
            <w:r>
              <w:rPr>
                <w:rFonts w:hint="eastAsia" w:ascii="宋体" w:hAnsi="宋体" w:eastAsia="宋体" w:cs="宋体"/>
                <w:b/>
                <w:color w:val="auto"/>
                <w:sz w:val="22"/>
                <w:highlight w:val="none"/>
              </w:rPr>
              <w:t>分</w:t>
            </w:r>
          </w:p>
          <w:p w14:paraId="1110383F">
            <w:pPr>
              <w:spacing w:line="360" w:lineRule="auto"/>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技术标得分：</w:t>
            </w:r>
            <w:r>
              <w:rPr>
                <w:rFonts w:hint="eastAsia" w:ascii="宋体" w:hAnsi="宋体" w:eastAsia="宋体" w:cs="宋体"/>
                <w:b/>
                <w:color w:val="auto"/>
                <w:sz w:val="22"/>
                <w:highlight w:val="none"/>
                <w:lang w:val="en-US" w:eastAsia="zh-CN"/>
              </w:rPr>
              <w:t>60</w:t>
            </w:r>
            <w:r>
              <w:rPr>
                <w:rFonts w:hint="eastAsia" w:ascii="宋体" w:hAnsi="宋体" w:eastAsia="宋体" w:cs="宋体"/>
                <w:b/>
                <w:color w:val="auto"/>
                <w:sz w:val="22"/>
                <w:highlight w:val="none"/>
              </w:rPr>
              <w:t>分</w:t>
            </w:r>
          </w:p>
          <w:p w14:paraId="6D0375CA">
            <w:pPr>
              <w:spacing w:line="360" w:lineRule="auto"/>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价格分：30分</w:t>
            </w:r>
          </w:p>
        </w:tc>
      </w:tr>
      <w:tr w14:paraId="43C11E1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553" w:hRule="atLeast"/>
        </w:trPr>
        <w:tc>
          <w:tcPr>
            <w:tcW w:w="1043" w:type="pct"/>
            <w:vMerge w:val="restart"/>
            <w:tcBorders>
              <w:top w:val="single" w:color="auto" w:sz="4" w:space="0"/>
              <w:left w:val="single" w:color="auto" w:sz="4" w:space="0"/>
              <w:bottom w:val="single" w:color="auto" w:sz="4" w:space="0"/>
              <w:right w:val="single" w:color="auto" w:sz="4" w:space="0"/>
            </w:tcBorders>
            <w:vAlign w:val="center"/>
          </w:tcPr>
          <w:p w14:paraId="65259EA2">
            <w:pPr>
              <w:spacing w:line="360" w:lineRule="auto"/>
              <w:jc w:val="left"/>
              <w:rPr>
                <w:rFonts w:hint="eastAsia" w:ascii="宋体" w:hAnsi="宋体" w:eastAsia="宋体" w:cs="宋体"/>
                <w:b/>
                <w:color w:val="auto"/>
                <w:sz w:val="22"/>
                <w:highlight w:val="none"/>
                <w:u w:val="none"/>
              </w:rPr>
            </w:pPr>
            <w:r>
              <w:rPr>
                <w:rFonts w:hint="eastAsia" w:ascii="宋体" w:hAnsi="宋体" w:eastAsia="宋体" w:cs="宋体"/>
                <w:b/>
                <w:color w:val="auto"/>
                <w:sz w:val="22"/>
                <w:highlight w:val="none"/>
                <w:u w:val="none"/>
              </w:rPr>
              <w:t>商务标评分标准（满分1</w:t>
            </w:r>
            <w:r>
              <w:rPr>
                <w:rFonts w:hint="eastAsia" w:ascii="宋体" w:hAnsi="宋体" w:eastAsia="宋体" w:cs="宋体"/>
                <w:b/>
                <w:color w:val="auto"/>
                <w:sz w:val="22"/>
                <w:highlight w:val="none"/>
                <w:u w:val="none"/>
                <w:lang w:val="en-US" w:eastAsia="zh-CN"/>
              </w:rPr>
              <w:t>0</w:t>
            </w:r>
            <w:r>
              <w:rPr>
                <w:rFonts w:hint="eastAsia" w:ascii="宋体" w:hAnsi="宋体" w:eastAsia="宋体" w:cs="宋体"/>
                <w:b/>
                <w:color w:val="auto"/>
                <w:sz w:val="22"/>
                <w:highlight w:val="none"/>
                <w:u w:val="none"/>
              </w:rPr>
              <w:t>分）</w:t>
            </w:r>
          </w:p>
        </w:tc>
        <w:tc>
          <w:tcPr>
            <w:tcW w:w="936" w:type="pct"/>
            <w:gridSpan w:val="2"/>
            <w:tcBorders>
              <w:top w:val="single" w:color="auto" w:sz="4" w:space="0"/>
              <w:left w:val="single" w:color="auto" w:sz="4" w:space="0"/>
              <w:bottom w:val="single" w:color="auto" w:sz="4" w:space="0"/>
              <w:right w:val="outset" w:color="auto" w:sz="6" w:space="0"/>
            </w:tcBorders>
            <w:vAlign w:val="center"/>
          </w:tcPr>
          <w:p w14:paraId="4FBA58FA">
            <w:pPr>
              <w:spacing w:line="360" w:lineRule="auto"/>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项目管理人员机构情况（满分</w:t>
            </w:r>
            <w:r>
              <w:rPr>
                <w:rFonts w:hint="eastAsia" w:ascii="宋体" w:hAnsi="宋体" w:eastAsia="宋体" w:cs="宋体"/>
                <w:bCs/>
                <w:color w:val="auto"/>
                <w:sz w:val="22"/>
                <w:highlight w:val="none"/>
                <w:lang w:val="en-US" w:eastAsia="zh-CN"/>
              </w:rPr>
              <w:t>6</w:t>
            </w:r>
            <w:r>
              <w:rPr>
                <w:rFonts w:hint="eastAsia" w:ascii="宋体" w:hAnsi="宋体" w:eastAsia="宋体" w:cs="宋体"/>
                <w:bCs/>
                <w:color w:val="auto"/>
                <w:sz w:val="22"/>
                <w:highlight w:val="none"/>
              </w:rPr>
              <w:t>分）</w:t>
            </w:r>
          </w:p>
        </w:tc>
        <w:tc>
          <w:tcPr>
            <w:tcW w:w="3020" w:type="pct"/>
            <w:tcBorders>
              <w:top w:val="single" w:color="auto" w:sz="4" w:space="0"/>
              <w:left w:val="outset" w:color="auto" w:sz="6" w:space="0"/>
              <w:bottom w:val="single" w:color="auto" w:sz="4" w:space="0"/>
              <w:right w:val="single" w:color="auto" w:sz="4" w:space="0"/>
            </w:tcBorders>
            <w:vAlign w:val="center"/>
          </w:tcPr>
          <w:p w14:paraId="6B98A4D2">
            <w:pPr>
              <w:spacing w:line="360" w:lineRule="auto"/>
              <w:jc w:val="both"/>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rPr>
              <w:t xml:space="preserve">项目经理具有初级职称得 </w:t>
            </w:r>
            <w:r>
              <w:rPr>
                <w:rFonts w:hint="eastAsia" w:ascii="宋体" w:hAnsi="宋体" w:eastAsia="宋体" w:cs="宋体"/>
                <w:bCs/>
                <w:color w:val="auto"/>
                <w:sz w:val="22"/>
                <w:highlight w:val="none"/>
                <w:lang w:val="en-US" w:eastAsia="zh-CN"/>
              </w:rPr>
              <w:t>2</w:t>
            </w:r>
            <w:r>
              <w:rPr>
                <w:rFonts w:hint="eastAsia" w:ascii="宋体" w:hAnsi="宋体" w:eastAsia="宋体" w:cs="宋体"/>
                <w:bCs/>
                <w:color w:val="auto"/>
                <w:sz w:val="22"/>
                <w:highlight w:val="none"/>
              </w:rPr>
              <w:t>分，具有中级及以上职称得</w:t>
            </w:r>
            <w:r>
              <w:rPr>
                <w:rFonts w:hint="eastAsia" w:ascii="宋体" w:hAnsi="宋体" w:eastAsia="宋体" w:cs="宋体"/>
                <w:bCs/>
                <w:color w:val="auto"/>
                <w:sz w:val="22"/>
                <w:highlight w:val="none"/>
                <w:lang w:val="en-US" w:eastAsia="zh-CN"/>
              </w:rPr>
              <w:t>3</w:t>
            </w:r>
            <w:r>
              <w:rPr>
                <w:rFonts w:hint="eastAsia" w:ascii="宋体" w:hAnsi="宋体" w:eastAsia="宋体" w:cs="宋体"/>
                <w:bCs/>
                <w:color w:val="auto"/>
                <w:sz w:val="22"/>
                <w:highlight w:val="none"/>
              </w:rPr>
              <w:t xml:space="preserve"> 分，此项满分 </w:t>
            </w:r>
            <w:r>
              <w:rPr>
                <w:rFonts w:hint="eastAsia" w:ascii="宋体" w:hAnsi="宋体" w:eastAsia="宋体" w:cs="宋体"/>
                <w:bCs/>
                <w:color w:val="auto"/>
                <w:sz w:val="22"/>
                <w:highlight w:val="none"/>
                <w:lang w:val="en-US" w:eastAsia="zh-CN"/>
              </w:rPr>
              <w:t>3</w:t>
            </w:r>
            <w:r>
              <w:rPr>
                <w:rFonts w:hint="eastAsia" w:ascii="宋体" w:hAnsi="宋体" w:eastAsia="宋体" w:cs="宋体"/>
                <w:bCs/>
                <w:color w:val="auto"/>
                <w:sz w:val="22"/>
                <w:highlight w:val="none"/>
              </w:rPr>
              <w:t xml:space="preserve"> 分。</w:t>
            </w:r>
          </w:p>
          <w:p w14:paraId="08460FB2">
            <w:pPr>
              <w:spacing w:line="360" w:lineRule="auto"/>
              <w:jc w:val="both"/>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2</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rPr>
              <w:t>技术负责人：具有</w:t>
            </w:r>
            <w:r>
              <w:rPr>
                <w:rFonts w:hint="eastAsia" w:ascii="宋体" w:hAnsi="宋体" w:eastAsia="宋体" w:cs="宋体"/>
                <w:bCs/>
                <w:color w:val="auto"/>
                <w:sz w:val="22"/>
                <w:highlight w:val="none"/>
                <w:lang w:val="en-US" w:eastAsia="zh-CN"/>
              </w:rPr>
              <w:t>建筑工程</w:t>
            </w:r>
            <w:r>
              <w:rPr>
                <w:rFonts w:hint="eastAsia" w:ascii="宋体" w:hAnsi="宋体" w:eastAsia="宋体" w:cs="宋体"/>
                <w:bCs/>
                <w:color w:val="auto"/>
                <w:sz w:val="22"/>
                <w:highlight w:val="none"/>
              </w:rPr>
              <w:t>相关专业中级或以上职称的得</w:t>
            </w:r>
            <w:r>
              <w:rPr>
                <w:rFonts w:hint="eastAsia" w:ascii="宋体" w:hAnsi="宋体" w:eastAsia="宋体" w:cs="宋体"/>
                <w:bCs/>
                <w:color w:val="auto"/>
                <w:sz w:val="22"/>
                <w:highlight w:val="none"/>
                <w:lang w:val="en-US" w:eastAsia="zh-CN"/>
              </w:rPr>
              <w:t>3</w:t>
            </w:r>
            <w:r>
              <w:rPr>
                <w:rFonts w:hint="eastAsia" w:ascii="宋体" w:hAnsi="宋体" w:eastAsia="宋体" w:cs="宋体"/>
                <w:bCs/>
                <w:color w:val="auto"/>
                <w:sz w:val="22"/>
                <w:highlight w:val="none"/>
              </w:rPr>
              <w:t>分</w:t>
            </w:r>
            <w:r>
              <w:rPr>
                <w:rFonts w:hint="eastAsia" w:ascii="宋体" w:hAnsi="宋体" w:eastAsia="宋体" w:cs="宋体"/>
                <w:bCs/>
                <w:color w:val="auto"/>
                <w:sz w:val="22"/>
                <w:highlight w:val="none"/>
                <w:lang w:eastAsia="zh-CN"/>
              </w:rPr>
              <w:t>。</w:t>
            </w:r>
          </w:p>
          <w:p w14:paraId="0BA00D20">
            <w:pPr>
              <w:spacing w:line="360" w:lineRule="auto"/>
              <w:jc w:val="both"/>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注:需提供相关人员</w:t>
            </w:r>
            <w:r>
              <w:rPr>
                <w:rFonts w:hint="eastAsia" w:ascii="宋体" w:hAnsi="宋体" w:eastAsia="宋体" w:cs="宋体"/>
                <w:bCs/>
                <w:color w:val="auto"/>
                <w:sz w:val="22"/>
                <w:highlight w:val="none"/>
                <w:lang w:val="en-US" w:eastAsia="zh-CN"/>
              </w:rPr>
              <w:t>在本单位</w:t>
            </w:r>
            <w:r>
              <w:rPr>
                <w:rFonts w:hint="eastAsia" w:ascii="宋体" w:hAnsi="宋体" w:eastAsia="宋体" w:cs="宋体"/>
                <w:bCs/>
                <w:color w:val="auto"/>
                <w:sz w:val="22"/>
                <w:highlight w:val="none"/>
              </w:rPr>
              <w:t>的社保证明（</w:t>
            </w:r>
            <w:r>
              <w:rPr>
                <w:rFonts w:hint="eastAsia" w:ascii="宋体" w:hAnsi="宋体" w:eastAsia="宋体" w:cs="宋体"/>
                <w:bCs/>
                <w:color w:val="auto"/>
                <w:sz w:val="22"/>
                <w:highlight w:val="none"/>
                <w:lang w:val="en-US" w:eastAsia="zh-CN"/>
              </w:rPr>
              <w:t>2025年1</w:t>
            </w:r>
            <w:r>
              <w:rPr>
                <w:rFonts w:hint="eastAsia" w:ascii="宋体" w:hAnsi="宋体" w:eastAsia="宋体" w:cs="宋体"/>
                <w:bCs/>
                <w:color w:val="auto"/>
                <w:sz w:val="22"/>
                <w:highlight w:val="none"/>
              </w:rPr>
              <w:t>月</w:t>
            </w:r>
            <w:r>
              <w:rPr>
                <w:rFonts w:hint="eastAsia" w:ascii="宋体" w:hAnsi="宋体" w:eastAsia="宋体" w:cs="宋体"/>
                <w:bCs/>
                <w:color w:val="auto"/>
                <w:sz w:val="22"/>
                <w:highlight w:val="none"/>
                <w:lang w:val="en-US" w:eastAsia="zh-CN"/>
              </w:rPr>
              <w:t>至投标截止时间止任意一个月</w:t>
            </w:r>
            <w:r>
              <w:rPr>
                <w:rFonts w:hint="eastAsia" w:ascii="宋体" w:hAnsi="宋体" w:eastAsia="宋体" w:cs="宋体"/>
                <w:bCs/>
                <w:color w:val="auto"/>
                <w:sz w:val="22"/>
                <w:highlight w:val="none"/>
              </w:rPr>
              <w:t>）（已退休未满65岁的项目经理不用提供社保，但应附退休证明文件的扫描件），否则不计分。</w:t>
            </w:r>
          </w:p>
        </w:tc>
      </w:tr>
      <w:tr w14:paraId="0E6B09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vMerge w:val="continue"/>
            <w:tcBorders>
              <w:top w:val="single" w:color="auto" w:sz="4" w:space="0"/>
              <w:left w:val="single" w:color="auto" w:sz="4" w:space="0"/>
              <w:bottom w:val="single" w:color="auto" w:sz="4" w:space="0"/>
              <w:right w:val="single" w:color="auto" w:sz="4" w:space="0"/>
            </w:tcBorders>
            <w:vAlign w:val="center"/>
          </w:tcPr>
          <w:p w14:paraId="324B80AF">
            <w:pPr>
              <w:spacing w:line="360" w:lineRule="auto"/>
              <w:jc w:val="left"/>
              <w:rPr>
                <w:rFonts w:hint="eastAsia" w:ascii="宋体" w:hAnsi="宋体" w:eastAsia="宋体" w:cs="宋体"/>
                <w:b/>
                <w:color w:val="auto"/>
                <w:sz w:val="22"/>
                <w:highlight w:val="none"/>
              </w:rPr>
            </w:pPr>
          </w:p>
        </w:tc>
        <w:tc>
          <w:tcPr>
            <w:tcW w:w="936" w:type="pct"/>
            <w:gridSpan w:val="2"/>
            <w:tcBorders>
              <w:top w:val="single" w:color="auto" w:sz="4" w:space="0"/>
              <w:left w:val="single" w:color="auto" w:sz="4" w:space="0"/>
              <w:bottom w:val="outset" w:color="auto" w:sz="6" w:space="0"/>
              <w:right w:val="outset" w:color="auto" w:sz="6" w:space="0"/>
            </w:tcBorders>
            <w:vAlign w:val="center"/>
          </w:tcPr>
          <w:p w14:paraId="634D25F5">
            <w:pPr>
              <w:spacing w:line="360" w:lineRule="auto"/>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业绩信誉分（满分</w:t>
            </w:r>
            <w:r>
              <w:rPr>
                <w:rFonts w:hint="eastAsia" w:ascii="宋体" w:hAnsi="宋体" w:eastAsia="宋体" w:cs="宋体"/>
                <w:bCs/>
                <w:color w:val="auto"/>
                <w:sz w:val="22"/>
                <w:highlight w:val="none"/>
                <w:lang w:val="en-US" w:eastAsia="zh-CN"/>
              </w:rPr>
              <w:t>4</w:t>
            </w:r>
            <w:r>
              <w:rPr>
                <w:rFonts w:hint="eastAsia" w:ascii="宋体" w:hAnsi="宋体" w:eastAsia="宋体" w:cs="宋体"/>
                <w:bCs/>
                <w:color w:val="auto"/>
                <w:sz w:val="22"/>
                <w:highlight w:val="none"/>
              </w:rPr>
              <w:t>分）</w:t>
            </w:r>
          </w:p>
        </w:tc>
        <w:tc>
          <w:tcPr>
            <w:tcW w:w="3020" w:type="pct"/>
            <w:tcBorders>
              <w:top w:val="single" w:color="auto" w:sz="4" w:space="0"/>
              <w:left w:val="outset" w:color="auto" w:sz="6" w:space="0"/>
              <w:bottom w:val="outset" w:color="auto" w:sz="6" w:space="0"/>
              <w:right w:val="outset" w:color="auto" w:sz="6" w:space="0"/>
            </w:tcBorders>
            <w:vAlign w:val="center"/>
          </w:tcPr>
          <w:p w14:paraId="60FB847A">
            <w:pPr>
              <w:spacing w:line="360" w:lineRule="auto"/>
              <w:jc w:val="both"/>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供应商</w:t>
            </w:r>
            <w:r>
              <w:rPr>
                <w:rFonts w:hint="eastAsia" w:ascii="宋体" w:hAnsi="宋体" w:eastAsia="宋体" w:cs="宋体"/>
                <w:bCs/>
                <w:color w:val="auto"/>
                <w:sz w:val="22"/>
                <w:highlight w:val="none"/>
                <w:lang w:val="en-US" w:eastAsia="zh-CN"/>
              </w:rPr>
              <w:t>近</w:t>
            </w:r>
            <w:r>
              <w:rPr>
                <w:rFonts w:hint="eastAsia" w:ascii="宋体" w:hAnsi="宋体" w:eastAsia="宋体" w:cs="宋体"/>
                <w:bCs/>
                <w:color w:val="auto"/>
                <w:sz w:val="22"/>
                <w:highlight w:val="none"/>
              </w:rPr>
              <w:t>三年</w:t>
            </w:r>
            <w:r>
              <w:rPr>
                <w:rFonts w:hint="eastAsia" w:ascii="宋体" w:hAnsi="宋体" w:eastAsia="宋体" w:cs="宋体"/>
                <w:bCs/>
                <w:color w:val="auto"/>
                <w:sz w:val="22"/>
                <w:highlight w:val="none"/>
                <w:rtl w:val="0"/>
                <w:lang w:val="en-US" w:eastAsia="zh-CN"/>
              </w:rPr>
              <w:t>（从2022年6月至竞标截止日期止）</w:t>
            </w:r>
            <w:r>
              <w:rPr>
                <w:rFonts w:hint="eastAsia" w:ascii="宋体" w:hAnsi="宋体" w:eastAsia="宋体" w:cs="宋体"/>
                <w:bCs/>
                <w:color w:val="auto"/>
                <w:sz w:val="22"/>
                <w:highlight w:val="none"/>
                <w:lang w:val="en-US" w:eastAsia="zh-CN"/>
              </w:rPr>
              <w:t>完成过</w:t>
            </w:r>
            <w:r>
              <w:rPr>
                <w:rFonts w:hint="eastAsia" w:ascii="宋体" w:hAnsi="宋体" w:eastAsia="宋体" w:cs="宋体"/>
                <w:bCs/>
                <w:color w:val="auto"/>
                <w:sz w:val="22"/>
                <w:highlight w:val="none"/>
              </w:rPr>
              <w:t>类似业绩的每有一项得</w:t>
            </w:r>
            <w:r>
              <w:rPr>
                <w:rFonts w:hint="eastAsia" w:ascii="宋体" w:hAnsi="宋体" w:eastAsia="宋体" w:cs="宋体"/>
                <w:bCs/>
                <w:color w:val="auto"/>
                <w:sz w:val="22"/>
                <w:highlight w:val="none"/>
                <w:lang w:val="en-US" w:eastAsia="zh-CN"/>
              </w:rPr>
              <w:t>2</w:t>
            </w:r>
            <w:r>
              <w:rPr>
                <w:rFonts w:hint="eastAsia" w:ascii="宋体" w:hAnsi="宋体" w:eastAsia="宋体" w:cs="宋体"/>
                <w:bCs/>
                <w:color w:val="auto"/>
                <w:sz w:val="22"/>
                <w:highlight w:val="none"/>
              </w:rPr>
              <w:t>分，本项满分</w:t>
            </w:r>
            <w:r>
              <w:rPr>
                <w:rFonts w:hint="eastAsia" w:ascii="宋体" w:hAnsi="宋体" w:eastAsia="宋体" w:cs="宋体"/>
                <w:bCs/>
                <w:color w:val="auto"/>
                <w:sz w:val="22"/>
                <w:highlight w:val="none"/>
                <w:lang w:val="en-US" w:eastAsia="zh-CN"/>
              </w:rPr>
              <w:t>4</w:t>
            </w:r>
            <w:r>
              <w:rPr>
                <w:rFonts w:hint="eastAsia" w:ascii="宋体" w:hAnsi="宋体" w:eastAsia="宋体" w:cs="宋体"/>
                <w:bCs/>
                <w:color w:val="auto"/>
                <w:sz w:val="22"/>
                <w:highlight w:val="none"/>
              </w:rPr>
              <w:t>分。（相关类似业绩指</w:t>
            </w:r>
            <w:r>
              <w:rPr>
                <w:rFonts w:hint="eastAsia" w:ascii="宋体" w:hAnsi="宋体" w:eastAsia="宋体" w:cs="宋体"/>
                <w:bCs/>
                <w:color w:val="auto"/>
                <w:sz w:val="22"/>
                <w:highlight w:val="none"/>
                <w:lang w:val="en-US" w:eastAsia="zh-CN"/>
              </w:rPr>
              <w:t>建筑</w:t>
            </w:r>
            <w:r>
              <w:rPr>
                <w:rFonts w:hint="eastAsia" w:ascii="宋体" w:hAnsi="宋体" w:eastAsia="宋体" w:cs="宋体"/>
                <w:bCs/>
                <w:color w:val="auto"/>
                <w:sz w:val="22"/>
                <w:highlight w:val="none"/>
              </w:rPr>
              <w:t>工程施工</w:t>
            </w:r>
            <w:r>
              <w:rPr>
                <w:rFonts w:hint="eastAsia" w:ascii="宋体" w:hAnsi="宋体" w:eastAsia="宋体" w:cs="宋体"/>
                <w:bCs/>
                <w:color w:val="auto"/>
                <w:sz w:val="22"/>
                <w:highlight w:val="none"/>
                <w:lang w:val="en-US" w:eastAsia="zh-CN"/>
              </w:rPr>
              <w:t>或</w:t>
            </w:r>
            <w:r>
              <w:rPr>
                <w:rFonts w:hint="eastAsia" w:ascii="宋体" w:hAnsi="宋体" w:eastAsia="宋体" w:cs="宋体"/>
                <w:bCs/>
                <w:color w:val="auto"/>
                <w:sz w:val="22"/>
                <w:highlight w:val="none"/>
                <w:lang w:eastAsia="zh-CN"/>
              </w:rPr>
              <w:t>筑装修装饰工程</w:t>
            </w:r>
            <w:r>
              <w:rPr>
                <w:rFonts w:hint="eastAsia" w:ascii="宋体" w:hAnsi="宋体" w:eastAsia="宋体" w:cs="宋体"/>
                <w:bCs/>
                <w:color w:val="auto"/>
                <w:sz w:val="22"/>
                <w:highlight w:val="none"/>
                <w:lang w:val="en-US" w:eastAsia="zh-CN"/>
              </w:rPr>
              <w:t>施工</w:t>
            </w:r>
            <w:r>
              <w:rPr>
                <w:rFonts w:hint="eastAsia" w:ascii="宋体" w:hAnsi="宋体" w:eastAsia="宋体" w:cs="宋体"/>
                <w:bCs/>
                <w:color w:val="auto"/>
                <w:sz w:val="22"/>
                <w:highlight w:val="none"/>
              </w:rPr>
              <w:t>项目业绩。</w:t>
            </w:r>
            <w:r>
              <w:rPr>
                <w:rFonts w:hint="eastAsia" w:ascii="宋体" w:hAnsi="宋体" w:eastAsia="宋体" w:cs="宋体"/>
                <w:bCs/>
                <w:color w:val="auto"/>
                <w:sz w:val="22"/>
                <w:highlight w:val="none"/>
                <w:lang w:val="en-US" w:eastAsia="zh-CN"/>
              </w:rPr>
              <w:t>须</w:t>
            </w:r>
            <w:r>
              <w:rPr>
                <w:rFonts w:hint="eastAsia" w:ascii="宋体" w:hAnsi="宋体" w:eastAsia="宋体" w:cs="宋体"/>
                <w:bCs/>
                <w:color w:val="auto"/>
                <w:sz w:val="22"/>
                <w:highlight w:val="none"/>
                <w:lang w:eastAsia="zh-CN"/>
              </w:rPr>
              <w:t>提供</w:t>
            </w:r>
            <w:r>
              <w:rPr>
                <w:rFonts w:hint="eastAsia" w:ascii="宋体" w:hAnsi="宋体" w:eastAsia="宋体" w:cs="宋体"/>
                <w:bCs/>
                <w:color w:val="auto"/>
                <w:sz w:val="22"/>
                <w:highlight w:val="none"/>
              </w:rPr>
              <w:t>合同扫描件</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rPr>
              <w:t>竣工验收报告扫描件</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时间以</w:t>
            </w:r>
            <w:r>
              <w:rPr>
                <w:rFonts w:hint="eastAsia" w:ascii="宋体" w:hAnsi="宋体" w:eastAsia="宋体" w:cs="宋体"/>
                <w:bCs/>
                <w:color w:val="auto"/>
                <w:sz w:val="22"/>
                <w:highlight w:val="none"/>
              </w:rPr>
              <w:t>竣工验收</w:t>
            </w:r>
            <w:r>
              <w:rPr>
                <w:rFonts w:hint="eastAsia" w:ascii="宋体" w:hAnsi="宋体" w:eastAsia="宋体" w:cs="宋体"/>
                <w:bCs/>
                <w:color w:val="auto"/>
                <w:sz w:val="22"/>
                <w:highlight w:val="none"/>
                <w:lang w:val="en-US" w:eastAsia="zh-CN"/>
              </w:rPr>
              <w:t>时间</w:t>
            </w:r>
            <w:r>
              <w:rPr>
                <w:rFonts w:hint="eastAsia" w:ascii="宋体" w:hAnsi="宋体" w:eastAsia="宋体" w:cs="宋体"/>
                <w:bCs/>
                <w:color w:val="auto"/>
                <w:sz w:val="22"/>
                <w:highlight w:val="none"/>
              </w:rPr>
              <w:t>为准）</w:t>
            </w:r>
          </w:p>
        </w:tc>
      </w:tr>
      <w:tr w14:paraId="0109F81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vMerge w:val="restart"/>
            <w:tcBorders>
              <w:top w:val="single" w:color="auto" w:sz="4" w:space="0"/>
              <w:left w:val="outset" w:color="auto" w:sz="6" w:space="0"/>
              <w:bottom w:val="single" w:color="auto" w:sz="4" w:space="0"/>
              <w:right w:val="single" w:color="auto" w:sz="4" w:space="0"/>
            </w:tcBorders>
            <w:vAlign w:val="center"/>
          </w:tcPr>
          <w:p w14:paraId="0BEFC87C">
            <w:pPr>
              <w:spacing w:line="360" w:lineRule="auto"/>
              <w:jc w:val="left"/>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技术标评分标准(满分</w:t>
            </w:r>
            <w:r>
              <w:rPr>
                <w:rFonts w:hint="eastAsia" w:ascii="宋体" w:hAnsi="宋体" w:eastAsia="宋体" w:cs="宋体"/>
                <w:b/>
                <w:bCs/>
                <w:color w:val="auto"/>
                <w:sz w:val="22"/>
                <w:highlight w:val="none"/>
                <w:lang w:val="en-US" w:eastAsia="zh-CN"/>
              </w:rPr>
              <w:t>60</w:t>
            </w:r>
            <w:r>
              <w:rPr>
                <w:rFonts w:hint="eastAsia" w:ascii="宋体" w:hAnsi="宋体" w:eastAsia="宋体" w:cs="宋体"/>
                <w:b/>
                <w:bCs/>
                <w:color w:val="auto"/>
                <w:sz w:val="22"/>
                <w:highlight w:val="none"/>
              </w:rPr>
              <w:t>分)</w:t>
            </w:r>
          </w:p>
        </w:tc>
        <w:tc>
          <w:tcPr>
            <w:tcW w:w="465" w:type="pct"/>
            <w:vMerge w:val="restart"/>
            <w:tcBorders>
              <w:top w:val="single" w:color="auto" w:sz="4" w:space="0"/>
              <w:left w:val="single" w:color="auto" w:sz="4" w:space="0"/>
              <w:bottom w:val="single" w:color="auto" w:sz="4" w:space="0"/>
              <w:right w:val="single" w:color="auto" w:sz="4" w:space="0"/>
            </w:tcBorders>
            <w:vAlign w:val="center"/>
          </w:tcPr>
          <w:p w14:paraId="401B7475">
            <w:pPr>
              <w:spacing w:line="360" w:lineRule="auto"/>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施工组织设计方案（满分</w:t>
            </w:r>
            <w:r>
              <w:rPr>
                <w:rFonts w:hint="eastAsia" w:ascii="宋体" w:hAnsi="宋体" w:eastAsia="宋体" w:cs="宋体"/>
                <w:bCs/>
                <w:color w:val="auto"/>
                <w:sz w:val="22"/>
                <w:highlight w:val="none"/>
                <w:lang w:val="en-US" w:eastAsia="zh-CN"/>
              </w:rPr>
              <w:t>60</w:t>
            </w:r>
            <w:r>
              <w:rPr>
                <w:rFonts w:hint="eastAsia" w:ascii="宋体" w:hAnsi="宋体" w:eastAsia="宋体" w:cs="宋体"/>
                <w:bCs/>
                <w:color w:val="auto"/>
                <w:sz w:val="22"/>
                <w:highlight w:val="none"/>
              </w:rPr>
              <w:t>分）</w:t>
            </w:r>
          </w:p>
        </w:tc>
        <w:tc>
          <w:tcPr>
            <w:tcW w:w="470" w:type="pct"/>
            <w:tcBorders>
              <w:left w:val="single" w:color="auto" w:sz="4" w:space="0"/>
              <w:bottom w:val="outset" w:color="auto" w:sz="6" w:space="0"/>
              <w:right w:val="outset" w:color="auto" w:sz="6" w:space="0"/>
            </w:tcBorders>
            <w:vAlign w:val="center"/>
          </w:tcPr>
          <w:p w14:paraId="0FF729B7">
            <w:pPr>
              <w:spacing w:line="360" w:lineRule="auto"/>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主要施工方法（满分6分）</w:t>
            </w:r>
          </w:p>
        </w:tc>
        <w:tc>
          <w:tcPr>
            <w:tcW w:w="3020" w:type="pct"/>
            <w:tcBorders>
              <w:top w:val="outset" w:color="auto" w:sz="6" w:space="0"/>
              <w:left w:val="outset" w:color="auto" w:sz="6" w:space="0"/>
              <w:bottom w:val="outset" w:color="auto" w:sz="6" w:space="0"/>
              <w:right w:val="outset" w:color="auto" w:sz="6" w:space="0"/>
            </w:tcBorders>
            <w:vAlign w:val="center"/>
          </w:tcPr>
          <w:p w14:paraId="5AB8D9E8">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一档（</w:t>
            </w:r>
            <w:r>
              <w:rPr>
                <w:rFonts w:hint="eastAsia" w:ascii="宋体" w:hAnsi="宋体" w:eastAsia="宋体" w:cs="宋体"/>
                <w:b/>
                <w:color w:val="auto"/>
                <w:sz w:val="22"/>
                <w:highlight w:val="none"/>
                <w:lang w:val="en-US" w:eastAsia="zh-CN"/>
              </w:rPr>
              <w:t>0</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w:t>
            </w:r>
            <w:r>
              <w:rPr>
                <w:rFonts w:hint="eastAsia" w:ascii="宋体" w:hAnsi="宋体" w:eastAsia="宋体" w:cs="宋体"/>
                <w:bCs/>
                <w:color w:val="auto"/>
                <w:sz w:val="22"/>
                <w:highlight w:val="none"/>
                <w:lang w:val="en-US" w:eastAsia="zh-CN"/>
              </w:rPr>
              <w:t>未提供主要施工方法的或</w:t>
            </w:r>
            <w:r>
              <w:rPr>
                <w:rFonts w:hint="eastAsia" w:ascii="宋体" w:hAnsi="宋体" w:eastAsia="宋体" w:cs="宋体"/>
                <w:bCs/>
                <w:color w:val="auto"/>
                <w:sz w:val="22"/>
                <w:highlight w:val="none"/>
              </w:rPr>
              <w:t>各主要分部施工方法针对性差，施工技术方案差，工艺落后、方法不合理，不能指导具体施工和确保安全。</w:t>
            </w:r>
          </w:p>
          <w:p w14:paraId="7983877C">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二档（</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：各主要分部施工方法基本符合项目实际，施工技术方案基本齐全，方法基本合理、基本可行，基本能指导具体施工并确保安全。</w:t>
            </w:r>
          </w:p>
          <w:p w14:paraId="51C46C28">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三档（</w:t>
            </w: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：各主要分部施工方法符合项目实际，施工技术方案齐全，工艺成熟、方法合理、可行，能指导具体施工并确保安全。</w:t>
            </w:r>
          </w:p>
          <w:p w14:paraId="2186E236">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
                <w:color w:val="auto"/>
                <w:sz w:val="22"/>
                <w:highlight w:val="none"/>
              </w:rPr>
              <w:t>四档（</w:t>
            </w: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：各主要分部施工方法针对性强</w:t>
            </w:r>
            <w:r>
              <w:rPr>
                <w:rFonts w:hint="eastAsia" w:ascii="宋体" w:hAnsi="宋体" w:eastAsia="宋体" w:cs="宋体"/>
                <w:bCs/>
                <w:color w:val="auto"/>
                <w:sz w:val="22"/>
                <w:highlight w:val="none"/>
                <w:lang w:val="en-US" w:eastAsia="zh-CN"/>
              </w:rPr>
              <w:t>完全符合实际</w:t>
            </w:r>
            <w:r>
              <w:rPr>
                <w:rFonts w:hint="eastAsia" w:ascii="宋体" w:hAnsi="宋体" w:eastAsia="宋体" w:cs="宋体"/>
                <w:bCs/>
                <w:color w:val="auto"/>
                <w:sz w:val="22"/>
                <w:highlight w:val="none"/>
              </w:rPr>
              <w:t>，施工技术方案详尽周密，工艺先进、方法科学、可行，能很好的指导具体施工并确保安全。</w:t>
            </w:r>
          </w:p>
        </w:tc>
      </w:tr>
      <w:tr w14:paraId="379BF7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vMerge w:val="continue"/>
            <w:tcBorders>
              <w:top w:val="single" w:color="auto" w:sz="4" w:space="0"/>
              <w:left w:val="outset" w:color="auto" w:sz="6" w:space="0"/>
              <w:bottom w:val="single" w:color="auto" w:sz="4" w:space="0"/>
              <w:right w:val="single" w:color="auto" w:sz="4" w:space="0"/>
            </w:tcBorders>
            <w:vAlign w:val="center"/>
          </w:tcPr>
          <w:p w14:paraId="2376CF17">
            <w:pPr>
              <w:spacing w:line="360" w:lineRule="auto"/>
              <w:jc w:val="left"/>
              <w:rPr>
                <w:rFonts w:hint="eastAsia" w:ascii="宋体" w:hAnsi="宋体" w:eastAsia="宋体" w:cs="宋体"/>
                <w:b/>
                <w:color w:val="auto"/>
                <w:sz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vAlign w:val="center"/>
          </w:tcPr>
          <w:p w14:paraId="04460FD4">
            <w:pPr>
              <w:spacing w:line="360" w:lineRule="auto"/>
              <w:jc w:val="left"/>
              <w:rPr>
                <w:rFonts w:hint="eastAsia" w:ascii="宋体" w:hAnsi="宋体" w:eastAsia="宋体" w:cs="宋体"/>
                <w:bCs/>
                <w:color w:val="auto"/>
                <w:sz w:val="22"/>
                <w:highlight w:val="none"/>
              </w:rPr>
            </w:pPr>
          </w:p>
        </w:tc>
        <w:tc>
          <w:tcPr>
            <w:tcW w:w="470" w:type="pct"/>
            <w:tcBorders>
              <w:left w:val="single" w:color="auto" w:sz="4" w:space="0"/>
              <w:bottom w:val="outset" w:color="auto" w:sz="6" w:space="0"/>
              <w:right w:val="outset" w:color="auto" w:sz="6" w:space="0"/>
            </w:tcBorders>
            <w:vAlign w:val="center"/>
          </w:tcPr>
          <w:p w14:paraId="1070E683">
            <w:pPr>
              <w:spacing w:line="360" w:lineRule="auto"/>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拟投入的主要物资计划（满分</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分）</w:t>
            </w:r>
          </w:p>
        </w:tc>
        <w:tc>
          <w:tcPr>
            <w:tcW w:w="3020" w:type="pct"/>
            <w:tcBorders>
              <w:top w:val="outset" w:color="auto" w:sz="6" w:space="0"/>
              <w:left w:val="outset" w:color="auto" w:sz="6" w:space="0"/>
              <w:bottom w:val="outset" w:color="auto" w:sz="6" w:space="0"/>
              <w:right w:val="outset" w:color="auto" w:sz="6" w:space="0"/>
            </w:tcBorders>
            <w:vAlign w:val="center"/>
          </w:tcPr>
          <w:p w14:paraId="11CAF7DA">
            <w:pPr>
              <w:widowControl/>
              <w:spacing w:line="360" w:lineRule="auto"/>
              <w:jc w:val="both"/>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一档（</w:t>
            </w:r>
            <w:r>
              <w:rPr>
                <w:rFonts w:hint="eastAsia" w:ascii="宋体" w:hAnsi="宋体" w:eastAsia="宋体" w:cs="宋体"/>
                <w:b/>
                <w:color w:val="auto"/>
                <w:sz w:val="22"/>
                <w:highlight w:val="none"/>
                <w:lang w:val="en-US" w:eastAsia="zh-CN"/>
              </w:rPr>
              <w:t>0</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lang w:val="en-US" w:eastAsia="zh-CN"/>
              </w:rPr>
              <w:t>未提供</w:t>
            </w:r>
            <w:r>
              <w:rPr>
                <w:rFonts w:hint="eastAsia" w:ascii="宋体" w:hAnsi="宋体" w:eastAsia="宋体" w:cs="宋体"/>
                <w:color w:val="auto"/>
                <w:sz w:val="22"/>
                <w:highlight w:val="none"/>
              </w:rPr>
              <w:t>拟投入的主要物资计划</w:t>
            </w:r>
            <w:r>
              <w:rPr>
                <w:rFonts w:hint="eastAsia" w:ascii="宋体" w:hAnsi="宋体" w:eastAsia="宋体" w:cs="宋体"/>
                <w:bCs/>
                <w:color w:val="auto"/>
                <w:sz w:val="22"/>
                <w:highlight w:val="none"/>
                <w:lang w:val="en-US" w:eastAsia="zh-CN"/>
              </w:rPr>
              <w:t>的或</w:t>
            </w:r>
            <w:r>
              <w:rPr>
                <w:rFonts w:hint="eastAsia" w:ascii="宋体" w:hAnsi="宋体" w:eastAsia="宋体" w:cs="宋体"/>
                <w:color w:val="auto"/>
                <w:sz w:val="22"/>
                <w:highlight w:val="none"/>
              </w:rPr>
              <w:t>投入的施工材料的组织计划差，投入计划与进度计划不呼应，不能满足施工需要。</w:t>
            </w:r>
          </w:p>
          <w:p w14:paraId="329AF9C5">
            <w:pPr>
              <w:widowControl/>
              <w:spacing w:line="360" w:lineRule="auto"/>
              <w:jc w:val="both"/>
              <w:rPr>
                <w:rFonts w:hint="eastAsia" w:ascii="宋体" w:hAnsi="宋体" w:eastAsia="宋体" w:cs="宋体"/>
                <w:color w:val="auto"/>
                <w:sz w:val="22"/>
                <w:highlight w:val="none"/>
              </w:rPr>
            </w:pPr>
            <w:r>
              <w:rPr>
                <w:rFonts w:hint="eastAsia" w:ascii="宋体" w:hAnsi="宋体" w:eastAsia="宋体" w:cs="宋体"/>
                <w:b/>
                <w:color w:val="auto"/>
                <w:sz w:val="22"/>
                <w:highlight w:val="none"/>
              </w:rPr>
              <w:t>二档（</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分）：</w:t>
            </w:r>
            <w:r>
              <w:rPr>
                <w:rFonts w:hint="eastAsia" w:ascii="宋体" w:hAnsi="宋体" w:eastAsia="宋体" w:cs="宋体"/>
                <w:color w:val="auto"/>
                <w:sz w:val="22"/>
                <w:highlight w:val="none"/>
              </w:rPr>
              <w:t>投入的施工材料有详细的组织计划，投入计划与进度计划呼应，基本满足施工需要，调配投入计划基本合理。</w:t>
            </w:r>
          </w:p>
          <w:p w14:paraId="4B10D227">
            <w:pPr>
              <w:widowControl/>
              <w:spacing w:line="360" w:lineRule="auto"/>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三档（</w:t>
            </w: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分）：</w:t>
            </w:r>
            <w:r>
              <w:rPr>
                <w:rFonts w:hint="eastAsia" w:ascii="宋体" w:hAnsi="宋体" w:eastAsia="宋体" w:cs="宋体"/>
                <w:color w:val="auto"/>
                <w:sz w:val="22"/>
                <w:highlight w:val="none"/>
              </w:rPr>
              <w:t>投入的施工材料有详细的组织计划，投入计划与进度计划呼应，满足施工需要，调配投入计划较合理、准确。</w:t>
            </w:r>
          </w:p>
          <w:p w14:paraId="64A67DC3">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2"/>
                <w:highlight w:val="none"/>
              </w:rPr>
              <w:t>四档（</w:t>
            </w: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分）：</w:t>
            </w:r>
            <w:r>
              <w:rPr>
                <w:rFonts w:hint="eastAsia" w:ascii="宋体" w:hAnsi="宋体" w:eastAsia="宋体" w:cs="宋体"/>
                <w:color w:val="auto"/>
                <w:sz w:val="22"/>
                <w:highlight w:val="none"/>
              </w:rPr>
              <w:t>投入的施工材料有详细的组织计划且计划周密，投入计划与进度计划呼应，能很好的满足施工需要，调配投入计划合理、准确。</w:t>
            </w:r>
          </w:p>
        </w:tc>
      </w:tr>
      <w:tr w14:paraId="3035297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vMerge w:val="continue"/>
            <w:tcBorders>
              <w:top w:val="single" w:color="auto" w:sz="4" w:space="0"/>
              <w:left w:val="outset" w:color="auto" w:sz="6" w:space="0"/>
              <w:bottom w:val="single" w:color="auto" w:sz="4" w:space="0"/>
              <w:right w:val="single" w:color="auto" w:sz="4" w:space="0"/>
            </w:tcBorders>
            <w:vAlign w:val="center"/>
          </w:tcPr>
          <w:p w14:paraId="4180451A">
            <w:pPr>
              <w:spacing w:line="360" w:lineRule="auto"/>
              <w:jc w:val="left"/>
              <w:rPr>
                <w:rFonts w:hint="eastAsia" w:ascii="宋体" w:hAnsi="宋体" w:eastAsia="宋体" w:cs="宋体"/>
                <w:b/>
                <w:color w:val="auto"/>
                <w:sz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vAlign w:val="center"/>
          </w:tcPr>
          <w:p w14:paraId="00823956">
            <w:pPr>
              <w:spacing w:line="360" w:lineRule="auto"/>
              <w:jc w:val="left"/>
              <w:rPr>
                <w:rFonts w:hint="eastAsia" w:ascii="宋体" w:hAnsi="宋体" w:eastAsia="宋体" w:cs="宋体"/>
                <w:color w:val="auto"/>
                <w:sz w:val="22"/>
                <w:highlight w:val="none"/>
              </w:rPr>
            </w:pPr>
          </w:p>
        </w:tc>
        <w:tc>
          <w:tcPr>
            <w:tcW w:w="470" w:type="pct"/>
            <w:tcBorders>
              <w:left w:val="single" w:color="auto" w:sz="4" w:space="0"/>
              <w:bottom w:val="outset" w:color="auto" w:sz="6" w:space="0"/>
              <w:right w:val="outset" w:color="auto" w:sz="6" w:space="0"/>
            </w:tcBorders>
            <w:vAlign w:val="center"/>
          </w:tcPr>
          <w:p w14:paraId="75FA6082">
            <w:pPr>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拟投入的主要施工机械、设备计划（满分</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分）</w:t>
            </w:r>
          </w:p>
        </w:tc>
        <w:tc>
          <w:tcPr>
            <w:tcW w:w="3020" w:type="pct"/>
            <w:tcBorders>
              <w:top w:val="outset" w:color="auto" w:sz="6" w:space="0"/>
              <w:left w:val="outset" w:color="auto" w:sz="6" w:space="0"/>
              <w:bottom w:val="outset" w:color="auto" w:sz="6" w:space="0"/>
              <w:right w:val="outset" w:color="auto" w:sz="6" w:space="0"/>
            </w:tcBorders>
            <w:vAlign w:val="center"/>
          </w:tcPr>
          <w:p w14:paraId="382AE063">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一档（</w:t>
            </w:r>
            <w:r>
              <w:rPr>
                <w:rFonts w:hint="eastAsia" w:ascii="宋体" w:hAnsi="宋体" w:eastAsia="宋体" w:cs="宋体"/>
                <w:b/>
                <w:color w:val="auto"/>
                <w:sz w:val="22"/>
                <w:highlight w:val="none"/>
                <w:lang w:val="en-US" w:eastAsia="zh-CN"/>
              </w:rPr>
              <w:t>0</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w:t>
            </w:r>
            <w:r>
              <w:rPr>
                <w:rFonts w:hint="eastAsia" w:ascii="宋体" w:hAnsi="宋体" w:eastAsia="宋体" w:cs="宋体"/>
                <w:bCs/>
                <w:color w:val="auto"/>
                <w:sz w:val="22"/>
                <w:highlight w:val="none"/>
                <w:lang w:val="en-US" w:eastAsia="zh-CN"/>
              </w:rPr>
              <w:t>未提供</w:t>
            </w:r>
            <w:r>
              <w:rPr>
                <w:rFonts w:hint="eastAsia" w:ascii="宋体" w:hAnsi="宋体" w:eastAsia="宋体" w:cs="宋体"/>
                <w:color w:val="auto"/>
                <w:sz w:val="22"/>
                <w:highlight w:val="none"/>
              </w:rPr>
              <w:t>拟投入的主要施工机械、设备计划</w:t>
            </w:r>
            <w:r>
              <w:rPr>
                <w:rFonts w:hint="eastAsia" w:ascii="宋体" w:hAnsi="宋体" w:eastAsia="宋体" w:cs="宋体"/>
                <w:bCs/>
                <w:color w:val="auto"/>
                <w:sz w:val="22"/>
                <w:highlight w:val="none"/>
                <w:lang w:val="en-US" w:eastAsia="zh-CN"/>
              </w:rPr>
              <w:t>的或</w:t>
            </w:r>
            <w:r>
              <w:rPr>
                <w:rFonts w:hint="eastAsia" w:ascii="宋体" w:hAnsi="宋体" w:eastAsia="宋体" w:cs="宋体"/>
                <w:bCs/>
                <w:color w:val="auto"/>
                <w:sz w:val="22"/>
                <w:highlight w:val="none"/>
              </w:rPr>
              <w:t>投入的施工机械、设备、机具组织计划差，投入计划与进度计划不呼应，不能满足施工需要。</w:t>
            </w:r>
          </w:p>
          <w:p w14:paraId="24F3C2FC">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二档（</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：投入的施工机械、设备、机具有组织计划，设备数量、选型配置、进场投入计划与进度计划呼应，基本满足施工需要。</w:t>
            </w:r>
          </w:p>
          <w:p w14:paraId="0E3A0FFC">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三档（</w:t>
            </w: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：投入的施工机械、设备、机具有详细的组织计划，设备数量、选型配置、进场投入计划与进度计划呼应，满足施工需要。</w:t>
            </w:r>
          </w:p>
          <w:p w14:paraId="6377865E">
            <w:pPr>
              <w:widowControl/>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
                <w:color w:val="auto"/>
                <w:sz w:val="22"/>
                <w:highlight w:val="none"/>
              </w:rPr>
              <w:t>四档（</w:t>
            </w: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：投入的施工机械、设备、机具有详细的组织计划且计划周密，设备数量、选型配置、进场时间安排合理，能很好的满足施工需要。</w:t>
            </w:r>
          </w:p>
        </w:tc>
      </w:tr>
      <w:tr w14:paraId="55649A7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vMerge w:val="continue"/>
            <w:tcBorders>
              <w:top w:val="single" w:color="auto" w:sz="4" w:space="0"/>
              <w:left w:val="outset" w:color="auto" w:sz="6" w:space="0"/>
              <w:bottom w:val="single" w:color="auto" w:sz="4" w:space="0"/>
              <w:right w:val="single" w:color="auto" w:sz="4" w:space="0"/>
            </w:tcBorders>
            <w:vAlign w:val="center"/>
          </w:tcPr>
          <w:p w14:paraId="5F36E457">
            <w:pPr>
              <w:spacing w:line="360" w:lineRule="auto"/>
              <w:jc w:val="left"/>
              <w:rPr>
                <w:rFonts w:hint="eastAsia" w:ascii="宋体" w:hAnsi="宋体" w:eastAsia="宋体" w:cs="宋体"/>
                <w:b/>
                <w:color w:val="auto"/>
                <w:sz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vAlign w:val="center"/>
          </w:tcPr>
          <w:p w14:paraId="40C1CA71">
            <w:pPr>
              <w:spacing w:line="360" w:lineRule="auto"/>
              <w:jc w:val="left"/>
              <w:rPr>
                <w:rFonts w:hint="eastAsia" w:ascii="宋体" w:hAnsi="宋体" w:eastAsia="宋体" w:cs="宋体"/>
                <w:bCs/>
                <w:color w:val="auto"/>
                <w:sz w:val="22"/>
                <w:highlight w:val="none"/>
              </w:rPr>
            </w:pPr>
          </w:p>
        </w:tc>
        <w:tc>
          <w:tcPr>
            <w:tcW w:w="470" w:type="pct"/>
            <w:tcBorders>
              <w:left w:val="single" w:color="auto" w:sz="4" w:space="0"/>
              <w:bottom w:val="outset" w:color="auto" w:sz="6" w:space="0"/>
              <w:right w:val="outset" w:color="auto" w:sz="6" w:space="0"/>
            </w:tcBorders>
            <w:vAlign w:val="center"/>
          </w:tcPr>
          <w:p w14:paraId="57D772A9">
            <w:pPr>
              <w:spacing w:line="360" w:lineRule="auto"/>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劳动力安排计划（满分</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分）</w:t>
            </w:r>
          </w:p>
        </w:tc>
        <w:tc>
          <w:tcPr>
            <w:tcW w:w="3020" w:type="pct"/>
            <w:tcBorders>
              <w:top w:val="outset" w:color="auto" w:sz="6" w:space="0"/>
              <w:left w:val="outset" w:color="auto" w:sz="6" w:space="0"/>
              <w:bottom w:val="outset" w:color="auto" w:sz="6" w:space="0"/>
              <w:right w:val="outset" w:color="auto" w:sz="6" w:space="0"/>
            </w:tcBorders>
            <w:vAlign w:val="center"/>
          </w:tcPr>
          <w:p w14:paraId="49BC0B31">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一档（</w:t>
            </w:r>
            <w:r>
              <w:rPr>
                <w:rFonts w:hint="eastAsia" w:ascii="宋体" w:hAnsi="宋体" w:eastAsia="宋体" w:cs="宋体"/>
                <w:b/>
                <w:color w:val="auto"/>
                <w:sz w:val="22"/>
                <w:highlight w:val="none"/>
                <w:lang w:val="en-US" w:eastAsia="zh-CN"/>
              </w:rPr>
              <w:t>0</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w:t>
            </w:r>
            <w:r>
              <w:rPr>
                <w:rFonts w:hint="eastAsia" w:ascii="宋体" w:hAnsi="宋体" w:eastAsia="宋体" w:cs="宋体"/>
                <w:bCs/>
                <w:color w:val="auto"/>
                <w:sz w:val="22"/>
                <w:highlight w:val="none"/>
                <w:lang w:val="en-US" w:eastAsia="zh-CN"/>
              </w:rPr>
              <w:t>未提供</w:t>
            </w:r>
            <w:r>
              <w:rPr>
                <w:rFonts w:hint="eastAsia" w:ascii="宋体" w:hAnsi="宋体" w:eastAsia="宋体" w:cs="宋体"/>
                <w:color w:val="auto"/>
                <w:sz w:val="22"/>
                <w:highlight w:val="none"/>
              </w:rPr>
              <w:t>劳动力安排计划</w:t>
            </w:r>
            <w:r>
              <w:rPr>
                <w:rFonts w:hint="eastAsia" w:ascii="宋体" w:hAnsi="宋体" w:eastAsia="宋体" w:cs="宋体"/>
                <w:bCs/>
                <w:color w:val="auto"/>
                <w:sz w:val="22"/>
                <w:highlight w:val="none"/>
                <w:lang w:val="en-US" w:eastAsia="zh-CN"/>
              </w:rPr>
              <w:t>的或</w:t>
            </w:r>
            <w:r>
              <w:rPr>
                <w:rFonts w:hint="eastAsia" w:ascii="宋体" w:hAnsi="宋体" w:eastAsia="宋体" w:cs="宋体"/>
                <w:bCs/>
                <w:color w:val="auto"/>
                <w:sz w:val="22"/>
                <w:highlight w:val="none"/>
              </w:rPr>
              <w:t>各主要施工工序劳动力安排计划不全，无各工种劳动力安排计划或计划不全，劳动力投入不合理，不能满足施工需要。</w:t>
            </w:r>
          </w:p>
          <w:p w14:paraId="754D6EA8">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二档（</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：各主要施工工序应有劳动力安排计划，有各工种劳动力安排计划，劳动力投入基本合理，基本满足施工需要。</w:t>
            </w:r>
          </w:p>
          <w:p w14:paraId="4C6F6DF5">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三档（</w:t>
            </w: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：各主要施工工序有详细的劳动力安排计划，有各工种劳动力安排计划，劳动力投入合理，满足施工需要。</w:t>
            </w:r>
          </w:p>
          <w:p w14:paraId="227F302B">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四档（</w:t>
            </w: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：各主要施工工序有详细周密的劳动力安排计划，各工种劳动力安排计划齐全，劳动力投入与进度计划呼应合理，能很好的满足施工需要。</w:t>
            </w:r>
          </w:p>
        </w:tc>
      </w:tr>
      <w:tr w14:paraId="314CA7B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vMerge w:val="continue"/>
            <w:tcBorders>
              <w:top w:val="single" w:color="auto" w:sz="4" w:space="0"/>
              <w:left w:val="outset" w:color="auto" w:sz="6" w:space="0"/>
              <w:bottom w:val="single" w:color="auto" w:sz="4" w:space="0"/>
              <w:right w:val="single" w:color="auto" w:sz="4" w:space="0"/>
            </w:tcBorders>
            <w:vAlign w:val="center"/>
          </w:tcPr>
          <w:p w14:paraId="5599D61A">
            <w:pPr>
              <w:spacing w:line="360" w:lineRule="auto"/>
              <w:jc w:val="left"/>
              <w:rPr>
                <w:rFonts w:hint="eastAsia" w:ascii="宋体" w:hAnsi="宋体" w:eastAsia="宋体" w:cs="宋体"/>
                <w:b/>
                <w:color w:val="auto"/>
                <w:sz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vAlign w:val="center"/>
          </w:tcPr>
          <w:p w14:paraId="12BF79CB">
            <w:pPr>
              <w:spacing w:line="360" w:lineRule="auto"/>
              <w:jc w:val="left"/>
              <w:rPr>
                <w:rFonts w:hint="eastAsia" w:ascii="宋体" w:hAnsi="宋体" w:eastAsia="宋体" w:cs="宋体"/>
                <w:bCs/>
                <w:color w:val="auto"/>
                <w:sz w:val="22"/>
                <w:highlight w:val="none"/>
              </w:rPr>
            </w:pPr>
          </w:p>
        </w:tc>
        <w:tc>
          <w:tcPr>
            <w:tcW w:w="470" w:type="pct"/>
            <w:tcBorders>
              <w:left w:val="single" w:color="auto" w:sz="4" w:space="0"/>
              <w:bottom w:val="outset" w:color="auto" w:sz="6" w:space="0"/>
              <w:right w:val="outset" w:color="auto" w:sz="6" w:space="0"/>
            </w:tcBorders>
            <w:vAlign w:val="center"/>
          </w:tcPr>
          <w:p w14:paraId="659359F4">
            <w:pPr>
              <w:spacing w:line="360" w:lineRule="auto"/>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确保工程质量的技术组织措施（满分</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分）</w:t>
            </w:r>
          </w:p>
        </w:tc>
        <w:tc>
          <w:tcPr>
            <w:tcW w:w="3020" w:type="pct"/>
            <w:tcBorders>
              <w:top w:val="outset" w:color="auto" w:sz="6" w:space="0"/>
              <w:left w:val="outset" w:color="auto" w:sz="6" w:space="0"/>
              <w:bottom w:val="outset" w:color="auto" w:sz="6" w:space="0"/>
              <w:right w:val="outset" w:color="auto" w:sz="6" w:space="0"/>
            </w:tcBorders>
            <w:vAlign w:val="center"/>
          </w:tcPr>
          <w:p w14:paraId="4C195913">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一档（</w:t>
            </w:r>
            <w:r>
              <w:rPr>
                <w:rFonts w:hint="eastAsia" w:ascii="宋体" w:hAnsi="宋体" w:eastAsia="宋体" w:cs="宋体"/>
                <w:b/>
                <w:color w:val="auto"/>
                <w:sz w:val="22"/>
                <w:highlight w:val="none"/>
                <w:lang w:val="en-US" w:eastAsia="zh-CN"/>
              </w:rPr>
              <w:t>0</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w:t>
            </w:r>
            <w:r>
              <w:rPr>
                <w:rFonts w:hint="eastAsia" w:ascii="宋体" w:hAnsi="宋体" w:eastAsia="宋体" w:cs="宋体"/>
                <w:bCs/>
                <w:color w:val="auto"/>
                <w:sz w:val="22"/>
                <w:highlight w:val="none"/>
                <w:lang w:val="en-US" w:eastAsia="zh-CN"/>
              </w:rPr>
              <w:t>未提供</w:t>
            </w:r>
            <w:r>
              <w:rPr>
                <w:rFonts w:hint="eastAsia" w:ascii="宋体" w:hAnsi="宋体" w:eastAsia="宋体" w:cs="宋体"/>
                <w:color w:val="auto"/>
                <w:sz w:val="22"/>
                <w:highlight w:val="none"/>
              </w:rPr>
              <w:t>工程质量</w:t>
            </w:r>
            <w:r>
              <w:rPr>
                <w:rFonts w:hint="eastAsia" w:ascii="宋体" w:hAnsi="宋体" w:eastAsia="宋体" w:cs="宋体"/>
                <w:color w:val="auto"/>
                <w:sz w:val="22"/>
                <w:highlight w:val="none"/>
                <w:lang w:val="en-US" w:eastAsia="zh-CN"/>
              </w:rPr>
              <w:t>的</w:t>
            </w:r>
            <w:r>
              <w:rPr>
                <w:rFonts w:hint="eastAsia" w:ascii="宋体" w:hAnsi="宋体" w:eastAsia="宋体" w:cs="宋体"/>
                <w:color w:val="auto"/>
                <w:sz w:val="22"/>
                <w:highlight w:val="none"/>
              </w:rPr>
              <w:t>技术组织措施</w:t>
            </w:r>
            <w:r>
              <w:rPr>
                <w:rFonts w:hint="eastAsia" w:ascii="宋体" w:hAnsi="宋体" w:eastAsia="宋体" w:cs="宋体"/>
                <w:bCs/>
                <w:color w:val="auto"/>
                <w:sz w:val="22"/>
                <w:highlight w:val="none"/>
                <w:lang w:val="en-US" w:eastAsia="zh-CN"/>
              </w:rPr>
              <w:t>的或</w:t>
            </w:r>
            <w:r>
              <w:rPr>
                <w:rFonts w:hint="eastAsia" w:ascii="宋体" w:hAnsi="宋体" w:eastAsia="宋体" w:cs="宋体"/>
                <w:bCs/>
                <w:color w:val="auto"/>
                <w:sz w:val="22"/>
                <w:highlight w:val="none"/>
              </w:rPr>
              <w:t>质量技术管理班子人员配备不合理，制度不健全。质量技术保证措施和手段不可行，没有质量违约责任承诺。</w:t>
            </w:r>
          </w:p>
          <w:p w14:paraId="43560C32">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二档（</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：质量技术管理班子人员配备基本合理，制度基本健全。主要工序有质量技术保证措施和手段，能有效保证技术质量，满足招标文件的质量要求。</w:t>
            </w:r>
          </w:p>
          <w:p w14:paraId="14BF086C">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三档（</w:t>
            </w: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：有专门的质量技术管理班子和制度，且人员配备合理，制度健全。主要工序有质量技术保证措施和手段，自控体系完整，能有效保证技术质量，达到承诺的质量标准。</w:t>
            </w:r>
          </w:p>
          <w:p w14:paraId="09214AA9">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四档（6分）</w:t>
            </w:r>
            <w:r>
              <w:rPr>
                <w:rFonts w:hint="eastAsia" w:ascii="宋体" w:hAnsi="宋体" w:eastAsia="宋体" w:cs="宋体"/>
                <w:bCs/>
                <w:color w:val="auto"/>
                <w:sz w:val="22"/>
                <w:highlight w:val="none"/>
              </w:rPr>
              <w:t>：有专门的质量技术管理班子和制度，且人员配备合理，制度健全。主要工序有质量技术保证措施和手段，且先进、可行、具体，高于采购文件的质量要求及施工验收规范要求，达到承诺的质量标准。</w:t>
            </w:r>
          </w:p>
        </w:tc>
      </w:tr>
      <w:tr w14:paraId="7B18F10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vMerge w:val="continue"/>
            <w:tcBorders>
              <w:top w:val="single" w:color="auto" w:sz="4" w:space="0"/>
              <w:left w:val="outset" w:color="auto" w:sz="6" w:space="0"/>
              <w:bottom w:val="single" w:color="auto" w:sz="4" w:space="0"/>
              <w:right w:val="single" w:color="auto" w:sz="4" w:space="0"/>
            </w:tcBorders>
            <w:vAlign w:val="center"/>
          </w:tcPr>
          <w:p w14:paraId="5A65917B">
            <w:pPr>
              <w:spacing w:line="360" w:lineRule="auto"/>
              <w:jc w:val="left"/>
              <w:rPr>
                <w:rFonts w:hint="eastAsia" w:ascii="宋体" w:hAnsi="宋体" w:eastAsia="宋体" w:cs="宋体"/>
                <w:b/>
                <w:color w:val="auto"/>
                <w:sz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vAlign w:val="center"/>
          </w:tcPr>
          <w:p w14:paraId="66F1A794">
            <w:pPr>
              <w:spacing w:line="360" w:lineRule="auto"/>
              <w:jc w:val="left"/>
              <w:rPr>
                <w:rFonts w:hint="eastAsia" w:ascii="宋体" w:hAnsi="宋体" w:eastAsia="宋体" w:cs="宋体"/>
                <w:bCs/>
                <w:color w:val="auto"/>
                <w:sz w:val="22"/>
                <w:highlight w:val="none"/>
              </w:rPr>
            </w:pPr>
          </w:p>
        </w:tc>
        <w:tc>
          <w:tcPr>
            <w:tcW w:w="470" w:type="pct"/>
            <w:tcBorders>
              <w:left w:val="single" w:color="auto" w:sz="4" w:space="0"/>
              <w:bottom w:val="outset" w:color="auto" w:sz="6" w:space="0"/>
              <w:right w:val="outset" w:color="auto" w:sz="6" w:space="0"/>
            </w:tcBorders>
            <w:vAlign w:val="center"/>
          </w:tcPr>
          <w:p w14:paraId="1015FA62">
            <w:pPr>
              <w:spacing w:line="360" w:lineRule="auto"/>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确保安全生产的技术组织措施（满分</w:t>
            </w:r>
            <w:r>
              <w:rPr>
                <w:rFonts w:hint="eastAsia" w:ascii="宋体" w:hAnsi="宋体" w:eastAsia="宋体" w:cs="宋体"/>
                <w:bCs/>
                <w:color w:val="auto"/>
                <w:sz w:val="22"/>
                <w:highlight w:val="none"/>
                <w:lang w:val="en-US" w:eastAsia="zh-CN"/>
              </w:rPr>
              <w:t>6</w:t>
            </w:r>
            <w:r>
              <w:rPr>
                <w:rFonts w:hint="eastAsia" w:ascii="宋体" w:hAnsi="宋体" w:eastAsia="宋体" w:cs="宋体"/>
                <w:bCs/>
                <w:color w:val="auto"/>
                <w:sz w:val="22"/>
                <w:highlight w:val="none"/>
              </w:rPr>
              <w:t>分）</w:t>
            </w:r>
          </w:p>
        </w:tc>
        <w:tc>
          <w:tcPr>
            <w:tcW w:w="3020" w:type="pct"/>
            <w:tcBorders>
              <w:top w:val="outset" w:color="auto" w:sz="6" w:space="0"/>
              <w:left w:val="outset" w:color="auto" w:sz="6" w:space="0"/>
              <w:bottom w:val="outset" w:color="auto" w:sz="6" w:space="0"/>
              <w:right w:val="outset" w:color="auto" w:sz="6" w:space="0"/>
            </w:tcBorders>
            <w:vAlign w:val="center"/>
          </w:tcPr>
          <w:p w14:paraId="14D15B6E">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一档（</w:t>
            </w:r>
            <w:r>
              <w:rPr>
                <w:rFonts w:hint="eastAsia" w:ascii="宋体" w:hAnsi="宋体" w:eastAsia="宋体" w:cs="宋体"/>
                <w:b/>
                <w:color w:val="auto"/>
                <w:sz w:val="22"/>
                <w:highlight w:val="none"/>
                <w:lang w:val="en-US" w:eastAsia="zh-CN"/>
              </w:rPr>
              <w:t>0</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w:t>
            </w:r>
            <w:r>
              <w:rPr>
                <w:rFonts w:hint="eastAsia" w:ascii="宋体" w:hAnsi="宋体" w:eastAsia="宋体" w:cs="宋体"/>
                <w:bCs/>
                <w:color w:val="auto"/>
                <w:sz w:val="22"/>
                <w:highlight w:val="none"/>
                <w:lang w:val="en-US" w:eastAsia="zh-CN"/>
              </w:rPr>
              <w:t>未提供</w:t>
            </w:r>
            <w:r>
              <w:rPr>
                <w:rFonts w:hint="eastAsia" w:ascii="宋体" w:hAnsi="宋体" w:eastAsia="宋体" w:cs="宋体"/>
                <w:bCs/>
                <w:color w:val="auto"/>
                <w:sz w:val="22"/>
                <w:highlight w:val="none"/>
              </w:rPr>
              <w:t>安全生产的技术组织措施</w:t>
            </w:r>
            <w:r>
              <w:rPr>
                <w:rFonts w:hint="eastAsia" w:ascii="宋体" w:hAnsi="宋体" w:eastAsia="宋体" w:cs="宋体"/>
                <w:bCs/>
                <w:color w:val="auto"/>
                <w:sz w:val="22"/>
                <w:highlight w:val="none"/>
                <w:lang w:val="en-US" w:eastAsia="zh-CN"/>
              </w:rPr>
              <w:t>的或</w:t>
            </w:r>
            <w:r>
              <w:rPr>
                <w:rFonts w:hint="eastAsia" w:ascii="宋体" w:hAnsi="宋体" w:eastAsia="宋体" w:cs="宋体"/>
                <w:bCs/>
                <w:color w:val="auto"/>
                <w:sz w:val="22"/>
                <w:highlight w:val="none"/>
              </w:rPr>
              <w:t>安全人员配备不合理，安全管理制度不健全，各道工序安全技术措施不符合实际，不能满足有关安全技术标准要求。现场防火、应急救援、社会治安安全措施不合理。</w:t>
            </w:r>
          </w:p>
          <w:p w14:paraId="7DF05745">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二档（</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：安全人员配备基本合理，安全管理制度基本健全，各道工序安全技术措施基本符合实际，基本满足有关安全技术标准要求。现场防火、应急救援、社会治安安全措施基本合理。</w:t>
            </w:r>
          </w:p>
          <w:p w14:paraId="1B944352">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三档（</w:t>
            </w: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：安全人员配备较合理；有健全的安全管理制度，各道工序安全技术措施符合实际且满足有关安全技术标准要求。现场防火、应急救援、社会治安安全措施较合理。</w:t>
            </w:r>
          </w:p>
          <w:p w14:paraId="0EACA9A2">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四档（</w:t>
            </w: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：安全人员配备合理；有健全的安全管理制度，各道工序安全技术措施针对性强，符合实际且完全满足国家有关安全技术标准要求。现场防火、应急救援、社会治安安全措施得力。</w:t>
            </w:r>
          </w:p>
        </w:tc>
      </w:tr>
      <w:tr w14:paraId="4EB3DE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vMerge w:val="continue"/>
            <w:tcBorders>
              <w:top w:val="single" w:color="auto" w:sz="4" w:space="0"/>
              <w:left w:val="outset" w:color="auto" w:sz="6" w:space="0"/>
              <w:bottom w:val="single" w:color="auto" w:sz="4" w:space="0"/>
              <w:right w:val="single" w:color="auto" w:sz="4" w:space="0"/>
            </w:tcBorders>
            <w:vAlign w:val="center"/>
          </w:tcPr>
          <w:p w14:paraId="0D27049C">
            <w:pPr>
              <w:spacing w:line="360" w:lineRule="auto"/>
              <w:jc w:val="left"/>
              <w:rPr>
                <w:rFonts w:hint="eastAsia" w:ascii="宋体" w:hAnsi="宋体" w:eastAsia="宋体" w:cs="宋体"/>
                <w:b/>
                <w:color w:val="auto"/>
                <w:sz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vAlign w:val="center"/>
          </w:tcPr>
          <w:p w14:paraId="0313E25E">
            <w:pPr>
              <w:spacing w:line="360" w:lineRule="auto"/>
              <w:jc w:val="left"/>
              <w:rPr>
                <w:rFonts w:hint="eastAsia" w:ascii="宋体" w:hAnsi="宋体" w:eastAsia="宋体" w:cs="宋体"/>
                <w:bCs/>
                <w:color w:val="auto"/>
                <w:sz w:val="22"/>
                <w:highlight w:val="none"/>
              </w:rPr>
            </w:pPr>
          </w:p>
        </w:tc>
        <w:tc>
          <w:tcPr>
            <w:tcW w:w="470" w:type="pct"/>
            <w:tcBorders>
              <w:left w:val="single" w:color="auto" w:sz="4" w:space="0"/>
              <w:bottom w:val="outset" w:color="auto" w:sz="6" w:space="0"/>
              <w:right w:val="outset" w:color="auto" w:sz="6" w:space="0"/>
            </w:tcBorders>
            <w:vAlign w:val="center"/>
          </w:tcPr>
          <w:p w14:paraId="3CF2795A">
            <w:pPr>
              <w:spacing w:line="360" w:lineRule="auto"/>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确保工期的技术组织措施（满分</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分）</w:t>
            </w:r>
          </w:p>
        </w:tc>
        <w:tc>
          <w:tcPr>
            <w:tcW w:w="3020" w:type="pct"/>
            <w:tcBorders>
              <w:top w:val="outset" w:color="auto" w:sz="6" w:space="0"/>
              <w:left w:val="outset" w:color="auto" w:sz="6" w:space="0"/>
              <w:bottom w:val="outset" w:color="auto" w:sz="6" w:space="0"/>
              <w:right w:val="outset" w:color="auto" w:sz="6" w:space="0"/>
            </w:tcBorders>
            <w:vAlign w:val="center"/>
          </w:tcPr>
          <w:p w14:paraId="1697D3FE">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一档（</w:t>
            </w:r>
            <w:r>
              <w:rPr>
                <w:rFonts w:hint="eastAsia" w:ascii="宋体" w:hAnsi="宋体" w:eastAsia="宋体" w:cs="宋体"/>
                <w:b/>
                <w:color w:val="auto"/>
                <w:sz w:val="22"/>
                <w:highlight w:val="none"/>
                <w:lang w:val="en-US" w:eastAsia="zh-CN"/>
              </w:rPr>
              <w:t>0</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w:t>
            </w:r>
            <w:r>
              <w:rPr>
                <w:rFonts w:hint="eastAsia" w:ascii="宋体" w:hAnsi="宋体" w:eastAsia="宋体" w:cs="宋体"/>
                <w:bCs/>
                <w:color w:val="auto"/>
                <w:sz w:val="22"/>
                <w:highlight w:val="none"/>
                <w:lang w:val="en-US" w:eastAsia="zh-CN"/>
              </w:rPr>
              <w:t>未提供</w:t>
            </w:r>
            <w:r>
              <w:rPr>
                <w:rFonts w:hint="eastAsia" w:ascii="宋体" w:hAnsi="宋体" w:eastAsia="宋体" w:cs="宋体"/>
                <w:color w:val="auto"/>
                <w:sz w:val="22"/>
                <w:highlight w:val="none"/>
              </w:rPr>
              <w:t>工期的技术组织措施</w:t>
            </w:r>
            <w:r>
              <w:rPr>
                <w:rFonts w:hint="eastAsia" w:ascii="宋体" w:hAnsi="宋体" w:eastAsia="宋体" w:cs="宋体"/>
                <w:bCs/>
                <w:color w:val="auto"/>
                <w:sz w:val="22"/>
                <w:highlight w:val="none"/>
                <w:lang w:val="en-US" w:eastAsia="zh-CN"/>
              </w:rPr>
              <w:t>的或</w:t>
            </w:r>
            <w:r>
              <w:rPr>
                <w:rFonts w:hint="eastAsia" w:ascii="宋体" w:hAnsi="宋体" w:eastAsia="宋体" w:cs="宋体"/>
                <w:bCs/>
                <w:color w:val="auto"/>
                <w:sz w:val="22"/>
                <w:highlight w:val="none"/>
              </w:rPr>
              <w:t>有保证工期的具体措施。各项计划图表编制不完善，安排不合理，不能满足本项目施工实际要求。</w:t>
            </w:r>
          </w:p>
          <w:p w14:paraId="5C611F66">
            <w:pPr>
              <w:widowControl/>
              <w:spacing w:line="360" w:lineRule="auto"/>
              <w:jc w:val="both"/>
              <w:rPr>
                <w:rFonts w:hint="eastAsia" w:ascii="宋体" w:hAnsi="宋体" w:eastAsia="宋体" w:cs="宋体"/>
                <w:color w:val="auto"/>
                <w:sz w:val="22"/>
                <w:highlight w:val="none"/>
              </w:rPr>
            </w:pPr>
            <w:r>
              <w:rPr>
                <w:rFonts w:hint="eastAsia" w:ascii="宋体" w:hAnsi="宋体" w:eastAsia="宋体" w:cs="宋体"/>
                <w:b/>
                <w:color w:val="auto"/>
                <w:sz w:val="22"/>
                <w:highlight w:val="none"/>
              </w:rPr>
              <w:t>二档（</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：有保证工期的具体措施，措施基本得当。各项计划图表编制基本齐全，安排基本合理，基本符合本项目施工实际要求。</w:t>
            </w:r>
          </w:p>
          <w:p w14:paraId="73646814">
            <w:pPr>
              <w:widowControl/>
              <w:spacing w:line="360" w:lineRule="auto"/>
              <w:jc w:val="left"/>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三档（</w:t>
            </w: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：有保证工期的具体措施且措施得当。各项计划图表编制完善，安排较合理，符合本项目施工实际要求。</w:t>
            </w:r>
          </w:p>
          <w:p w14:paraId="007CF17D">
            <w:pPr>
              <w:widowControl/>
              <w:spacing w:line="360" w:lineRule="auto"/>
              <w:jc w:val="left"/>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四档（</w:t>
            </w: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：有保证工期的具体措施且措施得力。各项计划图表编制详尽周密，安排科学合理，符合本项目施工实际要求。</w:t>
            </w:r>
          </w:p>
        </w:tc>
      </w:tr>
      <w:tr w14:paraId="1EFD4B3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vMerge w:val="continue"/>
            <w:tcBorders>
              <w:top w:val="single" w:color="auto" w:sz="4" w:space="0"/>
              <w:left w:val="outset" w:color="auto" w:sz="6" w:space="0"/>
              <w:bottom w:val="single" w:color="auto" w:sz="4" w:space="0"/>
              <w:right w:val="single" w:color="auto" w:sz="4" w:space="0"/>
            </w:tcBorders>
            <w:vAlign w:val="center"/>
          </w:tcPr>
          <w:p w14:paraId="1D7E9696">
            <w:pPr>
              <w:spacing w:line="360" w:lineRule="auto"/>
              <w:jc w:val="left"/>
              <w:rPr>
                <w:rFonts w:hint="eastAsia" w:ascii="宋体" w:hAnsi="宋体" w:eastAsia="宋体" w:cs="宋体"/>
                <w:b/>
                <w:color w:val="auto"/>
                <w:sz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vAlign w:val="center"/>
          </w:tcPr>
          <w:p w14:paraId="1142D420">
            <w:pPr>
              <w:spacing w:line="360" w:lineRule="auto"/>
              <w:jc w:val="left"/>
              <w:rPr>
                <w:rFonts w:hint="eastAsia" w:ascii="宋体" w:hAnsi="宋体" w:eastAsia="宋体" w:cs="宋体"/>
                <w:bCs/>
                <w:color w:val="auto"/>
                <w:sz w:val="22"/>
                <w:highlight w:val="none"/>
              </w:rPr>
            </w:pPr>
          </w:p>
        </w:tc>
        <w:tc>
          <w:tcPr>
            <w:tcW w:w="470" w:type="pct"/>
            <w:tcBorders>
              <w:left w:val="single" w:color="auto" w:sz="4" w:space="0"/>
              <w:bottom w:val="outset" w:color="auto" w:sz="6" w:space="0"/>
              <w:right w:val="outset" w:color="auto" w:sz="6" w:space="0"/>
            </w:tcBorders>
            <w:vAlign w:val="center"/>
          </w:tcPr>
          <w:p w14:paraId="73C36269">
            <w:pPr>
              <w:spacing w:line="360" w:lineRule="auto"/>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确保文明施工的技术组织措施（满分</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分）</w:t>
            </w:r>
          </w:p>
        </w:tc>
        <w:tc>
          <w:tcPr>
            <w:tcW w:w="3020" w:type="pct"/>
            <w:tcBorders>
              <w:top w:val="outset" w:color="auto" w:sz="6" w:space="0"/>
              <w:left w:val="outset" w:color="auto" w:sz="6" w:space="0"/>
              <w:bottom w:val="outset" w:color="auto" w:sz="6" w:space="0"/>
              <w:right w:val="outset" w:color="auto" w:sz="6" w:space="0"/>
            </w:tcBorders>
            <w:vAlign w:val="center"/>
          </w:tcPr>
          <w:p w14:paraId="4DF491BB">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一档（</w:t>
            </w:r>
            <w:r>
              <w:rPr>
                <w:rFonts w:hint="eastAsia" w:ascii="宋体" w:hAnsi="宋体" w:eastAsia="宋体" w:cs="宋体"/>
                <w:b/>
                <w:color w:val="auto"/>
                <w:sz w:val="22"/>
                <w:highlight w:val="none"/>
                <w:lang w:val="en-US" w:eastAsia="zh-CN"/>
              </w:rPr>
              <w:t>0</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w:t>
            </w:r>
            <w:r>
              <w:rPr>
                <w:rFonts w:hint="eastAsia" w:ascii="宋体" w:hAnsi="宋体" w:eastAsia="宋体" w:cs="宋体"/>
                <w:bCs/>
                <w:color w:val="auto"/>
                <w:sz w:val="22"/>
                <w:highlight w:val="none"/>
                <w:lang w:val="en-US" w:eastAsia="zh-CN"/>
              </w:rPr>
              <w:t>未提供</w:t>
            </w:r>
            <w:r>
              <w:rPr>
                <w:rFonts w:hint="eastAsia" w:ascii="宋体" w:hAnsi="宋体" w:eastAsia="宋体" w:cs="宋体"/>
                <w:color w:val="auto"/>
                <w:sz w:val="22"/>
                <w:highlight w:val="none"/>
              </w:rPr>
              <w:t>文明施工的技术组织措施</w:t>
            </w:r>
            <w:r>
              <w:rPr>
                <w:rFonts w:hint="eastAsia" w:ascii="宋体" w:hAnsi="宋体" w:eastAsia="宋体" w:cs="宋体"/>
                <w:bCs/>
                <w:color w:val="auto"/>
                <w:sz w:val="22"/>
                <w:highlight w:val="none"/>
                <w:lang w:val="en-US" w:eastAsia="zh-CN"/>
              </w:rPr>
              <w:t>的或</w:t>
            </w:r>
            <w:r>
              <w:rPr>
                <w:rFonts w:hint="eastAsia" w:ascii="宋体" w:hAnsi="宋体" w:eastAsia="宋体" w:cs="宋体"/>
                <w:bCs/>
                <w:color w:val="auto"/>
                <w:sz w:val="22"/>
                <w:highlight w:val="none"/>
              </w:rPr>
              <w:t>现场文明施工、环境保护措施和内容与《建筑施工安全生产检查标准》、《广西壮族自治区建筑工程文明施工导则》的要求偏差大，无现场文明施工目标的承诺。</w:t>
            </w:r>
          </w:p>
          <w:p w14:paraId="1A74F9B4">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二档（</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：现场文明施工、环境保护措施和内容基本达到《建筑施工安全生产检查标准》、《广西壮族自治区建筑工程文明施工导则》；有具体实现现场文明施工目标的承诺，而且各项措施基本全面、具体、有效。</w:t>
            </w:r>
          </w:p>
          <w:p w14:paraId="5AACFACC">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三档（</w:t>
            </w: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：现场文明施工、环境保护措施和内容达到《建筑施工安全生产检查标准》、《广西壮族自治区建筑工程文明施工导则》；有具体实现现场文明施工目标的承诺，而且各项措施周全、具体、有效。</w:t>
            </w:r>
          </w:p>
          <w:p w14:paraId="6A35E774">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四档（</w:t>
            </w: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现场文明施工、环境保护措施和内容达到《建筑施工安全生产检查标准》、《广西壮族自治区建筑工程文明施工导则》要求；有具体实现现场文明施工目标的工作计划和实施承诺，而且各项措施科学、周全、具体、得力。</w:t>
            </w:r>
          </w:p>
        </w:tc>
      </w:tr>
      <w:tr w14:paraId="574A85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vMerge w:val="continue"/>
            <w:tcBorders>
              <w:top w:val="single" w:color="auto" w:sz="4" w:space="0"/>
              <w:left w:val="outset" w:color="auto" w:sz="6" w:space="0"/>
              <w:bottom w:val="single" w:color="auto" w:sz="4" w:space="0"/>
              <w:right w:val="single" w:color="auto" w:sz="4" w:space="0"/>
            </w:tcBorders>
            <w:vAlign w:val="center"/>
          </w:tcPr>
          <w:p w14:paraId="3B931B4B">
            <w:pPr>
              <w:spacing w:line="360" w:lineRule="auto"/>
              <w:jc w:val="left"/>
              <w:rPr>
                <w:rFonts w:hint="eastAsia" w:ascii="宋体" w:hAnsi="宋体" w:eastAsia="宋体" w:cs="宋体"/>
                <w:b/>
                <w:color w:val="auto"/>
                <w:sz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vAlign w:val="center"/>
          </w:tcPr>
          <w:p w14:paraId="71CA40DC">
            <w:pPr>
              <w:spacing w:line="360" w:lineRule="auto"/>
              <w:jc w:val="left"/>
              <w:rPr>
                <w:rFonts w:hint="eastAsia" w:ascii="宋体" w:hAnsi="宋体" w:eastAsia="宋体" w:cs="宋体"/>
                <w:bCs/>
                <w:color w:val="auto"/>
                <w:sz w:val="22"/>
                <w:highlight w:val="none"/>
              </w:rPr>
            </w:pPr>
          </w:p>
        </w:tc>
        <w:tc>
          <w:tcPr>
            <w:tcW w:w="470" w:type="pct"/>
            <w:tcBorders>
              <w:left w:val="single" w:color="auto" w:sz="4" w:space="0"/>
              <w:bottom w:val="outset" w:color="auto" w:sz="6" w:space="0"/>
              <w:right w:val="outset" w:color="auto" w:sz="6" w:space="0"/>
            </w:tcBorders>
            <w:vAlign w:val="center"/>
          </w:tcPr>
          <w:p w14:paraId="3739FE1E">
            <w:pPr>
              <w:spacing w:line="360" w:lineRule="auto"/>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工程施工的重点和难点及保证措施（满分</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分）</w:t>
            </w:r>
          </w:p>
        </w:tc>
        <w:tc>
          <w:tcPr>
            <w:tcW w:w="3020" w:type="pct"/>
            <w:tcBorders>
              <w:top w:val="outset" w:color="auto" w:sz="6" w:space="0"/>
              <w:left w:val="outset" w:color="auto" w:sz="6" w:space="0"/>
              <w:bottom w:val="outset" w:color="auto" w:sz="6" w:space="0"/>
              <w:right w:val="outset" w:color="auto" w:sz="6" w:space="0"/>
            </w:tcBorders>
            <w:vAlign w:val="center"/>
          </w:tcPr>
          <w:p w14:paraId="4206701C">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一档（</w:t>
            </w:r>
            <w:r>
              <w:rPr>
                <w:rFonts w:hint="eastAsia" w:ascii="宋体" w:hAnsi="宋体" w:eastAsia="宋体" w:cs="宋体"/>
                <w:b/>
                <w:color w:val="auto"/>
                <w:sz w:val="22"/>
                <w:highlight w:val="none"/>
                <w:lang w:val="en-US" w:eastAsia="zh-CN"/>
              </w:rPr>
              <w:t>0</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w:t>
            </w:r>
            <w:r>
              <w:rPr>
                <w:rFonts w:hint="eastAsia" w:ascii="宋体" w:hAnsi="宋体" w:eastAsia="宋体" w:cs="宋体"/>
                <w:bCs/>
                <w:color w:val="auto"/>
                <w:sz w:val="22"/>
                <w:highlight w:val="none"/>
                <w:lang w:val="en-US" w:eastAsia="zh-CN"/>
              </w:rPr>
              <w:t>未提供</w:t>
            </w:r>
            <w:r>
              <w:rPr>
                <w:rFonts w:hint="eastAsia" w:ascii="宋体" w:hAnsi="宋体" w:eastAsia="宋体" w:cs="宋体"/>
                <w:color w:val="auto"/>
                <w:sz w:val="22"/>
                <w:highlight w:val="none"/>
              </w:rPr>
              <w:t>工程施工的重点和难点及保证措施</w:t>
            </w:r>
            <w:r>
              <w:rPr>
                <w:rFonts w:hint="eastAsia" w:ascii="宋体" w:hAnsi="宋体" w:eastAsia="宋体" w:cs="宋体"/>
                <w:bCs/>
                <w:color w:val="auto"/>
                <w:sz w:val="22"/>
                <w:highlight w:val="none"/>
                <w:lang w:val="en-US" w:eastAsia="zh-CN"/>
              </w:rPr>
              <w:t>的或</w:t>
            </w:r>
            <w:r>
              <w:rPr>
                <w:rFonts w:hint="eastAsia" w:ascii="宋体" w:hAnsi="宋体" w:eastAsia="宋体" w:cs="宋体"/>
                <w:bCs/>
                <w:color w:val="auto"/>
                <w:sz w:val="22"/>
                <w:highlight w:val="none"/>
              </w:rPr>
              <w:t>对项目关键技术有表述，对重点、难点有建议，但解决方案不可行。</w:t>
            </w:r>
          </w:p>
          <w:p w14:paraId="2F311244">
            <w:pPr>
              <w:widowControl/>
              <w:spacing w:line="360" w:lineRule="auto"/>
              <w:jc w:val="both"/>
              <w:rPr>
                <w:rFonts w:hint="eastAsia" w:ascii="宋体" w:hAnsi="宋体" w:eastAsia="宋体" w:cs="宋体"/>
                <w:color w:val="auto"/>
                <w:sz w:val="22"/>
                <w:highlight w:val="none"/>
              </w:rPr>
            </w:pPr>
            <w:r>
              <w:rPr>
                <w:rFonts w:hint="eastAsia" w:ascii="宋体" w:hAnsi="宋体" w:eastAsia="宋体" w:cs="宋体"/>
                <w:b/>
                <w:color w:val="auto"/>
                <w:sz w:val="22"/>
                <w:highlight w:val="none"/>
              </w:rPr>
              <w:t>二档（</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：对项目关键技术有一定了解，对重点、难点有建议，解决方案基本可行。</w:t>
            </w:r>
          </w:p>
          <w:p w14:paraId="464F7B68">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三档（</w:t>
            </w: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：对项目关键技术、工艺有较深入的表述，对重点、难点有合理的建议，解决方案经济、安全、可行。</w:t>
            </w:r>
          </w:p>
          <w:p w14:paraId="60E8035D">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四档（</w:t>
            </w: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：对项目关键技术、工艺有深入的表述。对重点、难点有科学合理的施工措施并有可行的安全措施，解决方案完整、经济、安全、切实可行，措施得力。</w:t>
            </w:r>
          </w:p>
        </w:tc>
      </w:tr>
      <w:tr w14:paraId="5CFEB7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137" w:hRule="atLeast"/>
        </w:trPr>
        <w:tc>
          <w:tcPr>
            <w:tcW w:w="1043" w:type="pct"/>
            <w:vMerge w:val="continue"/>
            <w:tcBorders>
              <w:top w:val="single" w:color="auto" w:sz="4" w:space="0"/>
              <w:left w:val="outset" w:color="auto" w:sz="6" w:space="0"/>
              <w:bottom w:val="single" w:color="auto" w:sz="4" w:space="0"/>
              <w:right w:val="single" w:color="auto" w:sz="4" w:space="0"/>
            </w:tcBorders>
            <w:vAlign w:val="center"/>
          </w:tcPr>
          <w:p w14:paraId="4E7CBFC0">
            <w:pPr>
              <w:spacing w:line="360" w:lineRule="auto"/>
              <w:jc w:val="left"/>
              <w:rPr>
                <w:rFonts w:hint="eastAsia" w:ascii="宋体" w:hAnsi="宋体" w:eastAsia="宋体" w:cs="宋体"/>
                <w:b/>
                <w:color w:val="auto"/>
                <w:sz w:val="22"/>
                <w:highlight w:val="none"/>
              </w:rPr>
            </w:pPr>
          </w:p>
        </w:tc>
        <w:tc>
          <w:tcPr>
            <w:tcW w:w="465" w:type="pct"/>
            <w:vMerge w:val="continue"/>
            <w:tcBorders>
              <w:top w:val="single" w:color="auto" w:sz="4" w:space="0"/>
              <w:left w:val="single" w:color="auto" w:sz="4" w:space="0"/>
              <w:bottom w:val="single" w:color="auto" w:sz="4" w:space="0"/>
              <w:right w:val="single" w:color="auto" w:sz="4" w:space="0"/>
            </w:tcBorders>
            <w:vAlign w:val="center"/>
          </w:tcPr>
          <w:p w14:paraId="03D55BF4">
            <w:pPr>
              <w:spacing w:line="360" w:lineRule="auto"/>
              <w:jc w:val="left"/>
              <w:rPr>
                <w:rFonts w:hint="eastAsia" w:ascii="宋体" w:hAnsi="宋体" w:eastAsia="宋体" w:cs="宋体"/>
                <w:bCs/>
                <w:color w:val="auto"/>
                <w:sz w:val="22"/>
                <w:highlight w:val="none"/>
              </w:rPr>
            </w:pPr>
          </w:p>
        </w:tc>
        <w:tc>
          <w:tcPr>
            <w:tcW w:w="470" w:type="pct"/>
            <w:tcBorders>
              <w:left w:val="single" w:color="auto" w:sz="4" w:space="0"/>
              <w:bottom w:val="single" w:color="auto" w:sz="4" w:space="0"/>
              <w:right w:val="outset" w:color="auto" w:sz="6" w:space="0"/>
            </w:tcBorders>
            <w:vAlign w:val="center"/>
          </w:tcPr>
          <w:p w14:paraId="7A6D437A">
            <w:pPr>
              <w:spacing w:line="360" w:lineRule="auto"/>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施工总平面布置图（满分</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分）</w:t>
            </w:r>
          </w:p>
        </w:tc>
        <w:tc>
          <w:tcPr>
            <w:tcW w:w="3020" w:type="pct"/>
            <w:tcBorders>
              <w:top w:val="outset" w:color="auto" w:sz="6" w:space="0"/>
              <w:left w:val="outset" w:color="auto" w:sz="6" w:space="0"/>
              <w:bottom w:val="outset" w:color="auto" w:sz="6" w:space="0"/>
              <w:right w:val="outset" w:color="auto" w:sz="6" w:space="0"/>
            </w:tcBorders>
            <w:vAlign w:val="center"/>
          </w:tcPr>
          <w:p w14:paraId="61E87C6D">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一档（</w:t>
            </w:r>
            <w:r>
              <w:rPr>
                <w:rFonts w:hint="eastAsia" w:ascii="宋体" w:hAnsi="宋体" w:eastAsia="宋体" w:cs="宋体"/>
                <w:b/>
                <w:color w:val="auto"/>
                <w:sz w:val="22"/>
                <w:highlight w:val="none"/>
                <w:lang w:val="en-US" w:eastAsia="zh-CN"/>
              </w:rPr>
              <w:t>0</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w:t>
            </w:r>
            <w:r>
              <w:rPr>
                <w:rFonts w:hint="eastAsia" w:ascii="宋体" w:hAnsi="宋体" w:eastAsia="宋体" w:cs="宋体"/>
                <w:bCs/>
                <w:color w:val="auto"/>
                <w:sz w:val="22"/>
                <w:highlight w:val="none"/>
                <w:lang w:val="en-US" w:eastAsia="zh-CN"/>
              </w:rPr>
              <w:t>未提供</w:t>
            </w:r>
            <w:r>
              <w:rPr>
                <w:rFonts w:hint="eastAsia" w:ascii="宋体" w:hAnsi="宋体" w:eastAsia="宋体" w:cs="宋体"/>
                <w:color w:val="auto"/>
                <w:sz w:val="22"/>
                <w:highlight w:val="none"/>
              </w:rPr>
              <w:t>施工总平面布置图</w:t>
            </w:r>
            <w:r>
              <w:rPr>
                <w:rFonts w:hint="eastAsia" w:ascii="宋体" w:hAnsi="宋体" w:eastAsia="宋体" w:cs="宋体"/>
                <w:bCs/>
                <w:color w:val="auto"/>
                <w:sz w:val="22"/>
                <w:highlight w:val="none"/>
                <w:lang w:val="en-US" w:eastAsia="zh-CN"/>
              </w:rPr>
              <w:t>的或</w:t>
            </w:r>
            <w:r>
              <w:rPr>
                <w:rFonts w:hint="eastAsia" w:ascii="宋体" w:hAnsi="宋体" w:eastAsia="宋体" w:cs="宋体"/>
                <w:bCs/>
                <w:color w:val="auto"/>
                <w:sz w:val="22"/>
                <w:highlight w:val="none"/>
              </w:rPr>
              <w:t>总体布置不合理，不符合安全、文明生产要求。</w:t>
            </w:r>
          </w:p>
          <w:p w14:paraId="10F90838">
            <w:pPr>
              <w:widowControl/>
              <w:spacing w:line="360" w:lineRule="auto"/>
              <w:jc w:val="both"/>
              <w:rPr>
                <w:rFonts w:hint="eastAsia" w:ascii="宋体" w:hAnsi="宋体" w:eastAsia="宋体" w:cs="宋体"/>
                <w:color w:val="auto"/>
                <w:sz w:val="22"/>
                <w:highlight w:val="none"/>
              </w:rPr>
            </w:pPr>
            <w:r>
              <w:rPr>
                <w:rFonts w:hint="eastAsia" w:ascii="宋体" w:hAnsi="宋体" w:eastAsia="宋体" w:cs="宋体"/>
                <w:b/>
                <w:color w:val="auto"/>
                <w:sz w:val="22"/>
                <w:highlight w:val="none"/>
              </w:rPr>
              <w:t>二档（</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：总体布置基本合理，基本满足施工需要。</w:t>
            </w:r>
          </w:p>
          <w:p w14:paraId="5106D038">
            <w:pPr>
              <w:widowControl/>
              <w:spacing w:line="360" w:lineRule="auto"/>
              <w:jc w:val="both"/>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三档（</w:t>
            </w: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：总体布置合理，能满足施工需要，基本符合安全、文明生产要求。</w:t>
            </w:r>
          </w:p>
          <w:p w14:paraId="571FCB42">
            <w:pPr>
              <w:widowControl/>
              <w:spacing w:line="360" w:lineRule="auto"/>
              <w:jc w:val="both"/>
              <w:rPr>
                <w:rFonts w:hint="eastAsia" w:ascii="宋体" w:hAnsi="宋体" w:eastAsia="宋体" w:cs="宋体"/>
                <w:color w:val="auto"/>
                <w:sz w:val="22"/>
                <w:highlight w:val="none"/>
              </w:rPr>
            </w:pPr>
            <w:r>
              <w:rPr>
                <w:rFonts w:hint="eastAsia" w:ascii="宋体" w:hAnsi="宋体" w:eastAsia="宋体" w:cs="宋体"/>
                <w:b/>
                <w:color w:val="auto"/>
                <w:sz w:val="22"/>
                <w:highlight w:val="none"/>
              </w:rPr>
              <w:t>四档（</w:t>
            </w: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分）</w:t>
            </w:r>
            <w:r>
              <w:rPr>
                <w:rFonts w:hint="eastAsia" w:ascii="宋体" w:hAnsi="宋体" w:eastAsia="宋体" w:cs="宋体"/>
                <w:bCs/>
                <w:color w:val="auto"/>
                <w:sz w:val="22"/>
                <w:highlight w:val="none"/>
              </w:rPr>
              <w:t>：总体布置有针对性、合理，较好满足施工需要，符合安全、文明生产要求</w:t>
            </w:r>
            <w:r>
              <w:rPr>
                <w:rFonts w:hint="eastAsia" w:ascii="宋体" w:hAnsi="宋体" w:eastAsia="宋体" w:cs="宋体"/>
                <w:color w:val="auto"/>
                <w:sz w:val="22"/>
                <w:highlight w:val="none"/>
              </w:rPr>
              <w:t>。</w:t>
            </w:r>
          </w:p>
        </w:tc>
      </w:tr>
      <w:tr w14:paraId="1FDDD6B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tcBorders>
              <w:top w:val="single" w:color="auto" w:sz="4" w:space="0"/>
              <w:left w:val="single" w:color="auto" w:sz="4" w:space="0"/>
              <w:right w:val="single" w:color="auto" w:sz="4" w:space="0"/>
            </w:tcBorders>
            <w:vAlign w:val="center"/>
          </w:tcPr>
          <w:p w14:paraId="7ADAB573">
            <w:pPr>
              <w:spacing w:line="360" w:lineRule="auto"/>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价格评分标准（满分30分）</w:t>
            </w:r>
          </w:p>
        </w:tc>
        <w:tc>
          <w:tcPr>
            <w:tcW w:w="3956" w:type="pct"/>
            <w:gridSpan w:val="3"/>
            <w:tcBorders>
              <w:top w:val="single" w:color="auto" w:sz="4" w:space="0"/>
              <w:left w:val="single" w:color="auto" w:sz="4" w:space="0"/>
              <w:bottom w:val="single" w:color="auto" w:sz="4" w:space="0"/>
              <w:right w:val="outset" w:color="auto" w:sz="6" w:space="0"/>
            </w:tcBorders>
            <w:vAlign w:val="center"/>
          </w:tcPr>
          <w:p w14:paraId="5227146F">
            <w:pPr>
              <w:widowControl/>
              <w:spacing w:line="360" w:lineRule="auto"/>
              <w:jc w:val="both"/>
              <w:rPr>
                <w:rFonts w:hint="eastAsia" w:ascii="宋体" w:hAnsi="宋体" w:eastAsia="宋体" w:cs="宋体"/>
                <w:bCs/>
                <w:color w:val="auto"/>
                <w:sz w:val="22"/>
                <w:highlight w:val="none"/>
                <w:lang w:eastAsia="zh-CN"/>
              </w:rPr>
            </w:pPr>
            <w:bookmarkStart w:id="67" w:name="_Toc13721"/>
            <w:bookmarkStart w:id="68" w:name="_Toc31908"/>
            <w:bookmarkStart w:id="69" w:name="_Toc8337"/>
            <w:r>
              <w:rPr>
                <w:rFonts w:hint="eastAsia" w:ascii="宋体" w:hAnsi="宋体" w:eastAsia="宋体" w:cs="宋体"/>
                <w:bCs/>
                <w:color w:val="auto"/>
                <w:sz w:val="22"/>
                <w:highlight w:val="none"/>
                <w:lang w:eastAsia="zh-CN"/>
              </w:rPr>
              <w:t>本项目属于专门面向</w:t>
            </w:r>
            <w:r>
              <w:rPr>
                <w:rFonts w:hint="eastAsia" w:ascii="宋体" w:hAnsi="宋体" w:eastAsia="宋体" w:cs="宋体"/>
                <w:bCs/>
                <w:color w:val="auto"/>
                <w:sz w:val="22"/>
                <w:highlight w:val="none"/>
                <w:lang w:val="en-US" w:eastAsia="zh-CN"/>
              </w:rPr>
              <w:t>中小</w:t>
            </w:r>
            <w:r>
              <w:rPr>
                <w:rFonts w:hint="eastAsia" w:ascii="宋体" w:hAnsi="宋体" w:eastAsia="宋体" w:cs="宋体"/>
                <w:bCs/>
                <w:color w:val="auto"/>
                <w:sz w:val="22"/>
                <w:highlight w:val="none"/>
                <w:lang w:eastAsia="zh-CN"/>
              </w:rPr>
              <w:t>企业采购的项目，不再执行价格优惠扶持政策，评标报价=</w:t>
            </w:r>
            <w:r>
              <w:rPr>
                <w:rFonts w:hint="eastAsia" w:ascii="宋体" w:hAnsi="宋体" w:eastAsia="宋体" w:cs="宋体"/>
                <w:bCs/>
                <w:color w:val="auto"/>
                <w:sz w:val="22"/>
                <w:highlight w:val="none"/>
                <w:lang w:val="en-US" w:eastAsia="zh-CN"/>
              </w:rPr>
              <w:t>竞标</w:t>
            </w:r>
            <w:r>
              <w:rPr>
                <w:rFonts w:hint="eastAsia" w:ascii="宋体" w:hAnsi="宋体" w:eastAsia="宋体" w:cs="宋体"/>
                <w:bCs/>
                <w:color w:val="auto"/>
                <w:sz w:val="22"/>
                <w:highlight w:val="none"/>
                <w:lang w:eastAsia="zh-CN"/>
              </w:rPr>
              <w:t>报价。</w:t>
            </w:r>
            <w:bookmarkEnd w:id="67"/>
            <w:bookmarkEnd w:id="68"/>
          </w:p>
          <w:p w14:paraId="2BE2A1CF">
            <w:pPr>
              <w:widowControl/>
              <w:spacing w:line="360" w:lineRule="auto"/>
              <w:jc w:val="both"/>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eastAsia="zh-CN"/>
              </w:rPr>
              <w:t>评标基准价的确定方法：</w:t>
            </w:r>
            <w:bookmarkEnd w:id="69"/>
          </w:p>
          <w:p w14:paraId="2CB54692">
            <w:pPr>
              <w:widowControl/>
              <w:spacing w:line="360" w:lineRule="auto"/>
              <w:jc w:val="both"/>
              <w:rPr>
                <w:rFonts w:hint="eastAsia" w:ascii="宋体" w:hAnsi="宋体" w:eastAsia="宋体" w:cs="宋体"/>
                <w:bCs/>
                <w:color w:val="auto"/>
                <w:sz w:val="22"/>
                <w:highlight w:val="none"/>
                <w:lang w:eastAsia="zh-CN"/>
              </w:rPr>
            </w:pPr>
            <w:bookmarkStart w:id="70" w:name="_Toc30913"/>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lang w:eastAsia="zh-CN"/>
              </w:rPr>
              <w:t>）供应商磋商报价进入评标基准价计算范围，取其中有效报价的最低报价值作为评标基准价；将有效报价的最低报价值作为评标基准价。</w:t>
            </w:r>
            <w:bookmarkEnd w:id="70"/>
          </w:p>
          <w:p w14:paraId="68FF6B94">
            <w:pPr>
              <w:widowControl/>
              <w:spacing w:line="360" w:lineRule="auto"/>
              <w:jc w:val="both"/>
              <w:rPr>
                <w:rFonts w:hint="eastAsia" w:ascii="宋体" w:hAnsi="宋体" w:eastAsia="宋体" w:cs="宋体"/>
                <w:bCs/>
                <w:color w:val="auto"/>
                <w:sz w:val="22"/>
                <w:highlight w:val="none"/>
                <w:lang w:eastAsia="zh-CN"/>
              </w:rPr>
            </w:pPr>
            <w:bookmarkStart w:id="71" w:name="_Toc32619"/>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2</w:t>
            </w:r>
            <w:r>
              <w:rPr>
                <w:rFonts w:hint="eastAsia" w:ascii="宋体" w:hAnsi="宋体" w:eastAsia="宋体" w:cs="宋体"/>
                <w:bCs/>
                <w:color w:val="auto"/>
                <w:sz w:val="22"/>
                <w:highlight w:val="none"/>
                <w:lang w:eastAsia="zh-CN"/>
              </w:rPr>
              <w:t>）进入评标的最低的评标价得30分。</w:t>
            </w:r>
            <w:bookmarkEnd w:id="71"/>
          </w:p>
          <w:p w14:paraId="3599202E">
            <w:pPr>
              <w:widowControl/>
              <w:spacing w:line="360" w:lineRule="auto"/>
              <w:jc w:val="both"/>
              <w:rPr>
                <w:rFonts w:hint="eastAsia" w:ascii="宋体" w:hAnsi="宋体" w:eastAsia="宋体" w:cs="宋体"/>
                <w:color w:val="auto"/>
                <w:sz w:val="24"/>
                <w:szCs w:val="24"/>
                <w:highlight w:val="none"/>
              </w:rPr>
            </w:pPr>
            <w:bookmarkStart w:id="72" w:name="_Toc16363"/>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3</w:t>
            </w:r>
            <w:r>
              <w:rPr>
                <w:rFonts w:hint="eastAsia" w:ascii="宋体" w:hAnsi="宋体" w:eastAsia="宋体" w:cs="宋体"/>
                <w:bCs/>
                <w:color w:val="auto"/>
                <w:sz w:val="22"/>
                <w:highlight w:val="none"/>
                <w:lang w:eastAsia="zh-CN"/>
              </w:rPr>
              <w:t>）某供应商价格得分=评标基准价/某</w:t>
            </w:r>
            <w:r>
              <w:rPr>
                <w:rFonts w:hint="eastAsia" w:ascii="宋体" w:hAnsi="宋体" w:eastAsia="宋体" w:cs="宋体"/>
                <w:bCs/>
                <w:color w:val="auto"/>
                <w:sz w:val="22"/>
                <w:highlight w:val="none"/>
                <w:lang w:val="en-US" w:eastAsia="zh-CN"/>
              </w:rPr>
              <w:t>供应商</w:t>
            </w:r>
            <w:r>
              <w:rPr>
                <w:rFonts w:hint="eastAsia" w:ascii="宋体" w:hAnsi="宋体" w:eastAsia="宋体" w:cs="宋体"/>
                <w:bCs/>
                <w:color w:val="auto"/>
                <w:sz w:val="22"/>
                <w:highlight w:val="none"/>
                <w:lang w:eastAsia="zh-CN"/>
              </w:rPr>
              <w:t>的</w:t>
            </w:r>
            <w:r>
              <w:rPr>
                <w:rFonts w:hint="eastAsia" w:ascii="宋体" w:hAnsi="宋体" w:eastAsia="宋体" w:cs="宋体"/>
                <w:bCs/>
                <w:color w:val="auto"/>
                <w:sz w:val="22"/>
                <w:highlight w:val="none"/>
                <w:lang w:val="en-US" w:eastAsia="zh-CN"/>
              </w:rPr>
              <w:t>竞标报价</w:t>
            </w:r>
            <w:r>
              <w:rPr>
                <w:rFonts w:hint="eastAsia" w:ascii="宋体" w:hAnsi="宋体" w:eastAsia="宋体" w:cs="宋体"/>
                <w:bCs/>
                <w:color w:val="auto"/>
                <w:sz w:val="22"/>
                <w:highlight w:val="none"/>
                <w:lang w:eastAsia="zh-CN"/>
              </w:rPr>
              <w:t>×30分</w:t>
            </w:r>
            <w:bookmarkEnd w:id="72"/>
          </w:p>
        </w:tc>
      </w:tr>
      <w:tr w14:paraId="61D620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043" w:type="pct"/>
            <w:tcBorders>
              <w:top w:val="single" w:color="auto" w:sz="4" w:space="0"/>
              <w:left w:val="single" w:color="auto" w:sz="4" w:space="0"/>
              <w:bottom w:val="single" w:color="auto" w:sz="4" w:space="0"/>
              <w:right w:val="single" w:color="auto" w:sz="4" w:space="0"/>
            </w:tcBorders>
            <w:vAlign w:val="center"/>
          </w:tcPr>
          <w:p w14:paraId="6C0CBB1C">
            <w:pPr>
              <w:spacing w:line="360" w:lineRule="auto"/>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竞标人综合评分计算公式</w:t>
            </w:r>
          </w:p>
        </w:tc>
        <w:tc>
          <w:tcPr>
            <w:tcW w:w="3956" w:type="pct"/>
            <w:gridSpan w:val="3"/>
            <w:tcBorders>
              <w:top w:val="single" w:color="auto" w:sz="4" w:space="0"/>
              <w:left w:val="single" w:color="auto" w:sz="4" w:space="0"/>
              <w:bottom w:val="single" w:color="auto" w:sz="4" w:space="0"/>
              <w:right w:val="single" w:color="auto" w:sz="4" w:space="0"/>
            </w:tcBorders>
            <w:vAlign w:val="center"/>
          </w:tcPr>
          <w:p w14:paraId="28560FF3">
            <w:pPr>
              <w:spacing w:line="360" w:lineRule="auto"/>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竞标人综合得分=商务标得分+技术标得分+价格分得分</w:t>
            </w:r>
          </w:p>
        </w:tc>
      </w:tr>
    </w:tbl>
    <w:p w14:paraId="752EF23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四、成交候选人推荐原则</w:t>
      </w:r>
    </w:p>
    <w:bookmarkEnd w:id="63"/>
    <w:bookmarkEnd w:id="64"/>
    <w:bookmarkEnd w:id="65"/>
    <w:bookmarkEnd w:id="66"/>
    <w:p w14:paraId="7EE8CDA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磋商小组将根据综合得分由高到低排列次序（得分相同时，以最后报价由低到高顺序排列；得分相同且最后报价相同的，按</w:t>
      </w:r>
      <w:r>
        <w:rPr>
          <w:rFonts w:hint="eastAsia" w:ascii="宋体" w:hAnsi="宋体" w:eastAsia="宋体" w:cs="宋体"/>
          <w:color w:val="auto"/>
          <w:sz w:val="24"/>
          <w:szCs w:val="24"/>
          <w:highlight w:val="none"/>
        </w:rPr>
        <w:t>业绩分得</w:t>
      </w:r>
      <w:r>
        <w:rPr>
          <w:rFonts w:hint="eastAsia" w:ascii="宋体" w:hAnsi="宋体" w:eastAsia="宋体" w:cs="宋体"/>
          <w:bCs/>
          <w:color w:val="auto"/>
          <w:sz w:val="24"/>
          <w:szCs w:val="24"/>
          <w:highlight w:val="none"/>
        </w:rPr>
        <w:t>分先后顺序,由高到低顺序排列,</w:t>
      </w:r>
      <w:r>
        <w:rPr>
          <w:rFonts w:hint="eastAsia" w:ascii="宋体" w:hAnsi="宋体" w:eastAsia="宋体" w:cs="宋体"/>
          <w:color w:val="auto"/>
          <w:sz w:val="24"/>
          <w:szCs w:val="24"/>
          <w:highlight w:val="none"/>
        </w:rPr>
        <w:t>业绩分得</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u w:color="000000"/>
        </w:rPr>
        <w:t>也相同的，按</w:t>
      </w:r>
      <w:r>
        <w:rPr>
          <w:rFonts w:hint="eastAsia" w:ascii="宋体" w:hAnsi="宋体" w:eastAsia="宋体" w:cs="宋体"/>
          <w:bCs/>
          <w:color w:val="auto"/>
          <w:sz w:val="24"/>
          <w:szCs w:val="24"/>
          <w:highlight w:val="none"/>
        </w:rPr>
        <w:t>施工组织设计</w:t>
      </w:r>
      <w:r>
        <w:rPr>
          <w:rFonts w:hint="eastAsia" w:ascii="宋体" w:hAnsi="宋体" w:eastAsia="宋体" w:cs="宋体"/>
          <w:bCs/>
          <w:color w:val="auto"/>
          <w:sz w:val="24"/>
          <w:szCs w:val="24"/>
          <w:highlight w:val="none"/>
          <w:u w:color="000000"/>
          <w:lang w:val="zh-TW" w:eastAsia="zh-TW"/>
        </w:rPr>
        <w:t>方案</w:t>
      </w:r>
      <w:r>
        <w:rPr>
          <w:rFonts w:hint="eastAsia" w:ascii="宋体" w:hAnsi="宋体" w:eastAsia="宋体" w:cs="宋体"/>
          <w:color w:val="auto"/>
          <w:sz w:val="24"/>
          <w:szCs w:val="24"/>
          <w:highlight w:val="none"/>
        </w:rPr>
        <w:t>得</w:t>
      </w:r>
      <w:r>
        <w:rPr>
          <w:rFonts w:hint="eastAsia" w:ascii="宋体" w:hAnsi="宋体" w:eastAsia="宋体" w:cs="宋体"/>
          <w:bCs/>
          <w:color w:val="auto"/>
          <w:sz w:val="24"/>
          <w:szCs w:val="24"/>
          <w:highlight w:val="none"/>
        </w:rPr>
        <w:t>分先后顺序,由高到低顺序排列，</w:t>
      </w:r>
      <w:r>
        <w:rPr>
          <w:rFonts w:hint="eastAsia" w:ascii="宋体" w:hAnsi="宋体" w:eastAsia="宋体" w:cs="宋体"/>
          <w:color w:val="auto"/>
          <w:kern w:val="0"/>
          <w:sz w:val="24"/>
          <w:szCs w:val="24"/>
          <w:highlight w:val="none"/>
        </w:rPr>
        <w:t>所有</w:t>
      </w:r>
      <w:r>
        <w:rPr>
          <w:rFonts w:hint="eastAsia" w:ascii="宋体" w:hAnsi="宋体" w:eastAsia="宋体" w:cs="宋体"/>
          <w:color w:val="auto"/>
          <w:sz w:val="24"/>
          <w:szCs w:val="24"/>
          <w:highlight w:val="none"/>
        </w:rPr>
        <w:t>得</w:t>
      </w:r>
      <w:r>
        <w:rPr>
          <w:rFonts w:hint="eastAsia" w:ascii="宋体" w:hAnsi="宋体" w:eastAsia="宋体" w:cs="宋体"/>
          <w:bCs/>
          <w:color w:val="auto"/>
          <w:sz w:val="24"/>
          <w:szCs w:val="24"/>
          <w:highlight w:val="none"/>
        </w:rPr>
        <w:t>分都相同的,由磋商小组具体讨论决定）并推荐3名成交候选供应商。</w:t>
      </w:r>
    </w:p>
    <w:p w14:paraId="3028A77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采购单位应当确定磋商小组推荐排名第一的成交候选人为成交人。排名第一的成交候选人放弃成交、因不可抗力提出不能履行合同的，</w:t>
      </w:r>
      <w:r>
        <w:rPr>
          <w:rFonts w:hint="eastAsia" w:ascii="宋体" w:hAnsi="宋体" w:eastAsia="宋体" w:cs="宋体"/>
          <w:color w:val="auto"/>
          <w:sz w:val="24"/>
          <w:szCs w:val="24"/>
          <w:highlight w:val="none"/>
        </w:rPr>
        <w:t>或未按采购文件规定提交履约保证金的（如有），或者被列入“严重失信主体名单”、“重大税收违法失信主体名单”、“政府采购严重违法失信行为记录名单”的，</w:t>
      </w:r>
      <w:r>
        <w:rPr>
          <w:rFonts w:hint="eastAsia" w:ascii="宋体" w:hAnsi="宋体" w:eastAsia="宋体" w:cs="宋体"/>
          <w:bCs/>
          <w:color w:val="auto"/>
          <w:sz w:val="24"/>
          <w:szCs w:val="24"/>
          <w:highlight w:val="none"/>
        </w:rPr>
        <w:t>招标采购单位可以确定排定第二的成交候选人为成交人。</w:t>
      </w:r>
      <w:r>
        <w:rPr>
          <w:rFonts w:hint="eastAsia" w:ascii="宋体" w:hAnsi="宋体" w:eastAsia="宋体" w:cs="宋体"/>
          <w:color w:val="auto"/>
          <w:sz w:val="24"/>
          <w:szCs w:val="24"/>
          <w:highlight w:val="none"/>
        </w:rPr>
        <w:t>也可以重新开展政府采购活动。</w:t>
      </w:r>
      <w:r>
        <w:rPr>
          <w:rFonts w:hint="eastAsia" w:ascii="宋体" w:hAnsi="宋体" w:eastAsia="宋体" w:cs="宋体"/>
          <w:bCs/>
          <w:color w:val="auto"/>
          <w:sz w:val="24"/>
          <w:szCs w:val="24"/>
          <w:highlight w:val="none"/>
        </w:rPr>
        <w:t>排名第二的成交候选人因前款规定的同样原因不能签订合同的，采购单位可以确定排名第三的成交候选人为成交人。</w:t>
      </w:r>
    </w:p>
    <w:p w14:paraId="4326F08C">
      <w:pPr>
        <w:rPr>
          <w:rFonts w:hint="eastAsia" w:ascii="宋体" w:hAnsi="宋体" w:eastAsia="宋体" w:cs="宋体"/>
          <w:b/>
          <w:color w:val="auto"/>
          <w:sz w:val="44"/>
          <w:szCs w:val="44"/>
          <w:highlight w:val="none"/>
        </w:rPr>
      </w:pPr>
      <w:r>
        <w:rPr>
          <w:rFonts w:hint="eastAsia" w:ascii="宋体" w:hAnsi="宋体" w:eastAsia="宋体" w:cs="宋体"/>
          <w:bCs/>
          <w:color w:val="auto"/>
          <w:sz w:val="24"/>
          <w:szCs w:val="24"/>
          <w:highlight w:val="none"/>
        </w:rPr>
        <w:br w:type="page"/>
      </w:r>
    </w:p>
    <w:p w14:paraId="37AF6239">
      <w:pPr>
        <w:rPr>
          <w:rFonts w:hint="eastAsia" w:ascii="宋体" w:hAnsi="宋体" w:eastAsia="宋体" w:cs="宋体"/>
          <w:b/>
          <w:color w:val="auto"/>
          <w:sz w:val="44"/>
          <w:szCs w:val="44"/>
          <w:highlight w:val="none"/>
        </w:rPr>
      </w:pPr>
    </w:p>
    <w:p w14:paraId="4EA7626E">
      <w:pPr>
        <w:spacing w:line="360" w:lineRule="auto"/>
        <w:jc w:val="center"/>
        <w:outlineLvl w:val="0"/>
        <w:rPr>
          <w:rFonts w:hint="eastAsia" w:ascii="宋体" w:hAnsi="宋体" w:eastAsia="宋体" w:cs="宋体"/>
          <w:b/>
          <w:iCs/>
          <w:color w:val="auto"/>
          <w:sz w:val="44"/>
          <w:szCs w:val="44"/>
          <w:highlight w:val="none"/>
        </w:rPr>
      </w:pPr>
      <w:bookmarkStart w:id="73" w:name="_Toc162340983"/>
      <w:r>
        <w:rPr>
          <w:rFonts w:hint="eastAsia" w:ascii="宋体" w:hAnsi="宋体" w:eastAsia="宋体" w:cs="宋体"/>
          <w:b/>
          <w:color w:val="auto"/>
          <w:sz w:val="44"/>
          <w:szCs w:val="44"/>
          <w:highlight w:val="none"/>
        </w:rPr>
        <w:t>第</w:t>
      </w:r>
      <w:r>
        <w:rPr>
          <w:rFonts w:hint="eastAsia" w:ascii="宋体" w:hAnsi="宋体" w:eastAsia="宋体" w:cs="宋体"/>
          <w:b/>
          <w:iCs/>
          <w:color w:val="auto"/>
          <w:sz w:val="44"/>
          <w:szCs w:val="44"/>
          <w:highlight w:val="none"/>
        </w:rPr>
        <w:t xml:space="preserve">四章 </w:t>
      </w:r>
      <w:bookmarkStart w:id="74" w:name="_Toc43293079"/>
      <w:bookmarkStart w:id="75" w:name="_Toc459567808"/>
      <w:bookmarkStart w:id="76" w:name="_Toc392940991"/>
      <w:r>
        <w:rPr>
          <w:rFonts w:hint="eastAsia" w:ascii="宋体" w:hAnsi="宋体" w:eastAsia="宋体" w:cs="宋体"/>
          <w:b/>
          <w:iCs/>
          <w:color w:val="auto"/>
          <w:sz w:val="44"/>
          <w:szCs w:val="44"/>
          <w:highlight w:val="none"/>
        </w:rPr>
        <w:t>合同条款及格式</w:t>
      </w:r>
      <w:bookmarkEnd w:id="73"/>
    </w:p>
    <w:p w14:paraId="7E3B0421">
      <w:pPr>
        <w:widowControl/>
        <w:jc w:val="left"/>
        <w:rPr>
          <w:rFonts w:hint="eastAsia" w:ascii="宋体" w:hAnsi="宋体" w:eastAsia="宋体" w:cs="宋体"/>
          <w:b/>
          <w:color w:val="auto"/>
          <w:sz w:val="52"/>
          <w:szCs w:val="52"/>
          <w:highlight w:val="none"/>
          <w:u w:val="single"/>
          <w:lang w:val="en-US" w:eastAsia="zh-CN"/>
        </w:rPr>
      </w:pPr>
    </w:p>
    <w:p w14:paraId="42E46CC2">
      <w:pPr>
        <w:jc w:val="center"/>
        <w:rPr>
          <w:rFonts w:hint="eastAsia" w:ascii="宋体" w:hAnsi="宋体" w:eastAsia="宋体" w:cs="宋体"/>
          <w:b/>
          <w:color w:val="auto"/>
          <w:sz w:val="52"/>
          <w:szCs w:val="52"/>
          <w:highlight w:val="none"/>
          <w:u w:val="single"/>
          <w:lang w:val="en-US" w:eastAsia="zh-CN"/>
        </w:rPr>
      </w:pPr>
      <w:r>
        <w:rPr>
          <w:rFonts w:hint="eastAsia" w:ascii="宋体" w:hAnsi="宋体" w:eastAsia="宋体" w:cs="宋体"/>
          <w:b/>
          <w:color w:val="auto"/>
          <w:sz w:val="52"/>
          <w:szCs w:val="52"/>
          <w:highlight w:val="none"/>
          <w:u w:val="single"/>
          <w:lang w:val="en-US" w:eastAsia="zh-CN"/>
        </w:rPr>
        <w:t>2024-2025年柳州市三十七中学教学楼及球场维修工程；柳州市育才路小学运动场及围墙维修改造工程；柳州市柳邕路第一小学跑道、围墙及地下消防管道维修改造工程</w:t>
      </w:r>
    </w:p>
    <w:p w14:paraId="4DB2A636">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施 工 合 同</w:t>
      </w:r>
    </w:p>
    <w:p w14:paraId="63C310D0">
      <w:pPr>
        <w:rPr>
          <w:rFonts w:hint="eastAsia" w:ascii="宋体" w:hAnsi="宋体" w:eastAsia="宋体" w:cs="宋体"/>
          <w:color w:val="auto"/>
          <w:sz w:val="72"/>
          <w:szCs w:val="72"/>
          <w:highlight w:val="none"/>
        </w:rPr>
      </w:pPr>
    </w:p>
    <w:p w14:paraId="098F5AB1">
      <w:pPr>
        <w:rPr>
          <w:rFonts w:hint="eastAsia" w:ascii="宋体" w:hAnsi="宋体" w:eastAsia="宋体" w:cs="宋体"/>
          <w:color w:val="auto"/>
          <w:szCs w:val="24"/>
          <w:highlight w:val="none"/>
        </w:rPr>
      </w:pPr>
    </w:p>
    <w:p w14:paraId="1465C6D8">
      <w:pPr>
        <w:rPr>
          <w:rFonts w:hint="eastAsia" w:ascii="宋体" w:hAnsi="宋体" w:eastAsia="宋体" w:cs="宋体"/>
          <w:b/>
          <w:color w:val="auto"/>
          <w:sz w:val="40"/>
          <w:szCs w:val="36"/>
          <w:highlight w:val="none"/>
        </w:rPr>
      </w:pPr>
    </w:p>
    <w:p w14:paraId="4B81EB3B">
      <w:pPr>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lang w:eastAsia="zh-CN"/>
        </w:rPr>
        <w:t>合同编号</w:t>
      </w: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u w:val="single"/>
          <w:lang w:val="en-US" w:eastAsia="zh-CN"/>
        </w:rPr>
        <w:t xml:space="preserve">                               </w:t>
      </w:r>
    </w:p>
    <w:p w14:paraId="276C2600">
      <w:pPr>
        <w:rPr>
          <w:rFonts w:hint="eastAsia" w:ascii="宋体" w:hAnsi="宋体" w:eastAsia="宋体" w:cs="宋体"/>
          <w:color w:val="auto"/>
          <w:sz w:val="36"/>
          <w:szCs w:val="36"/>
          <w:highlight w:val="none"/>
          <w:u w:val="single"/>
        </w:rPr>
      </w:pPr>
    </w:p>
    <w:p w14:paraId="22D7B24F">
      <w:pP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发包人（全称）：</w:t>
      </w:r>
      <w:r>
        <w:rPr>
          <w:rFonts w:hint="eastAsia" w:ascii="宋体" w:hAnsi="宋体" w:eastAsia="宋体" w:cs="宋体"/>
          <w:b/>
          <w:color w:val="auto"/>
          <w:sz w:val="36"/>
          <w:szCs w:val="36"/>
          <w:highlight w:val="none"/>
          <w:u w:val="single"/>
          <w:lang w:eastAsia="zh-CN"/>
        </w:rPr>
        <w:t>柳州市柳南区教育局</w:t>
      </w:r>
    </w:p>
    <w:p w14:paraId="7CA7E0F8">
      <w:pPr>
        <w:rPr>
          <w:rFonts w:hint="eastAsia" w:ascii="宋体" w:hAnsi="宋体" w:eastAsia="宋体" w:cs="宋体"/>
          <w:b/>
          <w:color w:val="auto"/>
          <w:sz w:val="36"/>
          <w:szCs w:val="36"/>
          <w:highlight w:val="none"/>
        </w:rPr>
      </w:pPr>
    </w:p>
    <w:p w14:paraId="22941F96">
      <w:pP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承包人（全称）：</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1DE6896B">
      <w:pPr>
        <w:rPr>
          <w:rFonts w:hint="eastAsia" w:ascii="宋体" w:hAnsi="宋体" w:eastAsia="宋体" w:cs="宋体"/>
          <w:b/>
          <w:color w:val="auto"/>
          <w:sz w:val="36"/>
          <w:szCs w:val="36"/>
          <w:highlight w:val="none"/>
        </w:rPr>
      </w:pPr>
    </w:p>
    <w:p w14:paraId="0E777164">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eastAsia="zh-CN"/>
        </w:rPr>
        <w:t>签订日期：</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lang w:val="en-US" w:eastAsia="zh-CN"/>
        </w:rPr>
        <w:t xml:space="preserve">     </w:t>
      </w:r>
    </w:p>
    <w:p w14:paraId="78D2604A">
      <w:pPr>
        <w:rPr>
          <w:rFonts w:hint="eastAsia" w:ascii="宋体" w:hAnsi="宋体" w:eastAsia="宋体" w:cs="宋体"/>
          <w:color w:val="auto"/>
          <w:sz w:val="40"/>
          <w:szCs w:val="36"/>
          <w:highlight w:val="none"/>
        </w:rPr>
        <w:sectPr>
          <w:headerReference r:id="rId5" w:type="default"/>
          <w:footerReference r:id="rId6" w:type="default"/>
          <w:footerReference r:id="rId7" w:type="even"/>
          <w:pgSz w:w="11906" w:h="16838"/>
          <w:pgMar w:top="1440" w:right="1417" w:bottom="850" w:left="1417" w:header="851" w:footer="992" w:gutter="0"/>
          <w:cols w:space="720" w:num="1"/>
          <w:docGrid w:type="lines" w:linePitch="312" w:charSpace="0"/>
        </w:sectPr>
      </w:pPr>
    </w:p>
    <w:p w14:paraId="021CBDA0">
      <w:pPr>
        <w:pStyle w:val="2"/>
        <w:numPr>
          <w:ilvl w:val="0"/>
          <w:numId w:val="4"/>
        </w:numPr>
        <w:jc w:val="center"/>
        <w:rPr>
          <w:rFonts w:hint="eastAsia" w:ascii="宋体" w:hAnsi="宋体" w:eastAsia="宋体" w:cs="宋体"/>
          <w:color w:val="auto"/>
          <w:highlight w:val="none"/>
        </w:rPr>
      </w:pPr>
      <w:bookmarkStart w:id="77" w:name="_Toc1756478213"/>
      <w:bookmarkStart w:id="78" w:name="_Toc296503025"/>
      <w:bookmarkStart w:id="79" w:name="_Toc724920571"/>
      <w:bookmarkStart w:id="80" w:name="_Toc78449777"/>
      <w:bookmarkStart w:id="81" w:name="_Toc351203480"/>
      <w:bookmarkStart w:id="82" w:name="_Toc373478199"/>
      <w:bookmarkStart w:id="83" w:name="_Toc389065255"/>
      <w:bookmarkStart w:id="84" w:name="_Toc296890982"/>
      <w:bookmarkStart w:id="85" w:name="_Toc407135191"/>
      <w:bookmarkStart w:id="86" w:name="_Toc373227552"/>
      <w:r>
        <w:rPr>
          <w:rFonts w:hint="eastAsia" w:ascii="宋体" w:hAnsi="宋体" w:eastAsia="宋体" w:cs="宋体"/>
          <w:color w:val="auto"/>
          <w:highlight w:val="none"/>
        </w:rPr>
        <w:t>合同协议书</w:t>
      </w:r>
      <w:bookmarkEnd w:id="77"/>
      <w:bookmarkEnd w:id="78"/>
      <w:bookmarkEnd w:id="79"/>
      <w:bookmarkEnd w:id="80"/>
      <w:bookmarkEnd w:id="81"/>
      <w:bookmarkEnd w:id="82"/>
      <w:bookmarkEnd w:id="83"/>
      <w:bookmarkEnd w:id="84"/>
      <w:bookmarkEnd w:id="85"/>
      <w:bookmarkEnd w:id="86"/>
    </w:p>
    <w:p w14:paraId="7F49346E">
      <w:pPr>
        <w:numPr>
          <w:ilvl w:val="0"/>
          <w:numId w:val="0"/>
        </w:numPr>
        <w:rPr>
          <w:rFonts w:hint="eastAsia"/>
          <w:color w:val="auto"/>
          <w:highlight w:val="none"/>
        </w:rPr>
      </w:pPr>
    </w:p>
    <w:p w14:paraId="25C48BD5">
      <w:pPr>
        <w:numPr>
          <w:ilvl w:val="0"/>
          <w:numId w:val="0"/>
        </w:numPr>
        <w:rPr>
          <w:rFonts w:hint="eastAsia"/>
          <w:color w:val="auto"/>
          <w:highlight w:val="none"/>
        </w:rPr>
      </w:pPr>
    </w:p>
    <w:p w14:paraId="463FF837">
      <w:pPr>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lang w:eastAsia="zh-CN"/>
        </w:rPr>
        <w:t>柳州市柳南区教育局</w:t>
      </w:r>
    </w:p>
    <w:p w14:paraId="02FE6670">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p>
    <w:p w14:paraId="1DA3D22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根据《中华人民共和国民法典》、《中华人民共和国建筑法》及有关法律规定，遵循平等、自愿、公平和诚实信用的原则，双方就</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val="0"/>
          <w:bCs/>
          <w:color w:val="auto"/>
          <w:sz w:val="21"/>
          <w:szCs w:val="21"/>
          <w:highlight w:val="none"/>
          <w:u w:val="single"/>
          <w:lang w:eastAsia="zh-CN"/>
        </w:rPr>
        <w:t>2024-2025年柳州市三十七中学教学楼及球场维修工程；柳州市育才路小学运动场及围墙维修改造工程；柳州市柳邕路第一小学跑道、围墙及地下消防管道维修改造工程</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施工及有关事项协商一致，共同达成如下协议：</w:t>
      </w:r>
      <w:bookmarkStart w:id="87" w:name="_Toc351203481"/>
    </w:p>
    <w:p w14:paraId="7089B366">
      <w:pPr>
        <w:spacing w:line="360" w:lineRule="auto"/>
        <w:ind w:firstLine="422" w:firstLineChars="200"/>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一、工程概况</w:t>
      </w:r>
      <w:bookmarkEnd w:id="87"/>
    </w:p>
    <w:p w14:paraId="6525E68F">
      <w:pPr>
        <w:spacing w:line="360" w:lineRule="auto"/>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rPr>
        <w:t>1. 工程名称：</w:t>
      </w:r>
      <w:r>
        <w:rPr>
          <w:rFonts w:hint="eastAsia" w:ascii="宋体" w:hAnsi="宋体" w:eastAsia="宋体" w:cs="宋体"/>
          <w:b w:val="0"/>
          <w:bCs/>
          <w:color w:val="auto"/>
          <w:sz w:val="21"/>
          <w:szCs w:val="21"/>
          <w:highlight w:val="none"/>
          <w:u w:val="single"/>
          <w:lang w:eastAsia="zh-CN"/>
        </w:rPr>
        <w:t>2024-2025年柳州市三十七中学教学楼及球场维修工程；柳州市育才路小学运动场及围墙维修改造工程；柳州市柳邕路第一小学跑道、围墙及地下消防管道维修改造工程</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66BCE733">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2. 工程地点：</w:t>
      </w:r>
      <w:r>
        <w:rPr>
          <w:rFonts w:hint="eastAsia" w:ascii="宋体" w:hAnsi="宋体" w:eastAsia="宋体" w:cs="宋体"/>
          <w:color w:val="auto"/>
          <w:highlight w:val="none"/>
          <w:u w:val="single"/>
          <w:lang w:val="en-US" w:eastAsia="zh-CN"/>
        </w:rPr>
        <w:t>柳州市柳南区</w:t>
      </w:r>
      <w:r>
        <w:rPr>
          <w:rFonts w:hint="eastAsia" w:ascii="宋体" w:hAnsi="宋体" w:eastAsia="宋体" w:cs="宋体"/>
          <w:color w:val="auto"/>
          <w:highlight w:val="none"/>
        </w:rPr>
        <w:t>。</w:t>
      </w:r>
    </w:p>
    <w:p w14:paraId="7CDA3373">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3. 工程立项批准文号：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3E03AFD">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4. 资金来源：</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4F19F52A">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5. 工程内容：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w:t>
      </w:r>
    </w:p>
    <w:p w14:paraId="0458213C">
      <w:pPr>
        <w:spacing w:line="360" w:lineRule="auto"/>
        <w:ind w:firstLine="411" w:firstLineChars="196"/>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工程承包范围：</w:t>
      </w:r>
      <w:r>
        <w:rPr>
          <w:rFonts w:hint="eastAsia" w:ascii="宋体" w:hAnsi="宋体" w:eastAsia="宋体" w:cs="宋体"/>
          <w:color w:val="auto"/>
          <w:highlight w:val="none"/>
          <w:u w:val="single"/>
        </w:rPr>
        <w:t>具体内容以施工图纸及工程量清单为准</w:t>
      </w:r>
      <w:r>
        <w:rPr>
          <w:rFonts w:hint="eastAsia" w:ascii="宋体" w:hAnsi="宋体" w:eastAsia="宋体" w:cs="宋体"/>
          <w:color w:val="auto"/>
          <w:highlight w:val="none"/>
        </w:rPr>
        <w:t>。</w:t>
      </w:r>
    </w:p>
    <w:p w14:paraId="6CFD763A">
      <w:pPr>
        <w:spacing w:line="360" w:lineRule="auto"/>
        <w:ind w:firstLine="407" w:firstLineChars="193"/>
        <w:outlineLvl w:val="2"/>
        <w:rPr>
          <w:rFonts w:hint="eastAsia" w:ascii="宋体" w:hAnsi="宋体" w:eastAsia="宋体" w:cs="宋体"/>
          <w:b/>
          <w:bCs/>
          <w:color w:val="auto"/>
          <w:highlight w:val="none"/>
        </w:rPr>
      </w:pPr>
      <w:bookmarkStart w:id="88" w:name="_Toc351203482"/>
      <w:r>
        <w:rPr>
          <w:rFonts w:hint="eastAsia" w:ascii="宋体" w:hAnsi="宋体" w:eastAsia="宋体" w:cs="宋体"/>
          <w:b/>
          <w:bCs/>
          <w:color w:val="auto"/>
          <w:highlight w:val="none"/>
        </w:rPr>
        <w:t>二、合同工期</w:t>
      </w:r>
      <w:bookmarkEnd w:id="88"/>
    </w:p>
    <w:p w14:paraId="48F8C7A9">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计划开工日期：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日。（具体以发包人书面通知为准）</w:t>
      </w:r>
    </w:p>
    <w:p w14:paraId="0D631428">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计划竣工日期：</w:t>
      </w:r>
      <w:r>
        <w:rPr>
          <w:rFonts w:hint="eastAsia" w:ascii="宋体" w:hAnsi="宋体" w:eastAsia="宋体" w:cs="宋体"/>
          <w:color w:val="auto"/>
          <w:highlight w:val="none"/>
          <w:u w:val="single"/>
        </w:rPr>
        <w:t></w:t>
      </w:r>
      <w:r>
        <w:rPr>
          <w:rFonts w:hint="eastAsia" w:ascii="宋体" w:hAnsi="宋体" w:eastAsia="宋体" w:cs="宋体"/>
          <w:color w:val="auto"/>
          <w:highlight w:val="none"/>
        </w:rPr>
        <w:t>年</w:t>
      </w:r>
      <w:r>
        <w:rPr>
          <w:rFonts w:hint="eastAsia" w:ascii="宋体" w:hAnsi="宋体" w:eastAsia="宋体" w:cs="宋体"/>
          <w:color w:val="auto"/>
          <w:highlight w:val="none"/>
          <w:u w:val="single"/>
        </w:rPr>
        <w:t></w:t>
      </w:r>
      <w:r>
        <w:rPr>
          <w:rFonts w:hint="eastAsia" w:ascii="宋体" w:hAnsi="宋体" w:eastAsia="宋体" w:cs="宋体"/>
          <w:color w:val="auto"/>
          <w:highlight w:val="none"/>
        </w:rPr>
        <w:t>月</w:t>
      </w:r>
      <w:r>
        <w:rPr>
          <w:rFonts w:hint="eastAsia" w:ascii="宋体" w:hAnsi="宋体" w:eastAsia="宋体" w:cs="宋体"/>
          <w:color w:val="auto"/>
          <w:highlight w:val="none"/>
          <w:u w:val="single"/>
        </w:rPr>
        <w:t></w:t>
      </w:r>
      <w:r>
        <w:rPr>
          <w:rFonts w:hint="eastAsia" w:ascii="宋体" w:hAnsi="宋体" w:eastAsia="宋体" w:cs="宋体"/>
          <w:color w:val="auto"/>
          <w:highlight w:val="none"/>
        </w:rPr>
        <w:t>日。</w:t>
      </w:r>
    </w:p>
    <w:p w14:paraId="653EAC9C">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工期总日历天数：</w:t>
      </w:r>
      <w:r>
        <w:rPr>
          <w:rFonts w:hint="eastAsia" w:ascii="宋体" w:hAnsi="宋体" w:eastAsia="宋体" w:cs="宋体"/>
          <w:color w:val="auto"/>
          <w:highlight w:val="none"/>
          <w:u w:val="single"/>
          <w:lang w:val="en-US" w:eastAsia="zh-CN"/>
        </w:rPr>
        <w:t xml:space="preserve"> 30 </w:t>
      </w:r>
      <w:r>
        <w:rPr>
          <w:rFonts w:hint="eastAsia" w:ascii="宋体" w:hAnsi="宋体" w:eastAsia="宋体" w:cs="宋体"/>
          <w:color w:val="auto"/>
          <w:highlight w:val="none"/>
        </w:rPr>
        <w:t>天。工期总日历天数与根据前述计划开竣工日期计算的工期天数不一致的，以工期总日历天数为准。</w:t>
      </w:r>
    </w:p>
    <w:p w14:paraId="47593341">
      <w:pPr>
        <w:spacing w:line="360" w:lineRule="auto"/>
        <w:ind w:firstLine="459"/>
        <w:outlineLvl w:val="2"/>
        <w:rPr>
          <w:rFonts w:hint="eastAsia" w:ascii="宋体" w:hAnsi="宋体" w:eastAsia="宋体" w:cs="宋体"/>
          <w:b/>
          <w:bCs/>
          <w:color w:val="auto"/>
          <w:highlight w:val="none"/>
        </w:rPr>
      </w:pPr>
      <w:bookmarkStart w:id="89" w:name="_Toc351203483"/>
      <w:r>
        <w:rPr>
          <w:rFonts w:hint="eastAsia" w:ascii="宋体" w:hAnsi="宋体" w:eastAsia="宋体" w:cs="宋体"/>
          <w:b/>
          <w:bCs/>
          <w:color w:val="auto"/>
          <w:highlight w:val="none"/>
        </w:rPr>
        <w:t>三、质量标准</w:t>
      </w:r>
      <w:bookmarkEnd w:id="89"/>
    </w:p>
    <w:p w14:paraId="3E5292E0">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工程质量符合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合格</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标准。</w:t>
      </w:r>
    </w:p>
    <w:p w14:paraId="68D5D9CA">
      <w:pPr>
        <w:spacing w:line="360" w:lineRule="auto"/>
        <w:ind w:firstLine="459"/>
        <w:outlineLvl w:val="2"/>
        <w:rPr>
          <w:rFonts w:hint="eastAsia" w:ascii="宋体" w:hAnsi="宋体" w:eastAsia="宋体" w:cs="宋体"/>
          <w:b/>
          <w:bCs/>
          <w:color w:val="auto"/>
          <w:highlight w:val="none"/>
        </w:rPr>
      </w:pPr>
      <w:bookmarkStart w:id="90" w:name="_Toc351203484"/>
      <w:r>
        <w:rPr>
          <w:rFonts w:hint="eastAsia" w:ascii="宋体" w:hAnsi="宋体" w:eastAsia="宋体" w:cs="宋体"/>
          <w:b/>
          <w:bCs/>
          <w:color w:val="auto"/>
          <w:highlight w:val="none"/>
        </w:rPr>
        <w:t>四、签约合同价与合同价格形式</w:t>
      </w:r>
      <w:bookmarkEnd w:id="90"/>
    </w:p>
    <w:p w14:paraId="39F0CF9E">
      <w:pPr>
        <w:spacing w:line="360" w:lineRule="auto"/>
        <w:ind w:firstLine="459"/>
        <w:rPr>
          <w:rFonts w:hint="eastAsia" w:ascii="宋体" w:hAnsi="宋体" w:eastAsia="宋体" w:cs="宋体"/>
          <w:color w:val="auto"/>
          <w:highlight w:val="none"/>
        </w:rPr>
      </w:pPr>
      <w:r>
        <w:rPr>
          <w:rFonts w:hint="eastAsia" w:ascii="宋体" w:hAnsi="宋体" w:eastAsia="宋体" w:cs="宋体"/>
          <w:color w:val="auto"/>
          <w:highlight w:val="none"/>
        </w:rPr>
        <w:t>1. 签约合同价为：</w:t>
      </w:r>
    </w:p>
    <w:p w14:paraId="5619C8E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137D7B0E">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其中：</w:t>
      </w:r>
    </w:p>
    <w:p w14:paraId="05ECC2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（1）安全文明施工费：</w:t>
      </w:r>
    </w:p>
    <w:p w14:paraId="20C56314">
      <w:pPr>
        <w:spacing w:line="360" w:lineRule="auto"/>
        <w:ind w:left="420" w:leftChars="200"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33BA37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（2）材料和工程设备暂估价金额：</w:t>
      </w:r>
    </w:p>
    <w:p w14:paraId="46E41200">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5DD97E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（3）专业工程暂估价金额：</w:t>
      </w:r>
    </w:p>
    <w:p w14:paraId="108011B6">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6EBFB4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（4）暂列金额：</w:t>
      </w:r>
    </w:p>
    <w:p w14:paraId="655B09AD">
      <w:pPr>
        <w:spacing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6BCEC2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（5）不含税合同价为： </w:t>
      </w:r>
    </w:p>
    <w:p w14:paraId="20F3D902">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val="en-US" w:eastAsia="zh-CN"/>
        </w:rPr>
        <w:t xml:space="preserve">； </w:t>
      </w:r>
    </w:p>
    <w:p w14:paraId="185DF2A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（6）增值税额： </w:t>
      </w:r>
    </w:p>
    <w:p w14:paraId="68519485">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人民币（大写）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val="en-US" w:eastAsia="zh-CN"/>
        </w:rPr>
        <w:t xml:space="preserve">。 </w:t>
      </w:r>
    </w:p>
    <w:p w14:paraId="629444B8">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增值税率：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65192D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合同价格形式：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综合</w:t>
      </w:r>
      <w:r>
        <w:rPr>
          <w:rFonts w:hint="eastAsia" w:ascii="宋体" w:hAnsi="宋体" w:eastAsia="宋体" w:cs="宋体"/>
          <w:color w:val="auto"/>
          <w:highlight w:val="none"/>
          <w:u w:val="single"/>
        </w:rPr>
        <w:t xml:space="preserve">单价合同 </w:t>
      </w:r>
      <w:r>
        <w:rPr>
          <w:rFonts w:hint="eastAsia" w:ascii="宋体" w:hAnsi="宋体" w:eastAsia="宋体" w:cs="宋体"/>
          <w:color w:val="auto"/>
          <w:highlight w:val="none"/>
        </w:rPr>
        <w:t>。</w:t>
      </w:r>
    </w:p>
    <w:p w14:paraId="5974A25D">
      <w:pPr>
        <w:spacing w:line="360" w:lineRule="auto"/>
        <w:ind w:firstLine="422" w:firstLineChars="200"/>
        <w:outlineLvl w:val="2"/>
        <w:rPr>
          <w:rFonts w:hint="eastAsia" w:ascii="宋体" w:hAnsi="宋体" w:eastAsia="宋体" w:cs="宋体"/>
          <w:b/>
          <w:bCs/>
          <w:color w:val="auto"/>
          <w:highlight w:val="none"/>
        </w:rPr>
      </w:pPr>
      <w:bookmarkStart w:id="91" w:name="_Toc351203485"/>
      <w:r>
        <w:rPr>
          <w:rFonts w:hint="eastAsia" w:ascii="宋体" w:hAnsi="宋体" w:eastAsia="宋体" w:cs="宋体"/>
          <w:b/>
          <w:bCs/>
          <w:color w:val="auto"/>
          <w:highlight w:val="none"/>
        </w:rPr>
        <w:t>五、</w:t>
      </w:r>
      <w:bookmarkEnd w:id="91"/>
      <w:r>
        <w:rPr>
          <w:rFonts w:hint="eastAsia" w:ascii="宋体" w:hAnsi="宋体" w:eastAsia="宋体" w:cs="宋体"/>
          <w:b/>
          <w:bCs/>
          <w:color w:val="auto"/>
          <w:highlight w:val="none"/>
        </w:rPr>
        <w:t>项目经理</w:t>
      </w:r>
    </w:p>
    <w:p w14:paraId="2DF973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承包人项目经理：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2273950">
      <w:pPr>
        <w:spacing w:line="360" w:lineRule="auto"/>
        <w:ind w:firstLine="422" w:firstLineChars="200"/>
        <w:outlineLvl w:val="2"/>
        <w:rPr>
          <w:rFonts w:hint="eastAsia" w:ascii="宋体" w:hAnsi="宋体" w:eastAsia="宋体" w:cs="宋体"/>
          <w:b/>
          <w:bCs/>
          <w:color w:val="auto"/>
          <w:highlight w:val="none"/>
        </w:rPr>
      </w:pPr>
      <w:bookmarkStart w:id="92" w:name="_Toc351203486"/>
      <w:r>
        <w:rPr>
          <w:rFonts w:hint="eastAsia" w:ascii="宋体" w:hAnsi="宋体" w:eastAsia="宋体" w:cs="宋体"/>
          <w:b/>
          <w:bCs/>
          <w:color w:val="auto"/>
          <w:highlight w:val="none"/>
        </w:rPr>
        <w:t>六、合同文件构成</w:t>
      </w:r>
      <w:bookmarkEnd w:id="92"/>
    </w:p>
    <w:p w14:paraId="6A4213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本协议书与下列文件一起构成合同文件：</w:t>
      </w:r>
    </w:p>
    <w:p w14:paraId="6076154E">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（1）中标通知书（如有）；</w:t>
      </w:r>
    </w:p>
    <w:p w14:paraId="66F02D4E">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（2）投标函及其附录（如有）； </w:t>
      </w:r>
    </w:p>
    <w:p w14:paraId="17F338C8">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（3）专用合同条款及其附件；</w:t>
      </w:r>
    </w:p>
    <w:p w14:paraId="33A89447">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（4）通用合同条款；</w:t>
      </w:r>
    </w:p>
    <w:p w14:paraId="3CA81CD2">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技术标准和要求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E19CB9">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已标价工程量清单或预算书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156977">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图纸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124E1F7">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（8）其他合同文件：</w:t>
      </w:r>
    </w:p>
    <w:p w14:paraId="11ED2566">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招标文件及附件（含所有补充通知）； </w:t>
      </w:r>
    </w:p>
    <w:p w14:paraId="57AC3DE5">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在合同订立及履行过程中形成的与合同有关的文件均构成合同文件组成部分。</w:t>
      </w:r>
    </w:p>
    <w:p w14:paraId="25101DE8">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44CC3F47">
      <w:pPr>
        <w:autoSpaceDE w:val="0"/>
        <w:autoSpaceDN w:val="0"/>
        <w:adjustRightInd w:val="0"/>
        <w:spacing w:line="360" w:lineRule="auto"/>
        <w:ind w:firstLine="422" w:firstLineChars="200"/>
        <w:jc w:val="left"/>
        <w:outlineLvl w:val="2"/>
        <w:rPr>
          <w:rFonts w:hint="eastAsia" w:ascii="宋体" w:hAnsi="宋体" w:eastAsia="宋体" w:cs="宋体"/>
          <w:b/>
          <w:bCs/>
          <w:color w:val="auto"/>
          <w:highlight w:val="none"/>
        </w:rPr>
      </w:pPr>
      <w:bookmarkStart w:id="93" w:name="_Toc351203487"/>
      <w:r>
        <w:rPr>
          <w:rFonts w:hint="eastAsia" w:ascii="宋体" w:hAnsi="宋体" w:eastAsia="宋体" w:cs="宋体"/>
          <w:b/>
          <w:bCs/>
          <w:color w:val="auto"/>
          <w:highlight w:val="none"/>
        </w:rPr>
        <w:t>七、承诺</w:t>
      </w:r>
      <w:bookmarkEnd w:id="93"/>
    </w:p>
    <w:p w14:paraId="5DBC3D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发包人承诺按照法律规定履行项目审批手续、筹集工程建设资金并按照合同约定的期限和方式支付合同价款。</w:t>
      </w:r>
    </w:p>
    <w:p w14:paraId="3B2F94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承包人承诺按照法律规定及合同约定组织完成工程施工，确保工程质量和安全，不进行转包及违法分包，并在缺陷责任期及保修期内承担相应的工程维修责任。</w:t>
      </w:r>
    </w:p>
    <w:p w14:paraId="77875F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发包人和承包人通过招投标形式签订合同的，双方理解并承诺不再就同一工程另行签订与合同实质性内容相背离的协议。</w:t>
      </w:r>
      <w:bookmarkStart w:id="94" w:name="_Toc351203488"/>
    </w:p>
    <w:p w14:paraId="09E5EF21">
      <w:pPr>
        <w:spacing w:line="360" w:lineRule="auto"/>
        <w:ind w:firstLine="422" w:firstLineChars="200"/>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八、词语含义</w:t>
      </w:r>
      <w:bookmarkEnd w:id="94"/>
    </w:p>
    <w:p w14:paraId="152099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本协议书中词语含义与第二部分通用合同条款中赋予的含义相同。</w:t>
      </w:r>
    </w:p>
    <w:p w14:paraId="030C7CE3">
      <w:pPr>
        <w:spacing w:line="360" w:lineRule="auto"/>
        <w:ind w:firstLine="422" w:firstLineChars="200"/>
        <w:outlineLvl w:val="2"/>
        <w:rPr>
          <w:rFonts w:hint="eastAsia" w:ascii="宋体" w:hAnsi="宋体" w:eastAsia="宋体" w:cs="宋体"/>
          <w:b/>
          <w:bCs/>
          <w:color w:val="auto"/>
          <w:highlight w:val="none"/>
        </w:rPr>
      </w:pPr>
      <w:bookmarkStart w:id="95" w:name="_Toc351203489"/>
      <w:r>
        <w:rPr>
          <w:rFonts w:hint="eastAsia" w:ascii="宋体" w:hAnsi="宋体" w:eastAsia="宋体" w:cs="宋体"/>
          <w:b/>
          <w:bCs/>
          <w:color w:val="auto"/>
          <w:highlight w:val="none"/>
        </w:rPr>
        <w:t>九、签订时间</w:t>
      </w:r>
      <w:bookmarkEnd w:id="95"/>
    </w:p>
    <w:p w14:paraId="13D5A6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w:t>
      </w:r>
    </w:p>
    <w:p w14:paraId="7DD1BFC7">
      <w:pPr>
        <w:spacing w:line="360" w:lineRule="auto"/>
        <w:ind w:firstLine="422" w:firstLineChars="200"/>
        <w:outlineLvl w:val="2"/>
        <w:rPr>
          <w:rFonts w:hint="eastAsia" w:ascii="宋体" w:hAnsi="宋体" w:eastAsia="宋体" w:cs="宋体"/>
          <w:b/>
          <w:bCs/>
          <w:color w:val="auto"/>
          <w:highlight w:val="none"/>
        </w:rPr>
      </w:pPr>
      <w:bookmarkStart w:id="96" w:name="_Toc351203490"/>
      <w:r>
        <w:rPr>
          <w:rFonts w:hint="eastAsia" w:ascii="宋体" w:hAnsi="宋体" w:eastAsia="宋体" w:cs="宋体"/>
          <w:b/>
          <w:bCs/>
          <w:color w:val="auto"/>
          <w:highlight w:val="none"/>
        </w:rPr>
        <w:t>十、签订地点</w:t>
      </w:r>
      <w:bookmarkEnd w:id="96"/>
    </w:p>
    <w:p w14:paraId="5F811F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柳州市柳南区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签订。</w:t>
      </w:r>
    </w:p>
    <w:p w14:paraId="708FFAD8">
      <w:pPr>
        <w:spacing w:line="360" w:lineRule="auto"/>
        <w:ind w:firstLine="422" w:firstLineChars="200"/>
        <w:outlineLvl w:val="2"/>
        <w:rPr>
          <w:rFonts w:hint="eastAsia" w:ascii="宋体" w:hAnsi="宋体" w:eastAsia="宋体" w:cs="宋体"/>
          <w:b/>
          <w:bCs/>
          <w:color w:val="auto"/>
          <w:highlight w:val="none"/>
        </w:rPr>
      </w:pPr>
      <w:bookmarkStart w:id="97" w:name="_Toc351203491"/>
      <w:r>
        <w:rPr>
          <w:rFonts w:hint="eastAsia" w:ascii="宋体" w:hAnsi="宋体" w:eastAsia="宋体" w:cs="宋体"/>
          <w:b/>
          <w:bCs/>
          <w:color w:val="auto"/>
          <w:highlight w:val="none"/>
        </w:rPr>
        <w:t>十一、补充协议</w:t>
      </w:r>
      <w:bookmarkEnd w:id="97"/>
    </w:p>
    <w:p w14:paraId="50E007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合同未尽事宜，合同当事人另行签订补充协议，补充协议是合同的组成部分。</w:t>
      </w:r>
    </w:p>
    <w:p w14:paraId="5571A2E0">
      <w:pPr>
        <w:spacing w:line="360" w:lineRule="auto"/>
        <w:ind w:firstLine="422" w:firstLineChars="200"/>
        <w:outlineLvl w:val="3"/>
        <w:rPr>
          <w:rFonts w:hint="eastAsia" w:ascii="宋体" w:hAnsi="宋体" w:eastAsia="宋体" w:cs="宋体"/>
          <w:b/>
          <w:bCs/>
          <w:color w:val="auto"/>
          <w:highlight w:val="none"/>
        </w:rPr>
      </w:pPr>
      <w:bookmarkStart w:id="98" w:name="_Toc351203492"/>
      <w:r>
        <w:rPr>
          <w:rFonts w:hint="eastAsia" w:ascii="宋体" w:hAnsi="宋体" w:eastAsia="宋体" w:cs="宋体"/>
          <w:b/>
          <w:bCs/>
          <w:color w:val="auto"/>
          <w:highlight w:val="none"/>
        </w:rPr>
        <w:t>十二、合同生效</w:t>
      </w:r>
      <w:bookmarkEnd w:id="98"/>
    </w:p>
    <w:p w14:paraId="323DB7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本合同自</w:t>
      </w:r>
      <w:r>
        <w:rPr>
          <w:rFonts w:hint="eastAsia" w:ascii="宋体" w:hAnsi="宋体" w:eastAsia="宋体" w:cs="宋体"/>
          <w:color w:val="auto"/>
          <w:highlight w:val="none"/>
          <w:u w:val="single"/>
        </w:rPr>
        <w:t xml:space="preserve"> 双方签字盖章 </w:t>
      </w:r>
      <w:r>
        <w:rPr>
          <w:rFonts w:hint="eastAsia" w:ascii="宋体" w:hAnsi="宋体" w:eastAsia="宋体" w:cs="宋体"/>
          <w:color w:val="auto"/>
          <w:highlight w:val="none"/>
        </w:rPr>
        <w:t>生效。</w:t>
      </w:r>
    </w:p>
    <w:p w14:paraId="2DAAFCF4">
      <w:pPr>
        <w:spacing w:line="360" w:lineRule="auto"/>
        <w:ind w:firstLine="422" w:firstLineChars="200"/>
        <w:outlineLvl w:val="4"/>
        <w:rPr>
          <w:rFonts w:hint="eastAsia" w:ascii="宋体" w:hAnsi="宋体" w:eastAsia="宋体" w:cs="宋体"/>
          <w:b/>
          <w:bCs/>
          <w:color w:val="auto"/>
          <w:highlight w:val="none"/>
        </w:rPr>
      </w:pPr>
      <w:bookmarkStart w:id="99" w:name="_Toc351203493"/>
      <w:r>
        <w:rPr>
          <w:rFonts w:hint="eastAsia" w:ascii="宋体" w:hAnsi="宋体" w:eastAsia="宋体" w:cs="宋体"/>
          <w:b/>
          <w:bCs/>
          <w:color w:val="auto"/>
          <w:highlight w:val="none"/>
        </w:rPr>
        <w:t>十三、合同份数</w:t>
      </w:r>
      <w:bookmarkEnd w:id="99"/>
    </w:p>
    <w:p w14:paraId="5F80EA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份，均具有同等法律效力，发包人执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份，承包人执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p>
    <w:p w14:paraId="55B46248">
      <w:pPr>
        <w:spacing w:line="360" w:lineRule="auto"/>
        <w:rPr>
          <w:rFonts w:hint="eastAsia" w:ascii="宋体" w:hAnsi="宋体" w:eastAsia="宋体" w:cs="宋体"/>
          <w:color w:val="auto"/>
          <w:highlight w:val="none"/>
        </w:rPr>
      </w:pPr>
    </w:p>
    <w:p w14:paraId="5353377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  （公章）                            承包人：  （公章）</w:t>
      </w:r>
    </w:p>
    <w:p w14:paraId="43854071">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5F0080F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法定代表人或其委托代理人：</w:t>
      </w:r>
    </w:p>
    <w:p w14:paraId="6F8F4D76">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（签字）                                     （签字）</w:t>
      </w:r>
    </w:p>
    <w:p w14:paraId="467553C6">
      <w:pPr>
        <w:tabs>
          <w:tab w:val="left" w:pos="441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统一社会信用代码：</w:t>
      </w:r>
      <w:r>
        <w:rPr>
          <w:rFonts w:hint="eastAsia" w:ascii="宋体" w:hAnsi="宋体" w:eastAsia="宋体" w:cs="宋体"/>
          <w:color w:val="auto"/>
          <w:highlight w:val="none"/>
          <w:u w:val="single"/>
        </w:rPr>
        <w:t xml:space="preserve">            </w:t>
      </w:r>
    </w:p>
    <w:p w14:paraId="6F495B7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xml:space="preserve">                      </w:t>
      </w:r>
    </w:p>
    <w:p w14:paraId="0A1A8A8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p>
    <w:p w14:paraId="4285CB3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w:t>
      </w:r>
      <w:r>
        <w:rPr>
          <w:rFonts w:hint="eastAsia" w:ascii="宋体" w:hAnsi="宋体" w:eastAsia="宋体" w:cs="宋体"/>
          <w:color w:val="auto"/>
          <w:highlight w:val="none"/>
          <w:u w:val="single"/>
        </w:rPr>
        <w:t xml:space="preserve">                  </w:t>
      </w:r>
    </w:p>
    <w:p w14:paraId="1C59C43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w:t>
      </w:r>
      <w:r>
        <w:rPr>
          <w:rFonts w:hint="eastAsia" w:ascii="宋体" w:hAnsi="宋体" w:eastAsia="宋体" w:cs="宋体"/>
          <w:color w:val="auto"/>
          <w:highlight w:val="none"/>
          <w:u w:val="single"/>
        </w:rPr>
        <w:t xml:space="preserve">                  </w:t>
      </w:r>
    </w:p>
    <w:p w14:paraId="54267D0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xml:space="preserve">                      </w:t>
      </w:r>
    </w:p>
    <w:p w14:paraId="54D1B90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xml:space="preserve">                      </w:t>
      </w:r>
    </w:p>
    <w:p w14:paraId="0A5C48F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电子信箱：</w:t>
      </w:r>
      <w:r>
        <w:rPr>
          <w:rFonts w:hint="eastAsia" w:ascii="宋体" w:hAnsi="宋体" w:eastAsia="宋体" w:cs="宋体"/>
          <w:color w:val="auto"/>
          <w:highlight w:val="none"/>
          <w:u w:val="single"/>
        </w:rPr>
        <w:t xml:space="preserve">                    </w:t>
      </w:r>
    </w:p>
    <w:p w14:paraId="14A7CF8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5B0F7C0D">
      <w:pPr>
        <w:rPr>
          <w:rFonts w:hint="eastAsia" w:ascii="宋体" w:hAnsi="宋体" w:eastAsia="宋体" w:cs="宋体"/>
          <w:color w:val="auto"/>
          <w:highlight w:val="none"/>
          <w:u w:val="singl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0ED92ECE">
      <w:pPr>
        <w:widowControl/>
        <w:jc w:val="left"/>
        <w:rPr>
          <w:rFonts w:hint="eastAsia" w:ascii="宋体" w:hAnsi="宋体" w:eastAsia="宋体" w:cs="宋体"/>
          <w:color w:val="auto"/>
          <w:highlight w:val="none"/>
          <w:u w:val="single"/>
        </w:rPr>
      </w:pPr>
      <w:r>
        <w:rPr>
          <w:rFonts w:hint="eastAsia" w:ascii="宋体" w:hAnsi="宋体" w:eastAsia="宋体" w:cs="宋体"/>
          <w:color w:val="auto"/>
          <w:highlight w:val="none"/>
        </w:rPr>
        <w:br w:type="page"/>
      </w:r>
    </w:p>
    <w:p w14:paraId="5CAAFF9A">
      <w:pPr>
        <w:pStyle w:val="2"/>
        <w:jc w:val="center"/>
        <w:rPr>
          <w:rFonts w:hint="eastAsia" w:ascii="宋体" w:hAnsi="宋体" w:eastAsia="宋体" w:cs="宋体"/>
          <w:color w:val="auto"/>
          <w:sz w:val="36"/>
          <w:szCs w:val="36"/>
          <w:highlight w:val="none"/>
        </w:rPr>
      </w:pPr>
      <w:bookmarkStart w:id="100" w:name="_Toc86847323"/>
      <w:bookmarkStart w:id="101" w:name="_Toc78449778"/>
      <w:bookmarkStart w:id="102" w:name="_Toc389065256"/>
      <w:bookmarkStart w:id="103" w:name="_Toc407135192"/>
      <w:bookmarkStart w:id="104" w:name="_Toc1714491818"/>
      <w:bookmarkStart w:id="105" w:name="_Toc373478338"/>
      <w:bookmarkStart w:id="106" w:name="_Toc351203632"/>
      <w:bookmarkStart w:id="107" w:name="_Toc373227691"/>
      <w:r>
        <w:rPr>
          <w:rFonts w:hint="eastAsia" w:ascii="宋体" w:hAnsi="宋体" w:eastAsia="宋体" w:cs="宋体"/>
          <w:color w:val="auto"/>
          <w:sz w:val="36"/>
          <w:szCs w:val="36"/>
          <w:highlight w:val="none"/>
        </w:rPr>
        <w:t>第二部分 通用合同条款</w:t>
      </w:r>
      <w:bookmarkEnd w:id="100"/>
      <w:bookmarkEnd w:id="101"/>
      <w:bookmarkEnd w:id="102"/>
      <w:bookmarkEnd w:id="103"/>
      <w:bookmarkEnd w:id="104"/>
    </w:p>
    <w:p w14:paraId="16F26CF4">
      <w:pPr>
        <w:spacing w:line="360" w:lineRule="auto"/>
        <w:ind w:firstLine="420" w:firstLineChars="200"/>
        <w:rPr>
          <w:rFonts w:hint="eastAsia" w:ascii="宋体" w:hAnsi="宋体" w:eastAsia="宋体" w:cs="宋体"/>
          <w:color w:val="auto"/>
          <w:kern w:val="0"/>
          <w:highlight w:val="none"/>
        </w:rPr>
      </w:pPr>
    </w:p>
    <w:p w14:paraId="7EF3EF47">
      <w:pPr>
        <w:spacing w:line="360" w:lineRule="auto"/>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采用《建设工程施工合同（示范文本）》（GF—2017—0201）。</w:t>
      </w:r>
    </w:p>
    <w:p w14:paraId="536044DE">
      <w:pPr>
        <w:pStyle w:val="2"/>
        <w:keepNext w:val="0"/>
        <w:keepLines w:val="0"/>
        <w:jc w:val="center"/>
        <w:rPr>
          <w:rFonts w:hint="eastAsia" w:ascii="宋体" w:hAnsi="宋体" w:eastAsia="宋体" w:cs="宋体"/>
          <w:color w:val="auto"/>
          <w:sz w:val="30"/>
          <w:szCs w:val="30"/>
          <w:highlight w:val="none"/>
        </w:rPr>
      </w:pPr>
      <w:bookmarkStart w:id="108" w:name="_Toc704444909"/>
      <w:bookmarkStart w:id="109" w:name="_Toc407135193"/>
      <w:bookmarkStart w:id="110" w:name="_Toc389065257"/>
      <w:bookmarkStart w:id="111" w:name="_Toc78449779"/>
      <w:bookmarkStart w:id="112" w:name="_Toc1204138598"/>
      <w:r>
        <w:rPr>
          <w:rFonts w:hint="eastAsia" w:ascii="宋体" w:hAnsi="宋体" w:eastAsia="宋体" w:cs="宋体"/>
          <w:color w:val="auto"/>
          <w:sz w:val="30"/>
          <w:szCs w:val="30"/>
          <w:highlight w:val="none"/>
        </w:rPr>
        <w:t>第三部分 专用合同条款</w:t>
      </w:r>
      <w:bookmarkEnd w:id="105"/>
      <w:bookmarkEnd w:id="106"/>
      <w:bookmarkEnd w:id="107"/>
      <w:bookmarkEnd w:id="108"/>
      <w:bookmarkEnd w:id="109"/>
      <w:bookmarkEnd w:id="110"/>
      <w:bookmarkEnd w:id="111"/>
      <w:bookmarkEnd w:id="112"/>
    </w:p>
    <w:p w14:paraId="580D7FE2">
      <w:pPr>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（注：专用合同条款每一条均应填写完整！）</w:t>
      </w:r>
    </w:p>
    <w:p w14:paraId="5152C814">
      <w:pPr>
        <w:pStyle w:val="7"/>
        <w:spacing w:line="360" w:lineRule="auto"/>
        <w:rPr>
          <w:rFonts w:hint="eastAsia" w:ascii="宋体" w:hAnsi="宋体" w:eastAsia="宋体" w:cs="宋体"/>
          <w:color w:val="auto"/>
          <w:highlight w:val="none"/>
        </w:rPr>
      </w:pPr>
      <w:bookmarkStart w:id="113" w:name="_Toc407135194"/>
      <w:bookmarkStart w:id="114" w:name="_Toc1013968286"/>
      <w:bookmarkStart w:id="115" w:name="_Toc1516097295"/>
      <w:bookmarkStart w:id="116" w:name="_Toc373227692"/>
      <w:bookmarkStart w:id="117" w:name="_Toc78449780"/>
      <w:bookmarkStart w:id="118" w:name="_Toc389065258"/>
      <w:bookmarkStart w:id="119" w:name="_Toc373478339"/>
      <w:bookmarkStart w:id="120" w:name="_Toc351203633"/>
      <w:r>
        <w:rPr>
          <w:rFonts w:hint="eastAsia" w:ascii="宋体" w:hAnsi="宋体" w:eastAsia="宋体" w:cs="宋体"/>
          <w:color w:val="auto"/>
          <w:highlight w:val="none"/>
        </w:rPr>
        <w:t>1</w:t>
      </w:r>
      <w:bookmarkStart w:id="121" w:name="_Toc292559361"/>
      <w:bookmarkStart w:id="122" w:name="_Toc297048342"/>
      <w:bookmarkStart w:id="123" w:name="_Toc296347155"/>
      <w:bookmarkStart w:id="124" w:name="_Toc296944495"/>
      <w:bookmarkStart w:id="125" w:name="_Toc296891196"/>
      <w:bookmarkStart w:id="126" w:name="_Toc297120456"/>
      <w:bookmarkStart w:id="127" w:name="_Toc296346657"/>
      <w:bookmarkStart w:id="128" w:name="_Toc296890984"/>
      <w:bookmarkStart w:id="129" w:name="_Toc296503156"/>
      <w:bookmarkStart w:id="130" w:name="_Toc292559866"/>
      <w:r>
        <w:rPr>
          <w:rFonts w:hint="eastAsia" w:ascii="宋体" w:hAnsi="宋体" w:eastAsia="宋体" w:cs="宋体"/>
          <w:color w:val="auto"/>
          <w:highlight w:val="none"/>
        </w:rPr>
        <w:t>. 一般约定</w:t>
      </w:r>
      <w:bookmarkEnd w:id="113"/>
      <w:bookmarkEnd w:id="114"/>
      <w:bookmarkEnd w:id="115"/>
      <w:bookmarkEnd w:id="116"/>
      <w:bookmarkEnd w:id="117"/>
      <w:bookmarkEnd w:id="118"/>
      <w:bookmarkEnd w:id="119"/>
      <w:bookmarkEnd w:id="120"/>
    </w:p>
    <w:bookmarkEnd w:id="121"/>
    <w:bookmarkEnd w:id="122"/>
    <w:bookmarkEnd w:id="123"/>
    <w:bookmarkEnd w:id="124"/>
    <w:bookmarkEnd w:id="125"/>
    <w:bookmarkEnd w:id="126"/>
    <w:bookmarkEnd w:id="127"/>
    <w:bookmarkEnd w:id="128"/>
    <w:bookmarkEnd w:id="129"/>
    <w:bookmarkEnd w:id="130"/>
    <w:p w14:paraId="5FC3A47B">
      <w:pPr>
        <w:pStyle w:val="8"/>
        <w:spacing w:line="360" w:lineRule="auto"/>
        <w:rPr>
          <w:rFonts w:hint="eastAsia" w:ascii="宋体" w:hAnsi="宋体" w:eastAsia="宋体" w:cs="宋体"/>
          <w:color w:val="auto"/>
          <w:highlight w:val="none"/>
        </w:rPr>
      </w:pPr>
      <w:bookmarkStart w:id="131" w:name="_Toc155697041"/>
      <w:bookmarkStart w:id="132" w:name="_Toc389065259"/>
      <w:bookmarkStart w:id="133" w:name="_Toc78449781"/>
      <w:bookmarkStart w:id="134" w:name="_Toc1618220701"/>
      <w:bookmarkStart w:id="135" w:name="_Toc373227693"/>
      <w:bookmarkStart w:id="136" w:name="_Toc407135195"/>
      <w:bookmarkStart w:id="137" w:name="_Toc373478340"/>
      <w:r>
        <w:rPr>
          <w:rFonts w:hint="eastAsia" w:ascii="宋体" w:hAnsi="宋体" w:eastAsia="宋体" w:cs="宋体"/>
          <w:color w:val="auto"/>
          <w:highlight w:val="none"/>
        </w:rPr>
        <w:t>1.1 词语定义</w:t>
      </w:r>
      <w:bookmarkEnd w:id="131"/>
      <w:bookmarkEnd w:id="132"/>
      <w:bookmarkEnd w:id="133"/>
      <w:bookmarkEnd w:id="134"/>
      <w:bookmarkEnd w:id="135"/>
      <w:bookmarkEnd w:id="136"/>
      <w:bookmarkEnd w:id="137"/>
    </w:p>
    <w:p w14:paraId="2170813F">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 合同</w:t>
      </w:r>
    </w:p>
    <w:p w14:paraId="344A3196">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 其他合同文件包括：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如有，双方另行协商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F49F4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03B3884A">
      <w:pPr>
        <w:spacing w:line="360" w:lineRule="auto"/>
        <w:ind w:firstLine="420" w:firstLineChars="200"/>
        <w:outlineLvl w:val="2"/>
        <w:rPr>
          <w:rFonts w:hint="eastAsia" w:ascii="宋体" w:hAnsi="宋体" w:eastAsia="宋体" w:cs="宋体"/>
          <w:color w:val="auto"/>
          <w:highlight w:val="none"/>
        </w:rPr>
      </w:pPr>
      <w:r>
        <w:rPr>
          <w:rFonts w:hint="eastAsia" w:ascii="宋体" w:hAnsi="宋体" w:eastAsia="宋体" w:cs="宋体"/>
          <w:color w:val="auto"/>
          <w:highlight w:val="none"/>
        </w:rPr>
        <w:t>1.1.2.4 监理人：</w:t>
      </w:r>
    </w:p>
    <w:p w14:paraId="01FABD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A2E8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6C14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EAF37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00BE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816B59">
      <w:pPr>
        <w:spacing w:line="360" w:lineRule="auto"/>
        <w:ind w:firstLine="420" w:firstLineChars="200"/>
        <w:outlineLvl w:val="2"/>
        <w:rPr>
          <w:rFonts w:hint="eastAsia" w:ascii="宋体" w:hAnsi="宋体" w:eastAsia="宋体" w:cs="宋体"/>
          <w:color w:val="auto"/>
          <w:highlight w:val="none"/>
        </w:rPr>
      </w:pPr>
      <w:r>
        <w:rPr>
          <w:rFonts w:hint="eastAsia" w:ascii="宋体" w:hAnsi="宋体" w:eastAsia="宋体" w:cs="宋体"/>
          <w:color w:val="auto"/>
          <w:highlight w:val="none"/>
        </w:rPr>
        <w:t>1.1.2.5 设计人：</w:t>
      </w:r>
    </w:p>
    <w:p w14:paraId="684DB8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54687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C9D4D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FAF7F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290EEA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A0E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1F4E9B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lang w:val="en-US" w:eastAsia="zh-CN"/>
        </w:rPr>
        <w:t>符合通用条款规定的发包人提供的施工场地</w:t>
      </w:r>
      <w:r>
        <w:rPr>
          <w:rFonts w:hint="eastAsia" w:ascii="宋体" w:hAnsi="宋体" w:eastAsia="宋体" w:cs="宋体"/>
          <w:color w:val="auto"/>
          <w:highlight w:val="none"/>
        </w:rPr>
        <w:t>。</w:t>
      </w:r>
    </w:p>
    <w:p w14:paraId="3424131A">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依据设计图纸确定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565D8E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双方在合同履行过程中确定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6C17A6AE">
      <w:pPr>
        <w:pStyle w:val="7"/>
        <w:spacing w:line="360" w:lineRule="auto"/>
        <w:rPr>
          <w:rFonts w:hint="eastAsia" w:ascii="宋体" w:hAnsi="宋体" w:eastAsia="宋体" w:cs="宋体"/>
          <w:color w:val="auto"/>
          <w:highlight w:val="none"/>
        </w:rPr>
      </w:pPr>
      <w:bookmarkStart w:id="138" w:name="_Toc1162259329"/>
      <w:bookmarkStart w:id="139" w:name="_Toc389065260"/>
      <w:bookmarkStart w:id="140" w:name="_Toc1182598796"/>
      <w:bookmarkStart w:id="141" w:name="_Toc407135196"/>
      <w:bookmarkStart w:id="142" w:name="_Toc373227694"/>
      <w:bookmarkStart w:id="143" w:name="_Toc373478341"/>
      <w:bookmarkStart w:id="144" w:name="_Toc78449782"/>
      <w:r>
        <w:rPr>
          <w:rFonts w:hint="eastAsia" w:ascii="宋体" w:hAnsi="宋体" w:eastAsia="宋体" w:cs="宋体"/>
          <w:color w:val="auto"/>
          <w:highlight w:val="none"/>
        </w:rPr>
        <w:t>1.3 法律</w:t>
      </w:r>
      <w:bookmarkEnd w:id="138"/>
      <w:bookmarkEnd w:id="139"/>
      <w:bookmarkEnd w:id="140"/>
      <w:bookmarkEnd w:id="141"/>
      <w:bookmarkEnd w:id="142"/>
      <w:bookmarkEnd w:id="143"/>
      <w:bookmarkEnd w:id="144"/>
    </w:p>
    <w:p w14:paraId="473EC06D">
      <w:pPr>
        <w:autoSpaceDE w:val="0"/>
        <w:autoSpaceDN w:val="0"/>
        <w:adjustRightIn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r>
        <w:rPr>
          <w:rFonts w:hint="eastAsia" w:ascii="宋体" w:hAnsi="宋体" w:eastAsia="宋体" w:cs="宋体"/>
          <w:color w:val="auto"/>
          <w:highlight w:val="none"/>
          <w:u w:val="single"/>
          <w:lang w:val="en-US" w:eastAsia="zh-CN"/>
        </w:rPr>
        <w:t>无</w:t>
      </w:r>
      <w:r>
        <w:rPr>
          <w:rFonts w:hint="eastAsia" w:ascii="宋体" w:hAnsi="宋体" w:eastAsia="宋体" w:cs="宋体"/>
          <w:color w:val="auto"/>
          <w:highlight w:val="none"/>
          <w:u w:val="none"/>
          <w:lang w:val="en-US" w:eastAsia="zh-CN"/>
        </w:rPr>
        <w:t>。</w:t>
      </w:r>
    </w:p>
    <w:p w14:paraId="351C8127">
      <w:pPr>
        <w:pStyle w:val="7"/>
        <w:spacing w:line="360" w:lineRule="auto"/>
        <w:rPr>
          <w:rFonts w:hint="eastAsia" w:ascii="宋体" w:hAnsi="宋体" w:eastAsia="宋体" w:cs="宋体"/>
          <w:color w:val="auto"/>
          <w:highlight w:val="none"/>
        </w:rPr>
      </w:pPr>
      <w:bookmarkStart w:id="145" w:name="_Toc407135197"/>
      <w:bookmarkStart w:id="146" w:name="_Toc1569433547"/>
      <w:bookmarkStart w:id="147" w:name="_Toc78449783"/>
      <w:bookmarkStart w:id="148" w:name="_Toc373478342"/>
      <w:bookmarkStart w:id="149" w:name="_Toc373227695"/>
      <w:bookmarkStart w:id="150" w:name="_Toc1694357896"/>
      <w:bookmarkStart w:id="151" w:name="_Toc389065261"/>
      <w:r>
        <w:rPr>
          <w:rFonts w:hint="eastAsia" w:ascii="宋体" w:hAnsi="宋体" w:eastAsia="宋体" w:cs="宋体"/>
          <w:color w:val="auto"/>
          <w:highlight w:val="none"/>
        </w:rPr>
        <w:t>1.4 标准和规范</w:t>
      </w:r>
      <w:bookmarkEnd w:id="145"/>
      <w:bookmarkEnd w:id="146"/>
      <w:bookmarkEnd w:id="147"/>
      <w:bookmarkEnd w:id="148"/>
      <w:bookmarkEnd w:id="149"/>
      <w:bookmarkEnd w:id="150"/>
      <w:bookmarkEnd w:id="151"/>
    </w:p>
    <w:p w14:paraId="5959352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1.4.1 适用于工程的标准规范包括：</w:t>
      </w:r>
      <w:r>
        <w:rPr>
          <w:rFonts w:hint="eastAsia" w:ascii="宋体" w:hAnsi="宋体" w:eastAsia="宋体" w:cs="宋体"/>
          <w:color w:val="auto"/>
          <w:highlight w:val="none"/>
          <w:u w:val="single"/>
          <w:lang w:val="en-US" w:eastAsia="zh-CN"/>
        </w:rPr>
        <w:t>按通用条款</w:t>
      </w:r>
      <w:r>
        <w:rPr>
          <w:rFonts w:hint="eastAsia" w:ascii="宋体" w:hAnsi="宋体" w:eastAsia="宋体" w:cs="宋体"/>
          <w:color w:val="auto"/>
          <w:highlight w:val="none"/>
        </w:rPr>
        <w:t>。</w:t>
      </w:r>
    </w:p>
    <w:p w14:paraId="72AE8540">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084017E">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444034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6750C49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1.4.3 发包人对工程的技术标准和功能要求的特殊要求：</w:t>
      </w:r>
      <w:r>
        <w:rPr>
          <w:rFonts w:hint="eastAsia" w:ascii="宋体" w:hAnsi="宋体" w:eastAsia="宋体" w:cs="宋体"/>
          <w:color w:val="auto"/>
          <w:highlight w:val="none"/>
          <w:u w:val="single"/>
          <w:lang w:val="en-US" w:eastAsia="zh-CN"/>
        </w:rPr>
        <w:t>按通用条款</w:t>
      </w:r>
      <w:r>
        <w:rPr>
          <w:rFonts w:hint="eastAsia" w:ascii="宋体" w:hAnsi="宋体" w:eastAsia="宋体" w:cs="宋体"/>
          <w:color w:val="auto"/>
          <w:highlight w:val="none"/>
        </w:rPr>
        <w:t>。</w:t>
      </w:r>
    </w:p>
    <w:p w14:paraId="7620B589">
      <w:pPr>
        <w:pStyle w:val="7"/>
        <w:spacing w:line="360" w:lineRule="auto"/>
        <w:rPr>
          <w:rFonts w:hint="eastAsia" w:ascii="宋体" w:hAnsi="宋体" w:eastAsia="宋体" w:cs="宋体"/>
          <w:color w:val="auto"/>
          <w:highlight w:val="none"/>
        </w:rPr>
      </w:pPr>
      <w:bookmarkStart w:id="152" w:name="_Toc373478343"/>
      <w:bookmarkStart w:id="153" w:name="_Toc78449784"/>
      <w:bookmarkStart w:id="154" w:name="_Toc373227696"/>
      <w:bookmarkStart w:id="155" w:name="_Toc389065262"/>
      <w:bookmarkStart w:id="156" w:name="_Toc407135198"/>
      <w:bookmarkStart w:id="157" w:name="_Toc24431861"/>
      <w:bookmarkStart w:id="158" w:name="_Toc188277238"/>
      <w:r>
        <w:rPr>
          <w:rFonts w:hint="eastAsia" w:ascii="宋体" w:hAnsi="宋体" w:eastAsia="宋体" w:cs="宋体"/>
          <w:color w:val="auto"/>
          <w:highlight w:val="none"/>
        </w:rPr>
        <w:t>1.5 合同文件的优先顺序</w:t>
      </w:r>
      <w:bookmarkEnd w:id="152"/>
      <w:bookmarkEnd w:id="153"/>
      <w:bookmarkEnd w:id="154"/>
      <w:bookmarkEnd w:id="155"/>
      <w:bookmarkEnd w:id="156"/>
      <w:bookmarkEnd w:id="157"/>
      <w:bookmarkEnd w:id="158"/>
    </w:p>
    <w:p w14:paraId="4621B26A">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合同文件组成及优先顺序为：</w:t>
      </w:r>
    </w:p>
    <w:p w14:paraId="6AAD0FE4">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）合同协议书；</w:t>
      </w:r>
    </w:p>
    <w:p w14:paraId="113601E3">
      <w:pPr>
        <w:spacing w:line="360" w:lineRule="auto"/>
        <w:ind w:firstLine="420" w:firstLineChars="200"/>
        <w:rPr>
          <w:rFonts w:hint="eastAsia" w:ascii="宋体" w:hAnsi="宋体" w:eastAsia="宋体" w:cs="宋体"/>
          <w:color w:val="auto"/>
          <w:kern w:val="0"/>
          <w:highlight w:val="none"/>
        </w:rPr>
      </w:pPr>
      <w:bookmarkStart w:id="159" w:name="bookmark916"/>
      <w:bookmarkEnd w:id="159"/>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）中标通知书；</w:t>
      </w:r>
    </w:p>
    <w:p w14:paraId="0E9185BC">
      <w:pPr>
        <w:spacing w:line="360" w:lineRule="auto"/>
        <w:ind w:firstLineChars="200"/>
        <w:rPr>
          <w:rFonts w:hint="eastAsia" w:ascii="宋体" w:hAnsi="宋体" w:eastAsia="宋体" w:cs="宋体"/>
          <w:color w:val="auto"/>
          <w:kern w:val="0"/>
          <w:highlight w:val="none"/>
        </w:rPr>
      </w:pPr>
      <w:bookmarkStart w:id="160" w:name="bookmark917"/>
      <w:bookmarkEnd w:id="160"/>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）投标函及投标函附录；</w:t>
      </w:r>
    </w:p>
    <w:p w14:paraId="24DC118F">
      <w:pPr>
        <w:spacing w:line="360" w:lineRule="auto"/>
        <w:ind w:firstLineChars="200"/>
        <w:rPr>
          <w:rFonts w:hint="eastAsia" w:ascii="宋体" w:hAnsi="宋体" w:eastAsia="宋体" w:cs="宋体"/>
          <w:color w:val="auto"/>
          <w:kern w:val="0"/>
          <w:highlight w:val="none"/>
        </w:rPr>
      </w:pPr>
      <w:bookmarkStart w:id="161" w:name="bookmark918"/>
      <w:bookmarkEnd w:id="161"/>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）专用合同条款</w:t>
      </w:r>
      <w:r>
        <w:rPr>
          <w:rFonts w:hint="eastAsia" w:ascii="宋体" w:hAnsi="宋体" w:eastAsia="宋体" w:cs="宋体"/>
          <w:color w:val="auto"/>
          <w:kern w:val="0"/>
          <w:highlight w:val="none"/>
          <w:lang w:eastAsia="zh-CN"/>
        </w:rPr>
        <w:t>及其附件</w:t>
      </w:r>
      <w:r>
        <w:rPr>
          <w:rFonts w:hint="eastAsia" w:ascii="宋体" w:hAnsi="宋体" w:eastAsia="宋体" w:cs="宋体"/>
          <w:color w:val="auto"/>
          <w:kern w:val="0"/>
          <w:highlight w:val="none"/>
        </w:rPr>
        <w:t>；</w:t>
      </w:r>
    </w:p>
    <w:p w14:paraId="47DEC192">
      <w:pPr>
        <w:spacing w:line="360" w:lineRule="auto"/>
        <w:ind w:firstLineChars="200"/>
        <w:rPr>
          <w:rFonts w:hint="eastAsia" w:ascii="宋体" w:hAnsi="宋体" w:eastAsia="宋体" w:cs="宋体"/>
          <w:color w:val="auto"/>
          <w:kern w:val="0"/>
          <w:highlight w:val="none"/>
        </w:rPr>
      </w:pPr>
      <w:bookmarkStart w:id="162" w:name="bookmark919"/>
      <w:bookmarkEnd w:id="162"/>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）通用合同条款；</w:t>
      </w:r>
    </w:p>
    <w:p w14:paraId="36D77350">
      <w:pPr>
        <w:spacing w:line="360" w:lineRule="auto"/>
        <w:ind w:firstLineChars="200"/>
        <w:rPr>
          <w:rFonts w:hint="eastAsia" w:ascii="宋体" w:hAnsi="宋体" w:eastAsia="宋体" w:cs="宋体"/>
          <w:color w:val="auto"/>
          <w:kern w:val="0"/>
          <w:highlight w:val="none"/>
        </w:rPr>
      </w:pPr>
      <w:bookmarkStart w:id="163" w:name="bookmark920"/>
      <w:bookmarkEnd w:id="163"/>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）技术标准和要求；</w:t>
      </w:r>
    </w:p>
    <w:p w14:paraId="642E9F3C">
      <w:pPr>
        <w:spacing w:line="360" w:lineRule="auto"/>
        <w:ind w:firstLineChars="200"/>
        <w:rPr>
          <w:rFonts w:hint="eastAsia" w:ascii="宋体" w:hAnsi="宋体" w:eastAsia="宋体" w:cs="宋体"/>
          <w:color w:val="auto"/>
          <w:kern w:val="0"/>
          <w:highlight w:val="none"/>
        </w:rPr>
      </w:pPr>
      <w:bookmarkStart w:id="164" w:name="bookmark921"/>
      <w:bookmarkEnd w:id="164"/>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）已标价工程量清单；</w:t>
      </w:r>
    </w:p>
    <w:p w14:paraId="2DEC00BF">
      <w:pPr>
        <w:spacing w:line="360" w:lineRule="auto"/>
        <w:ind w:firstLine="420" w:firstLineChars="200"/>
        <w:rPr>
          <w:rFonts w:hint="eastAsia" w:ascii="宋体" w:hAnsi="宋体" w:eastAsia="宋体" w:cs="宋体"/>
          <w:color w:val="auto"/>
          <w:kern w:val="0"/>
          <w:highlight w:val="none"/>
        </w:rPr>
      </w:pPr>
      <w:bookmarkStart w:id="165" w:name="bookmark922"/>
      <w:bookmarkEnd w:id="165"/>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）图纸；</w:t>
      </w:r>
    </w:p>
    <w:p w14:paraId="06C72752">
      <w:pPr>
        <w:autoSpaceDE/>
        <w:autoSpaceDN/>
        <w:adjustRightInd/>
        <w:spacing w:line="360" w:lineRule="auto"/>
        <w:ind w:firstLine="420" w:firstLineChars="200"/>
        <w:jc w:val="left"/>
        <w:rPr>
          <w:rFonts w:hint="eastAsia" w:ascii="宋体" w:hAnsi="宋体" w:eastAsia="宋体" w:cs="宋体"/>
          <w:color w:val="auto"/>
          <w:kern w:val="0"/>
          <w:highlight w:val="none"/>
          <w:u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9</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其他合同文件：招标文件（含补充通知和答疑）</w:t>
      </w:r>
    </w:p>
    <w:p w14:paraId="56A28971">
      <w:pPr>
        <w:autoSpaceDE/>
        <w:autoSpaceDN/>
        <w:adjustRightInd/>
        <w:spacing w:line="360" w:lineRule="auto"/>
        <w:ind w:firstLine="420" w:firstLineChars="200"/>
        <w:jc w:val="left"/>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上述各项合同文件包括合同当事人就该项合同文件所作出的补充和修改，属于同一类内容的文件，应以最新签署的为准（违反招标文件实质性内容的约定除外）。专用合同条款及其附件须经合同当</w:t>
      </w:r>
      <w:r>
        <w:rPr>
          <w:rFonts w:hint="eastAsia" w:ascii="宋体" w:hAnsi="宋体" w:eastAsia="宋体" w:cs="宋体"/>
          <w:color w:val="auto"/>
          <w:kern w:val="0"/>
          <w:highlight w:val="none"/>
          <w:lang w:val="en-US" w:eastAsia="zh-CN"/>
        </w:rPr>
        <w:t>事人签字或盖章。</w:t>
      </w:r>
    </w:p>
    <w:p w14:paraId="6891D706">
      <w:pPr>
        <w:pStyle w:val="7"/>
        <w:spacing w:line="360" w:lineRule="auto"/>
        <w:rPr>
          <w:rFonts w:hint="eastAsia" w:ascii="宋体" w:hAnsi="宋体" w:eastAsia="宋体" w:cs="宋体"/>
          <w:color w:val="auto"/>
          <w:highlight w:val="none"/>
        </w:rPr>
      </w:pPr>
      <w:bookmarkStart w:id="166" w:name="_Toc1537247101"/>
      <w:bookmarkStart w:id="167" w:name="_Toc407135199"/>
      <w:bookmarkStart w:id="168" w:name="_Toc389065263"/>
      <w:bookmarkStart w:id="169" w:name="_Toc373478344"/>
      <w:bookmarkStart w:id="170" w:name="_Toc78449785"/>
      <w:bookmarkStart w:id="171" w:name="_Toc1531480704"/>
      <w:bookmarkStart w:id="172" w:name="_Toc373227697"/>
      <w:r>
        <w:rPr>
          <w:rFonts w:hint="eastAsia" w:ascii="宋体" w:hAnsi="宋体" w:eastAsia="宋体" w:cs="宋体"/>
          <w:color w:val="auto"/>
          <w:highlight w:val="none"/>
        </w:rPr>
        <w:t>1.6 图纸和承包人文件</w:t>
      </w:r>
      <w:bookmarkEnd w:id="166"/>
      <w:bookmarkEnd w:id="167"/>
      <w:bookmarkEnd w:id="168"/>
      <w:bookmarkEnd w:id="169"/>
      <w:bookmarkEnd w:id="170"/>
      <w:bookmarkEnd w:id="171"/>
      <w:bookmarkEnd w:id="172"/>
      <w:r>
        <w:rPr>
          <w:rFonts w:hint="eastAsia" w:ascii="宋体" w:hAnsi="宋体" w:eastAsia="宋体" w:cs="宋体"/>
          <w:color w:val="auto"/>
          <w:highlight w:val="none"/>
        </w:rPr>
        <w:tab/>
      </w:r>
    </w:p>
    <w:p w14:paraId="58F65D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14:paraId="304AB2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开工前</w:t>
      </w:r>
      <w:r>
        <w:rPr>
          <w:rFonts w:hint="eastAsia" w:ascii="宋体" w:hAnsi="宋体" w:eastAsia="宋体" w:cs="宋体"/>
          <w:color w:val="auto"/>
          <w:highlight w:val="none"/>
          <w:u w:val="single"/>
          <w:lang w:val="en-US" w:eastAsia="zh-CN"/>
        </w:rPr>
        <w:t>14日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72C196D">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壹式肆份，承包人需要增加图纸套数的，发包人应代 </w:t>
      </w:r>
    </w:p>
    <w:p w14:paraId="73D2E9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为复制，复制费用由承包人承担</w:t>
      </w:r>
      <w:r>
        <w:rPr>
          <w:rFonts w:hint="eastAsia" w:ascii="宋体" w:hAnsi="宋体" w:eastAsia="宋体" w:cs="宋体"/>
          <w:color w:val="auto"/>
          <w:highlight w:val="none"/>
        </w:rPr>
        <w:t>；</w:t>
      </w:r>
    </w:p>
    <w:p w14:paraId="470D8F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整套施工图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32A16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14:paraId="2AC7E273">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lang w:val="en-US" w:eastAsia="zh-CN"/>
        </w:rPr>
        <w:t>施工组织设和施工进度计划等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C75D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开工前14天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3CB6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一式</w:t>
      </w:r>
      <w:r>
        <w:rPr>
          <w:rFonts w:hint="eastAsia" w:ascii="宋体" w:hAnsi="宋体" w:eastAsia="宋体" w:cs="宋体"/>
          <w:color w:val="auto"/>
          <w:highlight w:val="none"/>
          <w:u w:val="single"/>
          <w:lang w:val="en-US" w:eastAsia="zh-CN"/>
        </w:rPr>
        <w:t>叁</w:t>
      </w:r>
      <w:r>
        <w:rPr>
          <w:rFonts w:hint="eastAsia" w:ascii="宋体" w:hAnsi="宋体" w:eastAsia="宋体" w:cs="宋体"/>
          <w:color w:val="auto"/>
          <w:highlight w:val="none"/>
          <w:u w:val="single"/>
          <w:lang w:eastAsia="zh-CN"/>
        </w:rPr>
        <w:t>份</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283AF77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书面</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C72D8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 xml:space="preserve"> 在承包人提交文件后7天内审定完毕 </w:t>
      </w:r>
      <w:r>
        <w:rPr>
          <w:rFonts w:hint="eastAsia" w:ascii="宋体" w:hAnsi="宋体" w:eastAsia="宋体" w:cs="宋体"/>
          <w:color w:val="auto"/>
          <w:highlight w:val="none"/>
        </w:rPr>
        <w:t>。</w:t>
      </w:r>
    </w:p>
    <w:p w14:paraId="5FFC2D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14:paraId="1C0176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按通用条款。</w:t>
      </w:r>
    </w:p>
    <w:p w14:paraId="6EEB752F">
      <w:pPr>
        <w:pStyle w:val="7"/>
        <w:spacing w:line="360" w:lineRule="auto"/>
        <w:rPr>
          <w:rFonts w:hint="eastAsia" w:ascii="宋体" w:hAnsi="宋体" w:eastAsia="宋体" w:cs="宋体"/>
          <w:color w:val="auto"/>
          <w:highlight w:val="none"/>
        </w:rPr>
      </w:pPr>
      <w:bookmarkStart w:id="173" w:name="_Toc373227698"/>
      <w:bookmarkStart w:id="174" w:name="_Toc110523719"/>
      <w:bookmarkStart w:id="175" w:name="_Toc373478345"/>
      <w:bookmarkStart w:id="176" w:name="_Toc389065264"/>
      <w:bookmarkStart w:id="177" w:name="_Toc1944260835"/>
      <w:bookmarkStart w:id="178" w:name="_Toc407135200"/>
      <w:bookmarkStart w:id="179" w:name="_Toc78449786"/>
      <w:r>
        <w:rPr>
          <w:rFonts w:hint="eastAsia" w:ascii="宋体" w:hAnsi="宋体" w:eastAsia="宋体" w:cs="宋体"/>
          <w:color w:val="auto"/>
          <w:highlight w:val="none"/>
        </w:rPr>
        <w:t>1.7 联络</w:t>
      </w:r>
      <w:bookmarkEnd w:id="173"/>
      <w:bookmarkEnd w:id="174"/>
      <w:bookmarkEnd w:id="175"/>
      <w:bookmarkEnd w:id="176"/>
      <w:bookmarkEnd w:id="177"/>
      <w:bookmarkEnd w:id="178"/>
      <w:bookmarkEnd w:id="179"/>
    </w:p>
    <w:p w14:paraId="74A15290">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291DF190">
      <w:pPr>
        <w:pStyle w:val="453"/>
        <w:spacing w:line="360" w:lineRule="auto"/>
        <w:ind w:firstLine="420" w:firstLineChars="200"/>
        <w:rPr>
          <w:rFonts w:hint="eastAsia" w:ascii="宋体" w:hAnsi="宋体" w:eastAsia="宋体" w:cs="宋体"/>
          <w:color w:val="auto"/>
          <w:kern w:val="0"/>
          <w:sz w:val="21"/>
          <w:szCs w:val="22"/>
          <w:highlight w:val="none"/>
          <w:lang w:val="en-US" w:eastAsia="zh-CN" w:bidi="ar-SA"/>
        </w:rPr>
      </w:pPr>
      <w:bookmarkStart w:id="180" w:name="_Toc78449787"/>
      <w:bookmarkStart w:id="181" w:name="_Toc373478346"/>
      <w:bookmarkStart w:id="182" w:name="_Toc389065265"/>
      <w:bookmarkStart w:id="183" w:name="_Toc1387231545"/>
      <w:bookmarkStart w:id="184" w:name="_Toc407135201"/>
      <w:bookmarkStart w:id="185" w:name="_Toc373227699"/>
      <w:bookmarkStart w:id="186" w:name="_Toc224348539"/>
      <w:r>
        <w:rPr>
          <w:rFonts w:hint="eastAsia" w:ascii="宋体" w:hAnsi="宋体" w:eastAsia="宋体" w:cs="宋体"/>
          <w:color w:val="auto"/>
          <w:kern w:val="0"/>
          <w:sz w:val="21"/>
          <w:szCs w:val="22"/>
          <w:highlight w:val="none"/>
          <w:lang w:val="en-US" w:eastAsia="zh-CN" w:bidi="ar-SA"/>
        </w:rPr>
        <w:t>1.7.2 发包人接收文件的地点：发包人设在施工现场的业主办公室；</w:t>
      </w:r>
    </w:p>
    <w:p w14:paraId="78F240A1">
      <w:pPr>
        <w:pStyle w:val="453"/>
        <w:spacing w:line="360" w:lineRule="auto"/>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发包人指定的接收人为：</w:t>
      </w:r>
      <w:r>
        <w:rPr>
          <w:rFonts w:hint="eastAsia" w:ascii="宋体" w:hAnsi="宋体" w:eastAsia="宋体" w:cs="宋体"/>
          <w:color w:val="auto"/>
          <w:kern w:val="0"/>
          <w:sz w:val="21"/>
          <w:szCs w:val="22"/>
          <w:highlight w:val="none"/>
          <w:u w:val="single"/>
          <w:lang w:val="en-US" w:eastAsia="zh-CN" w:bidi="ar-SA"/>
        </w:rPr>
        <w:t>发包人现场代表</w:t>
      </w:r>
      <w:r>
        <w:rPr>
          <w:rFonts w:hint="eastAsia" w:ascii="宋体" w:hAnsi="宋体" w:eastAsia="宋体" w:cs="宋体"/>
          <w:color w:val="auto"/>
          <w:kern w:val="0"/>
          <w:sz w:val="21"/>
          <w:szCs w:val="22"/>
          <w:highlight w:val="none"/>
          <w:lang w:val="en-US" w:eastAsia="zh-CN" w:bidi="ar-SA"/>
        </w:rPr>
        <w:t>。</w:t>
      </w:r>
    </w:p>
    <w:p w14:paraId="5918DF86">
      <w:pPr>
        <w:pStyle w:val="453"/>
        <w:spacing w:line="360" w:lineRule="auto"/>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承包人接收文件的地点：</w:t>
      </w:r>
      <w:r>
        <w:rPr>
          <w:rFonts w:hint="eastAsia" w:ascii="宋体" w:hAnsi="宋体" w:eastAsia="宋体" w:cs="宋体"/>
          <w:color w:val="auto"/>
          <w:kern w:val="0"/>
          <w:sz w:val="21"/>
          <w:szCs w:val="22"/>
          <w:highlight w:val="none"/>
          <w:u w:val="single"/>
          <w:lang w:val="en-US" w:eastAsia="zh-CN" w:bidi="ar-SA"/>
        </w:rPr>
        <w:t>项目部办公室</w:t>
      </w:r>
      <w:r>
        <w:rPr>
          <w:rFonts w:hint="eastAsia" w:ascii="宋体" w:hAnsi="宋体" w:eastAsia="宋体" w:cs="宋体"/>
          <w:color w:val="auto"/>
          <w:kern w:val="0"/>
          <w:sz w:val="21"/>
          <w:szCs w:val="22"/>
          <w:highlight w:val="none"/>
          <w:lang w:val="en-US" w:eastAsia="zh-CN" w:bidi="ar-SA"/>
        </w:rPr>
        <w:t>；</w:t>
      </w:r>
    </w:p>
    <w:p w14:paraId="64C40297">
      <w:pPr>
        <w:pStyle w:val="453"/>
        <w:spacing w:line="360" w:lineRule="auto"/>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承包人指定的接收人为：</w:t>
      </w:r>
      <w:r>
        <w:rPr>
          <w:rFonts w:hint="eastAsia" w:ascii="宋体" w:hAnsi="宋体" w:eastAsia="宋体" w:cs="宋体"/>
          <w:color w:val="auto"/>
          <w:kern w:val="0"/>
          <w:sz w:val="21"/>
          <w:szCs w:val="22"/>
          <w:highlight w:val="none"/>
          <w:u w:val="single"/>
          <w:lang w:val="en-US" w:eastAsia="zh-CN" w:bidi="ar-SA"/>
        </w:rPr>
        <w:t>项目经理</w:t>
      </w:r>
      <w:r>
        <w:rPr>
          <w:rFonts w:hint="eastAsia" w:ascii="宋体" w:hAnsi="宋体" w:eastAsia="宋体" w:cs="宋体"/>
          <w:color w:val="auto"/>
          <w:kern w:val="0"/>
          <w:sz w:val="21"/>
          <w:szCs w:val="22"/>
          <w:highlight w:val="none"/>
          <w:lang w:val="en-US" w:eastAsia="zh-CN" w:bidi="ar-SA"/>
        </w:rPr>
        <w:t>。</w:t>
      </w:r>
    </w:p>
    <w:p w14:paraId="739A8E54">
      <w:pPr>
        <w:pStyle w:val="453"/>
        <w:spacing w:line="360" w:lineRule="auto"/>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监理人接收文件的地点：</w:t>
      </w:r>
      <w:r>
        <w:rPr>
          <w:rFonts w:hint="eastAsia" w:ascii="宋体" w:hAnsi="宋体" w:eastAsia="宋体" w:cs="宋体"/>
          <w:color w:val="auto"/>
          <w:kern w:val="0"/>
          <w:sz w:val="21"/>
          <w:szCs w:val="22"/>
          <w:highlight w:val="none"/>
          <w:u w:val="single"/>
          <w:lang w:val="en-US" w:eastAsia="zh-CN" w:bidi="ar-SA"/>
        </w:rPr>
        <w:t>按监理合同约定</w:t>
      </w:r>
      <w:r>
        <w:rPr>
          <w:rFonts w:hint="eastAsia" w:ascii="宋体" w:hAnsi="宋体" w:eastAsia="宋体" w:cs="宋体"/>
          <w:color w:val="auto"/>
          <w:kern w:val="0"/>
          <w:sz w:val="21"/>
          <w:szCs w:val="22"/>
          <w:highlight w:val="none"/>
          <w:lang w:val="en-US" w:eastAsia="zh-CN" w:bidi="ar-SA"/>
        </w:rPr>
        <w:t>；</w:t>
      </w:r>
    </w:p>
    <w:p w14:paraId="4BBFACF6">
      <w:pPr>
        <w:pStyle w:val="453"/>
        <w:spacing w:line="360" w:lineRule="auto"/>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监理人指定的接收人为：</w:t>
      </w:r>
      <w:r>
        <w:rPr>
          <w:rFonts w:hint="eastAsia" w:ascii="宋体" w:hAnsi="宋体" w:eastAsia="宋体" w:cs="宋体"/>
          <w:color w:val="auto"/>
          <w:kern w:val="0"/>
          <w:sz w:val="21"/>
          <w:szCs w:val="22"/>
          <w:highlight w:val="none"/>
          <w:u w:val="single"/>
          <w:lang w:val="en-US" w:eastAsia="zh-CN" w:bidi="ar-SA"/>
        </w:rPr>
        <w:t>按监理合同约定</w:t>
      </w:r>
      <w:r>
        <w:rPr>
          <w:rFonts w:hint="eastAsia" w:ascii="宋体" w:hAnsi="宋体" w:eastAsia="宋体" w:cs="宋体"/>
          <w:color w:val="auto"/>
          <w:kern w:val="0"/>
          <w:sz w:val="21"/>
          <w:szCs w:val="22"/>
          <w:highlight w:val="none"/>
          <w:lang w:val="en-US" w:eastAsia="zh-CN" w:bidi="ar-SA"/>
        </w:rPr>
        <w:t>。</w:t>
      </w:r>
    </w:p>
    <w:p w14:paraId="43E32636">
      <w:pPr>
        <w:pStyle w:val="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1.10 交通运输</w:t>
      </w:r>
      <w:bookmarkEnd w:id="180"/>
      <w:bookmarkEnd w:id="181"/>
      <w:bookmarkEnd w:id="182"/>
      <w:bookmarkEnd w:id="183"/>
      <w:bookmarkEnd w:id="184"/>
      <w:bookmarkEnd w:id="185"/>
      <w:bookmarkEnd w:id="186"/>
    </w:p>
    <w:p w14:paraId="544CCE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bookmarkStart w:id="187" w:name="_Toc300934943"/>
      <w:bookmarkStart w:id="188" w:name="_Toc312677986"/>
      <w:bookmarkStart w:id="189" w:name="_Toc318581155"/>
      <w:bookmarkStart w:id="190" w:name="_Toc304295521"/>
      <w:bookmarkStart w:id="191" w:name="_Toc303539100"/>
      <w:r>
        <w:rPr>
          <w:rFonts w:hint="eastAsia" w:ascii="宋体" w:hAnsi="宋体" w:eastAsia="宋体" w:cs="宋体"/>
          <w:color w:val="auto"/>
          <w:highlight w:val="none"/>
        </w:rPr>
        <w:t>.10.1 出入现场的权利</w:t>
      </w:r>
    </w:p>
    <w:p w14:paraId="1B79BD02">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 xml:space="preserve"> 按通用条款</w:t>
      </w:r>
      <w:r>
        <w:rPr>
          <w:rFonts w:hint="eastAsia" w:ascii="宋体" w:hAnsi="宋体" w:eastAsia="宋体" w:cs="宋体"/>
          <w:color w:val="auto"/>
          <w:highlight w:val="none"/>
        </w:rPr>
        <w:t>。</w:t>
      </w:r>
    </w:p>
    <w:bookmarkEnd w:id="187"/>
    <w:bookmarkEnd w:id="188"/>
    <w:bookmarkEnd w:id="189"/>
    <w:bookmarkEnd w:id="190"/>
    <w:bookmarkEnd w:id="191"/>
    <w:p w14:paraId="119FD29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1.10.2 场外交通 </w:t>
      </w:r>
    </w:p>
    <w:p w14:paraId="7798714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本工程位于已建成的市政道路范围内，承包人应根据现况市政道路的实际情况，遵守有关交通法规，严格按照道路和桥梁的限制荷载行驶，执行有关道路限速、限行、禁止超载的规定，因承包人原因造成道路或交通设施损坏的，承包人负责修复并承担相应费用。</w:t>
      </w:r>
    </w:p>
    <w:p w14:paraId="2FACD29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bookmarkStart w:id="192" w:name="_Toc304295522"/>
      <w:bookmarkStart w:id="193" w:name="_Toc300934944"/>
      <w:bookmarkStart w:id="194" w:name="_Toc312677987"/>
      <w:bookmarkStart w:id="195" w:name="_Toc303539101"/>
      <w:bookmarkStart w:id="196" w:name="_Toc318581156"/>
      <w:r>
        <w:rPr>
          <w:rFonts w:hint="eastAsia" w:ascii="宋体" w:hAnsi="宋体" w:eastAsia="宋体" w:cs="宋体"/>
          <w:color w:val="auto"/>
          <w:highlight w:val="none"/>
        </w:rPr>
        <w:t>.10.3 场内交通</w:t>
      </w:r>
    </w:p>
    <w:p w14:paraId="7128065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color w:val="auto"/>
          <w:highlight w:val="none"/>
          <w:u w:val="single"/>
        </w:rPr>
        <w:t xml:space="preserve"> 以规划用地红线为边界 </w:t>
      </w:r>
      <w:r>
        <w:rPr>
          <w:rFonts w:hint="eastAsia" w:ascii="宋体" w:hAnsi="宋体" w:eastAsia="宋体" w:cs="宋体"/>
          <w:color w:val="auto"/>
          <w:highlight w:val="none"/>
        </w:rPr>
        <w:t>。</w:t>
      </w:r>
    </w:p>
    <w:p w14:paraId="6653506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color w:val="auto"/>
          <w:highlight w:val="none"/>
          <w:u w:val="single"/>
          <w:lang w:val="en-US"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bookmarkEnd w:id="192"/>
      <w:bookmarkEnd w:id="193"/>
      <w:bookmarkEnd w:id="194"/>
      <w:bookmarkEnd w:id="195"/>
      <w:bookmarkEnd w:id="196"/>
      <w:bookmarkStart w:id="197" w:name="_Toc318581157"/>
    </w:p>
    <w:p w14:paraId="532C0C3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1.10.4 超大件和超重件的运输</w:t>
      </w:r>
    </w:p>
    <w:p w14:paraId="6D429BB8">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运输超大件或超重件所需的道路和桥梁临时加固改造费用和其他有关费用</w:t>
      </w:r>
      <w:r>
        <w:rPr>
          <w:rFonts w:hint="eastAsia" w:ascii="宋体" w:hAnsi="宋体" w:eastAsia="宋体" w:cs="宋体"/>
          <w:color w:val="auto"/>
          <w:highlight w:val="none"/>
          <w:u w:val="single"/>
        </w:rPr>
        <w:t>发生后，另行约定</w:t>
      </w:r>
      <w:r>
        <w:rPr>
          <w:rFonts w:hint="eastAsia" w:ascii="宋体" w:hAnsi="宋体" w:eastAsia="宋体" w:cs="宋体"/>
          <w:color w:val="auto"/>
          <w:highlight w:val="none"/>
        </w:rPr>
        <w:t>。</w:t>
      </w:r>
    </w:p>
    <w:bookmarkEnd w:id="197"/>
    <w:p w14:paraId="5ACB0DA0">
      <w:pPr>
        <w:pStyle w:val="7"/>
        <w:spacing w:line="360" w:lineRule="auto"/>
        <w:rPr>
          <w:rFonts w:hint="eastAsia" w:ascii="宋体" w:hAnsi="宋体" w:eastAsia="宋体" w:cs="宋体"/>
          <w:color w:val="auto"/>
          <w:highlight w:val="none"/>
        </w:rPr>
      </w:pPr>
      <w:bookmarkStart w:id="198" w:name="_Toc389065266"/>
      <w:bookmarkStart w:id="199" w:name="_Toc512841653"/>
      <w:bookmarkStart w:id="200" w:name="_Toc407135202"/>
      <w:bookmarkStart w:id="201" w:name="_Toc78449788"/>
      <w:bookmarkStart w:id="202" w:name="_Toc1495098807"/>
      <w:bookmarkStart w:id="203" w:name="_Toc373478347"/>
      <w:bookmarkStart w:id="204" w:name="_Toc373227700"/>
      <w:r>
        <w:rPr>
          <w:rFonts w:hint="eastAsia" w:ascii="宋体" w:hAnsi="宋体" w:eastAsia="宋体" w:cs="宋体"/>
          <w:color w:val="auto"/>
          <w:highlight w:val="none"/>
        </w:rPr>
        <w:t>1.11 知识产权</w:t>
      </w:r>
      <w:bookmarkEnd w:id="198"/>
      <w:bookmarkEnd w:id="199"/>
      <w:bookmarkEnd w:id="200"/>
      <w:bookmarkEnd w:id="201"/>
      <w:bookmarkEnd w:id="202"/>
      <w:bookmarkEnd w:id="203"/>
      <w:bookmarkEnd w:id="204"/>
    </w:p>
    <w:p w14:paraId="6F8EFFC2">
      <w:pPr>
        <w:spacing w:line="360" w:lineRule="auto"/>
        <w:ind w:firstLine="420" w:firstLineChars="200"/>
        <w:jc w:val="left"/>
        <w:rPr>
          <w:rFonts w:hint="eastAsia" w:ascii="宋体" w:hAnsi="宋体" w:eastAsia="宋体" w:cs="宋体"/>
          <w:color w:val="auto"/>
          <w:highlight w:val="none"/>
        </w:rPr>
      </w:pPr>
      <w:bookmarkStart w:id="205" w:name="_Toc373227701"/>
      <w:bookmarkStart w:id="206" w:name="_Toc373478348"/>
      <w:bookmarkStart w:id="207" w:name="_Toc267680563"/>
      <w:bookmarkStart w:id="208" w:name="_Toc78449789"/>
      <w:bookmarkStart w:id="209" w:name="_Toc407135203"/>
      <w:bookmarkStart w:id="210" w:name="_Toc389065267"/>
      <w:bookmarkStart w:id="211" w:name="_Toc1194977599"/>
      <w:r>
        <w:rPr>
          <w:rFonts w:hint="eastAsia" w:ascii="宋体" w:hAnsi="宋体" w:eastAsia="宋体" w:cs="宋体"/>
          <w:color w:val="auto"/>
          <w:highlight w:val="none"/>
        </w:rPr>
        <w:t>1.11.1 关于发包人提供给承包人的图纸、发包人为实施工程自行编制或委托编制的技术规范以及反映发包人关于合同要求或其他类似性质的文件的著作权的归属：按通用条款。</w:t>
      </w:r>
    </w:p>
    <w:p w14:paraId="165A99E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关于发包人提供的上述文件的使用限制的要求：仅用于本工程。</w:t>
      </w:r>
    </w:p>
    <w:p w14:paraId="232B073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关于承包人为实施工程所编制文件的著作权的归属：按通用条款。</w:t>
      </w:r>
    </w:p>
    <w:p w14:paraId="28C5A83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关于承包人提供的上述文件的使用限制的要求：按通用条款。</w:t>
      </w:r>
    </w:p>
    <w:p w14:paraId="57CAA92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1.11.4 承包人在施工过程中所采用的专利、专有技术、技术秘密的使用费的承担方式：由承包人负责。</w:t>
      </w:r>
    </w:p>
    <w:p w14:paraId="73B96A23">
      <w:pPr>
        <w:pStyle w:val="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1.13工程量清单错误的修正</w:t>
      </w:r>
      <w:bookmarkEnd w:id="205"/>
      <w:bookmarkEnd w:id="206"/>
      <w:bookmarkEnd w:id="207"/>
      <w:bookmarkEnd w:id="208"/>
      <w:bookmarkEnd w:id="209"/>
      <w:bookmarkEnd w:id="210"/>
      <w:bookmarkEnd w:id="211"/>
    </w:p>
    <w:p w14:paraId="576E87F2">
      <w:pPr>
        <w:spacing w:line="360" w:lineRule="auto"/>
        <w:ind w:firstLine="420" w:firstLineChars="200"/>
        <w:jc w:val="left"/>
        <w:rPr>
          <w:rFonts w:hint="eastAsia" w:ascii="宋体" w:hAnsi="宋体" w:eastAsia="宋体" w:cs="宋体"/>
          <w:color w:val="auto"/>
          <w:highlight w:val="none"/>
        </w:rPr>
      </w:pPr>
      <w:bookmarkStart w:id="212" w:name="_Toc389065268"/>
      <w:bookmarkStart w:id="213" w:name="_Toc373478349"/>
      <w:bookmarkStart w:id="214" w:name="_Toc351203634"/>
      <w:bookmarkStart w:id="215" w:name="_Toc373227702"/>
      <w:bookmarkStart w:id="216" w:name="_Toc407135204"/>
      <w:bookmarkStart w:id="217" w:name="_Toc1415467590"/>
      <w:bookmarkStart w:id="218" w:name="_Toc143780453"/>
      <w:bookmarkStart w:id="219" w:name="_Toc78449790"/>
      <w:r>
        <w:rPr>
          <w:rFonts w:hint="eastAsia" w:ascii="宋体" w:hAnsi="宋体" w:eastAsia="宋体" w:cs="宋体"/>
          <w:color w:val="auto"/>
          <w:highlight w:val="none"/>
        </w:rPr>
        <w:t>出现工程量清单工程量偏差时，是否调整合同价格：</w:t>
      </w:r>
      <w:r>
        <w:rPr>
          <w:rFonts w:hint="eastAsia" w:ascii="宋体" w:hAnsi="宋体" w:eastAsia="宋体" w:cs="宋体"/>
          <w:color w:val="auto"/>
          <w:highlight w:val="none"/>
          <w:u w:val="single"/>
        </w:rPr>
        <w:t>☑是  □否</w:t>
      </w:r>
      <w:r>
        <w:rPr>
          <w:rFonts w:hint="eastAsia" w:ascii="宋体" w:hAnsi="宋体" w:eastAsia="宋体" w:cs="宋体"/>
          <w:color w:val="auto"/>
          <w:highlight w:val="none"/>
        </w:rPr>
        <w:t>。</w:t>
      </w:r>
    </w:p>
    <w:p w14:paraId="5931A09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允许调整合同价格的工程量偏差范围及其调整办法：</w:t>
      </w:r>
    </w:p>
    <w:p w14:paraId="5200CBBA">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除严重不平衡报价外，无论分部分项工程量清单项目中的工程量变化多少均不调整。</w:t>
      </w:r>
    </w:p>
    <w:p w14:paraId="48936CF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u w:val="single"/>
        </w:rPr>
        <w:t>承包人实际完成的某单项清单项目工程量与招标工程量清单工程量偏差超过±15%且该单项清单造价超过合同总价 ±5 %以上的，超过后增加部分工程量或减少后剩余部分工程量的综合单价按以下方法调整：有定额的套定额计算，执行本招标文件工程计价参考依据，并乘以（1-下浮系数），下浮系数=（1-中标价/招标控制价）结算，其中材料价格有信息价的按施工期间信息价的平均价计取，无信息价的由发包人、监理单位及承包人根据市场价格协商议定。</w:t>
      </w:r>
    </w:p>
    <w:p w14:paraId="4A64E190">
      <w:pPr>
        <w:pStyle w:val="454"/>
        <w:spacing w:line="360" w:lineRule="auto"/>
        <w:rPr>
          <w:rStyle w:val="59"/>
          <w:rFonts w:hint="eastAsia" w:ascii="仿宋" w:hAnsi="仿宋" w:eastAsia="仿宋" w:cs="仿宋"/>
          <w:color w:val="auto"/>
          <w:highlight w:val="none"/>
          <w:lang w:val="en-US" w:eastAsia="zh-CN"/>
        </w:rPr>
      </w:pPr>
    </w:p>
    <w:p w14:paraId="7D9379DE">
      <w:pPr>
        <w:pStyle w:val="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bookmarkStart w:id="220" w:name="_Toc296347156"/>
      <w:bookmarkStart w:id="221" w:name="_Toc297048343"/>
      <w:bookmarkStart w:id="222" w:name="_Toc296891197"/>
      <w:bookmarkStart w:id="223" w:name="_Toc296346658"/>
      <w:bookmarkStart w:id="224" w:name="_Toc297120457"/>
      <w:bookmarkStart w:id="225" w:name="_Toc296890985"/>
      <w:bookmarkStart w:id="226" w:name="_Toc292559362"/>
      <w:bookmarkStart w:id="227" w:name="_Toc292559867"/>
      <w:bookmarkStart w:id="228" w:name="_Toc296944496"/>
      <w:bookmarkStart w:id="229" w:name="_Toc296503157"/>
      <w:r>
        <w:rPr>
          <w:rFonts w:hint="eastAsia" w:ascii="宋体" w:hAnsi="宋体" w:eastAsia="宋体" w:cs="宋体"/>
          <w:color w:val="auto"/>
          <w:highlight w:val="none"/>
        </w:rPr>
        <w:t>. 发包人</w:t>
      </w:r>
      <w:bookmarkEnd w:id="212"/>
      <w:bookmarkEnd w:id="213"/>
      <w:bookmarkEnd w:id="214"/>
      <w:bookmarkEnd w:id="215"/>
      <w:bookmarkEnd w:id="216"/>
      <w:bookmarkEnd w:id="217"/>
      <w:bookmarkEnd w:id="218"/>
      <w:bookmarkEnd w:id="219"/>
    </w:p>
    <w:bookmarkEnd w:id="220"/>
    <w:bookmarkEnd w:id="221"/>
    <w:bookmarkEnd w:id="222"/>
    <w:bookmarkEnd w:id="223"/>
    <w:bookmarkEnd w:id="224"/>
    <w:bookmarkEnd w:id="225"/>
    <w:bookmarkEnd w:id="226"/>
    <w:bookmarkEnd w:id="227"/>
    <w:bookmarkEnd w:id="228"/>
    <w:bookmarkEnd w:id="229"/>
    <w:p w14:paraId="04D6AA5E">
      <w:pPr>
        <w:pStyle w:val="7"/>
        <w:spacing w:line="360" w:lineRule="auto"/>
        <w:rPr>
          <w:rFonts w:hint="eastAsia" w:ascii="宋体" w:hAnsi="宋体" w:eastAsia="宋体" w:cs="宋体"/>
          <w:color w:val="auto"/>
          <w:highlight w:val="none"/>
        </w:rPr>
      </w:pPr>
      <w:bookmarkStart w:id="230" w:name="_Toc547644210"/>
      <w:bookmarkStart w:id="231" w:name="_Toc373478350"/>
      <w:bookmarkStart w:id="232" w:name="_Toc389065269"/>
      <w:bookmarkStart w:id="233" w:name="_Toc407135205"/>
      <w:bookmarkStart w:id="234" w:name="_Toc971240048"/>
      <w:bookmarkStart w:id="235" w:name="_Toc78449791"/>
      <w:bookmarkStart w:id="236" w:name="_Toc373227703"/>
      <w:r>
        <w:rPr>
          <w:rFonts w:hint="eastAsia" w:ascii="宋体" w:hAnsi="宋体" w:eastAsia="宋体" w:cs="宋体"/>
          <w:color w:val="auto"/>
          <w:highlight w:val="none"/>
        </w:rPr>
        <w:t>2.2 发包人代表</w:t>
      </w:r>
      <w:bookmarkEnd w:id="230"/>
      <w:bookmarkEnd w:id="231"/>
      <w:bookmarkEnd w:id="232"/>
      <w:bookmarkEnd w:id="233"/>
      <w:bookmarkEnd w:id="234"/>
      <w:bookmarkEnd w:id="235"/>
      <w:bookmarkEnd w:id="236"/>
    </w:p>
    <w:p w14:paraId="707BB3F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6FE98F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41A83A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6526CE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67E10E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018E6C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3E0E67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1DEBB5D">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代表发包人与监理工程师协调与本工程有关的事 宜，并行使合同约定的发包人的权利，履行合同约定的发包人的职责</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4166693">
      <w:pPr>
        <w:spacing w:line="360" w:lineRule="auto"/>
        <w:ind w:firstLine="420" w:firstLineChars="200"/>
        <w:rPr>
          <w:rFonts w:hint="eastAsia" w:ascii="宋体" w:hAnsi="宋体" w:eastAsia="宋体" w:cs="宋体"/>
          <w:color w:val="auto"/>
          <w:highlight w:val="none"/>
        </w:rPr>
      </w:pPr>
      <w:bookmarkStart w:id="237" w:name="_Toc407135206"/>
      <w:bookmarkStart w:id="238" w:name="_Toc373227704"/>
      <w:bookmarkStart w:id="239" w:name="_Toc2077499244"/>
      <w:bookmarkStart w:id="240" w:name="_Toc78449792"/>
      <w:bookmarkStart w:id="241" w:name="_Toc389065270"/>
      <w:bookmarkStart w:id="242" w:name="_Toc2066513957"/>
      <w:bookmarkStart w:id="243" w:name="_Toc373478351"/>
      <w:r>
        <w:rPr>
          <w:rFonts w:hint="eastAsia" w:ascii="宋体" w:hAnsi="宋体" w:eastAsia="宋体" w:cs="宋体"/>
          <w:color w:val="auto"/>
          <w:highlight w:val="none"/>
          <w:lang w:val="en-US" w:eastAsia="zh-CN"/>
        </w:rPr>
        <w:t>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p>
    <w:p w14:paraId="31E25537">
      <w:pPr>
        <w:pStyle w:val="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 施工现场、施工条件和基础资料的提供</w:t>
      </w:r>
      <w:bookmarkEnd w:id="237"/>
      <w:bookmarkEnd w:id="238"/>
      <w:bookmarkEnd w:id="239"/>
      <w:bookmarkEnd w:id="240"/>
      <w:bookmarkEnd w:id="241"/>
      <w:bookmarkEnd w:id="242"/>
      <w:bookmarkEnd w:id="243"/>
    </w:p>
    <w:p w14:paraId="1234E3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14:paraId="5A9FB01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以发包人下发进场通知7天内前向承包人移交施工现场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C21DC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14:paraId="50A2EED7">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除地下管线外按通用条款 </w:t>
      </w:r>
      <w:r>
        <w:rPr>
          <w:rFonts w:hint="eastAsia" w:ascii="宋体" w:hAnsi="宋体" w:eastAsia="宋体" w:cs="宋体"/>
          <w:color w:val="auto"/>
          <w:highlight w:val="none"/>
        </w:rPr>
        <w:t>。</w:t>
      </w:r>
    </w:p>
    <w:p w14:paraId="6B351481">
      <w:pPr>
        <w:pStyle w:val="7"/>
        <w:spacing w:line="360" w:lineRule="auto"/>
        <w:rPr>
          <w:rFonts w:hint="eastAsia" w:ascii="宋体" w:hAnsi="宋体" w:eastAsia="宋体" w:cs="宋体"/>
          <w:color w:val="auto"/>
          <w:highlight w:val="none"/>
        </w:rPr>
      </w:pPr>
      <w:bookmarkStart w:id="244" w:name="_Toc373227705"/>
      <w:bookmarkStart w:id="245" w:name="_Toc672429943"/>
      <w:bookmarkStart w:id="246" w:name="_Toc373478352"/>
      <w:bookmarkStart w:id="247" w:name="_Toc78449793"/>
      <w:bookmarkStart w:id="248" w:name="_Toc389065271"/>
      <w:bookmarkStart w:id="249" w:name="_Toc1238195908"/>
      <w:bookmarkStart w:id="250" w:name="_Toc407135207"/>
      <w:r>
        <w:rPr>
          <w:rFonts w:hint="eastAsia" w:ascii="宋体" w:hAnsi="宋体" w:eastAsia="宋体" w:cs="宋体"/>
          <w:color w:val="auto"/>
          <w:highlight w:val="none"/>
        </w:rPr>
        <w:t>2.5 资金来源证明及支付担保</w:t>
      </w:r>
      <w:bookmarkEnd w:id="244"/>
      <w:bookmarkEnd w:id="245"/>
      <w:bookmarkEnd w:id="246"/>
      <w:bookmarkEnd w:id="247"/>
      <w:bookmarkEnd w:id="248"/>
      <w:bookmarkEnd w:id="249"/>
      <w:bookmarkEnd w:id="250"/>
    </w:p>
    <w:p w14:paraId="646879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ADCC8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400D785">
      <w:pPr>
        <w:spacing w:line="360" w:lineRule="auto"/>
        <w:ind w:firstLine="420" w:firstLineChars="200"/>
        <w:rPr>
          <w:rFonts w:hint="eastAsia" w:ascii="宋体" w:hAnsi="宋体" w:eastAsia="宋体" w:cs="宋体"/>
          <w:color w:val="auto"/>
          <w:highlight w:val="none"/>
          <w:lang w:val="en" w:eastAsia="zh-CN"/>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 w:eastAsia="zh-CN"/>
        </w:rPr>
        <w:t>。</w:t>
      </w:r>
    </w:p>
    <w:p w14:paraId="7B085240">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发包人提供的支付担保格式见合同附件9。</w:t>
      </w:r>
    </w:p>
    <w:p w14:paraId="5AD064B9">
      <w:pPr>
        <w:pStyle w:val="6"/>
        <w:spacing w:line="360" w:lineRule="auto"/>
        <w:rPr>
          <w:rFonts w:hint="eastAsia" w:ascii="宋体" w:hAnsi="宋体" w:eastAsia="宋体" w:cs="宋体"/>
          <w:color w:val="auto"/>
          <w:highlight w:val="none"/>
        </w:rPr>
      </w:pPr>
      <w:bookmarkStart w:id="251" w:name="_Toc407135208"/>
      <w:bookmarkStart w:id="252" w:name="_Toc78449794"/>
      <w:bookmarkStart w:id="253" w:name="_Toc729657770"/>
      <w:bookmarkStart w:id="254" w:name="_Toc389065272"/>
      <w:bookmarkStart w:id="255" w:name="_Toc351203635"/>
      <w:bookmarkStart w:id="256" w:name="_Toc373227706"/>
      <w:bookmarkStart w:id="257" w:name="_Toc373478353"/>
      <w:bookmarkStart w:id="258" w:name="_Toc1181400362"/>
      <w:r>
        <w:rPr>
          <w:rFonts w:hint="eastAsia" w:ascii="宋体" w:hAnsi="宋体" w:eastAsia="宋体" w:cs="宋体"/>
          <w:color w:val="auto"/>
          <w:highlight w:val="none"/>
        </w:rPr>
        <w:t>3</w:t>
      </w:r>
      <w:bookmarkStart w:id="259" w:name="_Toc296347157"/>
      <w:bookmarkStart w:id="260" w:name="_Toc296944497"/>
      <w:bookmarkStart w:id="261" w:name="_Toc296503158"/>
      <w:bookmarkStart w:id="262" w:name="_Toc297048344"/>
      <w:bookmarkStart w:id="263" w:name="_Toc296346659"/>
      <w:bookmarkStart w:id="264" w:name="_Toc296891198"/>
      <w:bookmarkStart w:id="265" w:name="_Toc292559363"/>
      <w:bookmarkStart w:id="266" w:name="_Toc296890986"/>
      <w:bookmarkStart w:id="267" w:name="_Toc292559868"/>
      <w:bookmarkStart w:id="268" w:name="_Toc297120458"/>
      <w:r>
        <w:rPr>
          <w:rFonts w:hint="eastAsia" w:ascii="宋体" w:hAnsi="宋体" w:eastAsia="宋体" w:cs="宋体"/>
          <w:color w:val="auto"/>
          <w:highlight w:val="none"/>
        </w:rPr>
        <w:t>. 承包人</w:t>
      </w:r>
      <w:bookmarkEnd w:id="251"/>
      <w:bookmarkEnd w:id="252"/>
      <w:bookmarkEnd w:id="253"/>
      <w:bookmarkEnd w:id="254"/>
      <w:bookmarkEnd w:id="255"/>
      <w:bookmarkEnd w:id="256"/>
      <w:bookmarkEnd w:id="257"/>
      <w:bookmarkEnd w:id="258"/>
    </w:p>
    <w:bookmarkEnd w:id="259"/>
    <w:bookmarkEnd w:id="260"/>
    <w:bookmarkEnd w:id="261"/>
    <w:bookmarkEnd w:id="262"/>
    <w:bookmarkEnd w:id="263"/>
    <w:bookmarkEnd w:id="264"/>
    <w:bookmarkEnd w:id="265"/>
    <w:bookmarkEnd w:id="266"/>
    <w:bookmarkEnd w:id="267"/>
    <w:bookmarkEnd w:id="268"/>
    <w:p w14:paraId="18A81635">
      <w:pPr>
        <w:pStyle w:val="7"/>
        <w:spacing w:line="360" w:lineRule="auto"/>
        <w:rPr>
          <w:rFonts w:hint="eastAsia" w:ascii="宋体" w:hAnsi="宋体" w:eastAsia="宋体" w:cs="宋体"/>
          <w:color w:val="auto"/>
          <w:highlight w:val="none"/>
        </w:rPr>
      </w:pPr>
      <w:bookmarkStart w:id="269" w:name="_Toc962678435"/>
      <w:bookmarkStart w:id="270" w:name="_Toc78449795"/>
      <w:bookmarkStart w:id="271" w:name="_Toc407135209"/>
      <w:bookmarkStart w:id="272" w:name="_Toc373478354"/>
      <w:bookmarkStart w:id="273" w:name="_Toc389065273"/>
      <w:bookmarkStart w:id="274" w:name="_Toc373227707"/>
      <w:bookmarkStart w:id="275" w:name="_Toc1642190822"/>
      <w:r>
        <w:rPr>
          <w:rFonts w:hint="eastAsia" w:ascii="宋体" w:hAnsi="宋体" w:eastAsia="宋体" w:cs="宋体"/>
          <w:color w:val="auto"/>
          <w:highlight w:val="none"/>
        </w:rPr>
        <w:t>3.1 承包人的一般义务</w:t>
      </w:r>
      <w:bookmarkEnd w:id="269"/>
      <w:bookmarkEnd w:id="270"/>
      <w:bookmarkEnd w:id="271"/>
      <w:bookmarkEnd w:id="272"/>
      <w:bookmarkEnd w:id="273"/>
      <w:bookmarkEnd w:id="274"/>
      <w:bookmarkEnd w:id="275"/>
    </w:p>
    <w:p w14:paraId="5D366211">
      <w:pPr>
        <w:spacing w:line="360" w:lineRule="auto"/>
        <w:ind w:firstLine="420" w:firstLineChars="200"/>
        <w:rPr>
          <w:rFonts w:hint="eastAsia" w:ascii="宋体" w:hAnsi="宋体" w:eastAsia="宋体" w:cs="宋体"/>
          <w:color w:val="auto"/>
          <w:highlight w:val="none"/>
          <w:u w:val="single"/>
        </w:rPr>
      </w:pPr>
      <w:bookmarkStart w:id="276" w:name="_Toc1659520837"/>
      <w:bookmarkStart w:id="277" w:name="_Toc407135210"/>
      <w:bookmarkStart w:id="278" w:name="_Toc501741485"/>
      <w:bookmarkStart w:id="279" w:name="_Toc373478355"/>
      <w:bookmarkStart w:id="280" w:name="_Toc78449796"/>
      <w:bookmarkStart w:id="281" w:name="_Toc373227708"/>
      <w:bookmarkStart w:id="282" w:name="_Toc389065274"/>
      <w:r>
        <w:rPr>
          <w:rFonts w:hint="eastAsia" w:ascii="宋体" w:hAnsi="宋体" w:eastAsia="宋体" w:cs="宋体"/>
          <w:color w:val="auto"/>
          <w:highlight w:val="none"/>
        </w:rPr>
        <w:t>（9）承包人提交的竣工资料的内容：</w:t>
      </w:r>
      <w:r>
        <w:rPr>
          <w:rFonts w:hint="eastAsia" w:ascii="宋体" w:hAnsi="宋体" w:eastAsia="宋体" w:cs="宋体"/>
          <w:color w:val="auto"/>
          <w:highlight w:val="none"/>
          <w:u w:val="single"/>
          <w:lang w:val="en-US" w:eastAsia="zh-CN"/>
        </w:rPr>
        <w:t>按《建设工程文件归档整理规范》GB/T50328-2014要求提供</w:t>
      </w:r>
      <w:r>
        <w:rPr>
          <w:rFonts w:hint="eastAsia" w:ascii="宋体" w:hAnsi="宋体" w:eastAsia="宋体" w:cs="宋体"/>
          <w:color w:val="auto"/>
          <w:highlight w:val="none"/>
          <w:u w:val="single"/>
        </w:rPr>
        <w:t>。</w:t>
      </w:r>
    </w:p>
    <w:p w14:paraId="36580AD2">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lang w:eastAsia="zh-CN"/>
        </w:rPr>
        <w:t>四套(一套存城建档案馆；两套存业主单位；一套用于结算)</w:t>
      </w:r>
      <w:r>
        <w:rPr>
          <w:rFonts w:hint="eastAsia" w:ascii="宋体" w:hAnsi="宋体" w:eastAsia="宋体" w:cs="宋体"/>
          <w:color w:val="auto"/>
          <w:highlight w:val="none"/>
          <w:u w:val="single"/>
        </w:rPr>
        <w:t>。</w:t>
      </w:r>
    </w:p>
    <w:p w14:paraId="20878D1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费用</w:t>
      </w:r>
      <w:r>
        <w:rPr>
          <w:rFonts w:hint="eastAsia" w:ascii="宋体" w:hAnsi="宋体" w:eastAsia="宋体" w:cs="宋体"/>
          <w:color w:val="auto"/>
          <w:highlight w:val="none"/>
          <w:u w:val="single"/>
          <w:lang w:val="en-US" w:eastAsia="zh-CN"/>
        </w:rPr>
        <w:t>由承包人承担</w:t>
      </w:r>
      <w:r>
        <w:rPr>
          <w:rFonts w:hint="eastAsia" w:ascii="宋体" w:hAnsi="宋体" w:eastAsia="宋体" w:cs="宋体"/>
          <w:color w:val="auto"/>
          <w:highlight w:val="none"/>
          <w:u w:val="single"/>
        </w:rPr>
        <w:t>。</w:t>
      </w:r>
    </w:p>
    <w:p w14:paraId="40FD8B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lang w:val="en-US" w:eastAsia="zh-CN"/>
        </w:rPr>
        <w:t>工程竣工验收后28个工作日内</w:t>
      </w:r>
      <w:r>
        <w:rPr>
          <w:rFonts w:hint="eastAsia" w:ascii="宋体" w:hAnsi="宋体" w:eastAsia="宋体" w:cs="宋体"/>
          <w:color w:val="auto"/>
          <w:highlight w:val="none"/>
          <w:u w:val="single"/>
        </w:rPr>
        <w:t>。</w:t>
      </w:r>
    </w:p>
    <w:p w14:paraId="79BDA3AD">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lang w:val="en-US" w:eastAsia="zh-CN"/>
        </w:rPr>
        <w:t>文本及电子版</w:t>
      </w:r>
      <w:r>
        <w:rPr>
          <w:rFonts w:hint="eastAsia" w:ascii="宋体" w:hAnsi="宋体" w:eastAsia="宋体" w:cs="宋体"/>
          <w:color w:val="auto"/>
          <w:highlight w:val="none"/>
          <w:u w:val="single"/>
        </w:rPr>
        <w:t>。</w:t>
      </w:r>
    </w:p>
    <w:p w14:paraId="71AD34FD">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（10）承包人应履行的其他义务：对开工的项目，须组建项目工会。</w:t>
      </w:r>
    </w:p>
    <w:p w14:paraId="753E305B">
      <w:pPr>
        <w:pStyle w:val="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 项目经理</w:t>
      </w:r>
      <w:bookmarkEnd w:id="276"/>
      <w:bookmarkEnd w:id="277"/>
      <w:bookmarkEnd w:id="278"/>
      <w:bookmarkEnd w:id="279"/>
      <w:bookmarkEnd w:id="280"/>
      <w:bookmarkEnd w:id="281"/>
      <w:bookmarkEnd w:id="282"/>
    </w:p>
    <w:p w14:paraId="0E32C34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058145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43B309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096AAFF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5B7F65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77620C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066DD2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 </w:t>
      </w:r>
      <w:r>
        <w:rPr>
          <w:rFonts w:hint="eastAsia" w:ascii="宋体" w:hAnsi="宋体" w:eastAsia="宋体" w:cs="宋体"/>
          <w:color w:val="auto"/>
          <w:highlight w:val="none"/>
        </w:rPr>
        <w:t>；</w:t>
      </w:r>
    </w:p>
    <w:p w14:paraId="0B8F80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D5BF0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4F83F3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负责本项目施工的一切事务（含签署文件和处理相关事务），如签订本项目的合同、施工、竣工验收、竣工资料等的签署文件和处理相关事务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CF2F8A1">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不少于24天，每少到一天承包人需支付违约金5000元，违约金须当月向发包方缴清，否则发包方有权延期支付当月工程进度款（由监理人员或发包方派驻代表确认项目经理到场天数）。项目经理无故连续七天或当月累计15天不到的，发包方将本项目视为挂靠工程,有权解除合同，同时向承包人追索因此造成的实际损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C8666F3">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kern w:val="0"/>
          <w:highlight w:val="none"/>
          <w:u w:val="single"/>
          <w:lang w:val="en-US" w:eastAsia="zh-CN"/>
        </w:rPr>
        <w:t>处以10000元罚款,责令限期提交劳动合同并补缴社会保险</w:t>
      </w:r>
      <w:r>
        <w:rPr>
          <w:rFonts w:hint="eastAsia" w:ascii="宋体" w:hAnsi="宋体" w:eastAsia="宋体" w:cs="宋体"/>
          <w:color w:val="auto"/>
          <w:highlight w:val="none"/>
        </w:rPr>
        <w:t>。</w:t>
      </w:r>
    </w:p>
    <w:p w14:paraId="6FE1BD9D">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 </w:t>
      </w:r>
      <w:r>
        <w:rPr>
          <w:rFonts w:hint="eastAsia" w:ascii="宋体" w:hAnsi="宋体" w:eastAsia="宋体" w:cs="宋体"/>
          <w:color w:val="auto"/>
          <w:highlight w:val="none"/>
          <w:u w:val="single"/>
          <w:lang w:val="en-US" w:eastAsia="zh-CN"/>
        </w:rPr>
        <w:t>2000</w:t>
      </w:r>
      <w:r>
        <w:rPr>
          <w:rFonts w:hint="eastAsia" w:ascii="宋体" w:hAnsi="宋体" w:eastAsia="宋体" w:cs="宋体"/>
          <w:color w:val="auto"/>
          <w:highlight w:val="none"/>
          <w:u w:val="single"/>
        </w:rPr>
        <w:t>元/日（人民币）</w:t>
      </w:r>
      <w:r>
        <w:rPr>
          <w:rFonts w:hint="eastAsia" w:ascii="宋体" w:hAnsi="宋体" w:eastAsia="宋体" w:cs="宋体"/>
          <w:color w:val="auto"/>
          <w:highlight w:val="none"/>
        </w:rPr>
        <w:t>。</w:t>
      </w:r>
    </w:p>
    <w:p w14:paraId="2F70C706">
      <w:pPr>
        <w:adjustRightInd w:val="0"/>
        <w:snapToGrid w:val="0"/>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3.2.3 承包人擅自更换项目经理的违约责任：</w:t>
      </w:r>
      <w:r>
        <w:rPr>
          <w:rFonts w:hint="eastAsia" w:ascii="宋体" w:hAnsi="宋体" w:eastAsia="宋体" w:cs="宋体"/>
          <w:color w:val="auto"/>
          <w:highlight w:val="none"/>
          <w:u w:val="single"/>
          <w:lang w:val="en-US" w:eastAsia="zh-CN"/>
        </w:rPr>
        <w:t>承包人项目经理必须与承包人投标时所承诺的人员一致，并在开工前到任。在监理人向承包人颁发竣工验收合格证前，项目经理不得同时兼任其他任何项目的项目经理（符合桂建管﹝2013﹞17号和桂建管﹝2014﹞25号文除外）。未经发包人书面同意，承包人擅自更换项目经理的视为违约，违约金处30000元/人•次（人民币）</w:t>
      </w:r>
      <w:r>
        <w:rPr>
          <w:rFonts w:hint="eastAsia" w:ascii="宋体" w:hAnsi="宋体" w:eastAsia="宋体" w:cs="宋体"/>
          <w:color w:val="auto"/>
          <w:highlight w:val="none"/>
        </w:rPr>
        <w:t>。</w:t>
      </w:r>
    </w:p>
    <w:p w14:paraId="0242C7EE">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 xml:space="preserve">因承包人项目经理不称职，发包人要求调换而未及时调换的，视为承包人违约，必须向发包人交纳处罚金 </w:t>
      </w:r>
      <w:r>
        <w:rPr>
          <w:rFonts w:hint="eastAsia" w:ascii="宋体" w:hAnsi="宋体" w:eastAsia="宋体" w:cs="宋体"/>
          <w:color w:val="auto"/>
          <w:highlight w:val="none"/>
          <w:u w:val="single"/>
          <w:lang w:val="en-US" w:eastAsia="zh-CN"/>
        </w:rPr>
        <w:t>50000</w:t>
      </w:r>
      <w:r>
        <w:rPr>
          <w:rFonts w:hint="eastAsia" w:ascii="宋体" w:hAnsi="宋体" w:eastAsia="宋体" w:cs="宋体"/>
          <w:color w:val="auto"/>
          <w:highlight w:val="none"/>
          <w:u w:val="single"/>
        </w:rPr>
        <w:t>元/人•次（人民币）。</w:t>
      </w:r>
      <w:r>
        <w:rPr>
          <w:rFonts w:hint="eastAsia" w:ascii="宋体" w:hAnsi="宋体" w:eastAsia="宋体" w:cs="宋体"/>
          <w:color w:val="auto"/>
          <w:highlight w:val="none"/>
          <w:u w:val="single"/>
          <w:lang w:val="en-US" w:eastAsia="zh-CN"/>
        </w:rPr>
        <w:t>并由承包人承担上述违约给发包人造成的一切损失</w:t>
      </w:r>
      <w:r>
        <w:rPr>
          <w:rFonts w:hint="eastAsia" w:ascii="宋体" w:hAnsi="宋体" w:eastAsia="宋体" w:cs="宋体"/>
          <w:color w:val="auto"/>
          <w:highlight w:val="none"/>
        </w:rPr>
        <w:t>。</w:t>
      </w:r>
    </w:p>
    <w:p w14:paraId="50FA248D">
      <w:pPr>
        <w:pStyle w:val="7"/>
        <w:spacing w:line="360" w:lineRule="auto"/>
        <w:rPr>
          <w:rFonts w:hint="eastAsia" w:ascii="宋体" w:hAnsi="宋体" w:eastAsia="宋体" w:cs="宋体"/>
          <w:color w:val="auto"/>
          <w:highlight w:val="none"/>
        </w:rPr>
      </w:pPr>
      <w:bookmarkStart w:id="283" w:name="_Toc1443830486"/>
      <w:bookmarkStart w:id="284" w:name="_Toc407135211"/>
      <w:bookmarkStart w:id="285" w:name="_Toc373227709"/>
      <w:bookmarkStart w:id="286" w:name="_Toc389065275"/>
      <w:bookmarkStart w:id="287" w:name="_Toc373478356"/>
      <w:bookmarkStart w:id="288" w:name="_Toc78449797"/>
      <w:bookmarkStart w:id="289" w:name="_Toc747710271"/>
      <w:r>
        <w:rPr>
          <w:rFonts w:hint="eastAsia" w:ascii="宋体" w:hAnsi="宋体" w:eastAsia="宋体" w:cs="宋体"/>
          <w:color w:val="auto"/>
          <w:highlight w:val="none"/>
        </w:rPr>
        <w:t>3.3 承包人人员</w:t>
      </w:r>
      <w:bookmarkEnd w:id="283"/>
      <w:bookmarkEnd w:id="284"/>
      <w:bookmarkEnd w:id="285"/>
      <w:bookmarkEnd w:id="286"/>
      <w:bookmarkEnd w:id="287"/>
      <w:bookmarkEnd w:id="288"/>
      <w:bookmarkEnd w:id="289"/>
    </w:p>
    <w:p w14:paraId="4CB0010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承包人提交项目管理机构及施工现场管理人员安排报告（格式见合同附件5）的期限：</w:t>
      </w:r>
      <w:r>
        <w:rPr>
          <w:rFonts w:hint="eastAsia" w:ascii="宋体" w:hAnsi="宋体" w:eastAsia="宋体" w:cs="宋体"/>
          <w:color w:val="auto"/>
          <w:highlight w:val="none"/>
          <w:u w:val="single"/>
          <w:lang w:eastAsia="zh-CN"/>
        </w:rPr>
        <w:t>开工前</w:t>
      </w:r>
      <w:r>
        <w:rPr>
          <w:rFonts w:hint="eastAsia" w:ascii="宋体" w:hAnsi="宋体" w:eastAsia="宋体" w:cs="宋体"/>
          <w:color w:val="auto"/>
          <w:highlight w:val="none"/>
          <w:u w:val="single"/>
          <w:lang w:val="en-US" w:eastAsia="zh-CN"/>
        </w:rPr>
        <w:t>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F54D7E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eastAsia="宋体" w:cs="宋体"/>
          <w:color w:val="auto"/>
          <w:highlight w:val="none"/>
          <w:u w:val="single"/>
          <w:lang w:val="en-US" w:eastAsia="zh-CN"/>
        </w:rPr>
        <w:t>30000</w:t>
      </w:r>
      <w:r>
        <w:rPr>
          <w:rFonts w:hint="eastAsia" w:ascii="宋体" w:hAnsi="宋体" w:eastAsia="宋体" w:cs="宋体"/>
          <w:color w:val="auto"/>
          <w:highlight w:val="none"/>
          <w:u w:val="single"/>
        </w:rPr>
        <w:t>元/人•次（人民币）；专业工程师</w:t>
      </w:r>
      <w:r>
        <w:rPr>
          <w:rFonts w:hint="eastAsia" w:ascii="宋体" w:hAnsi="宋体" w:eastAsia="宋体" w:cs="宋体"/>
          <w:color w:val="auto"/>
          <w:highlight w:val="none"/>
          <w:u w:val="single"/>
          <w:lang w:val="en-US" w:eastAsia="zh-CN"/>
        </w:rPr>
        <w:t>20000</w:t>
      </w:r>
      <w:r>
        <w:rPr>
          <w:rFonts w:hint="eastAsia" w:ascii="宋体" w:hAnsi="宋体" w:eastAsia="宋体" w:cs="宋体"/>
          <w:color w:val="auto"/>
          <w:highlight w:val="none"/>
          <w:u w:val="single"/>
        </w:rPr>
        <w:t>元/人•次（人民币）</w:t>
      </w:r>
      <w:r>
        <w:rPr>
          <w:rFonts w:hint="eastAsia" w:ascii="宋体" w:hAnsi="宋体" w:eastAsia="宋体" w:cs="宋体"/>
          <w:color w:val="auto"/>
          <w:highlight w:val="none"/>
        </w:rPr>
        <w:t>。</w:t>
      </w:r>
    </w:p>
    <w:p w14:paraId="5775359F">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lang w:val="en-US" w:eastAsia="zh-CN"/>
        </w:rPr>
        <w:t>由总监理工程师批准,发包人认可后方可离开</w:t>
      </w:r>
      <w:r>
        <w:rPr>
          <w:rFonts w:hint="eastAsia" w:ascii="宋体" w:hAnsi="宋体" w:eastAsia="宋体" w:cs="宋体"/>
          <w:color w:val="auto"/>
          <w:highlight w:val="none"/>
        </w:rPr>
        <w:t>。</w:t>
      </w:r>
    </w:p>
    <w:p w14:paraId="60FCCD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3.3.5 承包人擅自更换主要施工管理人员的违约责任：</w:t>
      </w:r>
      <w:r>
        <w:rPr>
          <w:rFonts w:hint="eastAsia" w:ascii="宋体" w:hAnsi="宋体" w:eastAsia="宋体" w:cs="宋体"/>
          <w:color w:val="auto"/>
          <w:highlight w:val="none"/>
          <w:u w:val="single"/>
        </w:rPr>
        <w:t>项目技术负责人、专职安全生产管理人员及其承诺的其它在场管理人员未经发包人书面同意不准擅自更换，擅自更换项目技术负责人处</w:t>
      </w:r>
      <w:r>
        <w:rPr>
          <w:rFonts w:hint="eastAsia" w:ascii="宋体" w:hAnsi="宋体" w:eastAsia="宋体" w:cs="宋体"/>
          <w:color w:val="auto"/>
          <w:highlight w:val="none"/>
          <w:u w:val="single"/>
          <w:lang w:val="en-US" w:eastAsia="zh-CN"/>
        </w:rPr>
        <w:t>10000</w:t>
      </w:r>
      <w:r>
        <w:rPr>
          <w:rFonts w:hint="eastAsia" w:ascii="宋体" w:hAnsi="宋体" w:eastAsia="宋体" w:cs="宋体"/>
          <w:color w:val="auto"/>
          <w:highlight w:val="none"/>
          <w:u w:val="single"/>
        </w:rPr>
        <w:t>元/人•次（人民币）违约金；擅自更换专职安全生产管理人员处</w:t>
      </w:r>
      <w:r>
        <w:rPr>
          <w:rFonts w:hint="eastAsia" w:ascii="宋体" w:hAnsi="宋体" w:eastAsia="宋体" w:cs="宋体"/>
          <w:color w:val="auto"/>
          <w:highlight w:val="none"/>
          <w:u w:val="single"/>
          <w:lang w:val="en-US" w:eastAsia="zh-CN"/>
        </w:rPr>
        <w:t>20000</w:t>
      </w:r>
      <w:r>
        <w:rPr>
          <w:rFonts w:hint="eastAsia" w:ascii="宋体" w:hAnsi="宋体" w:eastAsia="宋体" w:cs="宋体"/>
          <w:color w:val="auto"/>
          <w:highlight w:val="none"/>
          <w:u w:val="single"/>
        </w:rPr>
        <w:t xml:space="preserve">元/人•次（人民币）违约金；擅自更换其它在场管理人员处 </w:t>
      </w:r>
      <w:r>
        <w:rPr>
          <w:rFonts w:hint="eastAsia" w:ascii="宋体" w:hAnsi="宋体" w:eastAsia="宋体" w:cs="宋体"/>
          <w:color w:val="auto"/>
          <w:highlight w:val="none"/>
          <w:u w:val="single"/>
          <w:lang w:val="en-US" w:eastAsia="zh-CN"/>
        </w:rPr>
        <w:t>20000</w:t>
      </w:r>
      <w:r>
        <w:rPr>
          <w:rFonts w:hint="eastAsia" w:ascii="宋体" w:hAnsi="宋体" w:eastAsia="宋体" w:cs="宋体"/>
          <w:color w:val="auto"/>
          <w:highlight w:val="none"/>
          <w:u w:val="single"/>
        </w:rPr>
        <w:t>元/人•次（人民币）违约金</w:t>
      </w:r>
      <w:r>
        <w:rPr>
          <w:rFonts w:hint="eastAsia" w:ascii="宋体" w:hAnsi="宋体" w:eastAsia="宋体" w:cs="宋体"/>
          <w:color w:val="auto"/>
          <w:highlight w:val="none"/>
        </w:rPr>
        <w:t>。</w:t>
      </w:r>
    </w:p>
    <w:p w14:paraId="7F7F62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 xml:space="preserve">未经发包人同意，项目技术负责人擅自离岗的，视为承包人违约，发包人有权处违约金 </w:t>
      </w:r>
      <w:r>
        <w:rPr>
          <w:rFonts w:hint="eastAsia" w:ascii="宋体" w:hAnsi="宋体" w:eastAsia="宋体" w:cs="宋体"/>
          <w:color w:val="auto"/>
          <w:highlight w:val="none"/>
          <w:u w:val="single"/>
          <w:lang w:val="en-US" w:eastAsia="zh-CN"/>
        </w:rPr>
        <w:t>2000</w:t>
      </w:r>
      <w:r>
        <w:rPr>
          <w:rFonts w:hint="eastAsia" w:ascii="宋体" w:hAnsi="宋体" w:eastAsia="宋体" w:cs="宋体"/>
          <w:color w:val="auto"/>
          <w:highlight w:val="none"/>
          <w:u w:val="single"/>
        </w:rPr>
        <w:t>元/人•次（人民币）；未经发包人同意，专职安全生产管理人员擅自离岗的，视为承包人违约，发包人有权处违约金</w:t>
      </w:r>
      <w:r>
        <w:rPr>
          <w:rFonts w:hint="eastAsia" w:ascii="宋体" w:hAnsi="宋体" w:eastAsia="宋体" w:cs="宋体"/>
          <w:color w:val="auto"/>
          <w:highlight w:val="none"/>
          <w:u w:val="single"/>
          <w:lang w:val="en-US" w:eastAsia="zh-CN"/>
        </w:rPr>
        <w:t>3000</w:t>
      </w:r>
      <w:r>
        <w:rPr>
          <w:rFonts w:hint="eastAsia" w:ascii="宋体" w:hAnsi="宋体" w:eastAsia="宋体" w:cs="宋体"/>
          <w:color w:val="auto"/>
          <w:highlight w:val="none"/>
          <w:u w:val="single"/>
        </w:rPr>
        <w:t>元/人•次（人民币）；其它在场管理人员擅自离岗的，视为承包人违约，发包人有权处违约金</w:t>
      </w:r>
      <w:r>
        <w:rPr>
          <w:rFonts w:hint="eastAsia" w:ascii="宋体" w:hAnsi="宋体" w:eastAsia="宋体" w:cs="宋体"/>
          <w:color w:val="auto"/>
          <w:highlight w:val="none"/>
          <w:u w:val="single"/>
          <w:lang w:val="en-US" w:eastAsia="zh-CN"/>
        </w:rPr>
        <w:t>3000</w:t>
      </w:r>
      <w:r>
        <w:rPr>
          <w:rFonts w:hint="eastAsia" w:ascii="宋体" w:hAnsi="宋体" w:eastAsia="宋体" w:cs="宋体"/>
          <w:color w:val="auto"/>
          <w:highlight w:val="none"/>
          <w:u w:val="single"/>
        </w:rPr>
        <w:t xml:space="preserve"> 元/人•次（人民币）</w:t>
      </w:r>
      <w:r>
        <w:rPr>
          <w:rFonts w:hint="eastAsia" w:ascii="宋体" w:hAnsi="宋体" w:eastAsia="宋体" w:cs="宋体"/>
          <w:color w:val="auto"/>
          <w:highlight w:val="none"/>
        </w:rPr>
        <w:t>。</w:t>
      </w:r>
    </w:p>
    <w:p w14:paraId="6F28AB3C">
      <w:pPr>
        <w:pStyle w:val="7"/>
        <w:spacing w:line="360" w:lineRule="auto"/>
        <w:rPr>
          <w:rFonts w:hint="eastAsia" w:ascii="宋体" w:hAnsi="宋体" w:eastAsia="宋体" w:cs="宋体"/>
          <w:color w:val="auto"/>
          <w:highlight w:val="none"/>
        </w:rPr>
      </w:pPr>
      <w:bookmarkStart w:id="290" w:name="_Toc373227710"/>
      <w:bookmarkStart w:id="291" w:name="_Toc389065276"/>
      <w:bookmarkStart w:id="292" w:name="_Toc2066279184"/>
      <w:bookmarkStart w:id="293" w:name="_Toc78449798"/>
      <w:bookmarkStart w:id="294" w:name="_Toc407135212"/>
      <w:bookmarkStart w:id="295" w:name="_Toc373478357"/>
      <w:bookmarkStart w:id="296" w:name="_Toc2025600126"/>
      <w:r>
        <w:rPr>
          <w:rFonts w:hint="eastAsia" w:ascii="宋体" w:hAnsi="宋体" w:eastAsia="宋体" w:cs="宋体"/>
          <w:color w:val="auto"/>
          <w:highlight w:val="none"/>
        </w:rPr>
        <w:t>3</w:t>
      </w:r>
      <w:bookmarkStart w:id="297" w:name="_Toc312677988"/>
      <w:bookmarkStart w:id="298" w:name="_Toc296503159"/>
      <w:bookmarkStart w:id="299" w:name="_Toc303539102"/>
      <w:bookmarkStart w:id="300" w:name="_Toc297048345"/>
      <w:bookmarkStart w:id="301" w:name="_Toc297216151"/>
      <w:bookmarkStart w:id="302" w:name="_Toc296347158"/>
      <w:bookmarkStart w:id="303" w:name="_Toc296346660"/>
      <w:bookmarkStart w:id="304" w:name="_Toc296891199"/>
      <w:bookmarkStart w:id="305" w:name="_Toc292559364"/>
      <w:bookmarkStart w:id="306" w:name="_Toc297123492"/>
      <w:bookmarkStart w:id="307" w:name="_Toc296944498"/>
      <w:bookmarkStart w:id="308" w:name="_Toc300934945"/>
      <w:bookmarkStart w:id="309" w:name="_Toc297120459"/>
      <w:bookmarkStart w:id="310" w:name="_Toc292559869"/>
      <w:bookmarkStart w:id="311" w:name="_Toc304295523"/>
      <w:bookmarkStart w:id="312" w:name="_Toc296890987"/>
      <w:r>
        <w:rPr>
          <w:rFonts w:hint="eastAsia" w:ascii="宋体" w:hAnsi="宋体" w:eastAsia="宋体" w:cs="宋体"/>
          <w:color w:val="auto"/>
          <w:highlight w:val="none"/>
        </w:rPr>
        <w:t>.5 分包</w:t>
      </w:r>
      <w:bookmarkEnd w:id="290"/>
      <w:bookmarkEnd w:id="291"/>
      <w:bookmarkEnd w:id="292"/>
      <w:bookmarkEnd w:id="293"/>
      <w:bookmarkEnd w:id="294"/>
      <w:bookmarkEnd w:id="295"/>
      <w:bookmarkEnd w:id="296"/>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14:paraId="1876C9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bookmarkStart w:id="313" w:name="_Toc296944499"/>
      <w:bookmarkStart w:id="314" w:name="_Toc296347159"/>
      <w:bookmarkStart w:id="315" w:name="_Toc296890988"/>
      <w:bookmarkStart w:id="316" w:name="_Toc297123493"/>
      <w:bookmarkStart w:id="317" w:name="_Toc297216152"/>
      <w:bookmarkStart w:id="318" w:name="_Toc297048346"/>
      <w:bookmarkStart w:id="319" w:name="_Toc300934946"/>
      <w:bookmarkStart w:id="320" w:name="_Toc292559365"/>
      <w:bookmarkStart w:id="321" w:name="_Toc296503160"/>
      <w:bookmarkStart w:id="322" w:name="_Toc292559870"/>
      <w:bookmarkStart w:id="323" w:name="_Toc304295524"/>
      <w:bookmarkStart w:id="324" w:name="_Toc318581158"/>
      <w:bookmarkStart w:id="325" w:name="_Toc296891200"/>
      <w:bookmarkStart w:id="326" w:name="_Toc296346661"/>
      <w:bookmarkStart w:id="327" w:name="_Toc312677989"/>
      <w:bookmarkStart w:id="328" w:name="_Toc297120460"/>
      <w:bookmarkStart w:id="329" w:name="_Toc303539103"/>
      <w:r>
        <w:rPr>
          <w:rFonts w:hint="eastAsia" w:ascii="宋体" w:hAnsi="宋体" w:eastAsia="宋体" w:cs="宋体"/>
          <w:color w:val="auto"/>
          <w:highlight w:val="none"/>
        </w:rPr>
        <w:t>.5.1 分包的一般约定</w:t>
      </w:r>
    </w:p>
    <w:p w14:paraId="3CD38E2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本工程禁止分包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77495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主体结构、关键性工作的范围：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CF40AB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w:t>
      </w:r>
      <w:bookmarkStart w:id="330" w:name="_Toc312677990"/>
      <w:bookmarkStart w:id="331" w:name="_Toc318581159"/>
      <w:r>
        <w:rPr>
          <w:rFonts w:hint="eastAsia" w:ascii="宋体" w:hAnsi="宋体" w:eastAsia="宋体" w:cs="宋体"/>
          <w:color w:val="auto"/>
          <w:highlight w:val="none"/>
        </w:rPr>
        <w:t>.5.2 分包的确定</w:t>
      </w:r>
    </w:p>
    <w:p w14:paraId="701DD276">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5D4E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其他关于分包的约定：</w:t>
      </w:r>
    </w:p>
    <w:p w14:paraId="4D1A2B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2E2ADD2D">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14:paraId="609053E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4ECCD35D">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（4）承包人有以下情况之一者，发包人有权解除合同，并视情况扣除其履约保证金：</w:t>
      </w:r>
    </w:p>
    <w:p w14:paraId="1616DF6F">
      <w:pPr>
        <w:pStyle w:val="29"/>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①个人承包工程，包括本人单位及外单位人员承包，发包人不承认其个人拥有任何资质等级及营业许可资格。没收全部履约保证金。</w:t>
      </w:r>
    </w:p>
    <w:p w14:paraId="230A943A">
      <w:pPr>
        <w:pStyle w:val="29"/>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②几个人联合承包工程，就地组织暗分包队伍，不具备完成本工程的技术、机械能力，被发包人判定为没有能力履行的承包人。没收全部履约保证金。</w:t>
      </w:r>
    </w:p>
    <w:p w14:paraId="0F1D6108">
      <w:pPr>
        <w:pStyle w:val="29"/>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③就地转包全部的工程，以谋取高额转让费、管理费的承包人。没收全部履约保证金。</w:t>
      </w:r>
    </w:p>
    <w:p w14:paraId="47C85708">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5EF15B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bookmarkEnd w:id="330"/>
    <w:bookmarkEnd w:id="331"/>
    <w:p w14:paraId="114EB1F8">
      <w:pPr>
        <w:spacing w:line="360" w:lineRule="auto"/>
        <w:ind w:firstLine="420" w:firstLineChars="200"/>
        <w:rPr>
          <w:rFonts w:hint="eastAsia" w:ascii="宋体" w:hAnsi="宋体" w:eastAsia="宋体" w:cs="宋体"/>
          <w:color w:val="auto"/>
          <w:highlight w:val="none"/>
        </w:rPr>
      </w:pPr>
      <w:bookmarkStart w:id="332" w:name="_Toc373478358"/>
      <w:bookmarkStart w:id="333" w:name="_Toc373227711"/>
      <w:bookmarkStart w:id="334" w:name="_Toc389065277"/>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2E37896">
      <w:pPr>
        <w:pStyle w:val="7"/>
        <w:spacing w:line="360" w:lineRule="auto"/>
        <w:rPr>
          <w:rFonts w:hint="eastAsia" w:ascii="宋体" w:hAnsi="宋体" w:eastAsia="宋体" w:cs="宋体"/>
          <w:color w:val="auto"/>
          <w:highlight w:val="none"/>
        </w:rPr>
      </w:pPr>
      <w:bookmarkStart w:id="335" w:name="_Toc78449799"/>
      <w:bookmarkStart w:id="336" w:name="_Toc57329529"/>
      <w:bookmarkStart w:id="337" w:name="_Toc101808609"/>
      <w:bookmarkStart w:id="338" w:name="_Toc407135213"/>
      <w:r>
        <w:rPr>
          <w:rFonts w:hint="eastAsia" w:ascii="宋体" w:hAnsi="宋体" w:eastAsia="宋体" w:cs="宋体"/>
          <w:color w:val="auto"/>
          <w:highlight w:val="none"/>
        </w:rPr>
        <w:t>3.6 工程照管与成品、半成品保护</w:t>
      </w:r>
      <w:bookmarkEnd w:id="332"/>
      <w:bookmarkEnd w:id="333"/>
      <w:bookmarkEnd w:id="334"/>
      <w:bookmarkEnd w:id="335"/>
      <w:bookmarkEnd w:id="336"/>
      <w:bookmarkEnd w:id="337"/>
      <w:bookmarkEnd w:id="338"/>
    </w:p>
    <w:p w14:paraId="68D8BF8B">
      <w:pPr>
        <w:spacing w:line="360" w:lineRule="auto"/>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kern w:val="0"/>
          <w:highlight w:val="none"/>
          <w:u w:val="single"/>
          <w:lang w:val="en-US" w:eastAsia="zh-CN"/>
        </w:rPr>
        <w:t>工程接收证书颁发前，承包人应负责照管和维护工程。工程接收证书颁发时尚有部分未竣工工程的，承包人还应负责该未竣工工程的照管和维护工作，直到竣工后移交给发包人为止</w:t>
      </w:r>
      <w:r>
        <w:rPr>
          <w:rFonts w:hint="eastAsia" w:ascii="宋体" w:hAnsi="宋体" w:eastAsia="宋体" w:cs="宋体"/>
          <w:color w:val="auto"/>
          <w:kern w:val="0"/>
          <w:highlight w:val="none"/>
        </w:rPr>
        <w:t>。</w:t>
      </w:r>
    </w:p>
    <w:p w14:paraId="6D5684C7">
      <w:pPr>
        <w:pStyle w:val="7"/>
        <w:spacing w:line="360" w:lineRule="auto"/>
        <w:rPr>
          <w:rFonts w:hint="eastAsia" w:ascii="宋体" w:hAnsi="宋体" w:eastAsia="宋体" w:cs="宋体"/>
          <w:color w:val="auto"/>
          <w:highlight w:val="none"/>
        </w:rPr>
      </w:pPr>
      <w:bookmarkStart w:id="339" w:name="_Toc373478359"/>
      <w:bookmarkStart w:id="340" w:name="_Toc389065278"/>
      <w:bookmarkStart w:id="341" w:name="_Toc373227712"/>
      <w:bookmarkStart w:id="342" w:name="_Toc407135214"/>
      <w:bookmarkStart w:id="343" w:name="_Toc1042049436"/>
      <w:bookmarkStart w:id="344" w:name="_Toc1649716734"/>
      <w:bookmarkStart w:id="345" w:name="_Toc78449800"/>
      <w:r>
        <w:rPr>
          <w:rFonts w:hint="eastAsia" w:ascii="宋体" w:hAnsi="宋体" w:eastAsia="宋体" w:cs="宋体"/>
          <w:color w:val="auto"/>
          <w:highlight w:val="none"/>
        </w:rPr>
        <w:t>3.7 履约</w:t>
      </w:r>
      <w:bookmarkEnd w:id="339"/>
      <w:bookmarkEnd w:id="340"/>
      <w:bookmarkEnd w:id="341"/>
      <w:r>
        <w:rPr>
          <w:rFonts w:hint="eastAsia" w:ascii="宋体" w:hAnsi="宋体" w:eastAsia="宋体" w:cs="宋体"/>
          <w:color w:val="auto"/>
          <w:highlight w:val="none"/>
        </w:rPr>
        <w:t>保证金</w:t>
      </w:r>
      <w:bookmarkEnd w:id="342"/>
      <w:bookmarkEnd w:id="343"/>
      <w:bookmarkEnd w:id="344"/>
      <w:bookmarkEnd w:id="345"/>
    </w:p>
    <w:p w14:paraId="480CFEC8">
      <w:pPr>
        <w:spacing w:line="360" w:lineRule="auto"/>
        <w:ind w:firstLine="420" w:firstLineChars="200"/>
        <w:jc w:val="left"/>
        <w:rPr>
          <w:rFonts w:hint="eastAsia" w:ascii="宋体" w:hAnsi="宋体" w:eastAsia="宋体" w:cs="宋体"/>
          <w:color w:val="auto"/>
          <w:highlight w:val="none"/>
          <w:u w:val="single"/>
        </w:rPr>
      </w:pPr>
      <w:bookmarkStart w:id="346" w:name="_Toc351203636"/>
      <w:bookmarkStart w:id="347" w:name="_Toc373227713"/>
      <w:bookmarkStart w:id="348" w:name="_Toc373478360"/>
      <w:bookmarkStart w:id="349" w:name="_Toc389065279"/>
      <w:r>
        <w:rPr>
          <w:rFonts w:hint="eastAsia" w:ascii="宋体" w:hAnsi="宋体" w:eastAsia="宋体" w:cs="宋体"/>
          <w:color w:val="auto"/>
          <w:highlight w:val="none"/>
          <w:u w:val="none"/>
        </w:rPr>
        <w:t>承包人是否提供履约担保：</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是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否。</w:t>
      </w:r>
    </w:p>
    <w:p w14:paraId="5ED53C6A">
      <w:pPr>
        <w:pStyle w:val="6"/>
        <w:spacing w:line="360" w:lineRule="auto"/>
        <w:rPr>
          <w:rFonts w:hint="eastAsia" w:ascii="宋体" w:hAnsi="宋体" w:eastAsia="宋体" w:cs="宋体"/>
          <w:color w:val="auto"/>
          <w:highlight w:val="none"/>
        </w:rPr>
      </w:pPr>
      <w:bookmarkStart w:id="350" w:name="_Toc907912356"/>
      <w:bookmarkStart w:id="351" w:name="_Toc407135215"/>
      <w:bookmarkStart w:id="352" w:name="_Toc78449801"/>
      <w:bookmarkStart w:id="353" w:name="_Toc931514330"/>
      <w:r>
        <w:rPr>
          <w:rFonts w:hint="eastAsia" w:ascii="宋体" w:hAnsi="宋体" w:eastAsia="宋体" w:cs="宋体"/>
          <w:color w:val="auto"/>
          <w:highlight w:val="none"/>
        </w:rPr>
        <w:t>4</w:t>
      </w:r>
      <w:bookmarkStart w:id="354" w:name="_Toc267251413"/>
      <w:bookmarkStart w:id="355" w:name="_Toc292559366"/>
      <w:bookmarkStart w:id="356" w:name="_Toc296944501"/>
      <w:bookmarkStart w:id="357" w:name="_Toc297048348"/>
      <w:bookmarkStart w:id="358" w:name="_Toc296891202"/>
      <w:bookmarkStart w:id="359" w:name="_Toc296347161"/>
      <w:bookmarkStart w:id="360" w:name="_Toc296346663"/>
      <w:bookmarkStart w:id="361" w:name="_Toc296890990"/>
      <w:bookmarkStart w:id="362" w:name="_Toc292559871"/>
      <w:bookmarkStart w:id="363" w:name="_Toc296503162"/>
      <w:bookmarkStart w:id="364" w:name="_Toc297120462"/>
      <w:r>
        <w:rPr>
          <w:rFonts w:hint="eastAsia" w:ascii="宋体" w:hAnsi="宋体" w:eastAsia="宋体" w:cs="宋体"/>
          <w:color w:val="auto"/>
          <w:highlight w:val="none"/>
        </w:rPr>
        <w:t>. 监</w:t>
      </w:r>
      <w:bookmarkEnd w:id="354"/>
      <w:bookmarkEnd w:id="355"/>
      <w:bookmarkEnd w:id="356"/>
      <w:bookmarkEnd w:id="357"/>
      <w:bookmarkEnd w:id="358"/>
      <w:bookmarkEnd w:id="359"/>
      <w:bookmarkEnd w:id="360"/>
      <w:bookmarkEnd w:id="361"/>
      <w:bookmarkEnd w:id="362"/>
      <w:bookmarkEnd w:id="363"/>
      <w:bookmarkEnd w:id="364"/>
      <w:r>
        <w:rPr>
          <w:rFonts w:hint="eastAsia" w:ascii="宋体" w:hAnsi="宋体" w:eastAsia="宋体" w:cs="宋体"/>
          <w:color w:val="auto"/>
          <w:highlight w:val="none"/>
        </w:rPr>
        <w:t>理人</w:t>
      </w:r>
      <w:bookmarkEnd w:id="346"/>
      <w:bookmarkEnd w:id="347"/>
      <w:bookmarkEnd w:id="348"/>
      <w:bookmarkEnd w:id="349"/>
      <w:bookmarkEnd w:id="350"/>
      <w:bookmarkEnd w:id="351"/>
      <w:bookmarkEnd w:id="352"/>
      <w:bookmarkEnd w:id="353"/>
    </w:p>
    <w:p w14:paraId="60373A9B">
      <w:pPr>
        <w:pStyle w:val="7"/>
        <w:spacing w:line="360" w:lineRule="auto"/>
        <w:rPr>
          <w:rFonts w:hint="eastAsia" w:ascii="宋体" w:hAnsi="宋体" w:eastAsia="宋体" w:cs="宋体"/>
          <w:color w:val="auto"/>
          <w:highlight w:val="none"/>
        </w:rPr>
      </w:pPr>
      <w:bookmarkStart w:id="365" w:name="_Toc1595043148"/>
      <w:bookmarkStart w:id="366" w:name="_Toc373227714"/>
      <w:bookmarkStart w:id="367" w:name="_Toc389065280"/>
      <w:bookmarkStart w:id="368" w:name="_Toc1008304989"/>
      <w:bookmarkStart w:id="369" w:name="_Toc407135216"/>
      <w:bookmarkStart w:id="370" w:name="_Toc373478361"/>
      <w:bookmarkStart w:id="371" w:name="_Toc78449802"/>
      <w:r>
        <w:rPr>
          <w:rFonts w:hint="eastAsia" w:ascii="宋体" w:hAnsi="宋体" w:eastAsia="宋体" w:cs="宋体"/>
          <w:color w:val="auto"/>
          <w:highlight w:val="none"/>
        </w:rPr>
        <w:t>4.1 监理人的一般规定</w:t>
      </w:r>
      <w:bookmarkEnd w:id="365"/>
      <w:bookmarkEnd w:id="366"/>
      <w:bookmarkEnd w:id="367"/>
      <w:bookmarkEnd w:id="368"/>
      <w:bookmarkEnd w:id="369"/>
      <w:bookmarkEnd w:id="370"/>
      <w:bookmarkEnd w:id="371"/>
    </w:p>
    <w:p w14:paraId="680BDA6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按本工程的监理合同中的有关条款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8F339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按本工程的监理合同中的有关条款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67354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highlight w:val="none"/>
          <w:u w:val="single"/>
          <w:lang w:eastAsia="zh-CN"/>
        </w:rPr>
        <w:t>承包人免费提供</w:t>
      </w:r>
      <w:r>
        <w:rPr>
          <w:rFonts w:hint="eastAsia" w:ascii="宋体" w:hAnsi="宋体" w:eastAsia="宋体" w:cs="宋体"/>
          <w:color w:val="auto"/>
          <w:highlight w:val="none"/>
        </w:rPr>
        <w:t>。</w:t>
      </w:r>
    </w:p>
    <w:p w14:paraId="2A1E6451">
      <w:pPr>
        <w:pStyle w:val="7"/>
        <w:spacing w:line="360" w:lineRule="auto"/>
        <w:rPr>
          <w:rFonts w:hint="eastAsia" w:ascii="宋体" w:hAnsi="宋体" w:eastAsia="宋体" w:cs="宋体"/>
          <w:color w:val="auto"/>
          <w:highlight w:val="none"/>
        </w:rPr>
      </w:pPr>
      <w:bookmarkStart w:id="372" w:name="_Toc1350458461"/>
      <w:bookmarkStart w:id="373" w:name="_Toc373227715"/>
      <w:bookmarkStart w:id="374" w:name="_Toc389065281"/>
      <w:bookmarkStart w:id="375" w:name="_Toc407135217"/>
      <w:bookmarkStart w:id="376" w:name="_Toc373478362"/>
      <w:bookmarkStart w:id="377" w:name="_Toc78449803"/>
      <w:bookmarkStart w:id="378" w:name="_Toc386397261"/>
      <w:r>
        <w:rPr>
          <w:rFonts w:hint="eastAsia" w:ascii="宋体" w:hAnsi="宋体" w:eastAsia="宋体" w:cs="宋体"/>
          <w:color w:val="auto"/>
          <w:highlight w:val="none"/>
        </w:rPr>
        <w:t>4.2 监理人员</w:t>
      </w:r>
      <w:bookmarkEnd w:id="372"/>
      <w:bookmarkEnd w:id="373"/>
      <w:bookmarkEnd w:id="374"/>
      <w:bookmarkEnd w:id="375"/>
      <w:bookmarkEnd w:id="376"/>
      <w:bookmarkEnd w:id="377"/>
      <w:bookmarkEnd w:id="378"/>
    </w:p>
    <w:p w14:paraId="4701AA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41178C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7670707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21C7FE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监理工程师注册证书号：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45CE83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1E883F5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2BB584F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14:paraId="39E4A660">
      <w:pPr>
        <w:keepNext w:val="0"/>
        <w:keepLines w:val="0"/>
        <w:widowControl/>
        <w:suppressLineNumbers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按监理合同执行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7DA017">
      <w:pPr>
        <w:pStyle w:val="7"/>
        <w:spacing w:line="360" w:lineRule="auto"/>
        <w:rPr>
          <w:rFonts w:hint="eastAsia" w:ascii="宋体" w:hAnsi="宋体" w:eastAsia="宋体" w:cs="宋体"/>
          <w:color w:val="auto"/>
          <w:highlight w:val="none"/>
        </w:rPr>
      </w:pPr>
      <w:bookmarkStart w:id="379" w:name="_Toc373478363"/>
      <w:bookmarkStart w:id="380" w:name="_Toc389065282"/>
      <w:bookmarkStart w:id="381" w:name="_Toc373227716"/>
      <w:bookmarkStart w:id="382" w:name="_Toc941562442"/>
      <w:bookmarkStart w:id="383" w:name="_Toc407135218"/>
      <w:bookmarkStart w:id="384" w:name="_Toc78449804"/>
      <w:bookmarkStart w:id="385" w:name="_Toc539923186"/>
      <w:r>
        <w:rPr>
          <w:rFonts w:hint="eastAsia" w:ascii="宋体" w:hAnsi="宋体" w:eastAsia="宋体" w:cs="宋体"/>
          <w:color w:val="auto"/>
          <w:highlight w:val="none"/>
        </w:rPr>
        <w:t>4.4 商定或确定</w:t>
      </w:r>
      <w:bookmarkEnd w:id="379"/>
      <w:bookmarkEnd w:id="380"/>
      <w:bookmarkEnd w:id="381"/>
      <w:bookmarkEnd w:id="382"/>
      <w:bookmarkEnd w:id="383"/>
      <w:bookmarkEnd w:id="384"/>
      <w:bookmarkEnd w:id="385"/>
    </w:p>
    <w:p w14:paraId="1E0E00EF">
      <w:pPr>
        <w:pStyle w:val="6"/>
        <w:spacing w:line="360" w:lineRule="auto"/>
        <w:ind w:firstLine="420" w:firstLineChars="200"/>
        <w:rPr>
          <w:rFonts w:hint="eastAsia" w:ascii="宋体" w:hAnsi="宋体" w:eastAsia="宋体" w:cs="宋体"/>
          <w:b w:val="0"/>
          <w:bCs w:val="0"/>
          <w:color w:val="auto"/>
          <w:kern w:val="2"/>
          <w:sz w:val="21"/>
          <w:szCs w:val="22"/>
          <w:highlight w:val="none"/>
          <w:lang w:val="en-US" w:eastAsia="zh-CN" w:bidi="ar-SA"/>
        </w:rPr>
      </w:pPr>
      <w:bookmarkStart w:id="386" w:name="_Toc267251418"/>
      <w:bookmarkStart w:id="387" w:name="_Toc351203637"/>
      <w:bookmarkStart w:id="388" w:name="_Toc389065283"/>
      <w:bookmarkStart w:id="389" w:name="_Toc1687297496"/>
      <w:bookmarkStart w:id="390" w:name="_Toc1603077308"/>
      <w:bookmarkStart w:id="391" w:name="_Toc407135219"/>
      <w:bookmarkStart w:id="392" w:name="_Toc373227717"/>
      <w:bookmarkStart w:id="393" w:name="_Toc78449805"/>
      <w:bookmarkStart w:id="394" w:name="_Toc373478364"/>
      <w:r>
        <w:rPr>
          <w:rFonts w:hint="eastAsia" w:ascii="宋体" w:hAnsi="宋体" w:eastAsia="宋体" w:cs="宋体"/>
          <w:b w:val="0"/>
          <w:bCs w:val="0"/>
          <w:color w:val="auto"/>
          <w:kern w:val="2"/>
          <w:sz w:val="21"/>
          <w:szCs w:val="22"/>
          <w:highlight w:val="none"/>
          <w:lang w:val="en-US" w:eastAsia="zh-CN" w:bidi="ar-SA"/>
        </w:rPr>
        <w:t>在发包人和承包人不能通过协商达成一致意见时，发包人授权监理人对以下事项进行确定：按本工程的监理合同相关条款执行。</w:t>
      </w:r>
    </w:p>
    <w:p w14:paraId="05CF4769">
      <w:pPr>
        <w:pStyle w:val="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w:t>
      </w:r>
      <w:bookmarkEnd w:id="386"/>
      <w:bookmarkStart w:id="395" w:name="_Toc296346664"/>
      <w:bookmarkStart w:id="396" w:name="_Toc297120463"/>
      <w:bookmarkStart w:id="397" w:name="_Toc297048349"/>
      <w:bookmarkStart w:id="398" w:name="_Toc292559367"/>
      <w:bookmarkStart w:id="399" w:name="_Toc292559872"/>
      <w:bookmarkStart w:id="400" w:name="_Toc296890991"/>
      <w:bookmarkStart w:id="401" w:name="_Toc296891203"/>
      <w:bookmarkStart w:id="402" w:name="_Toc296503163"/>
      <w:bookmarkStart w:id="403" w:name="_Toc296944502"/>
      <w:bookmarkStart w:id="404" w:name="_Toc296347162"/>
      <w:r>
        <w:rPr>
          <w:rFonts w:hint="eastAsia" w:ascii="宋体" w:hAnsi="宋体" w:eastAsia="宋体" w:cs="宋体"/>
          <w:color w:val="auto"/>
          <w:highlight w:val="none"/>
        </w:rPr>
        <w:t>. 工程质量</w:t>
      </w:r>
      <w:bookmarkEnd w:id="387"/>
      <w:bookmarkEnd w:id="388"/>
      <w:bookmarkEnd w:id="389"/>
      <w:bookmarkEnd w:id="390"/>
      <w:bookmarkEnd w:id="391"/>
      <w:bookmarkEnd w:id="392"/>
      <w:bookmarkEnd w:id="393"/>
      <w:bookmarkEnd w:id="394"/>
    </w:p>
    <w:p w14:paraId="22F697A8">
      <w:pPr>
        <w:pStyle w:val="7"/>
        <w:spacing w:line="360" w:lineRule="auto"/>
        <w:rPr>
          <w:rFonts w:hint="eastAsia" w:ascii="宋体" w:hAnsi="宋体" w:eastAsia="宋体" w:cs="宋体"/>
          <w:color w:val="auto"/>
          <w:highlight w:val="none"/>
        </w:rPr>
      </w:pPr>
      <w:bookmarkStart w:id="405" w:name="_Toc373227718"/>
      <w:bookmarkStart w:id="406" w:name="_Toc1835421345"/>
      <w:bookmarkStart w:id="407" w:name="_Toc407135220"/>
      <w:bookmarkStart w:id="408" w:name="_Toc78449806"/>
      <w:bookmarkStart w:id="409" w:name="_Toc389065284"/>
      <w:bookmarkStart w:id="410" w:name="_Toc1952042622"/>
      <w:bookmarkStart w:id="411" w:name="_Toc373478365"/>
      <w:r>
        <w:rPr>
          <w:rFonts w:hint="eastAsia" w:ascii="宋体" w:hAnsi="宋体" w:eastAsia="宋体" w:cs="宋体"/>
          <w:color w:val="auto"/>
          <w:highlight w:val="none"/>
        </w:rPr>
        <w:t>5.1 质量要求</w:t>
      </w:r>
      <w:bookmarkEnd w:id="405"/>
      <w:bookmarkEnd w:id="406"/>
      <w:bookmarkEnd w:id="407"/>
      <w:bookmarkEnd w:id="408"/>
      <w:bookmarkEnd w:id="409"/>
      <w:bookmarkEnd w:id="410"/>
      <w:bookmarkEnd w:id="411"/>
    </w:p>
    <w:p w14:paraId="5974A917">
      <w:pPr>
        <w:spacing w:line="360" w:lineRule="auto"/>
        <w:ind w:firstLine="420" w:firstLineChars="200"/>
        <w:jc w:val="left"/>
        <w:rPr>
          <w:rFonts w:hint="eastAsia" w:ascii="宋体" w:hAnsi="宋体" w:eastAsia="宋体" w:cs="宋体"/>
          <w:color w:val="auto"/>
          <w:highlight w:val="none"/>
        </w:rPr>
      </w:pPr>
      <w:bookmarkStart w:id="412" w:name="_Toc297123496"/>
      <w:bookmarkStart w:id="413" w:name="_Toc300934949"/>
      <w:bookmarkStart w:id="414" w:name="_Toc304295527"/>
      <w:bookmarkStart w:id="415" w:name="_Toc297216155"/>
      <w:bookmarkStart w:id="416" w:name="_Toc303539106"/>
      <w:bookmarkStart w:id="417" w:name="_Toc318581164"/>
      <w:bookmarkStart w:id="418" w:name="_Toc312677997"/>
      <w:r>
        <w:rPr>
          <w:rFonts w:hint="eastAsia" w:ascii="宋体" w:hAnsi="宋体" w:eastAsia="宋体" w:cs="宋体"/>
          <w:color w:val="auto"/>
          <w:highlight w:val="none"/>
        </w:rPr>
        <w:t>5.1.1 特殊质量标准和要求：</w:t>
      </w:r>
      <w:r>
        <w:rPr>
          <w:rFonts w:hint="eastAsia" w:ascii="宋体" w:hAnsi="宋体" w:eastAsia="宋体" w:cs="宋体"/>
          <w:color w:val="auto"/>
          <w:highlight w:val="none"/>
          <w:u w:val="single"/>
        </w:rPr>
        <w:t>工程质量符合国家或专业的质量检验评定合格标准。乙方应按现行的国家施工验收规范和质量评定合格标准施工</w:t>
      </w:r>
      <w:r>
        <w:rPr>
          <w:rFonts w:hint="eastAsia" w:ascii="宋体" w:hAnsi="宋体" w:eastAsia="宋体" w:cs="宋体"/>
          <w:color w:val="auto"/>
          <w:highlight w:val="none"/>
        </w:rPr>
        <w:t>。</w:t>
      </w:r>
    </w:p>
    <w:p w14:paraId="41FB682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关于工程奖项的约定： 如果工程获得</w:t>
      </w:r>
      <w:r>
        <w:rPr>
          <w:rFonts w:hint="eastAsia" w:ascii="宋体" w:hAnsi="宋体" w:eastAsia="宋体" w:cs="宋体"/>
          <w:color w:val="auto"/>
          <w:highlight w:val="none"/>
          <w:u w:val="single"/>
        </w:rPr>
        <w:t xml:space="preserve">       /      （奖项名称）</w:t>
      </w:r>
      <w:r>
        <w:rPr>
          <w:rFonts w:hint="eastAsia" w:ascii="宋体" w:hAnsi="宋体" w:eastAsia="宋体" w:cs="宋体"/>
          <w:color w:val="auto"/>
          <w:highlight w:val="none"/>
        </w:rPr>
        <w:t xml:space="preserve">，给予承包人合同价  </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%的奖励。（建设单位创建优质工程的，鼓励在招标控制价和预算中按我区工程建设定额规定计列工程优质费，并在招标文件中明确工程优质费不可竞争。）</w:t>
      </w:r>
    </w:p>
    <w:p w14:paraId="54CF976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39CD2351">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5ABEA7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78F9129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729847CE">
      <w:pPr>
        <w:pStyle w:val="6"/>
        <w:spacing w:line="360" w:lineRule="auto"/>
        <w:rPr>
          <w:rFonts w:hint="eastAsia" w:ascii="宋体" w:hAnsi="宋体" w:eastAsia="宋体" w:cs="宋体"/>
          <w:color w:val="auto"/>
          <w:highlight w:val="none"/>
        </w:rPr>
      </w:pPr>
      <w:bookmarkStart w:id="419" w:name="_Toc351203638"/>
      <w:bookmarkStart w:id="420" w:name="_Toc407135221"/>
      <w:bookmarkStart w:id="421" w:name="_Toc389065285"/>
      <w:bookmarkStart w:id="422" w:name="_Toc78449807"/>
      <w:bookmarkStart w:id="423" w:name="_Toc373478366"/>
      <w:bookmarkStart w:id="424" w:name="_Toc1259019817"/>
      <w:bookmarkStart w:id="425" w:name="_Toc703841976"/>
      <w:bookmarkStart w:id="426" w:name="_Toc373227719"/>
      <w:r>
        <w:rPr>
          <w:rFonts w:hint="eastAsia" w:ascii="宋体" w:hAnsi="宋体" w:eastAsia="宋体" w:cs="宋体"/>
          <w:color w:val="auto"/>
          <w:highlight w:val="none"/>
        </w:rPr>
        <w:t>6. 安全文明施工与环境保护</w:t>
      </w:r>
      <w:bookmarkEnd w:id="419"/>
      <w:bookmarkEnd w:id="420"/>
      <w:bookmarkEnd w:id="421"/>
      <w:bookmarkEnd w:id="422"/>
      <w:bookmarkEnd w:id="423"/>
      <w:bookmarkEnd w:id="424"/>
      <w:bookmarkEnd w:id="425"/>
      <w:bookmarkEnd w:id="426"/>
    </w:p>
    <w:p w14:paraId="1061440A">
      <w:pPr>
        <w:pStyle w:val="7"/>
        <w:spacing w:line="360" w:lineRule="auto"/>
        <w:rPr>
          <w:rFonts w:hint="eastAsia" w:ascii="宋体" w:hAnsi="宋体" w:eastAsia="宋体" w:cs="宋体"/>
          <w:color w:val="auto"/>
          <w:highlight w:val="none"/>
        </w:rPr>
      </w:pPr>
      <w:bookmarkStart w:id="427" w:name="_Toc78449808"/>
      <w:bookmarkStart w:id="428" w:name="_Toc180514231"/>
      <w:bookmarkStart w:id="429" w:name="_Toc373227720"/>
      <w:bookmarkStart w:id="430" w:name="_Toc407135222"/>
      <w:bookmarkStart w:id="431" w:name="_Toc373478367"/>
      <w:bookmarkStart w:id="432" w:name="_Toc389065286"/>
      <w:bookmarkStart w:id="433" w:name="_Toc1296292062"/>
      <w:r>
        <w:rPr>
          <w:rFonts w:hint="eastAsia" w:ascii="宋体" w:hAnsi="宋体" w:eastAsia="宋体" w:cs="宋体"/>
          <w:color w:val="auto"/>
          <w:highlight w:val="none"/>
        </w:rPr>
        <w:t>6.1 安全文明施工</w:t>
      </w:r>
      <w:bookmarkEnd w:id="427"/>
      <w:bookmarkEnd w:id="428"/>
      <w:bookmarkEnd w:id="429"/>
      <w:bookmarkEnd w:id="430"/>
      <w:bookmarkEnd w:id="431"/>
      <w:bookmarkEnd w:id="432"/>
      <w:bookmarkEnd w:id="433"/>
    </w:p>
    <w:p w14:paraId="046B7349">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highlight w:val="none"/>
          <w:u w:val="single"/>
        </w:rPr>
        <w:t>合同履行期间，合同当事人均应当遵守国家和工程所在地有关安全生产的要求。</w:t>
      </w:r>
    </w:p>
    <w:p w14:paraId="4900C38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关于安全文明施工奖项的约定：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0EAD80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6.1.4 关于治安保卫的特别约定：承包人应承担施工安全保卫工作及非夜间施工照明的责任，承包人应采取一切合理的预防措施，防止人员伤亡、财产损失事故，费用由承包人承担。承包人生活设施及施工场应自费配备消防设备，防止火灾发生。</w:t>
      </w:r>
    </w:p>
    <w:p w14:paraId="3369099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关于编制施工场地治安管理计划的约定：承包人应在工程开工后7天内编制施工场地治安管理计划，并制定应对突发治安事件的紧急预案。报发包人审批后，共同执行。</w:t>
      </w:r>
    </w:p>
    <w:p w14:paraId="3D8A433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14:paraId="5CBCE74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highlight w:val="none"/>
          <w:u w:val="single"/>
        </w:rPr>
        <w:t xml:space="preserve">达到《建筑施工现场环境与卫生标准》（JGJ146-2004）和柳州市政府部门相关文件要求 </w:t>
      </w:r>
      <w:r>
        <w:rPr>
          <w:rFonts w:hint="eastAsia" w:ascii="宋体" w:hAnsi="宋体" w:eastAsia="宋体" w:cs="宋体"/>
          <w:color w:val="auto"/>
          <w:highlight w:val="none"/>
        </w:rPr>
        <w:t>。</w:t>
      </w:r>
    </w:p>
    <w:p w14:paraId="555FF2B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6.1.6</w:t>
      </w:r>
      <w:r>
        <w:rPr>
          <w:rFonts w:hint="eastAsia" w:ascii="宋体" w:hAnsi="宋体" w:eastAsia="宋体" w:cs="宋体"/>
          <w:color w:val="auto"/>
          <w:kern w:val="0"/>
          <w:highlight w:val="none"/>
        </w:rPr>
        <w:t>关于安全生产费总额、支付比例、支付期限、转入和结余收回的约定：</w:t>
      </w:r>
    </w:p>
    <w:p w14:paraId="49919572">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（1）本合同价款已包含安全文明施工费</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w:t>
      </w:r>
    </w:p>
    <w:p w14:paraId="4CB03F3C">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（2）使用要求：专款专用。具体按</w:t>
      </w:r>
      <w:r>
        <w:rPr>
          <w:rFonts w:hint="eastAsia" w:ascii="宋体" w:hAnsi="宋体" w:eastAsia="宋体" w:cs="宋体"/>
          <w:color w:val="auto"/>
          <w:kern w:val="0"/>
          <w:highlight w:val="none"/>
          <w:u w:val="single"/>
        </w:rPr>
        <w:t>《广西壮族自治区建设工程安全文明施工费使用管理细则》（桂建质〔</w:t>
      </w:r>
      <w:r>
        <w:rPr>
          <w:rFonts w:hint="eastAsia" w:ascii="宋体" w:hAnsi="宋体" w:eastAsia="宋体" w:cs="宋体"/>
          <w:color w:val="auto"/>
          <w:kern w:val="0"/>
          <w:highlight w:val="none"/>
          <w:u w:val="single"/>
          <w:lang w:val="en-US" w:eastAsia="zh-CN"/>
        </w:rPr>
        <w:t>2021</w:t>
      </w:r>
      <w:r>
        <w:rPr>
          <w:rFonts w:hint="eastAsia" w:ascii="宋体" w:hAnsi="宋体" w:eastAsia="宋体" w:cs="宋体"/>
          <w:color w:val="auto"/>
          <w:kern w:val="0"/>
          <w:highlight w:val="none"/>
          <w:u w:val="single"/>
        </w:rPr>
        <w:t>〕16号）</w:t>
      </w:r>
      <w:r>
        <w:rPr>
          <w:rFonts w:hint="eastAsia" w:ascii="宋体" w:hAnsi="宋体" w:eastAsia="宋体" w:cs="宋体"/>
          <w:color w:val="auto"/>
          <w:kern w:val="0"/>
          <w:highlight w:val="none"/>
          <w:u w:val="none"/>
          <w:lang w:val="en-US" w:eastAsia="zh-CN"/>
        </w:rPr>
        <w:t>和</w:t>
      </w:r>
      <w:r>
        <w:rPr>
          <w:rFonts w:hint="eastAsia" w:ascii="宋体" w:hAnsi="宋体" w:eastAsia="宋体" w:cs="宋体"/>
          <w:color w:val="auto"/>
          <w:kern w:val="0"/>
          <w:highlight w:val="none"/>
          <w:u w:val="single"/>
          <w:lang w:val="en-US" w:eastAsia="zh-CN"/>
        </w:rPr>
        <w:t>柳州市</w:t>
      </w:r>
      <w:r>
        <w:rPr>
          <w:rFonts w:hint="eastAsia" w:ascii="宋体" w:hAnsi="宋体" w:eastAsia="宋体" w:cs="宋体"/>
          <w:color w:val="auto"/>
          <w:kern w:val="0"/>
          <w:highlight w:val="none"/>
        </w:rPr>
        <w:t>相关规定执行。</w:t>
      </w:r>
    </w:p>
    <w:p w14:paraId="243BD74D">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（3）支付约定：</w:t>
      </w:r>
      <w:r>
        <w:rPr>
          <w:rFonts w:hint="eastAsia" w:ascii="宋体" w:hAnsi="宋体" w:eastAsia="宋体" w:cs="宋体"/>
          <w:color w:val="auto"/>
          <w:kern w:val="0"/>
          <w:highlight w:val="none"/>
          <w:lang w:val="en-US" w:eastAsia="zh-CN"/>
        </w:rPr>
        <w:t>与进度款同期支付</w:t>
      </w:r>
      <w:r>
        <w:rPr>
          <w:rFonts w:hint="eastAsia" w:ascii="宋体" w:hAnsi="宋体" w:eastAsia="宋体" w:cs="宋体"/>
          <w:color w:val="auto"/>
          <w:kern w:val="0"/>
          <w:highlight w:val="none"/>
        </w:rPr>
        <w:t>。               。</w:t>
      </w:r>
    </w:p>
    <w:p w14:paraId="1B7D2C85">
      <w:pPr>
        <w:pStyle w:val="7"/>
        <w:spacing w:line="360" w:lineRule="auto"/>
        <w:rPr>
          <w:rFonts w:hint="eastAsia" w:ascii="宋体" w:hAnsi="宋体" w:eastAsia="宋体" w:cs="宋体"/>
          <w:color w:val="auto"/>
          <w:highlight w:val="none"/>
        </w:rPr>
      </w:pPr>
      <w:bookmarkStart w:id="434" w:name="_Toc373478368"/>
      <w:bookmarkStart w:id="435" w:name="_Toc389065287"/>
      <w:bookmarkStart w:id="436" w:name="_Toc1922268668"/>
      <w:bookmarkStart w:id="437" w:name="_Toc1519050792"/>
      <w:bookmarkStart w:id="438" w:name="_Toc78449809"/>
      <w:bookmarkStart w:id="439" w:name="_Toc373227721"/>
      <w:bookmarkStart w:id="440" w:name="_Toc407135223"/>
      <w:r>
        <w:rPr>
          <w:rFonts w:hint="eastAsia" w:ascii="宋体" w:hAnsi="宋体" w:eastAsia="宋体" w:cs="宋体"/>
          <w:color w:val="auto"/>
          <w:highlight w:val="none"/>
        </w:rPr>
        <w:t>6.3 环境保护</w:t>
      </w:r>
      <w:bookmarkEnd w:id="434"/>
      <w:bookmarkEnd w:id="435"/>
      <w:bookmarkEnd w:id="436"/>
      <w:bookmarkEnd w:id="437"/>
      <w:bookmarkEnd w:id="438"/>
      <w:bookmarkEnd w:id="439"/>
      <w:bookmarkEnd w:id="440"/>
    </w:p>
    <w:p w14:paraId="5BCEF3D5">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因施工需要，经发包人批准，由承包人办理有关施工场地交通、环卫和施工噪音管理等手续，费用由承包人负责。</w:t>
      </w:r>
    </w:p>
    <w:p w14:paraId="74CAAB97">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经过城市道路的施工车辆，必须按交警、城管、运输等部门相关规定执行。由于施工车辆造成的道路、环境等污染，其责任和费用均由承包人承担。</w:t>
      </w:r>
      <w:bookmarkEnd w:id="412"/>
      <w:bookmarkEnd w:id="413"/>
      <w:bookmarkEnd w:id="414"/>
      <w:bookmarkEnd w:id="415"/>
      <w:bookmarkEnd w:id="416"/>
      <w:bookmarkEnd w:id="417"/>
      <w:bookmarkEnd w:id="418"/>
      <w:bookmarkStart w:id="441" w:name="_Toc389065288"/>
      <w:bookmarkStart w:id="442" w:name="_Toc351203639"/>
      <w:bookmarkStart w:id="443" w:name="_Toc78449810"/>
      <w:bookmarkStart w:id="444" w:name="_Toc407135224"/>
      <w:bookmarkStart w:id="445" w:name="_Toc373227722"/>
      <w:bookmarkStart w:id="446" w:name="_Toc373478369"/>
      <w:bookmarkStart w:id="447" w:name="_Toc1408286886"/>
      <w:bookmarkStart w:id="448" w:name="_Toc315674767"/>
    </w:p>
    <w:p w14:paraId="5CF9F2E1">
      <w:pPr>
        <w:pStyle w:val="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 工期和进度</w:t>
      </w:r>
      <w:bookmarkEnd w:id="441"/>
      <w:bookmarkEnd w:id="442"/>
      <w:bookmarkEnd w:id="443"/>
      <w:bookmarkEnd w:id="444"/>
      <w:bookmarkEnd w:id="445"/>
      <w:bookmarkEnd w:id="446"/>
      <w:bookmarkEnd w:id="447"/>
      <w:bookmarkEnd w:id="448"/>
    </w:p>
    <w:p w14:paraId="1D0422D9">
      <w:pPr>
        <w:pStyle w:val="6"/>
        <w:spacing w:line="360" w:lineRule="auto"/>
        <w:rPr>
          <w:rFonts w:hint="eastAsia" w:ascii="宋体" w:hAnsi="宋体" w:eastAsia="宋体" w:cs="宋体"/>
          <w:color w:val="auto"/>
          <w:highlight w:val="none"/>
        </w:rPr>
      </w:pPr>
      <w:bookmarkStart w:id="449" w:name="_Toc1194482517"/>
      <w:bookmarkStart w:id="450" w:name="_Toc389065289"/>
      <w:bookmarkStart w:id="451" w:name="_Toc407135225"/>
      <w:bookmarkStart w:id="452" w:name="_Toc373227723"/>
      <w:bookmarkStart w:id="453" w:name="_Toc373478370"/>
      <w:bookmarkStart w:id="454" w:name="_Toc664905709"/>
      <w:bookmarkStart w:id="455" w:name="_Toc78449811"/>
      <w:r>
        <w:rPr>
          <w:rFonts w:hint="eastAsia" w:ascii="宋体" w:hAnsi="宋体" w:eastAsia="宋体" w:cs="宋体"/>
          <w:color w:val="auto"/>
          <w:highlight w:val="none"/>
        </w:rPr>
        <w:t>7.1 施工组织设计</w:t>
      </w:r>
      <w:bookmarkEnd w:id="449"/>
      <w:bookmarkEnd w:id="450"/>
      <w:bookmarkEnd w:id="451"/>
      <w:bookmarkEnd w:id="452"/>
      <w:bookmarkEnd w:id="453"/>
      <w:bookmarkEnd w:id="454"/>
      <w:bookmarkEnd w:id="455"/>
    </w:p>
    <w:p w14:paraId="27193858">
      <w:pPr>
        <w:pStyle w:val="6"/>
        <w:spacing w:line="360" w:lineRule="auto"/>
        <w:ind w:firstLine="420" w:firstLineChars="200"/>
        <w:rPr>
          <w:rFonts w:hint="eastAsia" w:ascii="宋体" w:hAnsi="宋体" w:eastAsia="宋体" w:cs="宋体"/>
          <w:b w:val="0"/>
          <w:bCs w:val="0"/>
          <w:color w:val="auto"/>
          <w:kern w:val="2"/>
          <w:sz w:val="21"/>
          <w:szCs w:val="22"/>
          <w:highlight w:val="none"/>
          <w:u w:val="single"/>
          <w:lang w:val="en-US" w:eastAsia="zh-CN" w:bidi="ar-SA"/>
        </w:rPr>
      </w:pPr>
      <w:bookmarkStart w:id="456" w:name="_Toc1393005721"/>
      <w:bookmarkStart w:id="457" w:name="_Toc78449812"/>
      <w:bookmarkStart w:id="458" w:name="_Toc407135226"/>
      <w:bookmarkStart w:id="459" w:name="_Toc373227724"/>
      <w:bookmarkStart w:id="460" w:name="_Toc1674747833"/>
      <w:bookmarkStart w:id="461" w:name="_Toc373478371"/>
      <w:bookmarkStart w:id="462" w:name="_Toc389065290"/>
      <w:r>
        <w:rPr>
          <w:rFonts w:hint="eastAsia" w:ascii="宋体" w:hAnsi="宋体" w:eastAsia="宋体" w:cs="宋体"/>
          <w:b w:val="0"/>
          <w:bCs w:val="0"/>
          <w:color w:val="auto"/>
          <w:kern w:val="2"/>
          <w:sz w:val="21"/>
          <w:szCs w:val="22"/>
          <w:highlight w:val="none"/>
          <w:lang w:val="en-US" w:eastAsia="zh-CN" w:bidi="ar-SA"/>
        </w:rPr>
        <w:t>7.1.1 合同当事人约定的施工组织设计应包括的其他内容：</w:t>
      </w:r>
      <w:r>
        <w:rPr>
          <w:rFonts w:hint="eastAsia" w:ascii="宋体" w:hAnsi="宋体" w:eastAsia="宋体" w:cs="宋体"/>
          <w:b w:val="0"/>
          <w:bCs w:val="0"/>
          <w:color w:val="auto"/>
          <w:kern w:val="2"/>
          <w:sz w:val="21"/>
          <w:szCs w:val="22"/>
          <w:highlight w:val="none"/>
          <w:u w:val="single"/>
          <w:lang w:val="en-US" w:eastAsia="zh-CN" w:bidi="ar-SA"/>
        </w:rPr>
        <w:t>按招标文件约定，招标文件无约定的按通用条款或双方另行约定。</w:t>
      </w:r>
    </w:p>
    <w:p w14:paraId="55FDCD35">
      <w:pPr>
        <w:pStyle w:val="5"/>
        <w:spacing w:line="360" w:lineRule="auto"/>
        <w:ind w:firstLine="420" w:firstLineChars="20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7.1.2 施工组织设计的提交和修改</w:t>
      </w:r>
    </w:p>
    <w:p w14:paraId="3385F3FA">
      <w:pPr>
        <w:pStyle w:val="5"/>
        <w:spacing w:line="360" w:lineRule="auto"/>
        <w:ind w:firstLine="420" w:firstLineChars="20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承包人提交详细施工组织设计的期限的约定：</w:t>
      </w:r>
      <w:r>
        <w:rPr>
          <w:rFonts w:hint="eastAsia" w:ascii="宋体" w:hAnsi="宋体" w:eastAsia="宋体" w:cs="宋体"/>
          <w:b w:val="0"/>
          <w:bCs w:val="0"/>
          <w:color w:val="auto"/>
          <w:kern w:val="2"/>
          <w:sz w:val="21"/>
          <w:szCs w:val="22"/>
          <w:highlight w:val="none"/>
          <w:u w:val="single"/>
          <w:lang w:val="en-US" w:eastAsia="zh-CN" w:bidi="ar-SA"/>
        </w:rPr>
        <w:t>合同签订之日起14天内。</w:t>
      </w:r>
    </w:p>
    <w:p w14:paraId="6D40EBA7">
      <w:pPr>
        <w:pStyle w:val="5"/>
        <w:spacing w:line="360" w:lineRule="auto"/>
        <w:ind w:firstLine="420" w:firstLineChars="200"/>
        <w:rPr>
          <w:rFonts w:hint="eastAsia" w:ascii="宋体" w:hAnsi="宋体" w:eastAsia="宋体" w:cs="宋体"/>
          <w:b w:val="0"/>
          <w:bCs w:val="0"/>
          <w:color w:val="auto"/>
          <w:kern w:val="2"/>
          <w:sz w:val="21"/>
          <w:szCs w:val="22"/>
          <w:highlight w:val="none"/>
          <w:u w:val="single"/>
          <w:lang w:val="en-US" w:eastAsia="zh-CN" w:bidi="ar-SA"/>
        </w:rPr>
      </w:pPr>
      <w:r>
        <w:rPr>
          <w:rFonts w:hint="eastAsia" w:ascii="宋体" w:hAnsi="宋体" w:eastAsia="宋体" w:cs="宋体"/>
          <w:b w:val="0"/>
          <w:bCs w:val="0"/>
          <w:color w:val="auto"/>
          <w:kern w:val="2"/>
          <w:sz w:val="21"/>
          <w:szCs w:val="22"/>
          <w:highlight w:val="none"/>
          <w:lang w:val="en-US" w:eastAsia="zh-CN" w:bidi="ar-SA"/>
        </w:rPr>
        <w:t>发包人和监理人在收到详细的施工组织设计后确认或提出修改意见的期限：</w:t>
      </w:r>
      <w:r>
        <w:rPr>
          <w:rFonts w:hint="eastAsia" w:ascii="宋体" w:hAnsi="宋体" w:eastAsia="宋体" w:cs="宋体"/>
          <w:b w:val="0"/>
          <w:bCs w:val="0"/>
          <w:color w:val="auto"/>
          <w:kern w:val="2"/>
          <w:sz w:val="21"/>
          <w:szCs w:val="22"/>
          <w:highlight w:val="none"/>
          <w:u w:val="single"/>
          <w:lang w:val="en-US" w:eastAsia="zh-CN" w:bidi="ar-SA"/>
        </w:rPr>
        <w:t>收到详细的施工组织设计之日起7天内。</w:t>
      </w:r>
    </w:p>
    <w:p w14:paraId="5658F5A1">
      <w:pPr>
        <w:pStyle w:val="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bookmarkStart w:id="463" w:name="_Toc304295541"/>
      <w:bookmarkStart w:id="464" w:name="_Toc297216173"/>
      <w:bookmarkStart w:id="465" w:name="_Toc297123514"/>
      <w:bookmarkStart w:id="466" w:name="_Toc312677479"/>
      <w:bookmarkStart w:id="467" w:name="_Toc303539123"/>
      <w:bookmarkStart w:id="468" w:name="_Toc300934966"/>
      <w:bookmarkStart w:id="469" w:name="_Toc312678005"/>
      <w:r>
        <w:rPr>
          <w:rFonts w:hint="eastAsia" w:ascii="宋体" w:hAnsi="宋体" w:eastAsia="宋体" w:cs="宋体"/>
          <w:color w:val="auto"/>
          <w:highlight w:val="none"/>
        </w:rPr>
        <w:t>.2 施工进度计划</w:t>
      </w:r>
      <w:bookmarkEnd w:id="456"/>
      <w:bookmarkEnd w:id="457"/>
      <w:bookmarkEnd w:id="458"/>
      <w:bookmarkEnd w:id="459"/>
      <w:bookmarkEnd w:id="460"/>
      <w:bookmarkEnd w:id="461"/>
      <w:bookmarkEnd w:id="462"/>
    </w:p>
    <w:p w14:paraId="6648D9D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14:paraId="6D5C59F6">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收到之后10日内，逾期不确认或提出修改意见的视为同意，进度目标和工期以业主批复的进度计划为最终目标 。 </w:t>
      </w:r>
    </w:p>
    <w:p w14:paraId="0B9005C6">
      <w:pPr>
        <w:pStyle w:val="5"/>
        <w:spacing w:line="360" w:lineRule="auto"/>
        <w:rPr>
          <w:rFonts w:hint="eastAsia" w:ascii="宋体" w:hAnsi="宋体" w:eastAsia="宋体" w:cs="宋体"/>
          <w:color w:val="auto"/>
          <w:highlight w:val="none"/>
        </w:rPr>
      </w:pPr>
      <w:bookmarkStart w:id="470" w:name="_Toc423062567"/>
      <w:bookmarkStart w:id="471" w:name="_Toc1498273563"/>
      <w:bookmarkStart w:id="472" w:name="_Toc78449813"/>
      <w:bookmarkStart w:id="473" w:name="_Toc407135227"/>
      <w:bookmarkStart w:id="474" w:name="_Toc373227725"/>
      <w:bookmarkStart w:id="475" w:name="_Toc373478372"/>
      <w:bookmarkStart w:id="476" w:name="_Toc389065291"/>
      <w:r>
        <w:rPr>
          <w:rFonts w:hint="eastAsia" w:ascii="宋体" w:hAnsi="宋体" w:eastAsia="宋体" w:cs="宋体"/>
          <w:color w:val="auto"/>
          <w:highlight w:val="none"/>
        </w:rPr>
        <w:t>7.3 开工</w:t>
      </w:r>
      <w:bookmarkEnd w:id="470"/>
      <w:bookmarkEnd w:id="471"/>
      <w:bookmarkEnd w:id="472"/>
      <w:bookmarkEnd w:id="473"/>
      <w:bookmarkEnd w:id="474"/>
      <w:bookmarkEnd w:id="475"/>
      <w:bookmarkEnd w:id="476"/>
    </w:p>
    <w:p w14:paraId="7CDECB5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39EFC452">
      <w:pPr>
        <w:spacing w:line="360" w:lineRule="auto"/>
        <w:ind w:firstLine="426"/>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按审批的施工组织设计约定的期限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2D0A809">
      <w:pPr>
        <w:spacing w:line="360" w:lineRule="auto"/>
        <w:ind w:firstLine="426"/>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highlight w:val="none"/>
          <w:u w:val="single"/>
          <w:lang w:val="en-US" w:eastAsia="zh-CN"/>
        </w:rPr>
        <w:t>开工令签发之日前7天。</w:t>
      </w:r>
    </w:p>
    <w:p w14:paraId="7EFEACBB">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highlight w:val="none"/>
          <w:u w:val="single"/>
          <w:lang w:val="en-US" w:eastAsia="zh-CN"/>
        </w:rPr>
        <w:t>开工令签发之日前7天。</w:t>
      </w:r>
    </w:p>
    <w:p w14:paraId="7488A3D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 开工通知</w:t>
      </w:r>
    </w:p>
    <w:p w14:paraId="792276F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天内发出开工通知的，承包人有权提出价格调整要求，或者解除合同。</w:t>
      </w:r>
    </w:p>
    <w:bookmarkEnd w:id="463"/>
    <w:bookmarkEnd w:id="464"/>
    <w:bookmarkEnd w:id="465"/>
    <w:bookmarkEnd w:id="466"/>
    <w:bookmarkEnd w:id="467"/>
    <w:bookmarkEnd w:id="468"/>
    <w:bookmarkEnd w:id="469"/>
    <w:p w14:paraId="65CAA285">
      <w:pPr>
        <w:pStyle w:val="5"/>
        <w:spacing w:line="360" w:lineRule="auto"/>
        <w:rPr>
          <w:rFonts w:hint="eastAsia" w:ascii="宋体" w:hAnsi="宋体" w:eastAsia="宋体" w:cs="宋体"/>
          <w:color w:val="auto"/>
          <w:highlight w:val="none"/>
        </w:rPr>
      </w:pPr>
      <w:bookmarkStart w:id="477" w:name="_Toc741356765"/>
      <w:bookmarkStart w:id="478" w:name="_Toc78449814"/>
      <w:bookmarkStart w:id="479" w:name="_Toc389065292"/>
      <w:bookmarkStart w:id="480" w:name="_Toc86855608"/>
      <w:bookmarkStart w:id="481" w:name="_Toc373478373"/>
      <w:bookmarkStart w:id="482" w:name="_Toc373227726"/>
      <w:bookmarkStart w:id="483" w:name="_Toc407135228"/>
      <w:r>
        <w:rPr>
          <w:rFonts w:hint="eastAsia" w:ascii="宋体" w:hAnsi="宋体" w:eastAsia="宋体" w:cs="宋体"/>
          <w:color w:val="auto"/>
          <w:highlight w:val="none"/>
        </w:rPr>
        <w:t>7.4 测量放线</w:t>
      </w:r>
      <w:bookmarkEnd w:id="477"/>
      <w:bookmarkEnd w:id="478"/>
      <w:bookmarkEnd w:id="479"/>
      <w:bookmarkEnd w:id="480"/>
      <w:bookmarkEnd w:id="481"/>
      <w:bookmarkEnd w:id="482"/>
      <w:bookmarkEnd w:id="483"/>
    </w:p>
    <w:p w14:paraId="00F8F4A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7.4.1发包人通过监理人向承包人提供测量基准点、基准线和水准点及其书面资料的期限：</w:t>
      </w:r>
    </w:p>
    <w:p w14:paraId="52BD8A2B">
      <w:pPr>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开工令签发前7天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9FD8FDB">
      <w:pPr>
        <w:pStyle w:val="5"/>
        <w:spacing w:line="360" w:lineRule="auto"/>
        <w:rPr>
          <w:rFonts w:hint="eastAsia" w:ascii="宋体" w:hAnsi="宋体" w:eastAsia="宋体" w:cs="宋体"/>
          <w:color w:val="auto"/>
          <w:highlight w:val="none"/>
        </w:rPr>
      </w:pPr>
      <w:bookmarkStart w:id="484" w:name="_Toc373227727"/>
      <w:bookmarkStart w:id="485" w:name="_Toc1863025072"/>
      <w:bookmarkStart w:id="486" w:name="_Toc373478374"/>
      <w:bookmarkStart w:id="487" w:name="_Toc407135229"/>
      <w:bookmarkStart w:id="488" w:name="_Toc78449815"/>
      <w:bookmarkStart w:id="489" w:name="_Toc1417437583"/>
      <w:bookmarkStart w:id="490" w:name="_Toc389065293"/>
      <w:r>
        <w:rPr>
          <w:rFonts w:hint="eastAsia" w:ascii="宋体" w:hAnsi="宋体" w:eastAsia="宋体" w:cs="宋体"/>
          <w:color w:val="auto"/>
          <w:highlight w:val="none"/>
        </w:rPr>
        <w:t>7</w:t>
      </w:r>
      <w:bookmarkStart w:id="491" w:name="_Toc303539125"/>
      <w:bookmarkStart w:id="492" w:name="_Toc312678010"/>
      <w:bookmarkStart w:id="493" w:name="_Toc312677484"/>
      <w:bookmarkStart w:id="494" w:name="_Toc297123516"/>
      <w:bookmarkStart w:id="495" w:name="_Toc297216175"/>
      <w:bookmarkStart w:id="496" w:name="_Toc300934968"/>
      <w:bookmarkStart w:id="497" w:name="_Toc304295546"/>
      <w:r>
        <w:rPr>
          <w:rFonts w:hint="eastAsia" w:ascii="宋体" w:hAnsi="宋体" w:eastAsia="宋体" w:cs="宋体"/>
          <w:color w:val="auto"/>
          <w:highlight w:val="none"/>
        </w:rPr>
        <w:t>.5 工期延误</w:t>
      </w:r>
      <w:bookmarkEnd w:id="484"/>
      <w:bookmarkEnd w:id="485"/>
      <w:bookmarkEnd w:id="486"/>
      <w:bookmarkEnd w:id="487"/>
      <w:bookmarkEnd w:id="488"/>
      <w:bookmarkEnd w:id="489"/>
      <w:bookmarkEnd w:id="490"/>
    </w:p>
    <w:bookmarkEnd w:id="491"/>
    <w:bookmarkEnd w:id="492"/>
    <w:bookmarkEnd w:id="493"/>
    <w:bookmarkEnd w:id="494"/>
    <w:bookmarkEnd w:id="495"/>
    <w:bookmarkEnd w:id="496"/>
    <w:bookmarkEnd w:id="497"/>
    <w:p w14:paraId="11BF9B8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40BF0C96">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（7）因发包人原因导致工期延误的其他情形：</w:t>
      </w:r>
      <w:r>
        <w:rPr>
          <w:rFonts w:hint="eastAsia" w:ascii="宋体" w:hAnsi="宋体" w:eastAsia="宋体" w:cs="宋体"/>
          <w:color w:val="auto"/>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highlight w:val="none"/>
        </w:rPr>
        <w:t xml:space="preserve"> 。</w:t>
      </w:r>
    </w:p>
    <w:p w14:paraId="610D1D9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w:t>
      </w:r>
      <w:bookmarkStart w:id="498" w:name="_Toc318581169"/>
      <w:bookmarkStart w:id="499" w:name="_Toc312677486"/>
      <w:bookmarkStart w:id="500" w:name="_Toc312678012"/>
      <w:bookmarkStart w:id="501" w:name="_Toc303539127"/>
      <w:bookmarkStart w:id="502" w:name="_Toc300934970"/>
      <w:bookmarkStart w:id="503" w:name="_Toc297123518"/>
      <w:bookmarkStart w:id="504" w:name="_Toc304295548"/>
      <w:bookmarkStart w:id="505" w:name="_Toc297216177"/>
      <w:r>
        <w:rPr>
          <w:rFonts w:hint="eastAsia" w:ascii="宋体" w:hAnsi="宋体" w:eastAsia="宋体" w:cs="宋体"/>
          <w:color w:val="auto"/>
          <w:highlight w:val="none"/>
        </w:rPr>
        <w:t>.5.2 因承包人原因导致工期延误</w:t>
      </w:r>
    </w:p>
    <w:bookmarkEnd w:id="498"/>
    <w:bookmarkEnd w:id="499"/>
    <w:bookmarkEnd w:id="500"/>
    <w:p w14:paraId="2E55238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双方约定经监理工程师确认，工期相应顺延的情况：</w:t>
      </w:r>
      <w:r>
        <w:rPr>
          <w:rFonts w:hint="eastAsia" w:ascii="宋体" w:hAnsi="宋体" w:eastAsia="宋体" w:cs="宋体"/>
          <w:color w:val="auto"/>
          <w:highlight w:val="none"/>
          <w:u w:val="single"/>
        </w:rPr>
        <w:t xml:space="preserve">  非承包人原因导致工期延误 </w:t>
      </w:r>
      <w:r>
        <w:rPr>
          <w:rFonts w:hint="eastAsia" w:ascii="宋体" w:hAnsi="宋体" w:eastAsia="宋体" w:cs="宋体"/>
          <w:color w:val="auto"/>
          <w:highlight w:val="none"/>
        </w:rPr>
        <w:t>。</w:t>
      </w:r>
    </w:p>
    <w:p w14:paraId="4A4256FC">
      <w:pPr>
        <w:spacing w:line="360" w:lineRule="auto"/>
        <w:ind w:firstLine="420" w:firstLineChars="200"/>
        <w:jc w:val="left"/>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因</w:t>
      </w:r>
      <w:bookmarkStart w:id="506" w:name="_Toc312678013"/>
      <w:bookmarkStart w:id="507" w:name="_Toc312677487"/>
      <w:bookmarkStart w:id="508" w:name="_Toc318581170"/>
      <w:r>
        <w:rPr>
          <w:rFonts w:hint="eastAsia" w:ascii="宋体" w:hAnsi="宋体" w:eastAsia="宋体" w:cs="宋体"/>
          <w:color w:val="auto"/>
          <w:highlight w:val="none"/>
        </w:rPr>
        <w:t>承包人原因造成工期延误，逾期竣工违约金的计算方法为：</w:t>
      </w:r>
      <w:bookmarkEnd w:id="501"/>
      <w:bookmarkEnd w:id="502"/>
      <w:bookmarkEnd w:id="503"/>
      <w:bookmarkEnd w:id="504"/>
      <w:bookmarkEnd w:id="505"/>
      <w:bookmarkEnd w:id="506"/>
      <w:bookmarkEnd w:id="507"/>
      <w:bookmarkEnd w:id="508"/>
      <w:bookmarkStart w:id="509" w:name="_Toc318581171"/>
      <w:bookmarkStart w:id="510" w:name="_Toc312678014"/>
      <w:r>
        <w:rPr>
          <w:rFonts w:hint="eastAsia" w:ascii="宋体" w:hAnsi="宋体" w:eastAsia="宋体" w:cs="宋体"/>
          <w:color w:val="auto"/>
          <w:highlight w:val="none"/>
          <w:u w:val="single"/>
        </w:rPr>
        <w:t>按逾期竣工的单项工程罚款，每延误一天,按单项工程应支付给承包人的结算造价的万分之四处罚,罚款直接从结算款中扣除。误期时间从规定竣工日期起直到实际竣工日期的天数（扣除发包人批准顺延的工期）</w:t>
      </w:r>
      <w:r>
        <w:rPr>
          <w:rFonts w:hint="eastAsia" w:ascii="宋体" w:hAnsi="宋体" w:eastAsia="宋体" w:cs="宋体"/>
          <w:color w:val="auto"/>
          <w:highlight w:val="none"/>
          <w:u w:val="single"/>
          <w:lang w:val="en-US" w:eastAsia="zh-CN"/>
        </w:rPr>
        <w:t>。</w:t>
      </w:r>
    </w:p>
    <w:bookmarkEnd w:id="509"/>
    <w:bookmarkEnd w:id="510"/>
    <w:p w14:paraId="76E23665">
      <w:pPr>
        <w:spacing w:line="360" w:lineRule="auto"/>
        <w:ind w:firstLine="420" w:firstLineChars="200"/>
        <w:jc w:val="left"/>
        <w:rPr>
          <w:rFonts w:hint="eastAsia" w:ascii="宋体" w:hAnsi="宋体" w:eastAsia="宋体" w:cs="宋体"/>
          <w:color w:val="auto"/>
          <w:highlight w:val="none"/>
          <w:u w:val="single"/>
          <w:lang w:val="en-US" w:eastAsia="zh-CN"/>
        </w:rPr>
      </w:pPr>
      <w:bookmarkStart w:id="511" w:name="_Toc1954543271"/>
      <w:bookmarkStart w:id="512" w:name="_Toc407135230"/>
      <w:bookmarkStart w:id="513" w:name="_Toc888037017"/>
      <w:bookmarkStart w:id="514" w:name="_Toc373227728"/>
      <w:bookmarkStart w:id="515" w:name="_Toc373478375"/>
      <w:bookmarkStart w:id="516" w:name="_Toc78449816"/>
      <w:bookmarkStart w:id="517" w:name="_Toc389065294"/>
      <w:r>
        <w:rPr>
          <w:rFonts w:hint="eastAsia" w:ascii="宋体" w:hAnsi="宋体" w:eastAsia="宋体" w:cs="宋体"/>
          <w:color w:val="auto"/>
          <w:highlight w:val="none"/>
          <w:u w:val="none"/>
          <w:lang w:val="en-US" w:eastAsia="zh-CN"/>
        </w:rPr>
        <w:t>因承包人原因造成工期延误，逾期竣工违约金的上限：</w:t>
      </w:r>
      <w:r>
        <w:rPr>
          <w:rFonts w:hint="eastAsia" w:ascii="宋体" w:hAnsi="宋体" w:eastAsia="宋体" w:cs="宋体"/>
          <w:color w:val="auto"/>
          <w:highlight w:val="none"/>
          <w:u w:val="single"/>
          <w:lang w:val="en-US" w:eastAsia="zh-CN"/>
        </w:rPr>
        <w:t>逾期竣工的单项工程结算造价的 5 %。</w:t>
      </w:r>
    </w:p>
    <w:p w14:paraId="2C90B356">
      <w:pPr>
        <w:pStyle w:val="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bookmarkStart w:id="518" w:name="_Toc297123519"/>
      <w:bookmarkStart w:id="519" w:name="_Toc303539128"/>
      <w:bookmarkStart w:id="520" w:name="_Toc312678015"/>
      <w:bookmarkStart w:id="521" w:name="_Toc297216178"/>
      <w:bookmarkStart w:id="522" w:name="_Toc300934971"/>
      <w:bookmarkStart w:id="523" w:name="_Toc304295549"/>
      <w:r>
        <w:rPr>
          <w:rFonts w:hint="eastAsia" w:ascii="宋体" w:hAnsi="宋体" w:eastAsia="宋体" w:cs="宋体"/>
          <w:color w:val="auto"/>
          <w:highlight w:val="none"/>
        </w:rPr>
        <w:t>.6 不</w:t>
      </w:r>
      <w:bookmarkEnd w:id="518"/>
      <w:bookmarkEnd w:id="519"/>
      <w:bookmarkEnd w:id="520"/>
      <w:bookmarkEnd w:id="521"/>
      <w:bookmarkEnd w:id="522"/>
      <w:bookmarkEnd w:id="523"/>
      <w:r>
        <w:rPr>
          <w:rFonts w:hint="eastAsia" w:ascii="宋体" w:hAnsi="宋体" w:eastAsia="宋体" w:cs="宋体"/>
          <w:color w:val="auto"/>
          <w:highlight w:val="none"/>
        </w:rPr>
        <w:t>利物质条件</w:t>
      </w:r>
      <w:bookmarkEnd w:id="511"/>
      <w:bookmarkEnd w:id="512"/>
      <w:bookmarkEnd w:id="513"/>
      <w:bookmarkEnd w:id="514"/>
      <w:bookmarkEnd w:id="515"/>
      <w:bookmarkEnd w:id="516"/>
      <w:bookmarkEnd w:id="517"/>
    </w:p>
    <w:p w14:paraId="652FCABA">
      <w:pPr>
        <w:spacing w:line="360" w:lineRule="auto"/>
        <w:ind w:firstLine="420" w:firstLineChars="200"/>
        <w:jc w:val="left"/>
        <w:rPr>
          <w:rFonts w:hint="eastAsia" w:ascii="宋体" w:hAnsi="宋体" w:eastAsia="宋体" w:cs="宋体"/>
          <w:color w:val="auto"/>
          <w:highlight w:val="none"/>
          <w:u w:val="single"/>
        </w:rPr>
      </w:pPr>
      <w:bookmarkStart w:id="524" w:name="_Toc312678016"/>
      <w:bookmarkStart w:id="525" w:name="_Toc304295550"/>
      <w:bookmarkStart w:id="526" w:name="_Toc297216179"/>
      <w:bookmarkStart w:id="527" w:name="_Toc297123520"/>
      <w:bookmarkStart w:id="528" w:name="_Toc300934972"/>
      <w:bookmarkStart w:id="529" w:name="_Toc303539129"/>
      <w:bookmarkStart w:id="530" w:name="_Toc318581172"/>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①在施工过程中遇到地下水、构筑物、地下障碍物、淤泥、流沙、溶洞、岩石或地下管线的；②政府指令性要求停工的（高考、中考、重大会议等）；③每天8:00～18:00停水或停电连续4小时以上（含4小时），工期顺延一天；每周停水或停电累计超过8小时（含8小时）的，每8小时工期顺延一天，不足8小时但超过4小时的工期顺延0.5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524"/>
    <w:bookmarkEnd w:id="525"/>
    <w:bookmarkEnd w:id="526"/>
    <w:bookmarkEnd w:id="527"/>
    <w:bookmarkEnd w:id="528"/>
    <w:bookmarkEnd w:id="529"/>
    <w:bookmarkEnd w:id="530"/>
    <w:p w14:paraId="5B82CB8D">
      <w:pPr>
        <w:pStyle w:val="5"/>
        <w:spacing w:line="360" w:lineRule="auto"/>
        <w:rPr>
          <w:rFonts w:hint="eastAsia" w:ascii="宋体" w:hAnsi="宋体" w:eastAsia="宋体" w:cs="宋体"/>
          <w:color w:val="auto"/>
          <w:highlight w:val="none"/>
        </w:rPr>
      </w:pPr>
      <w:bookmarkStart w:id="531" w:name="_Toc851880484"/>
      <w:bookmarkStart w:id="532" w:name="_Toc373227729"/>
      <w:bookmarkStart w:id="533" w:name="_Toc373478376"/>
      <w:bookmarkStart w:id="534" w:name="_Toc78449817"/>
      <w:bookmarkStart w:id="535" w:name="_Toc389065295"/>
      <w:bookmarkStart w:id="536" w:name="_Toc2031116443"/>
      <w:bookmarkStart w:id="537" w:name="_Toc407135231"/>
      <w:r>
        <w:rPr>
          <w:rFonts w:hint="eastAsia" w:ascii="宋体" w:hAnsi="宋体" w:eastAsia="宋体" w:cs="宋体"/>
          <w:color w:val="auto"/>
          <w:highlight w:val="none"/>
        </w:rPr>
        <w:t>7</w:t>
      </w:r>
      <w:bookmarkStart w:id="538" w:name="_Toc303539130"/>
      <w:bookmarkStart w:id="539" w:name="_Toc300934973"/>
      <w:bookmarkStart w:id="540" w:name="_Toc304295551"/>
      <w:bookmarkStart w:id="541" w:name="_Toc297123521"/>
      <w:bookmarkStart w:id="542" w:name="_Toc297216180"/>
      <w:bookmarkStart w:id="543" w:name="_Toc312678017"/>
      <w:r>
        <w:rPr>
          <w:rFonts w:hint="eastAsia" w:ascii="宋体" w:hAnsi="宋体" w:eastAsia="宋体" w:cs="宋体"/>
          <w:color w:val="auto"/>
          <w:highlight w:val="none"/>
        </w:rPr>
        <w:t>.7 异常恶劣的气候条件</w:t>
      </w:r>
      <w:bookmarkEnd w:id="531"/>
      <w:bookmarkEnd w:id="532"/>
      <w:bookmarkEnd w:id="533"/>
      <w:bookmarkEnd w:id="534"/>
      <w:bookmarkEnd w:id="535"/>
      <w:bookmarkEnd w:id="536"/>
      <w:bookmarkEnd w:id="537"/>
    </w:p>
    <w:bookmarkEnd w:id="538"/>
    <w:bookmarkEnd w:id="539"/>
    <w:bookmarkEnd w:id="540"/>
    <w:bookmarkEnd w:id="541"/>
    <w:bookmarkEnd w:id="542"/>
    <w:bookmarkEnd w:id="543"/>
    <w:p w14:paraId="4D1B83C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p>
    <w:p w14:paraId="276A0C63">
      <w:pPr>
        <w:pStyle w:val="5"/>
        <w:spacing w:line="360" w:lineRule="auto"/>
        <w:rPr>
          <w:rFonts w:hint="eastAsia" w:ascii="宋体" w:hAnsi="宋体" w:eastAsia="宋体" w:cs="宋体"/>
          <w:b w:val="0"/>
          <w:bCs w:val="0"/>
          <w:color w:val="auto"/>
          <w:kern w:val="2"/>
          <w:sz w:val="21"/>
          <w:szCs w:val="22"/>
          <w:highlight w:val="none"/>
          <w:u w:val="single"/>
          <w:lang w:val="en-US" w:eastAsia="zh-CN" w:bidi="ar-SA"/>
        </w:rPr>
      </w:pPr>
      <w:bookmarkStart w:id="544" w:name="_Toc657185480"/>
      <w:bookmarkStart w:id="545" w:name="_Toc389065296"/>
      <w:bookmarkStart w:id="546" w:name="_Toc2087373611"/>
      <w:bookmarkStart w:id="547" w:name="_Toc407135232"/>
      <w:bookmarkStart w:id="548" w:name="_Toc78449818"/>
      <w:bookmarkStart w:id="549" w:name="_Toc373227730"/>
      <w:bookmarkStart w:id="550" w:name="_Toc373478377"/>
      <w:r>
        <w:rPr>
          <w:rFonts w:hint="eastAsia" w:ascii="宋体" w:hAnsi="宋体" w:eastAsia="宋体" w:cs="宋体"/>
          <w:b w:val="0"/>
          <w:bCs w:val="0"/>
          <w:color w:val="auto"/>
          <w:kern w:val="2"/>
          <w:sz w:val="21"/>
          <w:szCs w:val="22"/>
          <w:highlight w:val="none"/>
          <w:u w:val="single"/>
          <w:lang w:val="en-US" w:eastAsia="zh-CN" w:bidi="ar-SA"/>
        </w:rPr>
        <w:t>（1）大风(指风力大于八级以上；</w:t>
      </w:r>
    </w:p>
    <w:p w14:paraId="2017747C">
      <w:pPr>
        <w:pStyle w:val="5"/>
        <w:spacing w:line="360" w:lineRule="auto"/>
        <w:rPr>
          <w:rFonts w:hint="eastAsia" w:ascii="宋体" w:hAnsi="宋体" w:eastAsia="宋体" w:cs="宋体"/>
          <w:b w:val="0"/>
          <w:bCs w:val="0"/>
          <w:color w:val="auto"/>
          <w:kern w:val="2"/>
          <w:sz w:val="21"/>
          <w:szCs w:val="22"/>
          <w:highlight w:val="none"/>
          <w:u w:val="single"/>
          <w:lang w:val="en-US" w:eastAsia="zh-CN" w:bidi="ar-SA"/>
        </w:rPr>
      </w:pPr>
      <w:r>
        <w:rPr>
          <w:rFonts w:hint="eastAsia" w:ascii="宋体" w:hAnsi="宋体" w:eastAsia="宋体" w:cs="宋体"/>
          <w:b w:val="0"/>
          <w:bCs w:val="0"/>
          <w:color w:val="auto"/>
          <w:kern w:val="2"/>
          <w:sz w:val="21"/>
          <w:szCs w:val="22"/>
          <w:highlight w:val="none"/>
          <w:u w:val="single"/>
          <w:lang w:val="en-US" w:eastAsia="zh-CN" w:bidi="ar-SA"/>
        </w:rPr>
        <w:t>（2）大雨(指日降水量超过175MM)；</w:t>
      </w:r>
    </w:p>
    <w:p w14:paraId="4680CC3A">
      <w:pPr>
        <w:pStyle w:val="5"/>
        <w:spacing w:line="360" w:lineRule="auto"/>
        <w:rPr>
          <w:rFonts w:hint="eastAsia" w:ascii="宋体" w:hAnsi="宋体" w:eastAsia="宋体" w:cs="宋体"/>
          <w:b w:val="0"/>
          <w:bCs w:val="0"/>
          <w:color w:val="auto"/>
          <w:kern w:val="2"/>
          <w:sz w:val="21"/>
          <w:szCs w:val="22"/>
          <w:highlight w:val="none"/>
          <w:u w:val="single"/>
          <w:lang w:val="en-US" w:eastAsia="zh-CN" w:bidi="ar-SA"/>
        </w:rPr>
      </w:pPr>
      <w:r>
        <w:rPr>
          <w:rFonts w:hint="eastAsia" w:ascii="宋体" w:hAnsi="宋体" w:eastAsia="宋体" w:cs="宋体"/>
          <w:b w:val="0"/>
          <w:bCs w:val="0"/>
          <w:color w:val="auto"/>
          <w:kern w:val="2"/>
          <w:sz w:val="21"/>
          <w:szCs w:val="22"/>
          <w:highlight w:val="none"/>
          <w:u w:val="single"/>
          <w:lang w:val="en-US" w:eastAsia="zh-CN" w:bidi="ar-SA"/>
        </w:rPr>
        <w:t>（3）一周内非承包人原因，停水、停电、停气造成停工连续超过8小时；</w:t>
      </w:r>
    </w:p>
    <w:p w14:paraId="52DD9108">
      <w:pPr>
        <w:pStyle w:val="5"/>
        <w:spacing w:line="360" w:lineRule="auto"/>
        <w:rPr>
          <w:rFonts w:hint="eastAsia" w:ascii="宋体" w:hAnsi="宋体" w:eastAsia="宋体" w:cs="宋体"/>
          <w:b w:val="0"/>
          <w:bCs w:val="0"/>
          <w:color w:val="auto"/>
          <w:kern w:val="2"/>
          <w:sz w:val="21"/>
          <w:szCs w:val="22"/>
          <w:highlight w:val="none"/>
          <w:u w:val="single"/>
          <w:lang w:val="en-US" w:eastAsia="zh-CN" w:bidi="ar-SA"/>
        </w:rPr>
      </w:pPr>
      <w:r>
        <w:rPr>
          <w:rFonts w:hint="eastAsia" w:ascii="宋体" w:hAnsi="宋体" w:eastAsia="宋体" w:cs="宋体"/>
          <w:b w:val="0"/>
          <w:bCs w:val="0"/>
          <w:color w:val="auto"/>
          <w:kern w:val="2"/>
          <w:sz w:val="21"/>
          <w:szCs w:val="22"/>
          <w:highlight w:val="none"/>
          <w:u w:val="single"/>
          <w:lang w:val="en-US" w:eastAsia="zh-CN" w:bidi="ar-SA"/>
        </w:rPr>
        <w:t>（4）由于政府指令性行为引起停工(如中考、高考期间及其它活动要求停工)。</w:t>
      </w:r>
    </w:p>
    <w:p w14:paraId="3FBEC25B">
      <w:pPr>
        <w:pStyle w:val="5"/>
        <w:spacing w:line="360" w:lineRule="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7.9 </w:t>
      </w:r>
      <w:r>
        <w:rPr>
          <w:rFonts w:hint="eastAsia" w:ascii="宋体" w:hAnsi="宋体" w:eastAsia="宋体" w:cs="宋体"/>
          <w:color w:val="auto"/>
          <w:highlight w:val="none"/>
        </w:rPr>
        <w:t>提前竣工</w:t>
      </w:r>
      <w:bookmarkEnd w:id="544"/>
      <w:bookmarkEnd w:id="545"/>
      <w:bookmarkEnd w:id="546"/>
      <w:bookmarkEnd w:id="547"/>
      <w:bookmarkEnd w:id="548"/>
      <w:bookmarkEnd w:id="549"/>
      <w:bookmarkEnd w:id="550"/>
    </w:p>
    <w:p w14:paraId="6511FCB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7.9.2提前竣工（赶工）增加费的计算方法：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316214F">
      <w:pPr>
        <w:pStyle w:val="2"/>
        <w:spacing w:line="360" w:lineRule="auto"/>
        <w:rPr>
          <w:rFonts w:hint="eastAsia" w:ascii="宋体" w:hAnsi="宋体" w:eastAsia="宋体" w:cs="宋体"/>
          <w:color w:val="auto"/>
          <w:highlight w:val="none"/>
        </w:rPr>
      </w:pPr>
      <w:bookmarkStart w:id="551" w:name="_Toc78449819"/>
      <w:bookmarkStart w:id="552" w:name="_Toc373478378"/>
      <w:bookmarkStart w:id="553" w:name="_Toc389065297"/>
      <w:bookmarkStart w:id="554" w:name="_Toc1400878670"/>
      <w:bookmarkStart w:id="555" w:name="_Toc373227731"/>
      <w:bookmarkStart w:id="556" w:name="_Toc351203640"/>
      <w:bookmarkStart w:id="557" w:name="_Toc1302158431"/>
      <w:bookmarkStart w:id="558" w:name="_Toc407135233"/>
      <w:r>
        <w:rPr>
          <w:rFonts w:hint="eastAsia" w:ascii="宋体" w:hAnsi="宋体" w:eastAsia="宋体" w:cs="宋体"/>
          <w:color w:val="auto"/>
          <w:highlight w:val="none"/>
        </w:rPr>
        <w:t>8. 材料与设备</w:t>
      </w:r>
      <w:bookmarkEnd w:id="551"/>
      <w:bookmarkEnd w:id="552"/>
      <w:bookmarkEnd w:id="553"/>
      <w:bookmarkEnd w:id="554"/>
      <w:bookmarkEnd w:id="555"/>
      <w:bookmarkEnd w:id="556"/>
      <w:bookmarkEnd w:id="557"/>
      <w:bookmarkEnd w:id="558"/>
    </w:p>
    <w:bookmarkEnd w:id="395"/>
    <w:bookmarkEnd w:id="396"/>
    <w:bookmarkEnd w:id="397"/>
    <w:bookmarkEnd w:id="398"/>
    <w:bookmarkEnd w:id="399"/>
    <w:bookmarkEnd w:id="400"/>
    <w:bookmarkEnd w:id="401"/>
    <w:bookmarkEnd w:id="402"/>
    <w:bookmarkEnd w:id="403"/>
    <w:bookmarkEnd w:id="404"/>
    <w:p w14:paraId="35F5250A">
      <w:pPr>
        <w:pStyle w:val="5"/>
        <w:spacing w:line="360" w:lineRule="auto"/>
        <w:rPr>
          <w:rFonts w:hint="eastAsia" w:ascii="宋体" w:hAnsi="宋体" w:eastAsia="宋体" w:cs="宋体"/>
          <w:color w:val="auto"/>
          <w:highlight w:val="none"/>
        </w:rPr>
      </w:pPr>
      <w:bookmarkStart w:id="559" w:name="_Toc373478379"/>
      <w:bookmarkStart w:id="560" w:name="_Toc389065298"/>
      <w:bookmarkStart w:id="561" w:name="_Toc373227732"/>
      <w:bookmarkStart w:id="562" w:name="_Toc407135234"/>
      <w:bookmarkStart w:id="563" w:name="_Toc1119561048"/>
      <w:bookmarkStart w:id="564" w:name="_Toc1078610395"/>
      <w:bookmarkStart w:id="565" w:name="_Toc78449820"/>
      <w:r>
        <w:rPr>
          <w:rFonts w:hint="eastAsia" w:ascii="宋体" w:hAnsi="宋体" w:eastAsia="宋体" w:cs="宋体"/>
          <w:color w:val="auto"/>
          <w:highlight w:val="none"/>
        </w:rPr>
        <w:t>8.2 承包人采购材料与工程设备</w:t>
      </w:r>
      <w:bookmarkEnd w:id="559"/>
      <w:bookmarkEnd w:id="560"/>
      <w:bookmarkEnd w:id="561"/>
      <w:bookmarkEnd w:id="562"/>
      <w:bookmarkEnd w:id="563"/>
      <w:bookmarkEnd w:id="564"/>
      <w:bookmarkEnd w:id="565"/>
    </w:p>
    <w:p w14:paraId="2EC73483">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除已标价工程量清单《发包人提供主要材料和工程设备一览表》（表-21）中明确的材料、工程设备外，由承包人负责材料和工程设备的采购、运输和保管。</w:t>
      </w:r>
      <w:bookmarkStart w:id="566" w:name="_Toc373227733"/>
      <w:bookmarkStart w:id="567" w:name="_Toc373478380"/>
      <w:bookmarkStart w:id="568" w:name="_Toc389065299"/>
    </w:p>
    <w:p w14:paraId="03EB29F9">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77ADC724">
      <w:pPr>
        <w:pStyle w:val="5"/>
        <w:spacing w:line="360" w:lineRule="auto"/>
        <w:rPr>
          <w:rFonts w:hint="eastAsia" w:ascii="宋体" w:hAnsi="宋体" w:eastAsia="宋体" w:cs="宋体"/>
          <w:color w:val="auto"/>
          <w:highlight w:val="none"/>
        </w:rPr>
      </w:pPr>
      <w:bookmarkStart w:id="569" w:name="_Toc78449821"/>
      <w:bookmarkStart w:id="570" w:name="_Toc407135235"/>
      <w:bookmarkStart w:id="571" w:name="_Toc1355357553"/>
      <w:bookmarkStart w:id="572" w:name="_Toc800965933"/>
      <w:r>
        <w:rPr>
          <w:rFonts w:hint="eastAsia" w:ascii="宋体" w:hAnsi="宋体" w:eastAsia="宋体" w:cs="宋体"/>
          <w:color w:val="auto"/>
          <w:highlight w:val="none"/>
        </w:rPr>
        <w:t>8</w:t>
      </w:r>
      <w:bookmarkStart w:id="573" w:name="_Toc312677493"/>
      <w:bookmarkStart w:id="574" w:name="_Toc304295556"/>
      <w:bookmarkStart w:id="575" w:name="_Toc296503167"/>
      <w:bookmarkStart w:id="576" w:name="_Toc296347166"/>
      <w:bookmarkStart w:id="577" w:name="_Toc300934979"/>
      <w:bookmarkStart w:id="578" w:name="_Toc296891207"/>
      <w:bookmarkStart w:id="579" w:name="_Toc296890995"/>
      <w:bookmarkStart w:id="580" w:name="_Toc296346668"/>
      <w:bookmarkStart w:id="581" w:name="_Toc280868654"/>
      <w:bookmarkStart w:id="582" w:name="_Toc312678019"/>
      <w:bookmarkStart w:id="583" w:name="_Toc297048353"/>
      <w:bookmarkStart w:id="584" w:name="_Toc297120467"/>
      <w:bookmarkStart w:id="585" w:name="_Toc296944506"/>
      <w:bookmarkStart w:id="586" w:name="_Toc292559372"/>
      <w:bookmarkStart w:id="587" w:name="_Toc292559877"/>
      <w:bookmarkStart w:id="588" w:name="_Toc297216186"/>
      <w:bookmarkStart w:id="589" w:name="_Toc297123527"/>
      <w:bookmarkStart w:id="590" w:name="_Toc303539136"/>
      <w:bookmarkStart w:id="591" w:name="_Toc280868656"/>
      <w:bookmarkStart w:id="592" w:name="_Toc280868655"/>
      <w:bookmarkStart w:id="593" w:name="_Toc267251424"/>
      <w:r>
        <w:rPr>
          <w:rFonts w:hint="eastAsia" w:ascii="宋体" w:hAnsi="宋体" w:eastAsia="宋体" w:cs="宋体"/>
          <w:color w:val="auto"/>
          <w:highlight w:val="none"/>
        </w:rPr>
        <w:t>.4 材料与工程设备的保管与使用</w:t>
      </w:r>
      <w:bookmarkEnd w:id="566"/>
      <w:bookmarkEnd w:id="567"/>
      <w:bookmarkEnd w:id="568"/>
      <w:bookmarkEnd w:id="569"/>
      <w:bookmarkEnd w:id="570"/>
      <w:bookmarkEnd w:id="571"/>
      <w:bookmarkEnd w:id="572"/>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0C1C8F5D">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8</w:t>
      </w:r>
      <w:bookmarkStart w:id="594" w:name="_Toc292559373"/>
      <w:bookmarkStart w:id="595" w:name="_Toc292559878"/>
      <w:bookmarkStart w:id="596" w:name="_Toc296346669"/>
      <w:bookmarkStart w:id="597" w:name="_Toc318581173"/>
      <w:bookmarkStart w:id="598" w:name="_Toc297216187"/>
      <w:bookmarkStart w:id="599" w:name="_Toc297120468"/>
      <w:bookmarkStart w:id="600" w:name="_Toc304295557"/>
      <w:bookmarkStart w:id="601" w:name="_Toc296347167"/>
      <w:bookmarkStart w:id="602" w:name="_Toc296890996"/>
      <w:bookmarkStart w:id="603" w:name="_Toc296503168"/>
      <w:bookmarkStart w:id="604" w:name="_Toc303539137"/>
      <w:bookmarkStart w:id="605" w:name="_Toc296891208"/>
      <w:bookmarkStart w:id="606" w:name="_Toc312677494"/>
      <w:bookmarkStart w:id="607" w:name="_Toc300934980"/>
      <w:bookmarkStart w:id="608" w:name="_Toc297048354"/>
      <w:bookmarkStart w:id="609" w:name="_Toc297123528"/>
      <w:bookmarkStart w:id="610" w:name="_Toc296944507"/>
      <w:bookmarkStart w:id="611" w:name="_Toc312678020"/>
      <w:r>
        <w:rPr>
          <w:rFonts w:hint="eastAsia" w:ascii="宋体" w:hAnsi="宋体" w:eastAsia="宋体" w:cs="宋体"/>
          <w:color w:val="auto"/>
          <w:highlight w:val="none"/>
        </w:rPr>
        <w:t>.4.1发包人供应的材料设备的保管费用的承担：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由承包人承担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594"/>
    <w:bookmarkEnd w:id="595"/>
    <w:p w14:paraId="2D13DBB7">
      <w:pPr>
        <w:pStyle w:val="5"/>
        <w:spacing w:line="360" w:lineRule="auto"/>
        <w:rPr>
          <w:rFonts w:hint="eastAsia" w:ascii="宋体" w:hAnsi="宋体" w:eastAsia="宋体" w:cs="宋体"/>
          <w:color w:val="auto"/>
          <w:highlight w:val="none"/>
        </w:rPr>
      </w:pPr>
      <w:bookmarkStart w:id="612" w:name="_Toc389065300"/>
      <w:bookmarkStart w:id="613" w:name="_Toc373478381"/>
      <w:bookmarkStart w:id="614" w:name="_Toc78449822"/>
      <w:bookmarkStart w:id="615" w:name="_Toc1948522881"/>
      <w:bookmarkStart w:id="616" w:name="_Toc373227734"/>
      <w:bookmarkStart w:id="617" w:name="_Toc407135236"/>
      <w:bookmarkStart w:id="618" w:name="_Toc125914831"/>
      <w:r>
        <w:rPr>
          <w:rFonts w:hint="eastAsia" w:ascii="宋体" w:hAnsi="宋体" w:eastAsia="宋体" w:cs="宋体"/>
          <w:color w:val="auto"/>
          <w:highlight w:val="none"/>
        </w:rPr>
        <w:t>8.6 样品</w:t>
      </w:r>
      <w:bookmarkEnd w:id="612"/>
      <w:bookmarkEnd w:id="613"/>
      <w:bookmarkEnd w:id="614"/>
      <w:bookmarkEnd w:id="615"/>
      <w:bookmarkEnd w:id="616"/>
      <w:bookmarkEnd w:id="617"/>
      <w:bookmarkEnd w:id="618"/>
    </w:p>
    <w:p w14:paraId="7E28F822">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8.6.1 样品的报送与封存</w:t>
      </w:r>
    </w:p>
    <w:p w14:paraId="3E6B47D3">
      <w:pPr>
        <w:autoSpaceDE w:val="0"/>
        <w:autoSpaceDN w:val="0"/>
        <w:adjustRightIn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主要材料涉及品种、款式、颜色等方面内容的，承包人应提交准备合格的材料样品送发包人选定</w:t>
      </w:r>
      <w:r>
        <w:rPr>
          <w:rFonts w:hint="eastAsia" w:ascii="宋体" w:hAnsi="宋体" w:eastAsia="宋体" w:cs="宋体"/>
          <w:color w:val="auto"/>
          <w:highlight w:val="none"/>
        </w:rPr>
        <w:t>。</w:t>
      </w:r>
    </w:p>
    <w:p w14:paraId="51D7490B">
      <w:pPr>
        <w:pStyle w:val="5"/>
        <w:spacing w:line="360" w:lineRule="auto"/>
        <w:rPr>
          <w:rFonts w:hint="eastAsia" w:ascii="宋体" w:hAnsi="宋体" w:eastAsia="宋体" w:cs="宋体"/>
          <w:color w:val="auto"/>
          <w:highlight w:val="none"/>
        </w:rPr>
      </w:pPr>
      <w:bookmarkStart w:id="619" w:name="_Toc1049576644"/>
      <w:bookmarkStart w:id="620" w:name="_Toc997640704"/>
      <w:bookmarkStart w:id="621" w:name="_Toc78449823"/>
      <w:bookmarkStart w:id="622" w:name="_Toc389065301"/>
      <w:bookmarkStart w:id="623" w:name="_Toc373227735"/>
      <w:bookmarkStart w:id="624" w:name="_Toc373478382"/>
      <w:bookmarkStart w:id="625" w:name="_Toc407135237"/>
      <w:r>
        <w:rPr>
          <w:rFonts w:hint="eastAsia" w:ascii="宋体" w:hAnsi="宋体" w:eastAsia="宋体" w:cs="宋体"/>
          <w:color w:val="auto"/>
          <w:highlight w:val="none"/>
        </w:rPr>
        <w:t>8.8 施工设备和临时设施</w:t>
      </w:r>
      <w:bookmarkEnd w:id="619"/>
      <w:bookmarkEnd w:id="620"/>
      <w:bookmarkEnd w:id="621"/>
      <w:bookmarkEnd w:id="622"/>
      <w:bookmarkEnd w:id="623"/>
      <w:bookmarkEnd w:id="624"/>
      <w:bookmarkEnd w:id="625"/>
    </w:p>
    <w:p w14:paraId="05FD3556">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p>
    <w:p w14:paraId="358CA788">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6732B7DF">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关于修建临时设施费用承担的约定：</w:t>
      </w:r>
    </w:p>
    <w:p w14:paraId="7099F319">
      <w:pPr>
        <w:autoSpaceDE w:val="0"/>
        <w:autoSpaceDN w:val="0"/>
        <w:adjustRightInd w:val="0"/>
        <w:spacing w:line="360" w:lineRule="auto"/>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lang w:val="en-US" w:eastAsia="zh-CN"/>
        </w:rPr>
        <w:t xml:space="preserve">①承包人的临时用地（含项目部驻地等）租用费（含拆迁补偿）、临时用地的环保、恢复、临时用地的青苗补偿及地面附着物拆除等费用均由承包人负责，以上费用在投标报价中综合考虑。 </w:t>
      </w:r>
    </w:p>
    <w:p w14:paraId="427931BA">
      <w:pPr>
        <w:autoSpaceDE w:val="0"/>
        <w:autoSpaceDN w:val="0"/>
        <w:adjustRightInd w:val="0"/>
        <w:spacing w:line="360" w:lineRule="auto"/>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lang w:val="en-US" w:eastAsia="zh-CN"/>
        </w:rPr>
        <w:t xml:space="preserve">②承包人负责合同实施期间其合同段内临时交通道路（含场内外连接公共交通道路）和交通设施的修建、维修、养护和交通管理工作，并承担一切费用。 </w:t>
      </w:r>
    </w:p>
    <w:p w14:paraId="05C3F443">
      <w:pPr>
        <w:autoSpaceDE w:val="0"/>
        <w:autoSpaceDN w:val="0"/>
        <w:adjustRightInd w:val="0"/>
        <w:spacing w:line="360" w:lineRule="auto"/>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lang w:val="en-US" w:eastAsia="zh-CN"/>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195D09F">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8.8.2 发包人提供的施工设备和临时设施</w:t>
      </w:r>
    </w:p>
    <w:p w14:paraId="24E73D45">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发包人提供的施工设备和临时设施：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FF1B097">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发包人提供的施工设备和临时设施的运行、维护、拆除、清运费用的承担人：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由承包人承担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14:paraId="12A72F2D">
      <w:pPr>
        <w:pStyle w:val="2"/>
        <w:spacing w:line="360" w:lineRule="auto"/>
        <w:rPr>
          <w:rFonts w:hint="eastAsia" w:ascii="宋体" w:hAnsi="宋体" w:eastAsia="宋体" w:cs="宋体"/>
          <w:color w:val="auto"/>
          <w:highlight w:val="none"/>
        </w:rPr>
      </w:pPr>
      <w:bookmarkStart w:id="626" w:name="_Toc2027787496"/>
      <w:bookmarkStart w:id="627" w:name="_Toc2039161841"/>
      <w:bookmarkStart w:id="628" w:name="_Toc389065302"/>
      <w:bookmarkStart w:id="629" w:name="_Toc351203641"/>
      <w:bookmarkStart w:id="630" w:name="_Toc373227736"/>
      <w:bookmarkStart w:id="631" w:name="_Toc407135238"/>
      <w:bookmarkStart w:id="632" w:name="_Toc78449824"/>
      <w:bookmarkStart w:id="633" w:name="_Toc373478383"/>
      <w:r>
        <w:rPr>
          <w:rFonts w:hint="eastAsia" w:ascii="宋体" w:hAnsi="宋体" w:eastAsia="宋体" w:cs="宋体"/>
          <w:color w:val="auto"/>
          <w:highlight w:val="none"/>
        </w:rPr>
        <w:t>9</w:t>
      </w:r>
      <w:bookmarkEnd w:id="591"/>
      <w:bookmarkEnd w:id="592"/>
      <w:bookmarkEnd w:id="593"/>
      <w:bookmarkStart w:id="634" w:name="_Toc312678021"/>
      <w:bookmarkStart w:id="635" w:name="_Toc303539139"/>
      <w:bookmarkStart w:id="636" w:name="_Toc297216192"/>
      <w:bookmarkStart w:id="637" w:name="_Toc304295559"/>
      <w:bookmarkStart w:id="638" w:name="_Toc300934982"/>
      <w:bookmarkStart w:id="639" w:name="_Toc297123533"/>
      <w:bookmarkStart w:id="640" w:name="_Toc312677495"/>
      <w:bookmarkStart w:id="641" w:name="_Toc267251427"/>
      <w:bookmarkStart w:id="642" w:name="_Toc267251428"/>
      <w:bookmarkStart w:id="643" w:name="_Toc297048359"/>
      <w:bookmarkStart w:id="644" w:name="_Toc296891001"/>
      <w:bookmarkStart w:id="645" w:name="_Toc296944512"/>
      <w:bookmarkStart w:id="646" w:name="_Toc292559378"/>
      <w:bookmarkStart w:id="647" w:name="_Toc296503173"/>
      <w:bookmarkStart w:id="648" w:name="_Toc296347172"/>
      <w:bookmarkStart w:id="649" w:name="_Toc292559883"/>
      <w:bookmarkStart w:id="650" w:name="_Toc297120473"/>
      <w:bookmarkStart w:id="651" w:name="_Toc296346674"/>
      <w:bookmarkStart w:id="652" w:name="_Toc296891213"/>
      <w:r>
        <w:rPr>
          <w:rFonts w:hint="eastAsia" w:ascii="宋体" w:hAnsi="宋体" w:eastAsia="宋体" w:cs="宋体"/>
          <w:color w:val="auto"/>
          <w:highlight w:val="none"/>
        </w:rPr>
        <w:t>. 试验与检验</w:t>
      </w:r>
      <w:bookmarkEnd w:id="626"/>
      <w:bookmarkEnd w:id="627"/>
      <w:bookmarkEnd w:id="628"/>
      <w:bookmarkEnd w:id="629"/>
      <w:bookmarkEnd w:id="630"/>
      <w:bookmarkEnd w:id="631"/>
      <w:bookmarkEnd w:id="632"/>
      <w:bookmarkEnd w:id="633"/>
    </w:p>
    <w:bookmarkEnd w:id="634"/>
    <w:bookmarkEnd w:id="635"/>
    <w:bookmarkEnd w:id="636"/>
    <w:bookmarkEnd w:id="637"/>
    <w:bookmarkEnd w:id="638"/>
    <w:bookmarkEnd w:id="639"/>
    <w:bookmarkEnd w:id="640"/>
    <w:p w14:paraId="32FEFFAA">
      <w:pPr>
        <w:pStyle w:val="5"/>
        <w:spacing w:line="360" w:lineRule="auto"/>
        <w:rPr>
          <w:rFonts w:hint="eastAsia" w:ascii="宋体" w:hAnsi="宋体" w:eastAsia="宋体" w:cs="宋体"/>
          <w:color w:val="auto"/>
          <w:highlight w:val="none"/>
        </w:rPr>
      </w:pPr>
      <w:bookmarkStart w:id="653" w:name="_Toc407135239"/>
      <w:bookmarkStart w:id="654" w:name="_Toc373478384"/>
      <w:bookmarkStart w:id="655" w:name="_Toc389065303"/>
      <w:bookmarkStart w:id="656" w:name="_Toc373227737"/>
      <w:bookmarkStart w:id="657" w:name="_Toc1307315193"/>
      <w:bookmarkStart w:id="658" w:name="_Toc530697003"/>
      <w:bookmarkStart w:id="659" w:name="_Toc78449825"/>
      <w:r>
        <w:rPr>
          <w:rFonts w:hint="eastAsia" w:ascii="宋体" w:hAnsi="宋体" w:eastAsia="宋体" w:cs="宋体"/>
          <w:color w:val="auto"/>
          <w:highlight w:val="none"/>
        </w:rPr>
        <w:t>9</w:t>
      </w:r>
      <w:bookmarkStart w:id="660" w:name="_Toc312677496"/>
      <w:bookmarkStart w:id="661" w:name="_Toc303539140"/>
      <w:bookmarkStart w:id="662" w:name="_Toc312678022"/>
      <w:bookmarkStart w:id="663" w:name="_Toc300934983"/>
      <w:bookmarkStart w:id="664" w:name="_Toc304295560"/>
      <w:bookmarkStart w:id="665" w:name="_Toc297123534"/>
      <w:bookmarkStart w:id="666" w:name="_Toc297216193"/>
      <w:r>
        <w:rPr>
          <w:rFonts w:hint="eastAsia" w:ascii="宋体" w:hAnsi="宋体" w:eastAsia="宋体" w:cs="宋体"/>
          <w:color w:val="auto"/>
          <w:highlight w:val="none"/>
        </w:rPr>
        <w:t>.1 试验设备与试验人员</w:t>
      </w:r>
      <w:bookmarkEnd w:id="653"/>
      <w:bookmarkEnd w:id="654"/>
      <w:bookmarkEnd w:id="655"/>
      <w:bookmarkEnd w:id="656"/>
      <w:bookmarkEnd w:id="657"/>
      <w:bookmarkEnd w:id="658"/>
      <w:bookmarkEnd w:id="659"/>
    </w:p>
    <w:bookmarkEnd w:id="660"/>
    <w:bookmarkEnd w:id="661"/>
    <w:bookmarkEnd w:id="662"/>
    <w:bookmarkEnd w:id="663"/>
    <w:bookmarkEnd w:id="664"/>
    <w:bookmarkEnd w:id="665"/>
    <w:bookmarkEnd w:id="666"/>
    <w:p w14:paraId="0EBA517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w:t>
      </w:r>
      <w:bookmarkStart w:id="667" w:name="_Toc312677497"/>
      <w:bookmarkStart w:id="668" w:name="_Toc297216194"/>
      <w:bookmarkStart w:id="669" w:name="_Toc303539141"/>
      <w:bookmarkStart w:id="670" w:name="_Toc312678023"/>
      <w:bookmarkStart w:id="671" w:name="_Toc297123535"/>
      <w:bookmarkStart w:id="672" w:name="_Toc300934984"/>
      <w:bookmarkStart w:id="673" w:name="_Toc304295561"/>
      <w:bookmarkStart w:id="674" w:name="_Toc318581174"/>
      <w:r>
        <w:rPr>
          <w:rFonts w:hint="eastAsia" w:ascii="宋体" w:hAnsi="宋体" w:eastAsia="宋体" w:cs="宋体"/>
          <w:color w:val="auto"/>
          <w:highlight w:val="none"/>
        </w:rPr>
        <w:t>.1.2 试验设备</w:t>
      </w:r>
    </w:p>
    <w:p w14:paraId="2757D3C4">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施工现场需要配置的试验场所：</w:t>
      </w:r>
      <w:bookmarkEnd w:id="667"/>
      <w:bookmarkEnd w:id="668"/>
      <w:bookmarkEnd w:id="669"/>
      <w:bookmarkEnd w:id="670"/>
      <w:bookmarkEnd w:id="671"/>
      <w:bookmarkEnd w:id="672"/>
      <w:bookmarkEnd w:id="673"/>
      <w:bookmarkStart w:id="675" w:name="_Toc297123536"/>
      <w:bookmarkStart w:id="676" w:name="_Toc312678024"/>
      <w:bookmarkStart w:id="677" w:name="_Toc312677498"/>
      <w:bookmarkStart w:id="678" w:name="_Toc303539142"/>
      <w:bookmarkStart w:id="679" w:name="_Toc300934985"/>
      <w:bookmarkStart w:id="680" w:name="_Toc297216195"/>
      <w:bookmarkStart w:id="681" w:name="_Toc304295562"/>
      <w:r>
        <w:rPr>
          <w:rFonts w:hint="eastAsia" w:ascii="宋体" w:hAnsi="宋体" w:eastAsia="宋体" w:cs="宋体"/>
          <w:color w:val="auto"/>
          <w:highlight w:val="none"/>
          <w:u w:val="single"/>
        </w:rPr>
        <w:t xml:space="preserve"> 按国家、部委、广西壮族自治区、柳州市及发包人制定的相关规定执行 </w:t>
      </w:r>
      <w:r>
        <w:rPr>
          <w:rFonts w:hint="eastAsia" w:ascii="宋体" w:hAnsi="宋体" w:eastAsia="宋体" w:cs="宋体"/>
          <w:color w:val="auto"/>
          <w:highlight w:val="none"/>
        </w:rPr>
        <w:t>。</w:t>
      </w:r>
    </w:p>
    <w:p w14:paraId="2C112861">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 xml:space="preserve"> 按国家、部委、广西壮族自治区、柳州市及发包人制定的相关规定执行 </w:t>
      </w:r>
      <w:r>
        <w:rPr>
          <w:rFonts w:hint="eastAsia" w:ascii="宋体" w:hAnsi="宋体" w:eastAsia="宋体" w:cs="宋体"/>
          <w:color w:val="auto"/>
          <w:highlight w:val="none"/>
        </w:rPr>
        <w:t>。</w:t>
      </w:r>
    </w:p>
    <w:p w14:paraId="1BEE1009">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326844B">
      <w:pPr>
        <w:pStyle w:val="5"/>
        <w:spacing w:line="360" w:lineRule="auto"/>
        <w:rPr>
          <w:rFonts w:hint="eastAsia" w:ascii="宋体" w:hAnsi="宋体" w:eastAsia="宋体" w:cs="宋体"/>
          <w:color w:val="auto"/>
          <w:highlight w:val="none"/>
        </w:rPr>
      </w:pPr>
      <w:bookmarkStart w:id="682" w:name="_Toc407135240"/>
      <w:bookmarkStart w:id="683" w:name="_Toc492347879"/>
      <w:bookmarkStart w:id="684" w:name="_Toc2012255079"/>
      <w:bookmarkStart w:id="685" w:name="_Toc373478385"/>
      <w:bookmarkStart w:id="686" w:name="_Toc389065304"/>
      <w:bookmarkStart w:id="687" w:name="_Toc78449826"/>
      <w:bookmarkStart w:id="688" w:name="_Toc373227738"/>
      <w:r>
        <w:rPr>
          <w:rFonts w:hint="eastAsia" w:ascii="宋体" w:hAnsi="宋体" w:eastAsia="宋体" w:cs="宋体"/>
          <w:color w:val="auto"/>
          <w:highlight w:val="none"/>
        </w:rPr>
        <w:t>9.4 现场工艺试验</w:t>
      </w:r>
      <w:bookmarkEnd w:id="682"/>
      <w:bookmarkEnd w:id="683"/>
      <w:bookmarkEnd w:id="684"/>
      <w:bookmarkEnd w:id="685"/>
      <w:bookmarkEnd w:id="686"/>
      <w:bookmarkEnd w:id="687"/>
      <w:bookmarkEnd w:id="688"/>
      <w:r>
        <w:rPr>
          <w:rFonts w:hint="eastAsia" w:ascii="宋体" w:hAnsi="宋体" w:eastAsia="宋体" w:cs="宋体"/>
          <w:color w:val="auto"/>
          <w:highlight w:val="none"/>
        </w:rPr>
        <w:t xml:space="preserve"> </w:t>
      </w:r>
    </w:p>
    <w:p w14:paraId="6A8EDEC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按国家、部委、广西壮族自治区、柳州市及发包人制定的相关规定执行 </w:t>
      </w:r>
      <w:r>
        <w:rPr>
          <w:rFonts w:hint="eastAsia" w:ascii="宋体" w:hAnsi="宋体" w:eastAsia="宋体" w:cs="宋体"/>
          <w:color w:val="auto"/>
          <w:highlight w:val="none"/>
        </w:rPr>
        <w:t>。</w:t>
      </w:r>
    </w:p>
    <w:p w14:paraId="3E217C46">
      <w:pPr>
        <w:pStyle w:val="5"/>
        <w:spacing w:line="360" w:lineRule="auto"/>
        <w:rPr>
          <w:rFonts w:hint="eastAsia" w:ascii="宋体" w:hAnsi="宋体" w:eastAsia="宋体" w:cs="宋体"/>
          <w:color w:val="auto"/>
          <w:highlight w:val="none"/>
        </w:rPr>
      </w:pPr>
      <w:bookmarkStart w:id="689" w:name="_Toc407135241"/>
      <w:bookmarkStart w:id="690" w:name="_Toc393419678"/>
      <w:bookmarkStart w:id="691" w:name="_Toc1539824686"/>
      <w:bookmarkStart w:id="692" w:name="_Toc78449827"/>
      <w:bookmarkStart w:id="693" w:name="OLE_LINK1"/>
      <w:r>
        <w:rPr>
          <w:rFonts w:hint="eastAsia" w:ascii="宋体" w:hAnsi="宋体" w:eastAsia="宋体" w:cs="宋体"/>
          <w:color w:val="auto"/>
          <w:highlight w:val="none"/>
        </w:rPr>
        <w:t>9.5 检验费用</w:t>
      </w:r>
      <w:bookmarkEnd w:id="689"/>
      <w:bookmarkEnd w:id="690"/>
      <w:bookmarkEnd w:id="691"/>
      <w:bookmarkEnd w:id="692"/>
    </w:p>
    <w:p w14:paraId="78F36497">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674"/>
    <w:bookmarkEnd w:id="675"/>
    <w:bookmarkEnd w:id="676"/>
    <w:bookmarkEnd w:id="677"/>
    <w:bookmarkEnd w:id="678"/>
    <w:bookmarkEnd w:id="679"/>
    <w:bookmarkEnd w:id="680"/>
    <w:bookmarkEnd w:id="681"/>
    <w:bookmarkEnd w:id="693"/>
    <w:p w14:paraId="34717A2A">
      <w:pPr>
        <w:pStyle w:val="2"/>
        <w:spacing w:line="360" w:lineRule="auto"/>
        <w:rPr>
          <w:rFonts w:hint="eastAsia" w:ascii="宋体" w:hAnsi="宋体" w:eastAsia="宋体" w:cs="宋体"/>
          <w:color w:val="auto"/>
          <w:highlight w:val="none"/>
        </w:rPr>
      </w:pPr>
      <w:bookmarkStart w:id="694" w:name="_Toc351203642"/>
      <w:bookmarkStart w:id="695" w:name="_Toc389065305"/>
      <w:bookmarkStart w:id="696" w:name="_Toc373478386"/>
      <w:bookmarkStart w:id="697" w:name="_Toc78449828"/>
      <w:bookmarkStart w:id="698" w:name="_Toc407135242"/>
      <w:bookmarkStart w:id="699" w:name="_Toc373227739"/>
      <w:bookmarkStart w:id="700" w:name="_Toc1278407274"/>
      <w:bookmarkStart w:id="701" w:name="_Toc603662032"/>
      <w:r>
        <w:rPr>
          <w:rFonts w:hint="eastAsia" w:ascii="宋体" w:hAnsi="宋体" w:eastAsia="宋体" w:cs="宋体"/>
          <w:color w:val="auto"/>
          <w:highlight w:val="none"/>
        </w:rPr>
        <w:t>1</w:t>
      </w:r>
      <w:bookmarkEnd w:id="641"/>
      <w:bookmarkEnd w:id="642"/>
      <w:bookmarkEnd w:id="643"/>
      <w:bookmarkEnd w:id="644"/>
      <w:bookmarkEnd w:id="645"/>
      <w:bookmarkEnd w:id="646"/>
      <w:bookmarkEnd w:id="647"/>
      <w:bookmarkEnd w:id="648"/>
      <w:bookmarkEnd w:id="649"/>
      <w:bookmarkEnd w:id="650"/>
      <w:bookmarkEnd w:id="651"/>
      <w:bookmarkEnd w:id="652"/>
      <w:bookmarkStart w:id="702" w:name="_Toc303539146"/>
      <w:bookmarkStart w:id="703" w:name="_Toc304295566"/>
      <w:bookmarkStart w:id="704" w:name="_Toc296944532"/>
      <w:bookmarkStart w:id="705" w:name="_Toc300934989"/>
      <w:bookmarkStart w:id="706" w:name="_Toc297123540"/>
      <w:bookmarkStart w:id="707" w:name="_Toc296346694"/>
      <w:bookmarkStart w:id="708" w:name="_Toc296891021"/>
      <w:bookmarkStart w:id="709" w:name="_Toc296347192"/>
      <w:bookmarkStart w:id="710" w:name="_Toc297048379"/>
      <w:bookmarkStart w:id="711" w:name="_Toc292559398"/>
      <w:bookmarkStart w:id="712" w:name="_Toc296503193"/>
      <w:bookmarkStart w:id="713" w:name="_Toc292559903"/>
      <w:bookmarkStart w:id="714" w:name="_Toc297120493"/>
      <w:bookmarkStart w:id="715" w:name="_Toc297216199"/>
      <w:bookmarkStart w:id="716" w:name="_Toc296891233"/>
      <w:bookmarkStart w:id="717" w:name="_Toc312678025"/>
      <w:bookmarkStart w:id="718" w:name="_Toc312677499"/>
      <w:bookmarkStart w:id="719" w:name="_Toc267251435"/>
      <w:bookmarkStart w:id="720" w:name="_Toc267251441"/>
      <w:bookmarkStart w:id="721" w:name="_Toc267251437"/>
      <w:bookmarkStart w:id="722" w:name="_Toc267251433"/>
      <w:bookmarkStart w:id="723" w:name="_Toc267251439"/>
      <w:bookmarkStart w:id="724" w:name="_Toc267251440"/>
      <w:bookmarkStart w:id="725" w:name="_Toc267251442"/>
      <w:r>
        <w:rPr>
          <w:rFonts w:hint="eastAsia" w:ascii="宋体" w:hAnsi="宋体" w:eastAsia="宋体" w:cs="宋体"/>
          <w:color w:val="auto"/>
          <w:highlight w:val="none"/>
        </w:rPr>
        <w:t>0. 变更</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bookmarkEnd w:id="717"/>
    <w:bookmarkEnd w:id="718"/>
    <w:p w14:paraId="31281C85">
      <w:pPr>
        <w:pStyle w:val="5"/>
        <w:spacing w:line="360" w:lineRule="auto"/>
        <w:rPr>
          <w:rFonts w:hint="eastAsia" w:ascii="宋体" w:hAnsi="宋体" w:eastAsia="宋体" w:cs="宋体"/>
          <w:color w:val="auto"/>
          <w:highlight w:val="none"/>
        </w:rPr>
      </w:pPr>
      <w:bookmarkStart w:id="726" w:name="_Toc407135243"/>
      <w:bookmarkStart w:id="727" w:name="_Toc411143415"/>
      <w:bookmarkStart w:id="728" w:name="_Toc78449829"/>
      <w:bookmarkStart w:id="729" w:name="_Toc373478387"/>
      <w:bookmarkStart w:id="730" w:name="_Toc1890371558"/>
      <w:bookmarkStart w:id="731" w:name="_Toc389065306"/>
      <w:bookmarkStart w:id="732" w:name="_Toc373227740"/>
      <w:r>
        <w:rPr>
          <w:rFonts w:hint="eastAsia" w:ascii="宋体" w:hAnsi="宋体" w:eastAsia="宋体" w:cs="宋体"/>
          <w:color w:val="auto"/>
          <w:highlight w:val="none"/>
        </w:rPr>
        <w:t>1</w:t>
      </w:r>
      <w:bookmarkStart w:id="733" w:name="_Toc292559399"/>
      <w:bookmarkStart w:id="734" w:name="_Toc296891234"/>
      <w:bookmarkStart w:id="735" w:name="_Toc296346695"/>
      <w:bookmarkStart w:id="736" w:name="_Toc296891022"/>
      <w:bookmarkStart w:id="737" w:name="_Toc304295567"/>
      <w:bookmarkStart w:id="738" w:name="_Toc312677500"/>
      <w:bookmarkStart w:id="739" w:name="_Toc300934990"/>
      <w:bookmarkStart w:id="740" w:name="_Toc312678026"/>
      <w:bookmarkStart w:id="741" w:name="_Toc292559904"/>
      <w:bookmarkStart w:id="742" w:name="_Toc297216200"/>
      <w:bookmarkStart w:id="743" w:name="_Toc297123541"/>
      <w:bookmarkStart w:id="744" w:name="_Toc296503194"/>
      <w:bookmarkStart w:id="745" w:name="_Toc296944533"/>
      <w:bookmarkStart w:id="746" w:name="_Toc297048380"/>
      <w:bookmarkStart w:id="747" w:name="_Toc297120494"/>
      <w:bookmarkStart w:id="748" w:name="_Toc296347193"/>
      <w:bookmarkStart w:id="749" w:name="_Toc303539147"/>
      <w:r>
        <w:rPr>
          <w:rFonts w:hint="eastAsia" w:ascii="宋体" w:hAnsi="宋体" w:eastAsia="宋体" w:cs="宋体"/>
          <w:color w:val="auto"/>
          <w:highlight w:val="none"/>
        </w:rPr>
        <w:t>0.1 变更的范围</w:t>
      </w:r>
      <w:bookmarkEnd w:id="726"/>
      <w:bookmarkEnd w:id="727"/>
      <w:bookmarkEnd w:id="728"/>
      <w:bookmarkEnd w:id="729"/>
      <w:bookmarkEnd w:id="730"/>
      <w:bookmarkEnd w:id="731"/>
      <w:bookmarkEnd w:id="732"/>
    </w:p>
    <w:p w14:paraId="624C2B72">
      <w:pPr>
        <w:spacing w:line="360" w:lineRule="auto"/>
        <w:ind w:firstLine="426"/>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按通用条款</w:t>
      </w:r>
      <w:r>
        <w:rPr>
          <w:rFonts w:hint="eastAsia" w:ascii="宋体" w:hAnsi="宋体" w:eastAsia="宋体" w:cs="宋体"/>
          <w:color w:val="auto"/>
          <w:highlight w:val="none"/>
          <w:u w:val="single"/>
          <w:lang w:eastAsia="zh-CN"/>
        </w:rPr>
        <w:t>。</w:t>
      </w:r>
    </w:p>
    <w:p w14:paraId="0E54C431">
      <w:pPr>
        <w:spacing w:line="360" w:lineRule="auto"/>
        <w:ind w:firstLine="426"/>
        <w:jc w:val="left"/>
        <w:rPr>
          <w:rFonts w:hint="eastAsia" w:ascii="宋体" w:hAnsi="宋体" w:eastAsia="宋体" w:cs="宋体"/>
          <w:color w:val="auto"/>
          <w:highlight w:val="none"/>
        </w:rPr>
      </w:pPr>
      <w:bookmarkStart w:id="750" w:name="_Toc1641633295"/>
      <w:bookmarkStart w:id="751" w:name="_Toc407135244"/>
      <w:bookmarkStart w:id="752" w:name="_Toc78449830"/>
      <w:bookmarkStart w:id="753" w:name="_Toc373478388"/>
      <w:bookmarkStart w:id="754" w:name="_Toc450749207"/>
      <w:bookmarkStart w:id="755" w:name="_Toc373227741"/>
      <w:bookmarkStart w:id="756" w:name="_Toc389065307"/>
      <w:r>
        <w:rPr>
          <w:rFonts w:hint="eastAsia" w:ascii="宋体" w:hAnsi="宋体" w:eastAsia="宋体" w:cs="宋体"/>
          <w:color w:val="auto"/>
          <w:highlight w:val="none"/>
          <w:lang w:val="en-US" w:eastAsia="zh-CN"/>
        </w:rPr>
        <w:t xml:space="preserve">（1）工程施工过程中为完善工程设计，纠正设计错误以及满足现场条件变化而进行的设计修改工作。包括由原设计单位出具的设计变更通知书和由承包人征得原设计单位、发包人同意的设计变更。 </w:t>
      </w:r>
    </w:p>
    <w:p w14:paraId="0A4967D6">
      <w:pPr>
        <w:spacing w:line="360" w:lineRule="auto"/>
        <w:ind w:firstLine="426"/>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工程质量标准变更、建筑材料（装饰材料）、设备的替换、暂定材料或新型材料价格的签证、招标清单漏项或工程量计量错误、发包人原因造成施工方案调整，以及其他因素引起的工程量及工程价款的增减。工程变更严格执行国家有关工程建设强制性标准和技术规范，满足工程质量和使用功能的要求，符合环境保护的要求，确保变更过程合法合规、公开公正，经济合理，未经审查批准的工程变更项目严禁组织实施。 </w:t>
      </w:r>
    </w:p>
    <w:p w14:paraId="0E2F1CA1">
      <w:pPr>
        <w:spacing w:line="360" w:lineRule="auto"/>
        <w:ind w:firstLine="426"/>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（3）施工中承包人不得对原工程设计进行变更。因承包人擅自变更设计发生的费用和由此导致发包人的损失，由承包人承担，延误的工期不予延顺。 </w:t>
      </w:r>
    </w:p>
    <w:p w14:paraId="02D5ACF4">
      <w:pPr>
        <w:spacing w:line="360" w:lineRule="auto"/>
        <w:ind w:firstLine="426"/>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（4）工程项目征地红线范围内施工或检测便道由承包人负责修建，费用由承包人在投标报价中考虑，不得以此进行工程变更。 </w:t>
      </w:r>
    </w:p>
    <w:p w14:paraId="3A887F74">
      <w:pPr>
        <w:spacing w:line="360" w:lineRule="auto"/>
        <w:ind w:firstLine="426"/>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（5）由于施工现场排水组织不畅造成的软土处理、积水排放不得进行工程变更。 </w:t>
      </w:r>
    </w:p>
    <w:p w14:paraId="020C88D9">
      <w:pPr>
        <w:spacing w:line="360" w:lineRule="auto"/>
        <w:ind w:firstLine="426"/>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（6）招标文件工程量清单中有土石方综合报价的，土石成分比例不得进行工程变更。 </w:t>
      </w:r>
    </w:p>
    <w:p w14:paraId="09DBA644">
      <w:pPr>
        <w:spacing w:line="360" w:lineRule="auto"/>
        <w:ind w:firstLine="426"/>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（7）承包人中标后，桩基的成孔方式，施工工艺、施工方案等不得进行工程变更。 </w:t>
      </w:r>
    </w:p>
    <w:p w14:paraId="4605D8AF">
      <w:pPr>
        <w:spacing w:line="360" w:lineRule="auto"/>
        <w:ind w:firstLine="426"/>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（8）涉及到不平衡报价的工程变更，应对合同单价进行调整，确定合理单价后方能进行工程变更。 </w:t>
      </w:r>
    </w:p>
    <w:p w14:paraId="6958B8DC">
      <w:pPr>
        <w:spacing w:line="360" w:lineRule="auto"/>
        <w:ind w:firstLine="426"/>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9）承包人在施工过程中发现设计文件和图纸有差错的，应当自发现日起3个工作日内发包人提出书面意见和建议；因施工方案不当、施工质量有问题、承包人原因造成的工期拖延，以及擅自变更工程设计等原因造成的费用及其他损失，由承包人自行承担，延误的工期不予顺延。 </w:t>
      </w:r>
    </w:p>
    <w:p w14:paraId="33AF23C1">
      <w:pPr>
        <w:spacing w:line="360" w:lineRule="auto"/>
        <w:ind w:firstLine="426"/>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本工程实施过程中，如发生工程承包范围内的增减工程、工程变更或现场签证，承包人应无任何先决条件予以执行，因承包人延误或拒绝实施变更造成的工期延误不予顺延，同时，发包人有权另行委托他人实施，发包人委托他人实施的，按实际发生的费用从承包人最终的结算款中扣除，且承包人需要按发包人委托他人实施之价款的20%向发包人支付违约金，具体支付比例由发包人视情况自行决定，承包人不得有异议，且承包人不能因此免除保修责任。工程承包范围外的承包人应积极配合。</w:t>
      </w:r>
    </w:p>
    <w:p w14:paraId="3F098EC5">
      <w:pPr>
        <w:spacing w:line="360" w:lineRule="auto"/>
        <w:ind w:firstLine="426"/>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10.3 变更程序</w:t>
      </w:r>
      <w:bookmarkEnd w:id="750"/>
      <w:bookmarkEnd w:id="751"/>
      <w:bookmarkEnd w:id="752"/>
      <w:bookmarkEnd w:id="753"/>
      <w:bookmarkEnd w:id="754"/>
      <w:bookmarkEnd w:id="755"/>
      <w:bookmarkEnd w:id="756"/>
      <w:bookmarkStart w:id="757" w:name="_Toc1645711468"/>
      <w:bookmarkStart w:id="758" w:name="_Toc780640360"/>
      <w:bookmarkStart w:id="759" w:name="_Toc78449831"/>
      <w:bookmarkStart w:id="760" w:name="_Toc407135245"/>
      <w:bookmarkStart w:id="761" w:name="_Toc373227742"/>
      <w:bookmarkStart w:id="762" w:name="_Toc389065308"/>
      <w:bookmarkStart w:id="763" w:name="_Toc373478389"/>
    </w:p>
    <w:p w14:paraId="273B343A">
      <w:pPr>
        <w:spacing w:line="360" w:lineRule="auto"/>
        <w:ind w:firstLine="426"/>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10.3.1国有投资项目：</w:t>
      </w:r>
    </w:p>
    <w:p w14:paraId="748BB059">
      <w:pPr>
        <w:spacing w:line="360" w:lineRule="auto"/>
        <w:ind w:firstLine="426"/>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⑴设计变更和工程签证，按各市政府或相关部门的规定办理。属不可抗力（自然灾害、突发事件等）造成变更的，按特事特办原则予以办理。</w:t>
      </w:r>
    </w:p>
    <w:p w14:paraId="76FAF1E5">
      <w:pPr>
        <w:spacing w:line="360" w:lineRule="auto"/>
        <w:ind w:firstLine="426"/>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⑵建设单位在实施项目过程中，若发生单价变动，由发包人、承包人、监理或造价咨询等单位共同商定并签字确认。</w:t>
      </w:r>
    </w:p>
    <w:p w14:paraId="4D087CFF">
      <w:pPr>
        <w:spacing w:line="360" w:lineRule="auto"/>
        <w:ind w:firstLine="426"/>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⑶ 当合同规定的合同价款调整情况发生后，承包人未在规定时间内通知发包人，或者未在规定时间内提出调整报告，发包人可以根据有关资料，决定是否调整和调整的金额，并书面通知承包人。</w:t>
      </w:r>
    </w:p>
    <w:p w14:paraId="7432B7D2">
      <w:pPr>
        <w:pStyle w:val="5"/>
        <w:spacing w:line="360" w:lineRule="auto"/>
        <w:ind w:firstLine="210" w:firstLineChars="10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10.3.2 非国有投资项目：参照国有投资项目执行。</w:t>
      </w:r>
    </w:p>
    <w:p w14:paraId="42AF8E01">
      <w:pPr>
        <w:pStyle w:val="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10.4 变更估价</w:t>
      </w:r>
      <w:bookmarkEnd w:id="757"/>
      <w:bookmarkEnd w:id="758"/>
      <w:bookmarkEnd w:id="759"/>
      <w:bookmarkEnd w:id="760"/>
      <w:bookmarkEnd w:id="761"/>
      <w:bookmarkEnd w:id="762"/>
      <w:bookmarkEnd w:id="763"/>
    </w:p>
    <w:p w14:paraId="2B6A48CC">
      <w:pPr>
        <w:spacing w:line="360" w:lineRule="auto"/>
        <w:ind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10.4.1 变更估价原则</w:t>
      </w:r>
    </w:p>
    <w:p w14:paraId="70898C1F">
      <w:pPr>
        <w:pStyle w:val="5"/>
        <w:spacing w:line="360" w:lineRule="auto"/>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color w:val="auto"/>
          <w:highlight w:val="none"/>
        </w:rPr>
        <w:t xml:space="preserve">关于变更估价的约定: </w:t>
      </w:r>
      <w:r>
        <w:rPr>
          <w:rFonts w:hint="eastAsia" w:ascii="宋体" w:hAnsi="宋体" w:eastAsia="宋体" w:cs="宋体"/>
          <w:color w:val="auto"/>
          <w:highlight w:val="none"/>
          <w:lang w:val="en-US" w:eastAsia="zh-CN"/>
        </w:rPr>
        <w:t>工程变更合同价款按下列方法进行：</w:t>
      </w:r>
      <w:bookmarkStart w:id="764" w:name="_Toc1342657745"/>
      <w:bookmarkStart w:id="765" w:name="_Toc650800266"/>
      <w:bookmarkStart w:id="766" w:name="_Toc373227743"/>
      <w:bookmarkStart w:id="767" w:name="_Toc389065309"/>
      <w:bookmarkStart w:id="768" w:name="_Toc407135246"/>
      <w:bookmarkStart w:id="769" w:name="_Toc78449832"/>
      <w:bookmarkStart w:id="770" w:name="_Toc373478390"/>
      <w:r>
        <w:rPr>
          <w:rFonts w:hint="eastAsia" w:ascii="宋体" w:hAnsi="宋体" w:eastAsia="宋体" w:cs="宋体"/>
          <w:b w:val="0"/>
          <w:bCs w:val="0"/>
          <w:color w:val="auto"/>
          <w:kern w:val="2"/>
          <w:sz w:val="21"/>
          <w:szCs w:val="21"/>
          <w:highlight w:val="none"/>
          <w:u w:val="single"/>
          <w:lang w:val="en-US" w:eastAsia="zh-CN" w:bidi="ar-SA"/>
        </w:rPr>
        <w:t>（1）合同中已有相同清单项目的，按合同该清单项目价格进行计算；（2）合同中只有类似清单项目的，参照该类似清单项目价格进行计算；（3）合同中没有适用或类似清单项目的价格计算方法：有定额的套定额，并（☑乘以下浮系数=【中标的投标报价(合同价格) /招标人发布的工程招标控制价(合同价格)】，□不乘下浮系数）计算，其中：材料设备价格按施工期间的《柳州市建设工程造价信息》相应信息价的加权平均值计算，《柳州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以上约定同时适用于招标工程量清单缺项以及工程量清单项目特征与图纸不符时的价款确定。</w:t>
      </w:r>
    </w:p>
    <w:p w14:paraId="058ACF7F">
      <w:pPr>
        <w:pStyle w:val="5"/>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工程变更导致实际完成的变更工程量与已标价清单或预算书中列明的该项目工程量有偏差时，其综合单价的确定按专用条款“1.13工程量清单错误的修正”执行。</w:t>
      </w:r>
    </w:p>
    <w:p w14:paraId="778EC93D">
      <w:pPr>
        <w:pStyle w:val="5"/>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Start w:id="771" w:name="_Toc297120497"/>
      <w:bookmarkStart w:id="772" w:name="_Toc296347196"/>
      <w:bookmarkStart w:id="773" w:name="_Toc296346698"/>
      <w:bookmarkStart w:id="774" w:name="_Toc300934993"/>
      <w:bookmarkStart w:id="775" w:name="_Toc297216203"/>
      <w:bookmarkStart w:id="776" w:name="_Toc296891237"/>
      <w:bookmarkStart w:id="777" w:name="_Toc303539150"/>
      <w:bookmarkStart w:id="778" w:name="_Toc296891025"/>
      <w:bookmarkStart w:id="779" w:name="_Toc297123544"/>
      <w:bookmarkStart w:id="780" w:name="_Toc296944536"/>
      <w:bookmarkStart w:id="781" w:name="_Toc292559907"/>
      <w:bookmarkStart w:id="782" w:name="_Toc297048383"/>
      <w:bookmarkStart w:id="783" w:name="_Toc292559402"/>
      <w:bookmarkStart w:id="784" w:name="_Toc296503197"/>
      <w:bookmarkStart w:id="785" w:name="_Toc304295570"/>
      <w:bookmarkStart w:id="786" w:name="_Toc312678029"/>
      <w:bookmarkStart w:id="787" w:name="_Toc312677503"/>
      <w:r>
        <w:rPr>
          <w:rFonts w:hint="eastAsia" w:ascii="宋体" w:hAnsi="宋体" w:eastAsia="宋体" w:cs="宋体"/>
          <w:color w:val="auto"/>
          <w:highlight w:val="none"/>
          <w:lang w:val="en-US" w:eastAsia="zh-CN"/>
        </w:rPr>
        <w:t>0.5 承</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Start w:id="788" w:name="_Toc300934994"/>
      <w:bookmarkStart w:id="789" w:name="_Toc296347202"/>
      <w:bookmarkStart w:id="790" w:name="_Toc292559913"/>
      <w:bookmarkStart w:id="791" w:name="_Toc296346704"/>
      <w:bookmarkStart w:id="792" w:name="_Toc296891031"/>
      <w:bookmarkStart w:id="793" w:name="_Toc303539151"/>
      <w:bookmarkStart w:id="794" w:name="_Toc297120503"/>
      <w:bookmarkStart w:id="795" w:name="_Toc296944542"/>
      <w:bookmarkStart w:id="796" w:name="_Toc297048389"/>
      <w:bookmarkStart w:id="797" w:name="_Toc292559408"/>
      <w:bookmarkStart w:id="798" w:name="_Toc297216204"/>
      <w:bookmarkStart w:id="799" w:name="_Toc296503203"/>
      <w:bookmarkStart w:id="800" w:name="_Toc297123545"/>
      <w:bookmarkStart w:id="801" w:name="_Toc296891243"/>
      <w:r>
        <w:rPr>
          <w:rFonts w:hint="eastAsia" w:ascii="宋体" w:hAnsi="宋体" w:eastAsia="宋体" w:cs="宋体"/>
          <w:color w:val="auto"/>
          <w:highlight w:val="none"/>
          <w:lang w:val="en-US" w:eastAsia="zh-CN"/>
        </w:rPr>
        <w:t>包人的合理化建议</w:t>
      </w:r>
      <w:bookmarkEnd w:id="764"/>
      <w:bookmarkEnd w:id="765"/>
      <w:bookmarkEnd w:id="766"/>
      <w:bookmarkEnd w:id="767"/>
      <w:bookmarkEnd w:id="768"/>
      <w:bookmarkEnd w:id="769"/>
      <w:bookmarkEnd w:id="770"/>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1D683D3F">
      <w:pPr>
        <w:pStyle w:val="5"/>
        <w:spacing w:line="360" w:lineRule="auto"/>
        <w:ind w:firstLine="420" w:firstLineChars="200"/>
        <w:rPr>
          <w:rFonts w:hint="eastAsia" w:ascii="宋体" w:hAnsi="宋体" w:eastAsia="宋体" w:cs="宋体"/>
          <w:b w:val="0"/>
          <w:bCs w:val="0"/>
          <w:color w:val="auto"/>
          <w:kern w:val="2"/>
          <w:sz w:val="21"/>
          <w:szCs w:val="22"/>
          <w:highlight w:val="none"/>
          <w:lang w:val="en-US" w:eastAsia="zh-CN" w:bidi="ar-SA"/>
        </w:rPr>
      </w:pPr>
      <w:bookmarkStart w:id="802" w:name="_Toc389065310"/>
      <w:bookmarkStart w:id="803" w:name="_Toc373227744"/>
      <w:bookmarkStart w:id="804" w:name="_Toc2045792355"/>
      <w:bookmarkStart w:id="805" w:name="_Toc373478391"/>
      <w:bookmarkStart w:id="806" w:name="_Toc78449833"/>
      <w:bookmarkStart w:id="807" w:name="_Toc407135247"/>
      <w:bookmarkStart w:id="808" w:name="_Toc502454636"/>
      <w:r>
        <w:rPr>
          <w:rFonts w:hint="eastAsia" w:ascii="宋体" w:hAnsi="宋体" w:eastAsia="宋体" w:cs="宋体"/>
          <w:b w:val="0"/>
          <w:bCs w:val="0"/>
          <w:color w:val="auto"/>
          <w:kern w:val="2"/>
          <w:sz w:val="21"/>
          <w:szCs w:val="22"/>
          <w:highlight w:val="none"/>
          <w:lang w:val="en-US" w:eastAsia="zh-CN" w:bidi="ar-SA"/>
        </w:rPr>
        <w:t>监理人审查承包人合理化建议的期限：</w:t>
      </w:r>
      <w:r>
        <w:rPr>
          <w:rFonts w:hint="eastAsia" w:ascii="宋体" w:hAnsi="宋体" w:eastAsia="宋体" w:cs="宋体"/>
          <w:b w:val="0"/>
          <w:bCs w:val="0"/>
          <w:color w:val="auto"/>
          <w:kern w:val="2"/>
          <w:sz w:val="21"/>
          <w:szCs w:val="22"/>
          <w:highlight w:val="none"/>
          <w:u w:val="single"/>
          <w:lang w:val="en-US" w:eastAsia="zh-CN" w:bidi="ar-SA"/>
        </w:rPr>
        <w:t>从收到合理化建议书之日起7天内。</w:t>
      </w:r>
    </w:p>
    <w:p w14:paraId="353EC89A">
      <w:pPr>
        <w:pStyle w:val="5"/>
        <w:spacing w:line="360" w:lineRule="auto"/>
        <w:ind w:firstLine="420" w:firstLineChars="20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发包人审批承包人合理化建议的期限：</w:t>
      </w:r>
      <w:r>
        <w:rPr>
          <w:rFonts w:hint="eastAsia" w:ascii="宋体" w:hAnsi="宋体" w:eastAsia="宋体" w:cs="宋体"/>
          <w:b w:val="0"/>
          <w:bCs w:val="0"/>
          <w:color w:val="auto"/>
          <w:kern w:val="2"/>
          <w:sz w:val="21"/>
          <w:szCs w:val="22"/>
          <w:highlight w:val="none"/>
          <w:u w:val="single"/>
          <w:lang w:val="en-US" w:eastAsia="zh-CN" w:bidi="ar-SA"/>
        </w:rPr>
        <w:t>从收到合理化建议书之日起7天内。</w:t>
      </w:r>
    </w:p>
    <w:p w14:paraId="215964B2">
      <w:pPr>
        <w:pStyle w:val="5"/>
        <w:spacing w:line="360" w:lineRule="auto"/>
        <w:ind w:firstLine="420" w:firstLineChars="20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承</w:t>
      </w:r>
      <w:bookmarkStart w:id="809" w:name="_Toc297120504"/>
      <w:bookmarkStart w:id="810" w:name="_Toc292559409"/>
      <w:bookmarkStart w:id="811" w:name="_Toc318581175"/>
      <w:bookmarkStart w:id="812" w:name="_Toc297123546"/>
      <w:bookmarkStart w:id="813" w:name="_Toc303539152"/>
      <w:bookmarkStart w:id="814" w:name="_Toc297216205"/>
      <w:bookmarkStart w:id="815" w:name="_Toc296944543"/>
      <w:bookmarkStart w:id="816" w:name="_Toc296346705"/>
      <w:bookmarkStart w:id="817" w:name="_Toc304295571"/>
      <w:bookmarkStart w:id="818" w:name="_Toc297048390"/>
      <w:bookmarkStart w:id="819" w:name="_Toc296891032"/>
      <w:bookmarkStart w:id="820" w:name="_Toc296503204"/>
      <w:bookmarkStart w:id="821" w:name="_Toc312678030"/>
      <w:bookmarkStart w:id="822" w:name="_Toc312677504"/>
      <w:bookmarkStart w:id="823" w:name="_Toc296891244"/>
      <w:bookmarkStart w:id="824" w:name="_Toc300934995"/>
      <w:bookmarkStart w:id="825" w:name="_Toc292559914"/>
      <w:bookmarkStart w:id="826" w:name="_Toc296347203"/>
      <w:r>
        <w:rPr>
          <w:rFonts w:hint="eastAsia" w:ascii="宋体" w:hAnsi="宋体" w:eastAsia="宋体" w:cs="宋体"/>
          <w:b w:val="0"/>
          <w:bCs w:val="0"/>
          <w:color w:val="auto"/>
          <w:kern w:val="2"/>
          <w:sz w:val="21"/>
          <w:szCs w:val="22"/>
          <w:highlight w:val="none"/>
          <w:lang w:val="en-US" w:eastAsia="zh-CN" w:bidi="ar-SA"/>
        </w:rPr>
        <w:t>包人提出的合理化建议降低了合同价格或者提高了工程经济效益的奖励的方法和金额为：</w:t>
      </w:r>
      <w:r>
        <w:rPr>
          <w:rFonts w:hint="eastAsia" w:ascii="宋体" w:hAnsi="宋体" w:eastAsia="宋体" w:cs="宋体"/>
          <w:b w:val="0"/>
          <w:bCs w:val="0"/>
          <w:color w:val="auto"/>
          <w:kern w:val="2"/>
          <w:sz w:val="21"/>
          <w:szCs w:val="22"/>
          <w:highlight w:val="none"/>
          <w:u w:val="single"/>
          <w:lang w:val="en-US" w:eastAsia="zh-CN" w:bidi="ar-SA"/>
        </w:rPr>
        <w:t xml:space="preserve">无 </w:t>
      </w:r>
      <w:r>
        <w:rPr>
          <w:rFonts w:hint="eastAsia" w:ascii="宋体" w:hAnsi="宋体" w:eastAsia="宋体" w:cs="宋体"/>
          <w:b w:val="0"/>
          <w:bCs w:val="0"/>
          <w:color w:val="auto"/>
          <w:kern w:val="2"/>
          <w:sz w:val="21"/>
          <w:szCs w:val="22"/>
          <w:highlight w:val="none"/>
          <w:lang w:val="en-US" w:eastAsia="zh-CN" w:bidi="ar-SA"/>
        </w:rPr>
        <w:t>。</w:t>
      </w:r>
    </w:p>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2E56F9F7">
      <w:pPr>
        <w:pStyle w:val="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bookmarkStart w:id="827" w:name="_Toc296891239"/>
      <w:bookmarkStart w:id="828" w:name="_Toc297216207"/>
      <w:bookmarkStart w:id="829" w:name="_Toc296944538"/>
      <w:bookmarkStart w:id="830" w:name="_Toc296347198"/>
      <w:bookmarkStart w:id="831" w:name="_Toc300934997"/>
      <w:bookmarkStart w:id="832" w:name="_Toc304295574"/>
      <w:bookmarkStart w:id="833" w:name="_Toc292559909"/>
      <w:bookmarkStart w:id="834" w:name="_Toc296891027"/>
      <w:bookmarkStart w:id="835" w:name="_Toc312678033"/>
      <w:bookmarkStart w:id="836" w:name="_Toc297120499"/>
      <w:bookmarkStart w:id="837" w:name="_Toc312677507"/>
      <w:bookmarkStart w:id="838" w:name="_Toc303539154"/>
      <w:bookmarkStart w:id="839" w:name="_Toc292559404"/>
      <w:bookmarkStart w:id="840" w:name="_Toc296503199"/>
      <w:bookmarkStart w:id="841" w:name="_Toc296346700"/>
      <w:bookmarkStart w:id="842" w:name="_Toc297048385"/>
      <w:bookmarkStart w:id="843" w:name="_Toc297123548"/>
      <w:r>
        <w:rPr>
          <w:rFonts w:hint="eastAsia" w:ascii="宋体" w:hAnsi="宋体" w:eastAsia="宋体" w:cs="宋体"/>
          <w:color w:val="auto"/>
          <w:highlight w:val="none"/>
        </w:rPr>
        <w:t>0.7 暂估价</w:t>
      </w:r>
      <w:bookmarkEnd w:id="802"/>
      <w:bookmarkEnd w:id="803"/>
      <w:bookmarkEnd w:id="804"/>
      <w:bookmarkEnd w:id="805"/>
      <w:bookmarkEnd w:id="806"/>
      <w:bookmarkEnd w:id="807"/>
      <w:bookmarkEnd w:id="808"/>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14:paraId="3336D8C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w:t>
      </w:r>
      <w:bookmarkStart w:id="844" w:name="_Toc312677508"/>
      <w:bookmarkStart w:id="845" w:name="_Toc318581176"/>
      <w:bookmarkStart w:id="846" w:name="_Toc312678034"/>
      <w:r>
        <w:rPr>
          <w:rFonts w:hint="eastAsia" w:ascii="宋体" w:hAnsi="宋体" w:eastAsia="宋体" w:cs="宋体"/>
          <w:color w:val="auto"/>
          <w:kern w:val="0"/>
          <w:highlight w:val="none"/>
        </w:rPr>
        <w:t>估价材料和工程设备的明细详见已标价工程量清单《</w:t>
      </w:r>
      <w:r>
        <w:rPr>
          <w:rFonts w:hint="eastAsia" w:ascii="宋体" w:hAnsi="宋体" w:eastAsia="宋体" w:cs="宋体"/>
          <w:color w:val="auto"/>
          <w:highlight w:val="none"/>
        </w:rPr>
        <w:t>材料（工程设备）暂估价格及调整表》</w:t>
      </w:r>
      <w:r>
        <w:rPr>
          <w:rFonts w:hint="eastAsia" w:ascii="宋体" w:hAnsi="宋体" w:eastAsia="宋体" w:cs="宋体"/>
          <w:color w:val="auto"/>
          <w:kern w:val="0"/>
          <w:highlight w:val="none"/>
        </w:rPr>
        <w:t>（表12-2）和《</w:t>
      </w:r>
      <w:r>
        <w:rPr>
          <w:rFonts w:hint="eastAsia" w:ascii="宋体" w:hAnsi="宋体" w:eastAsia="宋体" w:cs="宋体"/>
          <w:color w:val="auto"/>
          <w:highlight w:val="none"/>
        </w:rPr>
        <w:t>专业工程暂估价表》（</w:t>
      </w:r>
      <w:r>
        <w:rPr>
          <w:rFonts w:hint="eastAsia" w:ascii="宋体" w:hAnsi="宋体" w:eastAsia="宋体" w:cs="宋体"/>
          <w:color w:val="auto"/>
          <w:kern w:val="0"/>
          <w:highlight w:val="none"/>
        </w:rPr>
        <w:t>表12-3）。</w:t>
      </w:r>
    </w:p>
    <w:bookmarkEnd w:id="844"/>
    <w:bookmarkEnd w:id="845"/>
    <w:bookmarkEnd w:id="846"/>
    <w:p w14:paraId="0C1336F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bookmarkStart w:id="847" w:name="_Toc312678035"/>
      <w:bookmarkStart w:id="848" w:name="_Toc318581177"/>
      <w:bookmarkStart w:id="849" w:name="_Toc312677509"/>
      <w:r>
        <w:rPr>
          <w:rFonts w:hint="eastAsia" w:ascii="宋体" w:hAnsi="宋体" w:eastAsia="宋体" w:cs="宋体"/>
          <w:color w:val="auto"/>
          <w:highlight w:val="none"/>
        </w:rPr>
        <w:t>0.7.1 依法必须招标的暂估价项目</w:t>
      </w:r>
    </w:p>
    <w:bookmarkEnd w:id="847"/>
    <w:bookmarkEnd w:id="848"/>
    <w:bookmarkEnd w:id="849"/>
    <w:p w14:paraId="78D14E7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种方式确定。</w:t>
      </w:r>
    </w:p>
    <w:p w14:paraId="1796526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EAD9B7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14:paraId="629BFBD6">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对于不属于依法必须招标的暂估价项目的确认和批准采取第 3 种方式确定。</w:t>
      </w:r>
    </w:p>
    <w:p w14:paraId="728F8673">
      <w:pPr>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第3种方式：承包人直接实施的暂估价项目</w:t>
      </w:r>
    </w:p>
    <w:p w14:paraId="74857B51">
      <w:pPr>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承包人直接实施的暂估价项目的约定：</w:t>
      </w:r>
      <w:r>
        <w:rPr>
          <w:rFonts w:hint="eastAsia" w:ascii="宋体" w:hAnsi="宋体" w:eastAsia="宋体" w:cs="宋体"/>
          <w:b/>
          <w:bCs/>
          <w:color w:val="auto"/>
          <w:highlight w:val="none"/>
          <w:u w:val="single"/>
        </w:rPr>
        <w:t xml:space="preserve"> 承包人直接实施的暂估价项目</w:t>
      </w:r>
      <w:bookmarkStart w:id="850" w:name="_bookmark139"/>
      <w:bookmarkEnd w:id="850"/>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由承包人根据工程资料、计量规则和计价方法、工程造价管理机构发布的信息价格和承包人报价浮动率（承包人报价浮动率L＝（1-中标价/招标控制价）×100%）提出暂估工程项目的单价，报发包方作为申报进度款的依据，最终以结算时审计审核为最终结果</w:t>
      </w:r>
      <w:r>
        <w:rPr>
          <w:rFonts w:hint="eastAsia" w:ascii="宋体" w:hAnsi="宋体" w:eastAsia="宋体" w:cs="宋体"/>
          <w:b/>
          <w:bCs/>
          <w:color w:val="auto"/>
          <w:highlight w:val="none"/>
        </w:rPr>
        <w:t>。</w:t>
      </w:r>
    </w:p>
    <w:p w14:paraId="25A5657C">
      <w:pPr>
        <w:pStyle w:val="5"/>
        <w:spacing w:line="360" w:lineRule="auto"/>
        <w:rPr>
          <w:rFonts w:hint="eastAsia" w:ascii="宋体" w:hAnsi="宋体" w:eastAsia="宋体" w:cs="宋体"/>
          <w:color w:val="auto"/>
          <w:highlight w:val="none"/>
        </w:rPr>
      </w:pPr>
      <w:bookmarkStart w:id="851" w:name="_Toc2131098822"/>
      <w:bookmarkStart w:id="852" w:name="_Toc2032108729"/>
      <w:bookmarkStart w:id="853" w:name="_Toc389065311"/>
      <w:bookmarkStart w:id="854" w:name="_Toc78449834"/>
      <w:bookmarkStart w:id="855" w:name="_Toc407135248"/>
      <w:bookmarkStart w:id="856" w:name="_Toc373227745"/>
      <w:bookmarkStart w:id="857" w:name="_Toc373478392"/>
      <w:r>
        <w:rPr>
          <w:rFonts w:hint="eastAsia" w:ascii="宋体" w:hAnsi="宋体" w:eastAsia="宋体" w:cs="宋体"/>
          <w:color w:val="auto"/>
          <w:highlight w:val="none"/>
        </w:rPr>
        <w:t>10.8 暂列金额</w:t>
      </w:r>
      <w:bookmarkEnd w:id="851"/>
      <w:bookmarkEnd w:id="852"/>
      <w:bookmarkEnd w:id="853"/>
      <w:bookmarkEnd w:id="854"/>
      <w:bookmarkEnd w:id="855"/>
      <w:bookmarkEnd w:id="856"/>
      <w:bookmarkEnd w:id="857"/>
    </w:p>
    <w:p w14:paraId="03AA2DD7">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合同当事人关于暂列金额使用的约定：</w:t>
      </w:r>
      <w:r>
        <w:rPr>
          <w:rFonts w:hint="eastAsia" w:ascii="宋体" w:hAnsi="宋体" w:eastAsia="宋体" w:cs="宋体"/>
          <w:color w:val="auto"/>
          <w:highlight w:val="none"/>
          <w:u w:val="single"/>
        </w:rPr>
        <w:t xml:space="preserve"> 按发包人的要求使用</w:t>
      </w:r>
      <w:r>
        <w:rPr>
          <w:rFonts w:hint="eastAsia" w:ascii="宋体" w:hAnsi="宋体" w:eastAsia="宋体" w:cs="宋体"/>
          <w:color w:val="auto"/>
          <w:kern w:val="0"/>
          <w:highlight w:val="none"/>
        </w:rPr>
        <w:t>。</w:t>
      </w:r>
    </w:p>
    <w:p w14:paraId="25969418">
      <w:pPr>
        <w:autoSpaceDE w:val="0"/>
        <w:autoSpaceDN w:val="0"/>
        <w:adjustRightInd w:val="0"/>
        <w:spacing w:line="360" w:lineRule="auto"/>
        <w:ind w:firstLine="422" w:firstLineChars="200"/>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lang w:val="en-US" w:eastAsia="zh-CN"/>
        </w:rPr>
        <w:t xml:space="preserve">10.9 计日工 </w:t>
      </w:r>
    </w:p>
    <w:p w14:paraId="7C8F2579">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 </w:t>
      </w:r>
    </w:p>
    <w:p w14:paraId="61F99115">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采用计日工计价的任何一项工作，承包人应在该项工作实施过程中，每天提交以下报表和有关凭证报送监理人审查： </w:t>
      </w:r>
    </w:p>
    <w:p w14:paraId="3C7A4714">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（1）工作名称、内容和数量； </w:t>
      </w:r>
    </w:p>
    <w:p w14:paraId="578305CC">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（2）投入该工作的所有人员的姓名、专业、工种、级别和耗用工时； </w:t>
      </w:r>
    </w:p>
    <w:p w14:paraId="6571F2AE">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（3）投入该工作的材料类别和数量； </w:t>
      </w:r>
    </w:p>
    <w:p w14:paraId="65E3D7CC">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（4）投入该工作的施工设备型号、台数和耗用台时； </w:t>
      </w:r>
    </w:p>
    <w:p w14:paraId="21B3F400">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（5）其他有关资料和凭证。 </w:t>
      </w:r>
    </w:p>
    <w:p w14:paraId="420F3392">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计日工由承包人汇总后，列入最近一期进度付款申请单，由监理人审查并经发包人批准后列入进度付款。</w:t>
      </w:r>
    </w:p>
    <w:p w14:paraId="116AA7AA">
      <w:pPr>
        <w:pStyle w:val="2"/>
        <w:numPr>
          <w:ilvl w:val="0"/>
          <w:numId w:val="0"/>
        </w:numPr>
        <w:spacing w:line="360" w:lineRule="auto"/>
        <w:rPr>
          <w:rFonts w:hint="eastAsia" w:ascii="宋体" w:hAnsi="宋体" w:eastAsia="宋体" w:cs="宋体"/>
          <w:color w:val="auto"/>
          <w:highlight w:val="none"/>
        </w:rPr>
      </w:pPr>
      <w:bookmarkStart w:id="858" w:name="_Toc136736539"/>
      <w:bookmarkStart w:id="859" w:name="_Toc407135249"/>
      <w:bookmarkStart w:id="860" w:name="_Toc373478393"/>
      <w:bookmarkStart w:id="861" w:name="_Toc373227746"/>
      <w:bookmarkStart w:id="862" w:name="_Toc78449835"/>
      <w:bookmarkStart w:id="863" w:name="_Toc1190723452"/>
      <w:bookmarkStart w:id="864" w:name="_Toc389065312"/>
      <w:bookmarkStart w:id="865" w:name="_Toc351203643"/>
      <w:r>
        <w:rPr>
          <w:rFonts w:hint="eastAsia" w:ascii="宋体" w:hAnsi="宋体" w:eastAsia="宋体" w:cs="宋体"/>
          <w:b/>
          <w:bCs/>
          <w:color w:val="auto"/>
          <w:kern w:val="2"/>
          <w:sz w:val="21"/>
          <w:szCs w:val="32"/>
          <w:highlight w:val="none"/>
          <w:lang w:val="en-US" w:eastAsia="zh-CN" w:bidi="ar-SA"/>
        </w:rPr>
        <w:t>11.</w:t>
      </w:r>
      <w:r>
        <w:rPr>
          <w:rFonts w:hint="eastAsia" w:ascii="宋体" w:hAnsi="宋体" w:eastAsia="宋体" w:cs="宋体"/>
          <w:color w:val="auto"/>
          <w:highlight w:val="none"/>
        </w:rPr>
        <w:t>价格调整</w:t>
      </w:r>
      <w:bookmarkEnd w:id="858"/>
      <w:bookmarkEnd w:id="859"/>
      <w:bookmarkEnd w:id="860"/>
      <w:bookmarkEnd w:id="861"/>
      <w:bookmarkEnd w:id="862"/>
      <w:bookmarkEnd w:id="863"/>
      <w:bookmarkEnd w:id="864"/>
      <w:bookmarkEnd w:id="865"/>
      <w:bookmarkStart w:id="866" w:name="_Toc42268484"/>
      <w:bookmarkStart w:id="867" w:name="_Toc407135250"/>
      <w:bookmarkStart w:id="868" w:name="_Toc389065313"/>
      <w:bookmarkStart w:id="869" w:name="_Toc373478394"/>
      <w:bookmarkStart w:id="870" w:name="_Toc373227747"/>
      <w:bookmarkStart w:id="871" w:name="_Toc1501386015"/>
      <w:bookmarkStart w:id="872" w:name="_Toc78449836"/>
      <w:bookmarkStart w:id="873" w:name="_Toc296891241"/>
      <w:bookmarkStart w:id="874" w:name="_Toc296346702"/>
      <w:bookmarkStart w:id="875" w:name="_Toc292559406"/>
      <w:bookmarkStart w:id="876" w:name="_Toc296503201"/>
      <w:bookmarkStart w:id="877" w:name="_Toc296347200"/>
      <w:bookmarkStart w:id="878" w:name="_Toc303539157"/>
      <w:bookmarkStart w:id="879" w:name="_Toc312678039"/>
      <w:bookmarkStart w:id="880" w:name="_Toc304295577"/>
      <w:bookmarkStart w:id="881" w:name="_Toc297120501"/>
      <w:bookmarkStart w:id="882" w:name="_Toc296944540"/>
      <w:bookmarkStart w:id="883" w:name="_Toc296891029"/>
      <w:bookmarkStart w:id="884" w:name="_Toc300935000"/>
      <w:bookmarkStart w:id="885" w:name="_Toc297216209"/>
      <w:bookmarkStart w:id="886" w:name="_Toc297123550"/>
      <w:bookmarkStart w:id="887" w:name="_Toc292559911"/>
      <w:bookmarkStart w:id="888" w:name="_Toc297048387"/>
    </w:p>
    <w:p w14:paraId="52FFFBB6">
      <w:pPr>
        <w:pStyle w:val="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11.1 市场价格波动引起的调整</w:t>
      </w:r>
      <w:bookmarkEnd w:id="866"/>
      <w:bookmarkEnd w:id="867"/>
      <w:bookmarkEnd w:id="868"/>
      <w:bookmarkEnd w:id="869"/>
      <w:bookmarkEnd w:id="870"/>
      <w:bookmarkEnd w:id="871"/>
      <w:bookmarkEnd w:id="872"/>
    </w:p>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14:paraId="121AFBB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kern w:val="0"/>
          <w:highlight w:val="none"/>
          <w:u w:val="single"/>
          <w:lang w:val="en-US" w:eastAsia="zh-CN"/>
        </w:rPr>
        <w:t>市场价格波动超过双方约定的范围，调整合同价格</w:t>
      </w:r>
      <w:r>
        <w:rPr>
          <w:rFonts w:hint="eastAsia" w:ascii="宋体" w:hAnsi="宋体" w:eastAsia="宋体" w:cs="宋体"/>
          <w:color w:val="auto"/>
          <w:highlight w:val="none"/>
        </w:rPr>
        <w:t>。</w:t>
      </w:r>
    </w:p>
    <w:p w14:paraId="6FAAE0F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种方式对合同价格进行调整：</w:t>
      </w:r>
    </w:p>
    <w:p w14:paraId="7581BD7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476FACB0">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96BC68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71899C6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允许调整的主要材料和设备、基期价格、风险系数、投标报价：详见《承包人提供主要材料和设备一览表》,价差按相应规费及税金计取，除此表列明的材料、设备外，其余材料设备价差原则上不予调整</w:t>
      </w:r>
      <w:r>
        <w:rPr>
          <w:rFonts w:hint="eastAsia" w:ascii="宋体" w:hAnsi="宋体" w:eastAsia="宋体" w:cs="宋体"/>
          <w:color w:val="auto"/>
          <w:highlight w:val="none"/>
        </w:rPr>
        <w:t>。</w:t>
      </w:r>
    </w:p>
    <w:p w14:paraId="5BD85EF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（2）主要材料和</w:t>
      </w:r>
      <w:r>
        <w:rPr>
          <w:rFonts w:hint="eastAsia" w:ascii="宋体" w:hAnsi="宋体" w:eastAsia="宋体" w:cs="宋体"/>
          <w:color w:val="auto"/>
          <w:highlight w:val="none"/>
          <w:lang w:val="en"/>
        </w:rPr>
        <w:t>工程</w:t>
      </w:r>
      <w:r>
        <w:rPr>
          <w:rFonts w:hint="eastAsia" w:ascii="宋体" w:hAnsi="宋体" w:eastAsia="宋体" w:cs="宋体"/>
          <w:color w:val="auto"/>
          <w:highlight w:val="none"/>
        </w:rPr>
        <w:t>设备确认价：</w:t>
      </w:r>
    </w:p>
    <w:p w14:paraId="43EACA4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按施工期间《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柳州</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市建设工程造价信息》材料信息价的加权平均价计算，信息价没有的按通用条款规定确定。</w:t>
      </w:r>
    </w:p>
    <w:p w14:paraId="69FCC7B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（3）价差计算方法：</w:t>
      </w:r>
    </w:p>
    <w:p w14:paraId="1467B65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承包人提供主要材料和设备一览表</w:t>
      </w:r>
      <w:r>
        <w:rPr>
          <w:rFonts w:hint="eastAsia" w:ascii="宋体" w:hAnsi="宋体" w:eastAsia="宋体" w:cs="宋体"/>
          <w:color w:val="auto"/>
          <w:highlight w:val="none"/>
        </w:rPr>
        <w:t>》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0D21112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②承包人在《</w:t>
      </w:r>
      <w:r>
        <w:rPr>
          <w:rFonts w:hint="eastAsia" w:ascii="宋体" w:hAnsi="宋体" w:eastAsia="宋体" w:cs="宋体"/>
          <w:color w:val="auto"/>
          <w:highlight w:val="none"/>
          <w:lang w:val="en" w:eastAsia="zh-CN"/>
        </w:rPr>
        <w:t>允许调整</w:t>
      </w:r>
      <w:r>
        <w:rPr>
          <w:rFonts w:hint="eastAsia" w:ascii="宋体" w:hAnsi="宋体" w:eastAsia="宋体" w:cs="宋体"/>
          <w:color w:val="auto"/>
          <w:highlight w:val="none"/>
        </w:rPr>
        <w:t>主要材料和</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439572A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③承包人在《</w:t>
      </w:r>
      <w:r>
        <w:rPr>
          <w:rFonts w:hint="eastAsia" w:ascii="宋体" w:hAnsi="宋体" w:eastAsia="宋体" w:cs="宋体"/>
          <w:color w:val="auto"/>
          <w:highlight w:val="none"/>
          <w:lang w:val="en" w:eastAsia="zh-CN"/>
        </w:rPr>
        <w:t>允许调整</w:t>
      </w:r>
      <w:r>
        <w:rPr>
          <w:rFonts w:hint="eastAsia" w:ascii="宋体" w:hAnsi="宋体" w:eastAsia="宋体" w:cs="宋体"/>
          <w:color w:val="auto"/>
          <w:highlight w:val="none"/>
        </w:rPr>
        <w:t>主要材料和</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D32C0B8">
      <w:pPr>
        <w:spacing w:line="360" w:lineRule="auto"/>
        <w:ind w:firstLine="645"/>
        <w:jc w:val="left"/>
        <w:rPr>
          <w:rFonts w:hint="eastAsia" w:ascii="宋体" w:hAnsi="宋体" w:eastAsia="宋体" w:cs="宋体"/>
          <w:color w:val="auto"/>
          <w:highlight w:val="none"/>
        </w:rPr>
      </w:pPr>
      <w:r>
        <w:rPr>
          <w:rFonts w:hint="eastAsia" w:ascii="宋体" w:hAnsi="宋体" w:eastAsia="宋体" w:cs="宋体"/>
          <w:color w:val="auto"/>
          <w:highlight w:val="none"/>
        </w:rPr>
        <w:t>第3种方式：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bookmarkEnd w:id="719"/>
      <w:bookmarkEnd w:id="720"/>
      <w:bookmarkEnd w:id="721"/>
      <w:bookmarkEnd w:id="722"/>
      <w:bookmarkEnd w:id="723"/>
      <w:bookmarkEnd w:id="724"/>
      <w:bookmarkStart w:id="889" w:name="_Toc296891245"/>
      <w:bookmarkStart w:id="890" w:name="_Toc297048391"/>
      <w:bookmarkStart w:id="891" w:name="_Toc292559915"/>
      <w:bookmarkStart w:id="892" w:name="_Toc296891033"/>
      <w:bookmarkStart w:id="893" w:name="_Toc296346706"/>
      <w:bookmarkStart w:id="894" w:name="_Toc296347204"/>
      <w:bookmarkStart w:id="895" w:name="_Toc297120505"/>
      <w:bookmarkStart w:id="896" w:name="_Toc292559410"/>
      <w:bookmarkStart w:id="897" w:name="_Toc296503205"/>
      <w:bookmarkStart w:id="898" w:name="_Toc296944544"/>
      <w:bookmarkStart w:id="899" w:name="_Toc78449837"/>
      <w:bookmarkStart w:id="900" w:name="_Toc407135251"/>
      <w:bookmarkStart w:id="901" w:name="_Toc1935657796"/>
      <w:bookmarkStart w:id="902" w:name="_Toc1720046426"/>
      <w:bookmarkStart w:id="903" w:name="_Toc373478395"/>
      <w:bookmarkStart w:id="904" w:name="_Toc373227748"/>
      <w:bookmarkStart w:id="905" w:name="_Toc351203644"/>
      <w:bookmarkStart w:id="906" w:name="_Toc297123552"/>
      <w:bookmarkStart w:id="907" w:name="_Toc312678040"/>
      <w:bookmarkStart w:id="908" w:name="_Toc304295579"/>
      <w:bookmarkStart w:id="909" w:name="_Toc303539159"/>
      <w:bookmarkStart w:id="910" w:name="_Toc300935002"/>
      <w:bookmarkStart w:id="911" w:name="_Toc297216211"/>
    </w:p>
    <w:bookmarkEnd w:id="889"/>
    <w:bookmarkEnd w:id="890"/>
    <w:bookmarkEnd w:id="891"/>
    <w:bookmarkEnd w:id="892"/>
    <w:bookmarkEnd w:id="893"/>
    <w:bookmarkEnd w:id="894"/>
    <w:bookmarkEnd w:id="895"/>
    <w:bookmarkEnd w:id="896"/>
    <w:bookmarkEnd w:id="897"/>
    <w:bookmarkEnd w:id="898"/>
    <w:p w14:paraId="18FC386D">
      <w:pPr>
        <w:numPr>
          <w:ilvl w:val="0"/>
          <w:numId w:val="0"/>
        </w:numPr>
        <w:spacing w:line="360" w:lineRule="auto"/>
        <w:ind w:left="0" w:leftChars="0"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2"/>
          <w:highlight w:val="none"/>
          <w:lang w:val="en-US" w:eastAsia="zh-CN" w:bidi="ar-SA"/>
        </w:rPr>
        <w:t>12.</w:t>
      </w:r>
      <w:r>
        <w:rPr>
          <w:rFonts w:hint="eastAsia" w:ascii="宋体" w:hAnsi="宋体" w:eastAsia="宋体" w:cs="宋体"/>
          <w:b/>
          <w:bCs/>
          <w:color w:val="auto"/>
          <w:highlight w:val="none"/>
        </w:rPr>
        <w:t>合同价格、计量与支付</w:t>
      </w:r>
      <w:bookmarkEnd w:id="899"/>
      <w:bookmarkEnd w:id="900"/>
      <w:bookmarkEnd w:id="901"/>
      <w:bookmarkEnd w:id="902"/>
      <w:bookmarkEnd w:id="903"/>
      <w:bookmarkEnd w:id="904"/>
      <w:bookmarkEnd w:id="905"/>
      <w:bookmarkEnd w:id="906"/>
      <w:bookmarkEnd w:id="907"/>
      <w:bookmarkEnd w:id="908"/>
      <w:bookmarkEnd w:id="909"/>
      <w:bookmarkEnd w:id="910"/>
      <w:bookmarkEnd w:id="911"/>
      <w:bookmarkStart w:id="912" w:name="_Toc292559411"/>
      <w:bookmarkStart w:id="913" w:name="_Toc292559916"/>
      <w:bookmarkStart w:id="914" w:name="_Toc267251461"/>
      <w:bookmarkStart w:id="915" w:name="_Toc297048392"/>
      <w:bookmarkStart w:id="916" w:name="_Toc297120506"/>
      <w:bookmarkStart w:id="917" w:name="_Toc296891246"/>
      <w:bookmarkStart w:id="918" w:name="_Toc296347205"/>
      <w:bookmarkStart w:id="919" w:name="_Toc296944545"/>
      <w:bookmarkStart w:id="920" w:name="_Toc296891034"/>
      <w:bookmarkStart w:id="921" w:name="_Toc296503206"/>
      <w:bookmarkStart w:id="922" w:name="_Toc296346707"/>
      <w:bookmarkStart w:id="923" w:name="_Toc303539160"/>
      <w:bookmarkStart w:id="924" w:name="_Toc389065314"/>
      <w:bookmarkStart w:id="925" w:name="_Toc373227749"/>
      <w:bookmarkStart w:id="926" w:name="_Toc1395756356"/>
      <w:bookmarkStart w:id="927" w:name="_Toc297216212"/>
      <w:bookmarkStart w:id="928" w:name="_Toc297123553"/>
      <w:bookmarkStart w:id="929" w:name="_Toc1894565429"/>
      <w:bookmarkStart w:id="930" w:name="_Toc312678041"/>
      <w:bookmarkStart w:id="931" w:name="_Toc300935003"/>
      <w:bookmarkStart w:id="932" w:name="_Toc78449838"/>
      <w:bookmarkStart w:id="933" w:name="_Toc373478396"/>
      <w:bookmarkStart w:id="934" w:name="_Toc407135252"/>
      <w:bookmarkStart w:id="935" w:name="_Toc304295580"/>
    </w:p>
    <w:p w14:paraId="7CC8A9F2">
      <w:pPr>
        <w:numPr>
          <w:ilvl w:val="1"/>
          <w:numId w:val="0"/>
        </w:numPr>
        <w:spacing w:line="360" w:lineRule="auto"/>
        <w:ind w:left="0" w:leftChars="0" w:firstLine="210" w:firstLineChars="100"/>
        <w:jc w:val="left"/>
        <w:rPr>
          <w:rFonts w:hint="eastAsia" w:ascii="宋体" w:hAnsi="宋体" w:eastAsia="宋体" w:cs="宋体"/>
          <w:b w:val="0"/>
          <w:bCs w:val="0"/>
          <w:color w:val="auto"/>
          <w:kern w:val="2"/>
          <w:sz w:val="21"/>
          <w:szCs w:val="22"/>
          <w:highlight w:val="none"/>
          <w:lang w:val="en" w:eastAsia="zh-CN" w:bidi="ar-SA"/>
        </w:rPr>
      </w:pPr>
      <w:r>
        <w:rPr>
          <w:rFonts w:hint="default" w:ascii="宋体" w:hAnsi="宋体" w:eastAsia="宋体" w:cs="宋体"/>
          <w:b w:val="0"/>
          <w:bCs w:val="0"/>
          <w:color w:val="auto"/>
          <w:kern w:val="2"/>
          <w:sz w:val="21"/>
          <w:szCs w:val="22"/>
          <w:highlight w:val="none"/>
          <w:lang w:val="en" w:eastAsia="zh-CN" w:bidi="ar-SA"/>
        </w:rPr>
        <w:t>12.1</w:t>
      </w:r>
      <w:r>
        <w:rPr>
          <w:rFonts w:hint="eastAsia" w:ascii="宋体" w:hAnsi="宋体" w:eastAsia="宋体" w:cs="宋体"/>
          <w:b w:val="0"/>
          <w:bCs w:val="0"/>
          <w:color w:val="auto"/>
          <w:kern w:val="2"/>
          <w:sz w:val="21"/>
          <w:szCs w:val="22"/>
          <w:highlight w:val="none"/>
          <w:lang w:val="en" w:eastAsia="zh-CN" w:bidi="ar-SA"/>
        </w:rPr>
        <w:t>合</w:t>
      </w:r>
      <w:bookmarkEnd w:id="912"/>
      <w:bookmarkEnd w:id="913"/>
      <w:bookmarkEnd w:id="914"/>
      <w:r>
        <w:rPr>
          <w:rFonts w:hint="eastAsia" w:ascii="宋体" w:hAnsi="宋体" w:eastAsia="宋体" w:cs="宋体"/>
          <w:b w:val="0"/>
          <w:bCs w:val="0"/>
          <w:color w:val="auto"/>
          <w:kern w:val="2"/>
          <w:sz w:val="21"/>
          <w:szCs w:val="22"/>
          <w:highlight w:val="none"/>
          <w:lang w:val="en" w:eastAsia="zh-CN" w:bidi="ar-SA"/>
        </w:rPr>
        <w:t>同价</w:t>
      </w:r>
      <w:bookmarkEnd w:id="915"/>
      <w:bookmarkEnd w:id="916"/>
      <w:bookmarkEnd w:id="917"/>
      <w:bookmarkEnd w:id="918"/>
      <w:bookmarkEnd w:id="919"/>
      <w:bookmarkEnd w:id="920"/>
      <w:bookmarkEnd w:id="921"/>
      <w:bookmarkEnd w:id="922"/>
      <w:r>
        <w:rPr>
          <w:rFonts w:hint="eastAsia" w:ascii="宋体" w:hAnsi="宋体" w:eastAsia="宋体" w:cs="宋体"/>
          <w:b w:val="0"/>
          <w:bCs w:val="0"/>
          <w:color w:val="auto"/>
          <w:kern w:val="2"/>
          <w:sz w:val="21"/>
          <w:szCs w:val="22"/>
          <w:highlight w:val="none"/>
          <w:lang w:val="en" w:eastAsia="zh-CN" w:bidi="ar-SA"/>
        </w:rPr>
        <w:t>格形式</w:t>
      </w:r>
      <w:bookmarkEnd w:id="923"/>
      <w:bookmarkEnd w:id="924"/>
      <w:bookmarkEnd w:id="925"/>
      <w:bookmarkEnd w:id="926"/>
      <w:bookmarkEnd w:id="927"/>
      <w:bookmarkEnd w:id="928"/>
      <w:bookmarkEnd w:id="929"/>
      <w:bookmarkEnd w:id="930"/>
      <w:bookmarkEnd w:id="931"/>
      <w:bookmarkEnd w:id="932"/>
      <w:bookmarkEnd w:id="933"/>
      <w:bookmarkEnd w:id="934"/>
      <w:bookmarkEnd w:id="935"/>
      <w:bookmarkStart w:id="936" w:name="_Toc1338560546"/>
      <w:bookmarkStart w:id="937" w:name="_Toc407135253"/>
      <w:bookmarkStart w:id="938" w:name="_Toc373227750"/>
      <w:bookmarkStart w:id="939" w:name="_Toc78449839"/>
      <w:bookmarkStart w:id="940" w:name="_Toc373478397"/>
      <w:bookmarkStart w:id="941" w:name="_Toc389065315"/>
      <w:bookmarkStart w:id="942" w:name="_Toc1681900246"/>
      <w:bookmarkStart w:id="943" w:name="_Toc300935004"/>
      <w:bookmarkStart w:id="944" w:name="_Toc312678042"/>
      <w:bookmarkStart w:id="945" w:name="_Toc304295581"/>
      <w:bookmarkStart w:id="946" w:name="_Toc297216213"/>
      <w:bookmarkStart w:id="947" w:name="_Toc297123554"/>
      <w:bookmarkStart w:id="948" w:name="_Toc303539161"/>
      <w:bookmarkStart w:id="949" w:name="_Toc296944546"/>
      <w:bookmarkStart w:id="950" w:name="_Toc292559412"/>
      <w:bookmarkStart w:id="951" w:name="_Toc296891247"/>
      <w:bookmarkStart w:id="952" w:name="_Toc292559917"/>
      <w:bookmarkStart w:id="953" w:name="_Toc296347206"/>
      <w:bookmarkStart w:id="954" w:name="_Toc297120507"/>
      <w:bookmarkStart w:id="955" w:name="_Toc297048393"/>
      <w:bookmarkStart w:id="956" w:name="_Toc296891035"/>
      <w:bookmarkStart w:id="957" w:name="_Toc296346708"/>
      <w:bookmarkStart w:id="958" w:name="_Toc296503207"/>
    </w:p>
    <w:p w14:paraId="63DA7559">
      <w:pPr>
        <w:numPr>
          <w:ilvl w:val="0"/>
          <w:numId w:val="0"/>
        </w:numPr>
        <w:spacing w:line="360" w:lineRule="auto"/>
        <w:ind w:firstLine="420" w:firstLineChars="200"/>
        <w:jc w:val="left"/>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本工程采用</w:t>
      </w:r>
      <w:r>
        <w:rPr>
          <w:rFonts w:hint="eastAsia" w:ascii="宋体" w:hAnsi="宋体" w:eastAsia="宋体" w:cs="宋体"/>
          <w:b w:val="0"/>
          <w:bCs w:val="0"/>
          <w:color w:val="auto"/>
          <w:kern w:val="2"/>
          <w:sz w:val="21"/>
          <w:szCs w:val="22"/>
          <w:highlight w:val="none"/>
          <w:u w:val="single"/>
          <w:lang w:val="en" w:eastAsia="zh-CN" w:bidi="ar-SA"/>
        </w:rPr>
        <w:t xml:space="preserve"> （</w:t>
      </w:r>
      <w:r>
        <w:rPr>
          <w:rFonts w:hint="eastAsia" w:ascii="宋体" w:hAnsi="宋体" w:eastAsia="宋体" w:cs="宋体"/>
          <w:b w:val="0"/>
          <w:bCs w:val="0"/>
          <w:color w:val="auto"/>
          <w:kern w:val="2"/>
          <w:sz w:val="21"/>
          <w:szCs w:val="22"/>
          <w:highlight w:val="none"/>
          <w:u w:val="single"/>
          <w:lang w:val="en-US" w:eastAsia="zh-CN" w:bidi="ar-SA"/>
        </w:rPr>
        <w:t>1）</w:t>
      </w:r>
      <w:r>
        <w:rPr>
          <w:rFonts w:hint="eastAsia" w:ascii="宋体" w:hAnsi="宋体" w:eastAsia="宋体" w:cs="宋体"/>
          <w:b w:val="0"/>
          <w:bCs w:val="0"/>
          <w:color w:val="auto"/>
          <w:kern w:val="2"/>
          <w:sz w:val="21"/>
          <w:szCs w:val="22"/>
          <w:highlight w:val="none"/>
          <w:u w:val="single"/>
          <w:lang w:val="en" w:eastAsia="zh-CN" w:bidi="ar-SA"/>
        </w:rPr>
        <w:t xml:space="preserve"> 单价  </w:t>
      </w:r>
      <w:r>
        <w:rPr>
          <w:rFonts w:hint="eastAsia" w:ascii="宋体" w:hAnsi="宋体" w:eastAsia="宋体" w:cs="宋体"/>
          <w:b w:val="0"/>
          <w:bCs w:val="0"/>
          <w:color w:val="auto"/>
          <w:kern w:val="2"/>
          <w:sz w:val="21"/>
          <w:szCs w:val="22"/>
          <w:highlight w:val="none"/>
          <w:lang w:val="en" w:eastAsia="zh-CN" w:bidi="ar-SA"/>
        </w:rPr>
        <w:t>合同价格形式，合同价格包含增值税，本工程计价时采用的增值税计税方法为：☑一般计税法   □简易计税法。</w:t>
      </w:r>
    </w:p>
    <w:p w14:paraId="1BC3C1EC">
      <w:pPr>
        <w:numPr>
          <w:ilvl w:val="0"/>
          <w:numId w:val="5"/>
        </w:numPr>
        <w:spacing w:line="360" w:lineRule="auto"/>
        <w:ind w:firstLine="420" w:firstLineChars="200"/>
        <w:jc w:val="left"/>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单价合同。</w:t>
      </w:r>
    </w:p>
    <w:p w14:paraId="3666F2F7">
      <w:pPr>
        <w:numPr>
          <w:ilvl w:val="0"/>
          <w:numId w:val="0"/>
        </w:numPr>
        <w:spacing w:line="360" w:lineRule="auto"/>
        <w:ind w:firstLine="420" w:firstLineChars="200"/>
        <w:jc w:val="left"/>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采用综合单价合同方式时，工程量按建设单位、监理单位、施工单位三方确认的竣工图结算。</w:t>
      </w:r>
    </w:p>
    <w:p w14:paraId="5E885A5D">
      <w:pPr>
        <w:numPr>
          <w:ilvl w:val="0"/>
          <w:numId w:val="0"/>
        </w:numPr>
        <w:spacing w:line="360" w:lineRule="auto"/>
        <w:ind w:firstLine="420" w:firstLineChars="200"/>
        <w:jc w:val="left"/>
        <w:rPr>
          <w:rFonts w:hint="eastAsia" w:ascii="宋体" w:hAnsi="宋体" w:eastAsia="宋体" w:cs="宋体"/>
          <w:b w:val="0"/>
          <w:bCs w:val="0"/>
          <w:color w:val="auto"/>
          <w:kern w:val="2"/>
          <w:sz w:val="21"/>
          <w:szCs w:val="22"/>
          <w:highlight w:val="none"/>
          <w:u w:val="single"/>
          <w:lang w:val="en" w:eastAsia="zh-CN" w:bidi="ar-SA"/>
        </w:rPr>
      </w:pPr>
      <w:r>
        <w:rPr>
          <w:rFonts w:hint="eastAsia" w:ascii="宋体" w:hAnsi="宋体" w:eastAsia="宋体" w:cs="宋体"/>
          <w:b w:val="0"/>
          <w:bCs w:val="0"/>
          <w:color w:val="auto"/>
          <w:kern w:val="2"/>
          <w:sz w:val="21"/>
          <w:szCs w:val="22"/>
          <w:highlight w:val="none"/>
          <w:lang w:val="en" w:eastAsia="zh-CN" w:bidi="ar-SA"/>
        </w:rPr>
        <w:t>综合单价包含的风险范围：</w:t>
      </w:r>
      <w:r>
        <w:rPr>
          <w:rFonts w:hint="eastAsia" w:ascii="宋体" w:hAnsi="宋体" w:eastAsia="宋体" w:cs="宋体"/>
          <w:b w:val="0"/>
          <w:bCs w:val="0"/>
          <w:color w:val="auto"/>
          <w:kern w:val="2"/>
          <w:sz w:val="21"/>
          <w:szCs w:val="22"/>
          <w:highlight w:val="none"/>
          <w:u w:val="single"/>
          <w:lang w:val="en" w:eastAsia="zh-CN" w:bidi="ar-SA"/>
        </w:rPr>
        <w:t>除工程变更、项目特征不符、工程量清单缺项、工程量偏差、政策性调整、市场价格波动。</w:t>
      </w:r>
    </w:p>
    <w:p w14:paraId="6AE5ADFD">
      <w:pPr>
        <w:numPr>
          <w:ilvl w:val="0"/>
          <w:numId w:val="0"/>
        </w:numPr>
        <w:spacing w:line="360" w:lineRule="auto"/>
        <w:ind w:firstLine="420" w:firstLineChars="200"/>
        <w:jc w:val="left"/>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风险范围以外合同价格的调整方法：</w:t>
      </w:r>
    </w:p>
    <w:p w14:paraId="6E12653A">
      <w:pPr>
        <w:numPr>
          <w:ilvl w:val="0"/>
          <w:numId w:val="0"/>
        </w:numPr>
        <w:spacing w:line="360" w:lineRule="auto"/>
        <w:ind w:firstLine="420" w:firstLineChars="200"/>
        <w:jc w:val="left"/>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①工程变更、项目特征不符、工程量清单缺项：按10.4.1变更估价原则的约定调整。</w:t>
      </w:r>
    </w:p>
    <w:p w14:paraId="06E0A357">
      <w:pPr>
        <w:numPr>
          <w:ilvl w:val="0"/>
          <w:numId w:val="0"/>
        </w:numPr>
        <w:spacing w:line="360" w:lineRule="auto"/>
        <w:ind w:firstLine="420" w:firstLineChars="200"/>
        <w:jc w:val="left"/>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②工程量偏差：按1.13工程量清单错误修正的约定调整。</w:t>
      </w:r>
    </w:p>
    <w:p w14:paraId="5E60167E">
      <w:pPr>
        <w:numPr>
          <w:ilvl w:val="0"/>
          <w:numId w:val="0"/>
        </w:numPr>
        <w:spacing w:line="360" w:lineRule="auto"/>
        <w:ind w:firstLine="420" w:firstLineChars="200"/>
        <w:jc w:val="left"/>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③政策性调整：按国家、自治区住房城乡建设厅或工程所在地市级住房城乡建设主管部门颁布的文件执行。</w:t>
      </w:r>
    </w:p>
    <w:p w14:paraId="2ACD1C93">
      <w:pPr>
        <w:numPr>
          <w:ilvl w:val="0"/>
          <w:numId w:val="0"/>
        </w:numPr>
        <w:spacing w:line="360" w:lineRule="auto"/>
        <w:ind w:firstLine="420" w:firstLineChars="200"/>
        <w:jc w:val="left"/>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④市场波动引起的调整：按11.1的约定调整。</w:t>
      </w:r>
    </w:p>
    <w:p w14:paraId="5343B3A0">
      <w:pPr>
        <w:numPr>
          <w:ilvl w:val="0"/>
          <w:numId w:val="0"/>
        </w:numPr>
        <w:spacing w:line="360" w:lineRule="auto"/>
        <w:ind w:firstLine="420" w:firstLineChars="200"/>
        <w:jc w:val="left"/>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⑤其它：</w:t>
      </w:r>
      <w:r>
        <w:rPr>
          <w:rFonts w:hint="eastAsia" w:ascii="宋体" w:hAnsi="宋体" w:eastAsia="宋体" w:cs="宋体"/>
          <w:b w:val="0"/>
          <w:bCs w:val="0"/>
          <w:color w:val="auto"/>
          <w:kern w:val="2"/>
          <w:sz w:val="21"/>
          <w:szCs w:val="22"/>
          <w:highlight w:val="none"/>
          <w:u w:val="single"/>
          <w:lang w:val="en" w:eastAsia="zh-CN" w:bidi="ar-SA"/>
        </w:rPr>
        <w:t xml:space="preserve">         </w:t>
      </w:r>
      <w:r>
        <w:rPr>
          <w:rFonts w:hint="eastAsia" w:ascii="宋体" w:hAnsi="宋体" w:eastAsia="宋体" w:cs="宋体"/>
          <w:b w:val="0"/>
          <w:bCs w:val="0"/>
          <w:color w:val="auto"/>
          <w:kern w:val="2"/>
          <w:sz w:val="21"/>
          <w:szCs w:val="22"/>
          <w:highlight w:val="none"/>
          <w:u w:val="single"/>
          <w:lang w:val="en-US" w:eastAsia="zh-CN" w:bidi="ar-SA"/>
        </w:rPr>
        <w:t>/</w:t>
      </w:r>
      <w:r>
        <w:rPr>
          <w:rFonts w:hint="eastAsia" w:ascii="宋体" w:hAnsi="宋体" w:eastAsia="宋体" w:cs="宋体"/>
          <w:b w:val="0"/>
          <w:bCs w:val="0"/>
          <w:color w:val="auto"/>
          <w:kern w:val="2"/>
          <w:sz w:val="21"/>
          <w:szCs w:val="22"/>
          <w:highlight w:val="none"/>
          <w:u w:val="single"/>
          <w:lang w:val="en" w:eastAsia="zh-CN" w:bidi="ar-SA"/>
        </w:rPr>
        <w:t xml:space="preserve">          </w:t>
      </w:r>
      <w:r>
        <w:rPr>
          <w:rFonts w:hint="eastAsia" w:ascii="宋体" w:hAnsi="宋体" w:eastAsia="宋体" w:cs="宋体"/>
          <w:b w:val="0"/>
          <w:bCs w:val="0"/>
          <w:color w:val="auto"/>
          <w:kern w:val="2"/>
          <w:sz w:val="21"/>
          <w:szCs w:val="22"/>
          <w:highlight w:val="none"/>
          <w:lang w:val="en" w:eastAsia="zh-CN" w:bidi="ar-SA"/>
        </w:rPr>
        <w:t xml:space="preserve"> 。</w:t>
      </w:r>
    </w:p>
    <w:p w14:paraId="19117E4C">
      <w:pPr>
        <w:numPr>
          <w:ilvl w:val="0"/>
          <w:numId w:val="5"/>
        </w:numPr>
        <w:spacing w:line="360" w:lineRule="auto"/>
        <w:ind w:left="0" w:leftChars="0" w:firstLine="420" w:firstLineChars="200"/>
        <w:jc w:val="left"/>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总价合同。</w:t>
      </w:r>
    </w:p>
    <w:p w14:paraId="24212C85">
      <w:pPr>
        <w:numPr>
          <w:ilvl w:val="0"/>
          <w:numId w:val="0"/>
        </w:numPr>
        <w:spacing w:line="360" w:lineRule="auto"/>
        <w:ind w:leftChars="200" w:firstLine="420" w:firstLineChars="200"/>
        <w:jc w:val="left"/>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总价包含的风险范围：</w:t>
      </w:r>
      <w:r>
        <w:rPr>
          <w:rFonts w:hint="eastAsia" w:ascii="宋体" w:hAnsi="宋体" w:eastAsia="宋体" w:cs="宋体"/>
          <w:b w:val="0"/>
          <w:bCs w:val="0"/>
          <w:color w:val="auto"/>
          <w:kern w:val="2"/>
          <w:sz w:val="21"/>
          <w:szCs w:val="22"/>
          <w:highlight w:val="none"/>
          <w:u w:val="single"/>
          <w:lang w:val="en" w:eastAsia="zh-CN" w:bidi="ar-SA"/>
        </w:rPr>
        <w:t>包含除工程变更、政策性调整、市场价格波动。除工程变更外，结算时不再对招标施工图对应的工程量重新计量</w:t>
      </w:r>
      <w:r>
        <w:rPr>
          <w:rFonts w:hint="eastAsia" w:ascii="宋体" w:hAnsi="宋体" w:eastAsia="宋体" w:cs="宋体"/>
          <w:b w:val="0"/>
          <w:bCs w:val="0"/>
          <w:color w:val="auto"/>
          <w:kern w:val="2"/>
          <w:sz w:val="21"/>
          <w:szCs w:val="22"/>
          <w:highlight w:val="none"/>
          <w:u w:val="single"/>
          <w:lang w:val="en-US" w:eastAsia="zh-CN" w:bidi="ar-SA"/>
        </w:rPr>
        <w:t xml:space="preserve"> </w:t>
      </w:r>
      <w:r>
        <w:rPr>
          <w:rFonts w:hint="eastAsia" w:ascii="宋体" w:hAnsi="宋体" w:eastAsia="宋体" w:cs="宋体"/>
          <w:b w:val="0"/>
          <w:bCs w:val="0"/>
          <w:color w:val="auto"/>
          <w:kern w:val="2"/>
          <w:sz w:val="21"/>
          <w:szCs w:val="22"/>
          <w:highlight w:val="none"/>
          <w:lang w:val="en" w:eastAsia="zh-CN" w:bidi="ar-SA"/>
        </w:rPr>
        <w:t>。</w:t>
      </w:r>
    </w:p>
    <w:p w14:paraId="6DE6FB46">
      <w:pPr>
        <w:pStyle w:val="5"/>
        <w:spacing w:line="360" w:lineRule="auto"/>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风险范围以外合同价格的调整方法：</w:t>
      </w:r>
    </w:p>
    <w:p w14:paraId="034D8B9C">
      <w:pPr>
        <w:pStyle w:val="5"/>
        <w:spacing w:line="360" w:lineRule="auto"/>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①工程变更：按10.4.1变更估价原则的约定调整。</w:t>
      </w:r>
    </w:p>
    <w:p w14:paraId="1ADB69EE">
      <w:pPr>
        <w:pStyle w:val="5"/>
        <w:spacing w:line="360" w:lineRule="auto"/>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②政策性调整：按国家、自治区住房城乡建设厅或工程所在地市级住房城乡建设主管部门颁布的文件执行。</w:t>
      </w:r>
    </w:p>
    <w:p w14:paraId="5918083A">
      <w:pPr>
        <w:pStyle w:val="5"/>
        <w:spacing w:line="360" w:lineRule="auto"/>
        <w:rPr>
          <w:rFonts w:hint="eastAsia" w:ascii="宋体" w:hAnsi="宋体" w:eastAsia="宋体" w:cs="宋体"/>
          <w:b w:val="0"/>
          <w:bCs w:val="0"/>
          <w:color w:val="auto"/>
          <w:kern w:val="2"/>
          <w:sz w:val="21"/>
          <w:szCs w:val="22"/>
          <w:highlight w:val="none"/>
          <w:lang w:val="en" w:eastAsia="zh-CN" w:bidi="ar-SA"/>
        </w:rPr>
      </w:pPr>
      <w:r>
        <w:rPr>
          <w:rFonts w:hint="eastAsia" w:ascii="宋体" w:hAnsi="宋体" w:eastAsia="宋体" w:cs="宋体"/>
          <w:b w:val="0"/>
          <w:bCs w:val="0"/>
          <w:color w:val="auto"/>
          <w:kern w:val="2"/>
          <w:sz w:val="21"/>
          <w:szCs w:val="22"/>
          <w:highlight w:val="none"/>
          <w:lang w:val="en" w:eastAsia="zh-CN" w:bidi="ar-SA"/>
        </w:rPr>
        <w:t>③市场波动引起的调整：按11.1的约定调整。</w:t>
      </w:r>
    </w:p>
    <w:p w14:paraId="2D57FD0C">
      <w:pPr>
        <w:pStyle w:val="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12.2 预付款</w:t>
      </w:r>
      <w:bookmarkEnd w:id="936"/>
      <w:bookmarkEnd w:id="937"/>
      <w:bookmarkEnd w:id="938"/>
      <w:bookmarkEnd w:id="939"/>
      <w:bookmarkEnd w:id="940"/>
      <w:bookmarkEnd w:id="941"/>
      <w:bookmarkEnd w:id="942"/>
    </w:p>
    <w:bookmarkEnd w:id="943"/>
    <w:bookmarkEnd w:id="944"/>
    <w:bookmarkEnd w:id="945"/>
    <w:bookmarkEnd w:id="946"/>
    <w:bookmarkEnd w:id="947"/>
    <w:bookmarkEnd w:id="948"/>
    <w:p w14:paraId="70385C7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5055AF3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无 </w:t>
      </w:r>
      <w:r>
        <w:rPr>
          <w:rFonts w:hint="eastAsia" w:ascii="宋体" w:hAnsi="宋体" w:eastAsia="宋体" w:cs="宋体"/>
          <w:color w:val="auto"/>
          <w:highlight w:val="none"/>
        </w:rPr>
        <w:t>。</w:t>
      </w:r>
    </w:p>
    <w:p w14:paraId="770A9FF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无 </w:t>
      </w:r>
      <w:r>
        <w:rPr>
          <w:rFonts w:hint="eastAsia" w:ascii="宋体" w:hAnsi="宋体" w:eastAsia="宋体" w:cs="宋体"/>
          <w:color w:val="auto"/>
          <w:highlight w:val="none"/>
        </w:rPr>
        <w:t>。</w:t>
      </w:r>
    </w:p>
    <w:p w14:paraId="7AE97A5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无 </w:t>
      </w:r>
      <w:r>
        <w:rPr>
          <w:rFonts w:hint="eastAsia" w:ascii="宋体" w:hAnsi="宋体" w:eastAsia="宋体" w:cs="宋体"/>
          <w:color w:val="auto"/>
          <w:highlight w:val="none"/>
        </w:rPr>
        <w:t>。</w:t>
      </w:r>
    </w:p>
    <w:p w14:paraId="159422C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5B166B6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无 </w:t>
      </w:r>
      <w:r>
        <w:rPr>
          <w:rFonts w:hint="eastAsia" w:ascii="宋体" w:hAnsi="宋体" w:eastAsia="宋体" w:cs="宋体"/>
          <w:color w:val="auto"/>
          <w:highlight w:val="none"/>
        </w:rPr>
        <w:t>。</w:t>
      </w:r>
    </w:p>
    <w:p w14:paraId="63D595E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lang w:eastAsia="zh-CN"/>
        </w:rPr>
        <w:t>可以是</w:t>
      </w:r>
      <w:r>
        <w:rPr>
          <w:rFonts w:hint="eastAsia" w:ascii="宋体" w:hAnsi="宋体" w:eastAsia="宋体" w:cs="宋体"/>
          <w:color w:val="auto"/>
          <w:highlight w:val="none"/>
          <w:u w:val="single"/>
        </w:rPr>
        <w:t>银行转账、电汇或网上支付、保函（银行保函、电子保函、保证保险保函、工程担保保函）等</w:t>
      </w:r>
      <w:r>
        <w:rPr>
          <w:rFonts w:hint="eastAsia" w:ascii="宋体" w:hAnsi="宋体" w:eastAsia="宋体" w:cs="宋体"/>
          <w:color w:val="auto"/>
          <w:highlight w:val="none"/>
          <w:u w:val="single"/>
          <w:lang w:eastAsia="zh-CN"/>
        </w:rPr>
        <w:t>形</w:t>
      </w:r>
      <w:r>
        <w:rPr>
          <w:rFonts w:hint="eastAsia" w:ascii="宋体" w:hAnsi="宋体" w:eastAsia="宋体" w:cs="宋体"/>
          <w:color w:val="auto"/>
          <w:highlight w:val="none"/>
          <w:u w:val="single"/>
        </w:rPr>
        <w:t>式。工程担保保证人应将出具的保函相关信息录入“广西建筑市场监管云”平台（http://gxjzsc.caihcloud.com），以实现保函查询及验真功能</w:t>
      </w:r>
      <w:r>
        <w:rPr>
          <w:rFonts w:hint="eastAsia" w:ascii="宋体" w:hAnsi="宋体" w:eastAsia="宋体" w:cs="宋体"/>
          <w:color w:val="auto"/>
          <w:highlight w:val="none"/>
          <w:lang w:eastAsia="zh-CN"/>
        </w:rPr>
        <w:t>。</w:t>
      </w:r>
    </w:p>
    <w:p w14:paraId="7E19690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预付款担保格式见合同附件8。预付款支付申请（核准）表见合同附件10</w:t>
      </w:r>
    </w:p>
    <w:bookmarkEnd w:id="949"/>
    <w:bookmarkEnd w:id="950"/>
    <w:bookmarkEnd w:id="951"/>
    <w:bookmarkEnd w:id="952"/>
    <w:bookmarkEnd w:id="953"/>
    <w:bookmarkEnd w:id="954"/>
    <w:bookmarkEnd w:id="955"/>
    <w:bookmarkEnd w:id="956"/>
    <w:bookmarkEnd w:id="957"/>
    <w:bookmarkEnd w:id="958"/>
    <w:p w14:paraId="680ADE1E">
      <w:pPr>
        <w:pStyle w:val="5"/>
        <w:spacing w:line="360" w:lineRule="auto"/>
        <w:rPr>
          <w:rFonts w:hint="eastAsia" w:ascii="宋体" w:hAnsi="宋体" w:eastAsia="宋体" w:cs="宋体"/>
          <w:color w:val="auto"/>
          <w:highlight w:val="none"/>
        </w:rPr>
      </w:pPr>
      <w:bookmarkStart w:id="959" w:name="_Toc373227751"/>
      <w:bookmarkStart w:id="960" w:name="_Toc1494831447"/>
      <w:bookmarkStart w:id="961" w:name="_Toc373478398"/>
      <w:bookmarkStart w:id="962" w:name="_Toc1307224940"/>
      <w:bookmarkStart w:id="963" w:name="_Toc407135254"/>
      <w:bookmarkStart w:id="964" w:name="_Toc78449840"/>
      <w:bookmarkStart w:id="965" w:name="_Toc389065316"/>
      <w:r>
        <w:rPr>
          <w:rFonts w:hint="eastAsia" w:ascii="宋体" w:hAnsi="宋体" w:eastAsia="宋体" w:cs="宋体"/>
          <w:color w:val="auto"/>
          <w:highlight w:val="none"/>
        </w:rPr>
        <w:t>12.3 计量</w:t>
      </w:r>
      <w:bookmarkEnd w:id="959"/>
      <w:bookmarkEnd w:id="960"/>
      <w:bookmarkEnd w:id="961"/>
      <w:bookmarkEnd w:id="962"/>
      <w:bookmarkEnd w:id="963"/>
      <w:bookmarkEnd w:id="964"/>
      <w:bookmarkEnd w:id="965"/>
    </w:p>
    <w:p w14:paraId="27E67C4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061CD28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工程量计算规则：</w:t>
      </w:r>
      <w:r>
        <w:rPr>
          <w:rFonts w:hint="eastAsia" w:ascii="宋体" w:hAnsi="宋体" w:eastAsia="宋体" w:cs="宋体"/>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104C40F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3829898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每月25日前</w:t>
      </w:r>
      <w:r>
        <w:rPr>
          <w:rFonts w:hint="eastAsia" w:ascii="宋体" w:hAnsi="宋体" w:eastAsia="宋体" w:cs="宋体"/>
          <w:color w:val="auto"/>
          <w:highlight w:val="none"/>
        </w:rPr>
        <w:t>。</w:t>
      </w:r>
    </w:p>
    <w:p w14:paraId="497E403A">
      <w:pPr>
        <w:spacing w:line="360" w:lineRule="auto"/>
        <w:ind w:firstLine="420" w:firstLineChars="200"/>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1D3F0DB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关于单价合同计量的约定：</w:t>
      </w:r>
    </w:p>
    <w:p w14:paraId="54CE5CEA">
      <w:pPr>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(1) 工程量清单所列的工程量，不能作为承包人按合同履行其责任依据，实际施工中发生的工程量增加或减少并不影响承包人履行合同的责任，工程结算以完成的实际工程量为准。</w:t>
      </w:r>
    </w:p>
    <w:p w14:paraId="1FBDD73C">
      <w:pPr>
        <w:spacing w:line="360" w:lineRule="auto"/>
        <w:ind w:firstLine="441" w:firstLineChars="210"/>
        <w:rPr>
          <w:rFonts w:hint="eastAsia" w:ascii="宋体" w:hAnsi="宋体" w:eastAsia="宋体" w:cs="宋体"/>
          <w:color w:val="auto"/>
          <w:highlight w:val="none"/>
        </w:rPr>
      </w:pPr>
      <w:r>
        <w:rPr>
          <w:rFonts w:hint="eastAsia" w:ascii="宋体" w:hAnsi="宋体" w:eastAsia="宋体" w:cs="宋体"/>
          <w:color w:val="auto"/>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3D311FD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30BD8B3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（1）总价合同计量约定：进度款按支付分解表支付</w:t>
      </w:r>
      <w:r>
        <w:rPr>
          <w:rFonts w:hint="eastAsia" w:ascii="宋体" w:hAnsi="宋体" w:eastAsia="宋体" w:cs="宋体"/>
          <w:color w:val="auto"/>
          <w:kern w:val="0"/>
          <w:highlight w:val="none"/>
        </w:rPr>
        <w:t>，</w:t>
      </w:r>
      <w:r>
        <w:rPr>
          <w:rFonts w:hint="eastAsia" w:ascii="宋体" w:hAnsi="宋体" w:eastAsia="宋体" w:cs="宋体"/>
          <w:color w:val="auto"/>
          <w:highlight w:val="none"/>
        </w:rPr>
        <w:t>支付分解表在招标完成后签合同之前制定，具体详见本专用合同条款12.4.6。</w:t>
      </w:r>
    </w:p>
    <w:p w14:paraId="595FF74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14:paraId="74FA0985">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其他价格形式的计量方式和程序：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DC41B9">
      <w:pPr>
        <w:pStyle w:val="6"/>
        <w:spacing w:line="360" w:lineRule="auto"/>
        <w:rPr>
          <w:rFonts w:hint="eastAsia" w:ascii="宋体" w:hAnsi="宋体" w:eastAsia="宋体" w:cs="宋体"/>
          <w:color w:val="auto"/>
          <w:highlight w:val="none"/>
        </w:rPr>
      </w:pPr>
      <w:bookmarkStart w:id="966" w:name="_Toc1711431123"/>
      <w:bookmarkStart w:id="967" w:name="_Toc389065317"/>
      <w:bookmarkStart w:id="968" w:name="_Toc373478399"/>
      <w:bookmarkStart w:id="969" w:name="_Toc407135255"/>
      <w:bookmarkStart w:id="970" w:name="_Toc78449841"/>
      <w:bookmarkStart w:id="971" w:name="_Toc373227752"/>
      <w:bookmarkStart w:id="972" w:name="_Toc1155368667"/>
      <w:r>
        <w:rPr>
          <w:rFonts w:hint="eastAsia" w:ascii="宋体" w:hAnsi="宋体" w:eastAsia="宋体" w:cs="宋体"/>
          <w:color w:val="auto"/>
          <w:highlight w:val="none"/>
        </w:rPr>
        <w:t>12.4 工程进度款支付</w:t>
      </w:r>
      <w:bookmarkEnd w:id="966"/>
      <w:bookmarkEnd w:id="967"/>
      <w:bookmarkEnd w:id="968"/>
      <w:bookmarkEnd w:id="969"/>
      <w:bookmarkEnd w:id="970"/>
      <w:bookmarkEnd w:id="971"/>
      <w:bookmarkEnd w:id="972"/>
    </w:p>
    <w:p w14:paraId="30F78E9E">
      <w:pPr>
        <w:spacing w:line="360" w:lineRule="auto"/>
        <w:ind w:firstLine="420" w:firstLineChars="200"/>
        <w:jc w:val="left"/>
        <w:rPr>
          <w:rFonts w:hint="eastAsia" w:ascii="宋体" w:hAnsi="宋体" w:eastAsia="宋体" w:cs="宋体"/>
          <w:color w:val="auto"/>
          <w:highlight w:val="none"/>
        </w:rPr>
      </w:pPr>
      <w:bookmarkStart w:id="973" w:name="_Toc296944550"/>
      <w:bookmarkStart w:id="974" w:name="_Toc296891039"/>
      <w:bookmarkStart w:id="975" w:name="_Toc297120511"/>
      <w:bookmarkStart w:id="976" w:name="_Toc303539163"/>
      <w:bookmarkStart w:id="977" w:name="_Toc296891251"/>
      <w:bookmarkStart w:id="978" w:name="_Toc300935006"/>
      <w:bookmarkStart w:id="979" w:name="_Toc296347210"/>
      <w:bookmarkStart w:id="980" w:name="_Toc296346712"/>
      <w:bookmarkStart w:id="981" w:name="_Toc297048397"/>
      <w:bookmarkStart w:id="982" w:name="_Toc297216215"/>
      <w:bookmarkStart w:id="983" w:name="_Toc292559921"/>
      <w:bookmarkStart w:id="984" w:name="_Toc297123556"/>
      <w:bookmarkStart w:id="985" w:name="_Toc292559416"/>
      <w:bookmarkStart w:id="986" w:name="_Toc296503211"/>
      <w:r>
        <w:rPr>
          <w:rFonts w:hint="eastAsia" w:ascii="宋体" w:hAnsi="宋体" w:eastAsia="宋体" w:cs="宋体"/>
          <w:color w:val="auto"/>
          <w:highlight w:val="none"/>
        </w:rPr>
        <w:t>12.4.1 付款周期</w:t>
      </w:r>
    </w:p>
    <w:p w14:paraId="6ED3E7C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u w:val="single"/>
        </w:rPr>
        <w:t>工程款原则上按月支付，工程进度款支付限额为已完成工程量的</w:t>
      </w:r>
      <w:r>
        <w:rPr>
          <w:rFonts w:hint="eastAsia" w:ascii="宋体" w:hAnsi="宋体" w:eastAsia="宋体" w:cs="宋体"/>
          <w:color w:val="auto"/>
          <w:highlight w:val="none"/>
          <w:u w:val="single"/>
          <w:lang w:val="en-US" w:eastAsia="zh-CN"/>
        </w:rPr>
        <w:t>80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政府机关、事业单位、国有企业建设工程进度款支付应不低于已完成工程价款的</w:t>
      </w:r>
      <w:r>
        <w:rPr>
          <w:rFonts w:hint="eastAsia" w:ascii="宋体" w:hAnsi="宋体" w:eastAsia="宋体" w:cs="宋体"/>
          <w:color w:val="auto"/>
          <w:highlight w:val="none"/>
          <w:u w:val="single"/>
        </w:rPr>
        <w:t>80%）</w:t>
      </w:r>
      <w:r>
        <w:rPr>
          <w:rFonts w:hint="eastAsia" w:ascii="宋体" w:hAnsi="宋体" w:eastAsia="宋体" w:cs="宋体"/>
          <w:color w:val="auto"/>
          <w:highlight w:val="none"/>
        </w:rPr>
        <w:t>。</w:t>
      </w:r>
    </w:p>
    <w:p w14:paraId="7A6B395B">
      <w:pPr>
        <w:spacing w:line="360" w:lineRule="auto"/>
        <w:ind w:firstLine="420" w:firstLineChars="200"/>
        <w:jc w:val="left"/>
        <w:rPr>
          <w:rFonts w:hint="eastAsia" w:ascii="宋体" w:hAnsi="宋体" w:eastAsia="宋体" w:cs="宋体"/>
          <w:color w:val="auto"/>
          <w:highlight w:val="none"/>
          <w:u w:val="none"/>
        </w:rPr>
      </w:pPr>
      <w:r>
        <w:rPr>
          <w:rFonts w:hint="eastAsia" w:ascii="宋体" w:hAnsi="宋体" w:eastAsia="宋体" w:cs="宋体"/>
          <w:color w:val="auto"/>
          <w:highlight w:val="none"/>
        </w:rPr>
        <w:t>②</w:t>
      </w:r>
      <w:r>
        <w:rPr>
          <w:rFonts w:hint="eastAsia" w:ascii="宋体" w:hAnsi="宋体" w:eastAsia="宋体" w:cs="宋体"/>
          <w:color w:val="auto"/>
          <w:highlight w:val="none"/>
          <w:u w:val="single"/>
        </w:rPr>
        <w:t>工程完工验收达到质量要求，结算经业主及合同约定的财政或审计部门（如有）审定后，工程款支付至结算总价的</w:t>
      </w:r>
      <w:r>
        <w:rPr>
          <w:rFonts w:hint="eastAsia" w:ascii="宋体" w:hAnsi="宋体" w:eastAsia="宋体" w:cs="宋体"/>
          <w:color w:val="auto"/>
          <w:highlight w:val="none"/>
          <w:u w:val="single"/>
          <w:lang w:val="en-US" w:eastAsia="zh-CN"/>
        </w:rPr>
        <w:t>97</w:t>
      </w:r>
      <w:r>
        <w:rPr>
          <w:rFonts w:hint="eastAsia" w:ascii="宋体" w:hAnsi="宋体" w:eastAsia="宋体" w:cs="宋体"/>
          <w:color w:val="auto"/>
          <w:highlight w:val="none"/>
          <w:u w:val="single"/>
        </w:rPr>
        <w:t>%（不得低于97%）。发包人按工程价款结算总额的</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%（最高不超过3%）预留工程质量保证金</w:t>
      </w:r>
      <w:r>
        <w:rPr>
          <w:rFonts w:hint="eastAsia" w:ascii="宋体" w:hAnsi="宋体" w:eastAsia="宋体" w:cs="宋体"/>
          <w:color w:val="auto"/>
          <w:highlight w:val="none"/>
          <w:u w:val="none"/>
        </w:rPr>
        <w:t>。</w:t>
      </w:r>
    </w:p>
    <w:p w14:paraId="5E74253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w:t>
      </w:r>
      <w:r>
        <w:rPr>
          <w:rFonts w:hint="eastAsia" w:ascii="宋体" w:hAnsi="宋体" w:eastAsia="宋体" w:cs="宋体"/>
          <w:color w:val="auto"/>
          <w:highlight w:val="none"/>
          <w:u w:val="single"/>
        </w:rPr>
        <w:t>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r>
        <w:rPr>
          <w:rFonts w:hint="eastAsia" w:ascii="宋体" w:hAnsi="宋体" w:eastAsia="宋体" w:cs="宋体"/>
          <w:color w:val="auto"/>
          <w:highlight w:val="none"/>
        </w:rPr>
        <w:t>。</w:t>
      </w:r>
    </w:p>
    <w:p w14:paraId="276C625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14:paraId="18C5A2F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发包人批准格式填写的工程款支付申请表(一式六份)及其附件(一式四份)，附件为计量计算资料和质量保证资料。</w:t>
      </w:r>
    </w:p>
    <w:p w14:paraId="3EA5FAC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Pr>
          <w:rFonts w:hint="eastAsia" w:ascii="宋体" w:hAnsi="宋体" w:eastAsia="宋体" w:cs="宋体"/>
          <w:color w:val="auto"/>
          <w:highlight w:val="none"/>
        </w:rPr>
        <w:t>2.4.3 进度付款申请单的提交</w:t>
      </w:r>
    </w:p>
    <w:p w14:paraId="4BF18FB2">
      <w:pPr>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承包人应在每个节点完成后向总监理工程师提交由其项目经理签署的按发包人要求的格式填写的工程款支付申请表。</w:t>
      </w:r>
    </w:p>
    <w:p w14:paraId="24794EA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3A722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A5C133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0E1F95E8">
      <w:pPr>
        <w:spacing w:line="360" w:lineRule="auto"/>
        <w:ind w:firstLine="525" w:firstLineChars="2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color w:val="auto"/>
          <w:highlight w:val="none"/>
          <w:u w:val="single"/>
          <w:lang w:val="en-US" w:eastAsia="zh-CN"/>
        </w:rPr>
        <w:t>在收到承包人支付申请之日起7天内，总监理工程师完成计量审核</w:t>
      </w:r>
      <w:r>
        <w:rPr>
          <w:rFonts w:hint="eastAsia" w:ascii="宋体" w:hAnsi="宋体" w:eastAsia="宋体" w:cs="宋体"/>
          <w:color w:val="auto"/>
          <w:highlight w:val="none"/>
          <w:u w:val="single"/>
        </w:rPr>
        <w:t>。</w:t>
      </w:r>
    </w:p>
    <w:p w14:paraId="5BD79FFD">
      <w:pPr>
        <w:spacing w:line="360" w:lineRule="auto"/>
        <w:ind w:firstLine="525" w:firstLineChars="2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color w:val="auto"/>
          <w:highlight w:val="none"/>
          <w:u w:val="single"/>
          <w:lang w:val="en-US" w:eastAsia="zh-CN"/>
        </w:rPr>
        <w:t>发包人应在收到总监理工程师签署的工程款支付证书之日起7天内完成计量审核</w:t>
      </w:r>
      <w:r>
        <w:rPr>
          <w:rFonts w:hint="eastAsia" w:ascii="宋体" w:hAnsi="宋体" w:eastAsia="宋体" w:cs="宋体"/>
          <w:color w:val="auto"/>
          <w:highlight w:val="none"/>
          <w:u w:val="single"/>
        </w:rPr>
        <w:t>。</w:t>
      </w:r>
    </w:p>
    <w:p w14:paraId="145B3DA9">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（2）发包人支付进度款的期限：</w:t>
      </w:r>
      <w:r>
        <w:rPr>
          <w:rFonts w:hint="eastAsia" w:ascii="宋体" w:hAnsi="宋体" w:eastAsia="宋体" w:cs="宋体"/>
          <w:color w:val="auto"/>
          <w:highlight w:val="none"/>
          <w:lang w:val="en-US" w:eastAsia="zh-CN"/>
        </w:rPr>
        <w:t>计量审核完成之日起15天内</w:t>
      </w:r>
      <w:r>
        <w:rPr>
          <w:rFonts w:hint="eastAsia" w:ascii="宋体" w:hAnsi="宋体" w:eastAsia="宋体" w:cs="宋体"/>
          <w:color w:val="auto"/>
          <w:highlight w:val="none"/>
        </w:rPr>
        <w:t>。</w:t>
      </w:r>
    </w:p>
    <w:p w14:paraId="009C0B3C">
      <w:pPr>
        <w:spacing w:line="360" w:lineRule="auto"/>
        <w:ind w:firstLine="525" w:firstLineChars="2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color w:val="auto"/>
          <w:highlight w:val="none"/>
          <w:u w:val="single"/>
          <w:lang w:val="en-US" w:eastAsia="zh-CN"/>
        </w:rPr>
        <w:t>另行协商</w:t>
      </w:r>
      <w:r>
        <w:rPr>
          <w:rFonts w:hint="eastAsia" w:ascii="宋体" w:hAnsi="宋体" w:eastAsia="宋体" w:cs="宋体"/>
          <w:color w:val="auto"/>
          <w:highlight w:val="none"/>
          <w:u w:val="single"/>
        </w:rPr>
        <w:t>。</w:t>
      </w:r>
    </w:p>
    <w:p w14:paraId="2325C5B1">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进度款支付方式：</w:t>
      </w:r>
      <w:r>
        <w:rPr>
          <w:rFonts w:hint="eastAsia" w:ascii="宋体" w:hAnsi="宋体" w:eastAsia="宋体" w:cs="宋体"/>
          <w:color w:val="auto"/>
          <w:highlight w:val="none"/>
          <w:u w:val="single"/>
        </w:rPr>
        <w:t>银行转账。</w:t>
      </w:r>
      <w:r>
        <w:rPr>
          <w:rFonts w:hint="eastAsia" w:ascii="宋体" w:hAnsi="宋体" w:eastAsia="宋体" w:cs="宋体"/>
          <w:color w:val="auto"/>
          <w:highlight w:val="none"/>
        </w:rPr>
        <w:t>进度款支付申请（核准）表见合同附件11</w:t>
      </w:r>
    </w:p>
    <w:p w14:paraId="71FF3E4A">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（3） 农民工工资支付</w:t>
      </w:r>
    </w:p>
    <w:p w14:paraId="40AC1DCF">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7FD23196">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4DD40DB2">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3）发包人依据工程进度，审核承包人申报的工程进度款，按照与承包人约定的人工费支付比例</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（房建项目不少于</w:t>
      </w:r>
      <w:r>
        <w:rPr>
          <w:rFonts w:hint="eastAsia" w:ascii="宋体" w:hAnsi="宋体" w:eastAsia="宋体" w:cs="宋体"/>
          <w:color w:val="auto"/>
          <w:highlight w:val="none"/>
          <w:lang w:val="en-US" w:eastAsia="zh-CN"/>
        </w:rPr>
        <w:t>20%，市政项目不少于15%）</w:t>
      </w:r>
      <w:r>
        <w:rPr>
          <w:rFonts w:hint="eastAsia" w:ascii="宋体" w:hAnsi="宋体" w:eastAsia="宋体" w:cs="宋体"/>
          <w:color w:val="auto"/>
          <w:highlight w:val="none"/>
        </w:rPr>
        <w:t>，将人工费及时足额拨付至承包人的农民工工资专用账户，其余工程进度款项由发包人支付到承包人的单位基本户。</w:t>
      </w:r>
    </w:p>
    <w:p w14:paraId="2FDEB410">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0F0C9236">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5）凡未向付款单位提供农民工工资专用账户的，或者请款单位在申请工程进度款时未将人工费单列的，付款单位有权拒绝支付工程进度款。</w:t>
      </w:r>
    </w:p>
    <w:p w14:paraId="3FBD059F">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6）人工费使用要求：专款专用，除发放农民工工资外，不得用于其他用途。</w:t>
      </w:r>
    </w:p>
    <w:p w14:paraId="23591319">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7）承包人将人工费支付情况定期报告发包人和监理单位，并提供相应的材料接受建设行政主管部门和劳动保障行政主管部门对此事项监管。</w:t>
      </w:r>
    </w:p>
    <w:p w14:paraId="7B44CFD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8）人工费支付专用账户：××××公司农民工工资支付专用账户。账号：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5F1FB7C">
      <w:pPr>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12.4.6 支付分解表的编制</w:t>
      </w:r>
    </w:p>
    <w:p w14:paraId="384D7ABA">
      <w:pPr>
        <w:spacing w:line="360" w:lineRule="auto"/>
        <w:ind w:firstLine="525" w:firstLineChars="2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 总价合同支付分解表的编制与审批：</w:t>
      </w:r>
      <w:r>
        <w:rPr>
          <w:rFonts w:hint="eastAsia" w:ascii="宋体" w:hAnsi="宋体" w:eastAsia="宋体" w:cs="宋体"/>
          <w:color w:val="auto"/>
          <w:highlight w:val="none"/>
          <w:u w:val="single"/>
        </w:rPr>
        <w:t xml:space="preserve"> 总价合同支付分分解表在招标完成后由发包人和承包人共同编制，发包人审批，并作为本合同内容，具体详见合同附件</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2980BA34">
      <w:pPr>
        <w:spacing w:line="360" w:lineRule="auto"/>
        <w:ind w:firstLine="525" w:firstLineChars="2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（2）单价合同的总价项目支付分解表的编制与审批：总价项目不采用支付分解表的方式计算，而按《建设工程工程量清单计价规范（GB50500-2013）广西壮族自治区实施细则》的规定执行。</w:t>
      </w:r>
    </w:p>
    <w:bookmarkEnd w:id="725"/>
    <w:p w14:paraId="25EC2CC0">
      <w:pPr>
        <w:pStyle w:val="5"/>
        <w:spacing w:line="360" w:lineRule="auto"/>
        <w:rPr>
          <w:rFonts w:hint="eastAsia" w:ascii="宋体" w:hAnsi="宋体" w:eastAsia="宋体" w:cs="宋体"/>
          <w:color w:val="auto"/>
          <w:highlight w:val="none"/>
        </w:rPr>
      </w:pPr>
      <w:bookmarkStart w:id="987" w:name="_Toc389065318"/>
      <w:bookmarkStart w:id="988" w:name="_Toc2003466256"/>
      <w:bookmarkStart w:id="989" w:name="_Toc728899116"/>
      <w:bookmarkStart w:id="990" w:name="_Toc351203645"/>
      <w:bookmarkStart w:id="991" w:name="_Toc373227753"/>
      <w:bookmarkStart w:id="992" w:name="_Toc78449842"/>
      <w:bookmarkStart w:id="993" w:name="_Toc407135256"/>
      <w:bookmarkStart w:id="994" w:name="_Toc373478400"/>
      <w:bookmarkStart w:id="995" w:name="_Toc297120519"/>
      <w:bookmarkStart w:id="996" w:name="_Toc292559929"/>
      <w:bookmarkStart w:id="997" w:name="_Toc296346720"/>
      <w:bookmarkStart w:id="998" w:name="_Toc303539172"/>
      <w:bookmarkStart w:id="999" w:name="_Toc296503219"/>
      <w:bookmarkStart w:id="1000" w:name="_Toc296891047"/>
      <w:bookmarkStart w:id="1001" w:name="_Toc297048405"/>
      <w:bookmarkStart w:id="1002" w:name="_Toc297123564"/>
      <w:bookmarkStart w:id="1003" w:name="_Toc312678053"/>
      <w:bookmarkStart w:id="1004" w:name="_Toc297216223"/>
      <w:bookmarkStart w:id="1005" w:name="_Toc292559424"/>
      <w:bookmarkStart w:id="1006" w:name="_Toc296347218"/>
      <w:bookmarkStart w:id="1007" w:name="_Toc300935015"/>
      <w:bookmarkStart w:id="1008" w:name="_Toc296891259"/>
      <w:bookmarkStart w:id="1009" w:name="_Toc304295593"/>
      <w:bookmarkStart w:id="1010" w:name="_Toc296944558"/>
      <w:r>
        <w:rPr>
          <w:rFonts w:hint="eastAsia" w:ascii="宋体" w:hAnsi="宋体" w:eastAsia="宋体" w:cs="宋体"/>
          <w:color w:val="auto"/>
          <w:highlight w:val="none"/>
        </w:rPr>
        <w:t>13. 验收和工程试车</w:t>
      </w:r>
      <w:bookmarkEnd w:id="987"/>
      <w:bookmarkEnd w:id="988"/>
      <w:bookmarkEnd w:id="989"/>
      <w:bookmarkEnd w:id="990"/>
      <w:bookmarkEnd w:id="991"/>
      <w:bookmarkEnd w:id="992"/>
      <w:bookmarkEnd w:id="993"/>
      <w:bookmarkEnd w:id="994"/>
    </w:p>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14:paraId="39EC6D09">
      <w:pPr>
        <w:pStyle w:val="6"/>
        <w:spacing w:line="360" w:lineRule="auto"/>
        <w:rPr>
          <w:rFonts w:hint="eastAsia" w:ascii="宋体" w:hAnsi="宋体" w:eastAsia="宋体" w:cs="宋体"/>
          <w:color w:val="auto"/>
          <w:highlight w:val="none"/>
        </w:rPr>
      </w:pPr>
      <w:bookmarkStart w:id="1011" w:name="_Toc834489126"/>
      <w:bookmarkStart w:id="1012" w:name="_Toc389065319"/>
      <w:bookmarkStart w:id="1013" w:name="_Toc407135257"/>
      <w:bookmarkStart w:id="1014" w:name="_Toc740353520"/>
      <w:bookmarkStart w:id="1015" w:name="_Toc373478401"/>
      <w:bookmarkStart w:id="1016" w:name="_Toc78449843"/>
      <w:bookmarkStart w:id="1017" w:name="_Toc373227754"/>
      <w:r>
        <w:rPr>
          <w:rFonts w:hint="eastAsia" w:ascii="宋体" w:hAnsi="宋体" w:eastAsia="宋体" w:cs="宋体"/>
          <w:color w:val="auto"/>
          <w:highlight w:val="none"/>
        </w:rPr>
        <w:t>13.1 分部分项工程验收</w:t>
      </w:r>
      <w:bookmarkEnd w:id="1011"/>
      <w:bookmarkEnd w:id="1012"/>
      <w:bookmarkEnd w:id="1013"/>
      <w:bookmarkEnd w:id="1014"/>
      <w:bookmarkEnd w:id="1015"/>
      <w:bookmarkEnd w:id="1016"/>
      <w:bookmarkEnd w:id="1017"/>
    </w:p>
    <w:p w14:paraId="3274777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24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64672240">
      <w:pPr>
        <w:spacing w:line="360" w:lineRule="auto"/>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48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64B4002B">
      <w:pPr>
        <w:pStyle w:val="6"/>
        <w:spacing w:line="360" w:lineRule="auto"/>
        <w:rPr>
          <w:rFonts w:hint="eastAsia" w:ascii="宋体" w:hAnsi="宋体" w:eastAsia="宋体" w:cs="宋体"/>
          <w:color w:val="auto"/>
          <w:highlight w:val="none"/>
        </w:rPr>
      </w:pPr>
      <w:bookmarkStart w:id="1018" w:name="_Toc373478402"/>
      <w:bookmarkStart w:id="1019" w:name="_Toc373227755"/>
      <w:bookmarkStart w:id="1020" w:name="_Toc1062221039"/>
      <w:bookmarkStart w:id="1021" w:name="_Toc78449844"/>
      <w:bookmarkStart w:id="1022" w:name="_Toc1578431234"/>
      <w:bookmarkStart w:id="1023" w:name="_Toc389065320"/>
      <w:bookmarkStart w:id="1024" w:name="_Toc407135258"/>
      <w:bookmarkStart w:id="1025" w:name="_Toc296347222"/>
      <w:bookmarkStart w:id="1026" w:name="_Toc312678056"/>
      <w:bookmarkStart w:id="1027" w:name="_Toc300935016"/>
      <w:bookmarkStart w:id="1028" w:name="_Toc297216224"/>
      <w:bookmarkStart w:id="1029" w:name="_Toc296944562"/>
      <w:bookmarkStart w:id="1030" w:name="_Toc304295596"/>
      <w:bookmarkStart w:id="1031" w:name="_Toc292559933"/>
      <w:bookmarkStart w:id="1032" w:name="_Toc297120523"/>
      <w:bookmarkStart w:id="1033" w:name="_Toc292559428"/>
      <w:bookmarkStart w:id="1034" w:name="_Toc297123565"/>
      <w:bookmarkStart w:id="1035" w:name="_Toc296891263"/>
      <w:bookmarkStart w:id="1036" w:name="_Toc296891051"/>
      <w:bookmarkStart w:id="1037" w:name="_Toc297048409"/>
      <w:bookmarkStart w:id="1038" w:name="_Toc303539173"/>
      <w:bookmarkStart w:id="1039" w:name="_Toc296503223"/>
      <w:bookmarkStart w:id="1040" w:name="_Toc296346724"/>
      <w:bookmarkStart w:id="1041" w:name="_Toc267251472"/>
      <w:bookmarkStart w:id="1042" w:name="_Toc267251474"/>
      <w:bookmarkStart w:id="1043" w:name="_Toc267251475"/>
      <w:bookmarkStart w:id="1044" w:name="_Toc267251470"/>
      <w:bookmarkStart w:id="1045" w:name="_Toc267251476"/>
      <w:bookmarkStart w:id="1046" w:name="_Toc267251471"/>
      <w:bookmarkStart w:id="1047" w:name="_Toc267251473"/>
      <w:r>
        <w:rPr>
          <w:rFonts w:hint="eastAsia" w:ascii="宋体" w:hAnsi="宋体" w:eastAsia="宋体" w:cs="宋体"/>
          <w:color w:val="auto"/>
          <w:highlight w:val="none"/>
        </w:rPr>
        <w:t>13.2 竣工验收</w:t>
      </w:r>
      <w:bookmarkEnd w:id="1018"/>
      <w:bookmarkEnd w:id="1019"/>
      <w:bookmarkEnd w:id="1020"/>
      <w:bookmarkEnd w:id="1021"/>
      <w:bookmarkEnd w:id="1022"/>
      <w:bookmarkEnd w:id="1023"/>
      <w:bookmarkEnd w:id="1024"/>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14:paraId="3B5802FF">
      <w:pPr>
        <w:spacing w:line="360" w:lineRule="auto"/>
        <w:ind w:firstLine="420" w:firstLineChars="200"/>
        <w:jc w:val="left"/>
        <w:rPr>
          <w:rFonts w:hint="eastAsia" w:ascii="宋体" w:hAnsi="宋体" w:eastAsia="宋体" w:cs="宋体"/>
          <w:color w:val="auto"/>
          <w:highlight w:val="none"/>
        </w:rPr>
      </w:pPr>
      <w:bookmarkStart w:id="1048" w:name="_Toc280868704"/>
      <w:bookmarkStart w:id="1049" w:name="_Toc280868705"/>
      <w:bookmarkStart w:id="1050" w:name="_Toc280868706"/>
      <w:bookmarkStart w:id="1051" w:name="_Toc280868707"/>
      <w:bookmarkStart w:id="1052" w:name="_Toc280868708"/>
      <w:bookmarkStart w:id="1053" w:name="_Toc280868709"/>
      <w:r>
        <w:rPr>
          <w:rFonts w:hint="eastAsia" w:ascii="宋体" w:hAnsi="宋体" w:eastAsia="宋体" w:cs="宋体"/>
          <w:color w:val="auto"/>
          <w:highlight w:val="none"/>
        </w:rPr>
        <w:t>13.2.1竣工验收条件</w:t>
      </w:r>
    </w:p>
    <w:p w14:paraId="2FDB85AB">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u w:val="none"/>
          <w:lang w:val="en-US" w:eastAsia="zh-CN"/>
        </w:rPr>
        <w:t>（1）承包人负责整理和提交的竣工验收资料应当符合工程所在地建设行政主管部门和(或)城市建设档案管理机构有关施工资料的要求，具体内容包括：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highlight w:val="none"/>
          <w:u w:val="single"/>
          <w:lang w:val="en-US" w:eastAsia="zh-CN"/>
        </w:rPr>
        <w:t xml:space="preserve">按《建设工程文件归档整理规范》GB/T50328-2014要求提供 </w:t>
      </w:r>
      <w:r>
        <w:rPr>
          <w:rFonts w:hint="eastAsia" w:ascii="宋体" w:hAnsi="宋体" w:eastAsia="宋体" w:cs="宋体"/>
          <w:color w:val="auto"/>
          <w:highlight w:val="none"/>
        </w:rPr>
        <w:t>。</w:t>
      </w:r>
    </w:p>
    <w:p w14:paraId="5BFACD2A">
      <w:pPr>
        <w:spacing w:line="360" w:lineRule="auto"/>
        <w:ind w:firstLine="420" w:firstLineChars="200"/>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（2）竣工验收资料的份数：四套(一套存城建档案馆； 两套存业主单位；一套用于结算) 。</w:t>
      </w:r>
    </w:p>
    <w:p w14:paraId="64DD1871">
      <w:pPr>
        <w:spacing w:line="360" w:lineRule="auto"/>
        <w:ind w:firstLine="420" w:firstLineChars="200"/>
        <w:jc w:val="left"/>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none"/>
          <w:lang w:val="en-US" w:eastAsia="zh-CN"/>
        </w:rPr>
        <w:t>（3）承包人提供竣工图的约定：</w:t>
      </w:r>
      <w:r>
        <w:rPr>
          <w:rFonts w:hint="eastAsia" w:ascii="宋体" w:hAnsi="宋体" w:eastAsia="宋体" w:cs="宋体"/>
          <w:color w:val="auto"/>
          <w:highlight w:val="none"/>
          <w:u w:val="single"/>
          <w:lang w:val="en-US" w:eastAsia="zh-CN"/>
        </w:rPr>
        <w:t>竣工验收正式通过后5天（工程造价在500万元以下含500万元）、10天（工程造价在500万元至1000万元之间含1000万元）、15天（工程造价在1000万元以上），提供竣工图的数量分别为2套、4套、6套。</w:t>
      </w:r>
    </w:p>
    <w:p w14:paraId="514B651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bookmarkEnd w:id="1048"/>
    <w:p w14:paraId="38D493A7">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关于竣工验收程序的约定：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376958">
      <w:pPr>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049"/>
    <w:p w14:paraId="29E9C00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bookmarkEnd w:id="1050"/>
    <w:p w14:paraId="057FD650">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颁发工程接收证书后7天内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D8FAA8">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051"/>
    <w:p w14:paraId="2A392E1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每超一天向发包人支付合同价款万分之五的误期赔偿费，限额为单位工程结算造价扣除建安劳保费、发包人材料价款、暂估专业工程、暂列金额后的5%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3A8F8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13.2.6竣工整改 </w:t>
      </w:r>
    </w:p>
    <w:p w14:paraId="15AD40D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竣工验收后，若有需整改的工程，承包人需在30天内完成整改，逾期按每日处以2000.00元作为罚款。</w:t>
      </w:r>
    </w:p>
    <w:p w14:paraId="5FE29207">
      <w:pPr>
        <w:pStyle w:val="6"/>
        <w:spacing w:line="360" w:lineRule="auto"/>
        <w:rPr>
          <w:rFonts w:hint="eastAsia" w:ascii="宋体" w:hAnsi="宋体" w:eastAsia="宋体" w:cs="宋体"/>
          <w:color w:val="auto"/>
          <w:highlight w:val="none"/>
        </w:rPr>
      </w:pPr>
      <w:bookmarkStart w:id="1054" w:name="_Toc1470255881"/>
      <w:bookmarkStart w:id="1055" w:name="_Toc407135259"/>
      <w:bookmarkStart w:id="1056" w:name="_Toc373227756"/>
      <w:bookmarkStart w:id="1057" w:name="_Toc78449845"/>
      <w:bookmarkStart w:id="1058" w:name="_Toc2090321864"/>
      <w:bookmarkStart w:id="1059" w:name="_Toc373478403"/>
      <w:bookmarkStart w:id="1060" w:name="_Toc389065321"/>
      <w:r>
        <w:rPr>
          <w:rFonts w:hint="eastAsia" w:ascii="宋体" w:hAnsi="宋体" w:eastAsia="宋体" w:cs="宋体"/>
          <w:color w:val="auto"/>
          <w:highlight w:val="none"/>
        </w:rPr>
        <w:t>13.3 工程试车</w:t>
      </w:r>
      <w:bookmarkEnd w:id="1054"/>
      <w:bookmarkEnd w:id="1055"/>
      <w:bookmarkEnd w:id="1056"/>
      <w:bookmarkEnd w:id="1057"/>
      <w:bookmarkEnd w:id="1058"/>
      <w:bookmarkEnd w:id="1059"/>
      <w:bookmarkEnd w:id="1060"/>
    </w:p>
    <w:bookmarkEnd w:id="1052"/>
    <w:p w14:paraId="469AD0FB">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34A9ECCA">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工程试车内容：</w:t>
      </w:r>
      <w:r>
        <w:rPr>
          <w:rFonts w:hint="eastAsia" w:ascii="宋体" w:hAnsi="宋体" w:eastAsia="宋体" w:cs="宋体"/>
          <w:color w:val="auto"/>
          <w:kern w:val="0"/>
          <w:highlight w:val="none"/>
          <w:u w:val="single"/>
          <w:lang w:val="en-US" w:eastAsia="zh-CN"/>
        </w:rPr>
        <w:t>按通用条款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3A6D324">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承包人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19CAC0B4">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承包人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2088C4FC">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14:paraId="3E67A728">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kern w:val="0"/>
          <w:highlight w:val="none"/>
          <w:u w:val="single"/>
          <w:lang w:val="en-US" w:eastAsia="zh-CN"/>
        </w:rPr>
        <w:t>按通用条款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F206DF">
      <w:pPr>
        <w:pStyle w:val="6"/>
        <w:spacing w:line="360" w:lineRule="auto"/>
        <w:rPr>
          <w:rFonts w:hint="eastAsia" w:ascii="宋体" w:hAnsi="宋体" w:eastAsia="宋体" w:cs="宋体"/>
          <w:color w:val="auto"/>
          <w:highlight w:val="none"/>
        </w:rPr>
      </w:pPr>
      <w:bookmarkStart w:id="1061" w:name="_Toc389065322"/>
      <w:bookmarkStart w:id="1062" w:name="_Toc78449846"/>
      <w:bookmarkStart w:id="1063" w:name="_Toc550030550"/>
      <w:bookmarkStart w:id="1064" w:name="_Toc407135260"/>
      <w:bookmarkStart w:id="1065" w:name="_Toc10307455"/>
      <w:bookmarkStart w:id="1066" w:name="_Toc373478404"/>
      <w:bookmarkStart w:id="1067" w:name="_Toc373227757"/>
      <w:r>
        <w:rPr>
          <w:rFonts w:hint="eastAsia" w:ascii="宋体" w:hAnsi="宋体" w:eastAsia="宋体" w:cs="宋体"/>
          <w:color w:val="auto"/>
          <w:highlight w:val="none"/>
        </w:rPr>
        <w:t>13.6 竣工退场</w:t>
      </w:r>
      <w:bookmarkEnd w:id="1061"/>
      <w:bookmarkEnd w:id="1062"/>
      <w:bookmarkEnd w:id="1063"/>
      <w:bookmarkEnd w:id="1064"/>
      <w:bookmarkEnd w:id="1065"/>
      <w:bookmarkEnd w:id="1066"/>
      <w:bookmarkEnd w:id="1067"/>
    </w:p>
    <w:p w14:paraId="3AAF536A">
      <w:pPr>
        <w:spacing w:line="360" w:lineRule="auto"/>
        <w:ind w:firstLine="420" w:firstLineChars="200"/>
        <w:jc w:val="left"/>
        <w:outlineLvl w:val="1"/>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14:paraId="2319CAA6">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 xml:space="preserve">  工程完成移交，办理移交证书后 7天内  </w:t>
      </w:r>
      <w:r>
        <w:rPr>
          <w:rFonts w:hint="eastAsia" w:ascii="宋体" w:hAnsi="宋体" w:eastAsia="宋体" w:cs="宋体"/>
          <w:color w:val="auto"/>
          <w:kern w:val="0"/>
          <w:highlight w:val="none"/>
        </w:rPr>
        <w:t>。</w:t>
      </w:r>
      <w:bookmarkStart w:id="1068" w:name="_Toc351203646"/>
      <w:bookmarkStart w:id="1069" w:name="_Toc1385490858"/>
      <w:bookmarkStart w:id="1070" w:name="_Toc373478405"/>
      <w:bookmarkStart w:id="1071" w:name="_Toc1950258056"/>
      <w:bookmarkStart w:id="1072" w:name="_Toc389065323"/>
      <w:bookmarkStart w:id="1073" w:name="_Toc407135261"/>
      <w:bookmarkStart w:id="1074" w:name="_Toc78449847"/>
      <w:bookmarkStart w:id="1075" w:name="_Toc373227758"/>
    </w:p>
    <w:p w14:paraId="49005DF6">
      <w:pPr>
        <w:numPr>
          <w:ilvl w:val="0"/>
          <w:numId w:val="0"/>
        </w:numPr>
        <w:spacing w:line="360" w:lineRule="auto"/>
        <w:ind w:left="0" w:leftChars="0"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2"/>
          <w:highlight w:val="none"/>
          <w:lang w:val="en-US" w:eastAsia="zh-CN" w:bidi="ar-SA"/>
        </w:rPr>
        <w:t>14.</w:t>
      </w:r>
      <w:r>
        <w:rPr>
          <w:rFonts w:hint="eastAsia" w:ascii="宋体" w:hAnsi="宋体" w:eastAsia="宋体" w:cs="宋体"/>
          <w:b/>
          <w:bCs/>
          <w:color w:val="auto"/>
          <w:highlight w:val="none"/>
        </w:rPr>
        <w:t>竣工结算</w:t>
      </w:r>
      <w:bookmarkEnd w:id="1068"/>
      <w:bookmarkEnd w:id="1069"/>
      <w:bookmarkEnd w:id="1070"/>
      <w:bookmarkEnd w:id="1071"/>
      <w:bookmarkEnd w:id="1072"/>
      <w:bookmarkEnd w:id="1073"/>
      <w:bookmarkEnd w:id="1074"/>
      <w:bookmarkEnd w:id="1075"/>
      <w:bookmarkStart w:id="1076" w:name="_Toc373227759"/>
      <w:bookmarkStart w:id="1077" w:name="_Toc389065324"/>
      <w:bookmarkStart w:id="1078" w:name="_Toc78449848"/>
      <w:bookmarkStart w:id="1079" w:name="_Toc407135262"/>
      <w:bookmarkStart w:id="1080" w:name="_Toc1973954660"/>
      <w:bookmarkStart w:id="1081" w:name="_Toc174652718"/>
      <w:bookmarkStart w:id="1082" w:name="_Toc373478406"/>
    </w:p>
    <w:p w14:paraId="1C234B0B">
      <w:pPr>
        <w:numPr>
          <w:ilvl w:val="0"/>
          <w:numId w:val="0"/>
        </w:numPr>
        <w:spacing w:line="360" w:lineRule="auto"/>
        <w:ind w:leftChars="0" w:firstLine="420" w:firstLineChars="200"/>
        <w:jc w:val="left"/>
        <w:rPr>
          <w:rFonts w:hint="eastAsia" w:ascii="宋体" w:hAnsi="宋体" w:eastAsia="宋体" w:cs="宋体"/>
          <w:b w:val="0"/>
          <w:bCs w:val="0"/>
          <w:color w:val="auto"/>
          <w:kern w:val="0"/>
          <w:sz w:val="21"/>
          <w:szCs w:val="22"/>
          <w:highlight w:val="none"/>
          <w:lang w:val="en-US" w:eastAsia="zh-CN" w:bidi="ar-SA"/>
        </w:rPr>
      </w:pPr>
      <w:r>
        <w:rPr>
          <w:rFonts w:hint="eastAsia" w:ascii="宋体" w:hAnsi="宋体" w:eastAsia="宋体" w:cs="宋体"/>
          <w:b w:val="0"/>
          <w:bCs w:val="0"/>
          <w:color w:val="auto"/>
          <w:kern w:val="0"/>
          <w:sz w:val="21"/>
          <w:szCs w:val="22"/>
          <w:highlight w:val="none"/>
          <w:lang w:val="en-US" w:eastAsia="zh-CN" w:bidi="ar-SA"/>
        </w:rPr>
        <w:t>14.1 竣工付款申请</w:t>
      </w:r>
      <w:bookmarkEnd w:id="1076"/>
      <w:bookmarkEnd w:id="1077"/>
      <w:bookmarkEnd w:id="1078"/>
      <w:bookmarkEnd w:id="1079"/>
      <w:bookmarkEnd w:id="1080"/>
      <w:bookmarkEnd w:id="1081"/>
      <w:bookmarkEnd w:id="1082"/>
      <w:bookmarkStart w:id="1083" w:name="_Toc389065325"/>
      <w:bookmarkStart w:id="1084" w:name="_Toc667492935"/>
      <w:bookmarkStart w:id="1085" w:name="_Toc78449849"/>
      <w:bookmarkStart w:id="1086" w:name="_Toc373478407"/>
      <w:bookmarkStart w:id="1087" w:name="_Toc489920513"/>
      <w:bookmarkStart w:id="1088" w:name="_Toc407135263"/>
      <w:bookmarkStart w:id="1089" w:name="_Toc373227760"/>
    </w:p>
    <w:p w14:paraId="3719CC63">
      <w:pPr>
        <w:numPr>
          <w:ilvl w:val="0"/>
          <w:numId w:val="0"/>
        </w:numPr>
        <w:spacing w:line="360" w:lineRule="auto"/>
        <w:ind w:leftChars="0" w:firstLine="420" w:firstLineChars="200"/>
        <w:jc w:val="left"/>
        <w:rPr>
          <w:rFonts w:hint="eastAsia" w:ascii="宋体" w:hAnsi="宋体" w:eastAsia="宋体" w:cs="宋体"/>
          <w:b w:val="0"/>
          <w:bCs w:val="0"/>
          <w:color w:val="auto"/>
          <w:kern w:val="0"/>
          <w:sz w:val="21"/>
          <w:szCs w:val="22"/>
          <w:highlight w:val="none"/>
          <w:u w:val="single"/>
          <w:lang w:val="en-US" w:eastAsia="zh-CN" w:bidi="ar-SA"/>
        </w:rPr>
      </w:pPr>
      <w:r>
        <w:rPr>
          <w:rFonts w:hint="eastAsia" w:ascii="宋体" w:hAnsi="宋体" w:eastAsia="宋体" w:cs="宋体"/>
          <w:b w:val="0"/>
          <w:bCs w:val="0"/>
          <w:color w:val="auto"/>
          <w:kern w:val="0"/>
          <w:sz w:val="21"/>
          <w:szCs w:val="22"/>
          <w:highlight w:val="none"/>
          <w:lang w:val="en-US" w:eastAsia="zh-CN" w:bidi="ar-SA"/>
        </w:rPr>
        <w:t>承包人提交竣工付款申请单的期限：</w:t>
      </w:r>
      <w:r>
        <w:rPr>
          <w:rFonts w:hint="eastAsia" w:ascii="宋体" w:hAnsi="宋体" w:eastAsia="宋体" w:cs="宋体"/>
          <w:b w:val="0"/>
          <w:bCs w:val="0"/>
          <w:color w:val="auto"/>
          <w:kern w:val="0"/>
          <w:sz w:val="21"/>
          <w:szCs w:val="22"/>
          <w:highlight w:val="none"/>
          <w:u w:val="single"/>
          <w:lang w:val="en-US" w:eastAsia="zh-CN" w:bidi="ar-SA"/>
        </w:rPr>
        <w:t>工程竣工验收通过之日起28天内，否则发包人按每拖延一天扣罚承包人500元人民币。</w:t>
      </w:r>
      <w:bookmarkStart w:id="1090" w:name="_Toc2351"/>
    </w:p>
    <w:p w14:paraId="7B5187C0">
      <w:pPr>
        <w:numPr>
          <w:ilvl w:val="0"/>
          <w:numId w:val="0"/>
        </w:numPr>
        <w:spacing w:line="360" w:lineRule="auto"/>
        <w:ind w:leftChars="0" w:firstLine="420" w:firstLineChars="200"/>
        <w:jc w:val="left"/>
        <w:rPr>
          <w:rFonts w:hint="eastAsia" w:ascii="宋体" w:hAnsi="宋体" w:eastAsia="宋体" w:cs="宋体"/>
          <w:b w:val="0"/>
          <w:bCs w:val="0"/>
          <w:color w:val="auto"/>
          <w:kern w:val="0"/>
          <w:sz w:val="21"/>
          <w:szCs w:val="22"/>
          <w:highlight w:val="none"/>
          <w:u w:val="single"/>
          <w:lang w:val="en-US" w:eastAsia="zh-CN" w:bidi="ar-SA"/>
        </w:rPr>
      </w:pPr>
      <w:r>
        <w:rPr>
          <w:rFonts w:hint="eastAsia" w:ascii="宋体" w:hAnsi="宋体" w:eastAsia="宋体" w:cs="宋体"/>
          <w:b w:val="0"/>
          <w:bCs w:val="0"/>
          <w:color w:val="auto"/>
          <w:kern w:val="0"/>
          <w:sz w:val="21"/>
          <w:szCs w:val="22"/>
          <w:highlight w:val="none"/>
          <w:lang w:val="en-US" w:eastAsia="zh-CN" w:bidi="ar-SA"/>
        </w:rPr>
        <w:t>竣工付款申请单应包括的内容：</w:t>
      </w:r>
      <w:r>
        <w:rPr>
          <w:rFonts w:hint="eastAsia" w:ascii="宋体" w:hAnsi="宋体" w:eastAsia="宋体" w:cs="宋体"/>
          <w:b w:val="0"/>
          <w:bCs w:val="0"/>
          <w:color w:val="auto"/>
          <w:kern w:val="0"/>
          <w:sz w:val="21"/>
          <w:szCs w:val="22"/>
          <w:highlight w:val="none"/>
          <w:u w:val="single"/>
          <w:lang w:val="en-US" w:eastAsia="zh-CN" w:bidi="ar-SA"/>
        </w:rPr>
        <w:t>按通用条款。</w:t>
      </w:r>
      <w:bookmarkEnd w:id="1090"/>
    </w:p>
    <w:p w14:paraId="3F87BE7C">
      <w:pPr>
        <w:numPr>
          <w:ilvl w:val="0"/>
          <w:numId w:val="0"/>
        </w:numPr>
        <w:spacing w:line="360" w:lineRule="auto"/>
        <w:ind w:leftChars="0" w:firstLine="420" w:firstLineChars="200"/>
        <w:jc w:val="left"/>
        <w:rPr>
          <w:rFonts w:hint="eastAsia" w:ascii="宋体" w:hAnsi="宋体" w:eastAsia="宋体" w:cs="宋体"/>
          <w:b w:val="0"/>
          <w:bCs w:val="0"/>
          <w:color w:val="auto"/>
          <w:kern w:val="0"/>
          <w:sz w:val="21"/>
          <w:szCs w:val="22"/>
          <w:highlight w:val="none"/>
          <w:lang w:val="en-US" w:eastAsia="zh-CN" w:bidi="ar-SA"/>
        </w:rPr>
      </w:pPr>
      <w:r>
        <w:rPr>
          <w:rFonts w:hint="eastAsia" w:ascii="宋体" w:hAnsi="宋体" w:eastAsia="宋体" w:cs="宋体"/>
          <w:b w:val="0"/>
          <w:bCs w:val="0"/>
          <w:color w:val="auto"/>
          <w:kern w:val="0"/>
          <w:sz w:val="21"/>
          <w:szCs w:val="22"/>
          <w:highlight w:val="none"/>
          <w:lang w:val="en-US" w:eastAsia="zh-CN" w:bidi="ar-SA"/>
        </w:rPr>
        <w:t>竣工结算款支付申请（核准）表见合同附件12。</w:t>
      </w:r>
    </w:p>
    <w:p w14:paraId="45126032">
      <w:pPr>
        <w:numPr>
          <w:ilvl w:val="0"/>
          <w:numId w:val="0"/>
        </w:numPr>
        <w:spacing w:line="360" w:lineRule="auto"/>
        <w:ind w:leftChars="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bookmarkEnd w:id="1083"/>
      <w:bookmarkEnd w:id="1084"/>
      <w:bookmarkEnd w:id="1085"/>
      <w:bookmarkEnd w:id="1086"/>
      <w:bookmarkEnd w:id="1087"/>
      <w:bookmarkEnd w:id="1088"/>
      <w:bookmarkEnd w:id="1089"/>
    </w:p>
    <w:p w14:paraId="2F39CB4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p>
    <w:tbl>
      <w:tblPr>
        <w:tblStyle w:val="5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0868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9F8B4AD">
            <w:pPr>
              <w:spacing w:line="360" w:lineRule="auto"/>
              <w:rPr>
                <w:rFonts w:hint="eastAsia" w:ascii="宋体" w:hAnsi="宋体" w:eastAsia="宋体" w:cs="宋体"/>
                <w:color w:val="auto"/>
                <w:highlight w:val="none"/>
              </w:rPr>
            </w:pPr>
          </w:p>
        </w:tc>
        <w:tc>
          <w:tcPr>
            <w:tcW w:w="2466" w:type="dxa"/>
            <w:noWrap w:val="0"/>
            <w:vAlign w:val="center"/>
          </w:tcPr>
          <w:p w14:paraId="390E55F1">
            <w:pPr>
              <w:spacing w:line="360" w:lineRule="auto"/>
              <w:ind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工程竣工结算报告金额</w:t>
            </w:r>
          </w:p>
        </w:tc>
        <w:tc>
          <w:tcPr>
            <w:tcW w:w="5967" w:type="dxa"/>
            <w:noWrap w:val="0"/>
            <w:vAlign w:val="center"/>
          </w:tcPr>
          <w:p w14:paraId="546A1D1C">
            <w:pPr>
              <w:spacing w:line="360" w:lineRule="auto"/>
              <w:ind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发包人审查时间</w:t>
            </w:r>
          </w:p>
        </w:tc>
      </w:tr>
      <w:tr w14:paraId="1687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77F50C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66" w:type="dxa"/>
            <w:noWrap w:val="0"/>
            <w:vAlign w:val="center"/>
          </w:tcPr>
          <w:p w14:paraId="2663FB2B">
            <w:pPr>
              <w:spacing w:line="360" w:lineRule="auto"/>
              <w:ind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500万元以下</w:t>
            </w:r>
          </w:p>
        </w:tc>
        <w:tc>
          <w:tcPr>
            <w:tcW w:w="5967" w:type="dxa"/>
            <w:noWrap w:val="0"/>
            <w:vAlign w:val="center"/>
          </w:tcPr>
          <w:p w14:paraId="6B1A3738">
            <w:pPr>
              <w:spacing w:line="360" w:lineRule="auto"/>
              <w:ind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从接到竣工结算报告和完整的竣工结算资料之日起20天</w:t>
            </w:r>
          </w:p>
        </w:tc>
      </w:tr>
      <w:tr w14:paraId="5497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3E8D3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466" w:type="dxa"/>
            <w:noWrap w:val="0"/>
            <w:vAlign w:val="center"/>
          </w:tcPr>
          <w:p w14:paraId="61FF18C2">
            <w:pPr>
              <w:spacing w:line="360" w:lineRule="auto"/>
              <w:ind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500万元-2000万元</w:t>
            </w:r>
          </w:p>
        </w:tc>
        <w:tc>
          <w:tcPr>
            <w:tcW w:w="5967" w:type="dxa"/>
            <w:noWrap w:val="0"/>
            <w:vAlign w:val="center"/>
          </w:tcPr>
          <w:p w14:paraId="061D72E8">
            <w:pPr>
              <w:spacing w:line="360" w:lineRule="auto"/>
              <w:ind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从接到竣工结算报告和完整的竣工结算资料之日起30天</w:t>
            </w:r>
          </w:p>
        </w:tc>
      </w:tr>
      <w:tr w14:paraId="29D5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2F56EE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466" w:type="dxa"/>
            <w:noWrap w:val="0"/>
            <w:vAlign w:val="center"/>
          </w:tcPr>
          <w:p w14:paraId="34A27C05">
            <w:pPr>
              <w:spacing w:line="360" w:lineRule="auto"/>
              <w:ind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2000万元-5000万元</w:t>
            </w:r>
          </w:p>
        </w:tc>
        <w:tc>
          <w:tcPr>
            <w:tcW w:w="5967" w:type="dxa"/>
            <w:noWrap w:val="0"/>
            <w:vAlign w:val="center"/>
          </w:tcPr>
          <w:p w14:paraId="7AEF0AE8">
            <w:pPr>
              <w:spacing w:line="360" w:lineRule="auto"/>
              <w:ind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从接到竣工结算报告和完整的竣工结算资料之日起45天</w:t>
            </w:r>
          </w:p>
        </w:tc>
      </w:tr>
      <w:tr w14:paraId="403D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349C52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466" w:type="dxa"/>
            <w:noWrap w:val="0"/>
            <w:vAlign w:val="center"/>
          </w:tcPr>
          <w:p w14:paraId="5CDE60AF">
            <w:pPr>
              <w:spacing w:line="360" w:lineRule="auto"/>
              <w:ind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5000万元以上</w:t>
            </w:r>
          </w:p>
        </w:tc>
        <w:tc>
          <w:tcPr>
            <w:tcW w:w="5967" w:type="dxa"/>
            <w:noWrap w:val="0"/>
            <w:vAlign w:val="center"/>
          </w:tcPr>
          <w:p w14:paraId="59751F25">
            <w:pPr>
              <w:spacing w:line="360" w:lineRule="auto"/>
              <w:ind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从接到竣工结算报告和完整的竣工结算资料之日起60天</w:t>
            </w:r>
          </w:p>
        </w:tc>
      </w:tr>
      <w:tr w14:paraId="7FC2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65" w:type="dxa"/>
            <w:noWrap w:val="0"/>
            <w:vAlign w:val="center"/>
          </w:tcPr>
          <w:p w14:paraId="00910D2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466" w:type="dxa"/>
            <w:noWrap w:val="0"/>
            <w:vAlign w:val="center"/>
          </w:tcPr>
          <w:p w14:paraId="13909ABC">
            <w:pPr>
              <w:spacing w:line="360" w:lineRule="auto"/>
              <w:ind w:firstLine="27" w:firstLineChars="13"/>
              <w:jc w:val="center"/>
              <w:rPr>
                <w:rFonts w:hint="eastAsia" w:ascii="宋体" w:hAnsi="宋体" w:eastAsia="宋体" w:cs="宋体"/>
                <w:color w:val="auto"/>
                <w:highlight w:val="none"/>
              </w:rPr>
            </w:pPr>
            <w:r>
              <w:rPr>
                <w:rFonts w:hint="eastAsia" w:ascii="宋体" w:hAnsi="宋体" w:eastAsia="宋体" w:cs="宋体"/>
                <w:color w:val="auto"/>
                <w:highlight w:val="none"/>
              </w:rPr>
              <w:t>5000万以上每增加0.5亿(不足0.5亿不增加)</w:t>
            </w:r>
          </w:p>
        </w:tc>
        <w:tc>
          <w:tcPr>
            <w:tcW w:w="5967" w:type="dxa"/>
            <w:noWrap w:val="0"/>
            <w:vAlign w:val="center"/>
          </w:tcPr>
          <w:p w14:paraId="4A6D0835">
            <w:pPr>
              <w:spacing w:line="360" w:lineRule="auto"/>
              <w:ind w:firstLine="441" w:firstLineChars="210"/>
              <w:jc w:val="center"/>
              <w:rPr>
                <w:rFonts w:hint="eastAsia" w:ascii="宋体" w:hAnsi="宋体" w:eastAsia="宋体" w:cs="宋体"/>
                <w:color w:val="auto"/>
                <w:highlight w:val="none"/>
              </w:rPr>
            </w:pPr>
            <w:r>
              <w:rPr>
                <w:rFonts w:hint="eastAsia" w:ascii="宋体" w:hAnsi="宋体" w:eastAsia="宋体" w:cs="宋体"/>
                <w:color w:val="auto"/>
                <w:highlight w:val="none"/>
              </w:rPr>
              <w:t>增加10天</w:t>
            </w:r>
          </w:p>
        </w:tc>
      </w:tr>
    </w:tbl>
    <w:p w14:paraId="78DF925B">
      <w:pPr>
        <w:pStyle w:val="6"/>
        <w:spacing w:line="360" w:lineRule="auto"/>
        <w:ind w:firstLine="420" w:firstLineChars="200"/>
        <w:rPr>
          <w:rFonts w:hint="eastAsia" w:ascii="宋体" w:hAnsi="宋体" w:eastAsia="宋体" w:cs="宋体"/>
          <w:b w:val="0"/>
          <w:bCs w:val="0"/>
          <w:color w:val="auto"/>
          <w:kern w:val="2"/>
          <w:sz w:val="21"/>
          <w:szCs w:val="22"/>
          <w:highlight w:val="none"/>
          <w:lang w:val="en-US" w:eastAsia="zh-CN" w:bidi="ar-SA"/>
        </w:rPr>
      </w:pPr>
      <w:bookmarkStart w:id="1091" w:name="_Toc389065326"/>
      <w:bookmarkStart w:id="1092" w:name="_Toc1203653078"/>
      <w:bookmarkStart w:id="1093" w:name="_Toc407135264"/>
      <w:bookmarkStart w:id="1094" w:name="_Toc78449850"/>
      <w:bookmarkStart w:id="1095" w:name="_Toc373478408"/>
      <w:bookmarkStart w:id="1096" w:name="_Toc540165641"/>
      <w:bookmarkStart w:id="1097" w:name="_Toc373227761"/>
      <w:r>
        <w:rPr>
          <w:rFonts w:hint="eastAsia" w:ascii="宋体" w:hAnsi="宋体" w:eastAsia="宋体" w:cs="宋体"/>
          <w:b w:val="0"/>
          <w:bCs w:val="0"/>
          <w:color w:val="auto"/>
          <w:kern w:val="2"/>
          <w:sz w:val="21"/>
          <w:szCs w:val="22"/>
          <w:highlight w:val="none"/>
          <w:lang w:val="en-US" w:eastAsia="zh-CN" w:bidi="ar-SA"/>
        </w:rPr>
        <w:t>因承包人提供的结算资料不完整而需要补充或承包人不按时对账耽误时间时，审查时间应相应顺延。</w:t>
      </w:r>
    </w:p>
    <w:p w14:paraId="468EBBE3">
      <w:pPr>
        <w:pStyle w:val="6"/>
        <w:spacing w:line="360" w:lineRule="auto"/>
        <w:ind w:firstLine="420" w:firstLineChars="20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竣工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1FE4C06B">
      <w:pPr>
        <w:pStyle w:val="6"/>
        <w:spacing w:line="360" w:lineRule="auto"/>
        <w:ind w:firstLine="420" w:firstLineChars="20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4C8FD95">
      <w:pPr>
        <w:pStyle w:val="6"/>
        <w:spacing w:line="360" w:lineRule="auto"/>
        <w:ind w:firstLine="420" w:firstLineChars="200"/>
        <w:rPr>
          <w:rFonts w:hint="eastAsia" w:ascii="宋体" w:hAnsi="宋体" w:eastAsia="宋体" w:cs="宋体"/>
          <w:b w:val="0"/>
          <w:bCs w:val="0"/>
          <w:color w:val="auto"/>
          <w:kern w:val="2"/>
          <w:sz w:val="21"/>
          <w:szCs w:val="22"/>
          <w:highlight w:val="none"/>
          <w:u w:val="single"/>
          <w:lang w:val="en-US" w:eastAsia="zh-CN" w:bidi="ar-SA"/>
        </w:rPr>
      </w:pPr>
      <w:r>
        <w:rPr>
          <w:rFonts w:hint="eastAsia" w:ascii="宋体" w:hAnsi="宋体" w:eastAsia="宋体" w:cs="宋体"/>
          <w:b w:val="0"/>
          <w:bCs w:val="0"/>
          <w:color w:val="auto"/>
          <w:kern w:val="2"/>
          <w:sz w:val="21"/>
          <w:szCs w:val="22"/>
          <w:highlight w:val="none"/>
          <w:u w:val="single"/>
          <w:lang w:val="en-US" w:eastAsia="zh-CN" w:bidi="ar-SA"/>
        </w:rPr>
        <w:t>1.工程竣工验收报告经发包人认可后28天内，承包人向发包人递交竣工验收合格资料及完整的结算资料和报告，双方按照本工程合同约定的价格形式及价款调整办法进行工程竣工结算。2.发包人收到承包人递交的竣工结算报告及结算资料之日起60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14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90天内，发包人按审定后的竣工结算价款，通知经办银行向承包人支付结算价款。</w:t>
      </w:r>
    </w:p>
    <w:p w14:paraId="50BD3103">
      <w:pPr>
        <w:pStyle w:val="6"/>
        <w:spacing w:line="360" w:lineRule="auto"/>
        <w:ind w:firstLine="420" w:firstLineChars="20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备注：对于国有投资项目结算审核约定，双方可结合各地政府或有关部门出台的管理规定进行局部调整。</w:t>
      </w:r>
    </w:p>
    <w:p w14:paraId="37D2504E">
      <w:pPr>
        <w:pStyle w:val="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14.4 最终结清</w:t>
      </w:r>
      <w:bookmarkEnd w:id="1091"/>
      <w:bookmarkEnd w:id="1092"/>
      <w:bookmarkEnd w:id="1093"/>
      <w:bookmarkEnd w:id="1094"/>
      <w:bookmarkEnd w:id="1095"/>
      <w:bookmarkEnd w:id="1096"/>
      <w:bookmarkEnd w:id="1097"/>
    </w:p>
    <w:p w14:paraId="480484E1">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14:paraId="2AD9CA49">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一式四份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30E49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从发包人收到完整的工程竣工档案备案资料之日起28天内</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66AF331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最终结算款支付申请（核准）表见合同附件13。</w:t>
      </w:r>
    </w:p>
    <w:p w14:paraId="7EBEC22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14:paraId="402F918A">
      <w:pPr>
        <w:spacing w:line="360" w:lineRule="auto"/>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从发包人收到最终结清申请单之日起14天内</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w:t>
      </w:r>
    </w:p>
    <w:p w14:paraId="7107CFC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从发包人签发最终结清证书之日起28天内</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w:t>
      </w:r>
    </w:p>
    <w:bookmarkEnd w:id="1041"/>
    <w:bookmarkEnd w:id="1042"/>
    <w:bookmarkEnd w:id="1043"/>
    <w:bookmarkEnd w:id="1044"/>
    <w:bookmarkEnd w:id="1045"/>
    <w:bookmarkEnd w:id="1046"/>
    <w:bookmarkEnd w:id="1047"/>
    <w:bookmarkEnd w:id="1053"/>
    <w:p w14:paraId="6DCE6659">
      <w:pPr>
        <w:pStyle w:val="5"/>
        <w:spacing w:line="360" w:lineRule="auto"/>
        <w:rPr>
          <w:rFonts w:hint="eastAsia" w:ascii="宋体" w:hAnsi="宋体" w:eastAsia="宋体" w:cs="宋体"/>
          <w:color w:val="auto"/>
          <w:highlight w:val="none"/>
        </w:rPr>
      </w:pPr>
      <w:bookmarkStart w:id="1098" w:name="_Toc1294213766"/>
      <w:bookmarkStart w:id="1099" w:name="_Toc389065327"/>
      <w:bookmarkStart w:id="1100" w:name="_Toc351203647"/>
      <w:bookmarkStart w:id="1101" w:name="_Toc373227762"/>
      <w:bookmarkStart w:id="1102" w:name="_Toc78449851"/>
      <w:bookmarkStart w:id="1103" w:name="_Toc905081407"/>
      <w:bookmarkStart w:id="1104" w:name="_Toc373478409"/>
      <w:bookmarkStart w:id="1105" w:name="_Toc407135265"/>
      <w:bookmarkStart w:id="1106" w:name="_Toc267251483"/>
      <w:bookmarkStart w:id="1107" w:name="_Toc267251484"/>
      <w:bookmarkStart w:id="1108" w:name="_Toc267251482"/>
      <w:bookmarkStart w:id="1109" w:name="_Toc267251485"/>
      <w:bookmarkStart w:id="1110" w:name="_Toc267251489"/>
      <w:bookmarkStart w:id="1111" w:name="_Toc267251486"/>
      <w:bookmarkStart w:id="1112" w:name="_Toc267251488"/>
      <w:bookmarkStart w:id="1113" w:name="_Toc267251490"/>
      <w:bookmarkStart w:id="1114" w:name="_Toc267251498"/>
      <w:bookmarkStart w:id="1115" w:name="_Toc267251494"/>
      <w:bookmarkStart w:id="1116" w:name="_Toc267251502"/>
      <w:bookmarkStart w:id="1117" w:name="_Toc267251492"/>
      <w:bookmarkStart w:id="1118" w:name="_Toc267251491"/>
      <w:bookmarkStart w:id="1119" w:name="_Toc267251495"/>
      <w:bookmarkStart w:id="1120" w:name="_Toc267251501"/>
      <w:bookmarkStart w:id="1121" w:name="_Toc267251496"/>
      <w:bookmarkStart w:id="1122" w:name="_Toc267251503"/>
      <w:bookmarkStart w:id="1123" w:name="_Toc267251499"/>
      <w:bookmarkStart w:id="1124" w:name="_Toc267251497"/>
      <w:bookmarkStart w:id="1125" w:name="_Toc267251493"/>
      <w:bookmarkStart w:id="1126" w:name="_Toc267251506"/>
      <w:bookmarkStart w:id="1127" w:name="_Toc267251504"/>
      <w:bookmarkStart w:id="1128" w:name="_Toc267251507"/>
      <w:bookmarkStart w:id="1129" w:name="_Toc267251508"/>
      <w:bookmarkStart w:id="1130" w:name="_Toc267251513"/>
      <w:bookmarkStart w:id="1131" w:name="_Toc267251510"/>
      <w:bookmarkStart w:id="1132" w:name="_Toc267251515"/>
      <w:bookmarkStart w:id="1133" w:name="_Toc267251514"/>
      <w:bookmarkStart w:id="1134" w:name="_Toc267251511"/>
      <w:bookmarkStart w:id="1135" w:name="_Toc267251509"/>
      <w:r>
        <w:rPr>
          <w:rFonts w:hint="eastAsia" w:ascii="宋体" w:hAnsi="宋体" w:eastAsia="宋体" w:cs="宋体"/>
          <w:color w:val="auto"/>
          <w:highlight w:val="none"/>
        </w:rPr>
        <w:t>15. 缺陷责任期与保修</w:t>
      </w:r>
      <w:bookmarkEnd w:id="1098"/>
      <w:bookmarkEnd w:id="1099"/>
      <w:bookmarkEnd w:id="1100"/>
      <w:bookmarkEnd w:id="1101"/>
      <w:bookmarkEnd w:id="1102"/>
      <w:bookmarkEnd w:id="1103"/>
      <w:bookmarkEnd w:id="1104"/>
      <w:bookmarkEnd w:id="1105"/>
    </w:p>
    <w:p w14:paraId="07C74933">
      <w:pPr>
        <w:pStyle w:val="6"/>
        <w:spacing w:line="360" w:lineRule="auto"/>
        <w:rPr>
          <w:rFonts w:hint="eastAsia" w:ascii="宋体" w:hAnsi="宋体" w:eastAsia="宋体" w:cs="宋体"/>
          <w:color w:val="auto"/>
          <w:highlight w:val="none"/>
        </w:rPr>
      </w:pPr>
      <w:bookmarkStart w:id="1136" w:name="_Toc1468458868"/>
      <w:bookmarkStart w:id="1137" w:name="_Toc373227763"/>
      <w:bookmarkStart w:id="1138" w:name="_Toc78449852"/>
      <w:bookmarkStart w:id="1139" w:name="_Toc373478410"/>
      <w:bookmarkStart w:id="1140" w:name="_Toc1845278067"/>
      <w:bookmarkStart w:id="1141" w:name="_Toc389065328"/>
      <w:bookmarkStart w:id="1142" w:name="_Toc407135266"/>
      <w:r>
        <w:rPr>
          <w:rFonts w:hint="eastAsia" w:ascii="宋体" w:hAnsi="宋体" w:eastAsia="宋体" w:cs="宋体"/>
          <w:color w:val="auto"/>
          <w:highlight w:val="none"/>
        </w:rPr>
        <w:t>15.2 缺陷责任期</w:t>
      </w:r>
      <w:bookmarkEnd w:id="1106"/>
      <w:bookmarkEnd w:id="1136"/>
      <w:bookmarkEnd w:id="1137"/>
      <w:bookmarkEnd w:id="1138"/>
      <w:bookmarkEnd w:id="1139"/>
      <w:bookmarkEnd w:id="1140"/>
      <w:bookmarkEnd w:id="1141"/>
      <w:bookmarkEnd w:id="1142"/>
    </w:p>
    <w:p w14:paraId="7F5A8F8D">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见附件</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《工程质量保修书》中保修期</w:t>
      </w:r>
      <w:r>
        <w:rPr>
          <w:rFonts w:hint="eastAsia" w:ascii="宋体" w:hAnsi="宋体" w:eastAsia="宋体" w:cs="宋体"/>
          <w:color w:val="auto"/>
          <w:highlight w:val="none"/>
        </w:rPr>
        <w:t>。</w:t>
      </w:r>
    </w:p>
    <w:p w14:paraId="01124738">
      <w:pPr>
        <w:pStyle w:val="6"/>
        <w:spacing w:line="360" w:lineRule="auto"/>
        <w:rPr>
          <w:rFonts w:hint="eastAsia" w:ascii="宋体" w:hAnsi="宋体" w:eastAsia="宋体" w:cs="宋体"/>
          <w:color w:val="auto"/>
          <w:highlight w:val="none"/>
        </w:rPr>
      </w:pPr>
      <w:bookmarkStart w:id="1143" w:name="_Toc373227764"/>
      <w:bookmarkStart w:id="1144" w:name="_Toc78449853"/>
      <w:bookmarkStart w:id="1145" w:name="_Toc389065329"/>
      <w:bookmarkStart w:id="1146" w:name="_Toc1004692311"/>
      <w:bookmarkStart w:id="1147" w:name="_Toc373478411"/>
      <w:bookmarkStart w:id="1148" w:name="_Toc666080472"/>
      <w:bookmarkStart w:id="1149" w:name="_Toc407135267"/>
      <w:r>
        <w:rPr>
          <w:rFonts w:hint="eastAsia" w:ascii="宋体" w:hAnsi="宋体" w:eastAsia="宋体" w:cs="宋体"/>
          <w:color w:val="auto"/>
          <w:highlight w:val="none"/>
        </w:rPr>
        <w:t>15.3 质量保证金</w:t>
      </w:r>
      <w:bookmarkEnd w:id="1143"/>
      <w:bookmarkEnd w:id="1144"/>
      <w:bookmarkEnd w:id="1145"/>
      <w:bookmarkEnd w:id="1146"/>
      <w:bookmarkEnd w:id="1147"/>
      <w:bookmarkEnd w:id="1148"/>
      <w:bookmarkEnd w:id="1149"/>
    </w:p>
    <w:p w14:paraId="7449B98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发包人按工程价款结算总额的3%预留工程质量保修金，待工程缺陷责任期满后返还(无息) </w:t>
      </w:r>
      <w:r>
        <w:rPr>
          <w:rFonts w:hint="eastAsia" w:ascii="宋体" w:hAnsi="宋体" w:eastAsia="宋体" w:cs="宋体"/>
          <w:color w:val="auto"/>
          <w:highlight w:val="none"/>
        </w:rPr>
        <w:t>。</w:t>
      </w:r>
    </w:p>
    <w:p w14:paraId="11C070AD">
      <w:pPr>
        <w:pStyle w:val="7"/>
        <w:spacing w:line="360" w:lineRule="auto"/>
        <w:ind w:firstLine="420" w:firstLineChars="200"/>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在工程项目竣工前，承包人按专用合同条款第3.7条提供履约担保的，发包人不得同时预留工程质量保证金。</w:t>
      </w:r>
    </w:p>
    <w:p w14:paraId="083AC320">
      <w:pPr>
        <w:spacing w:line="360" w:lineRule="auto"/>
        <w:ind w:firstLine="420" w:firstLineChars="200"/>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14:paraId="74D06817">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或（2）或（3）</w:t>
      </w:r>
      <w:r>
        <w:rPr>
          <w:rFonts w:hint="eastAsia" w:ascii="宋体" w:hAnsi="宋体" w:eastAsia="宋体" w:cs="宋体"/>
          <w:color w:val="auto"/>
          <w:highlight w:val="none"/>
        </w:rPr>
        <w:t xml:space="preserve"> 种方式：</w:t>
      </w:r>
    </w:p>
    <w:p w14:paraId="44807095">
      <w:pPr>
        <w:autoSpaceDE w:val="0"/>
        <w:autoSpaceDN w:val="0"/>
        <w:adjustRightIn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（1）质量保证金保函（银行保函、电子保函、保证保险保函、工程担保保函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工程担保保证人应将出具的保函相关信息录入“广西建筑市场监管云”平台（http://gxjzsc.caihcloud.com），以实现保函查询及验真功能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），保证金额为：</w:t>
      </w:r>
      <w:r>
        <w:rPr>
          <w:rFonts w:hint="eastAsia" w:ascii="宋体" w:hAnsi="宋体" w:eastAsia="宋体" w:cs="宋体"/>
          <w:color w:val="auto"/>
          <w:highlight w:val="none"/>
          <w:u w:val="single"/>
        </w:rPr>
        <w:t xml:space="preserve"> 工程价款结算总额的</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eastAsia="zh-CN"/>
        </w:rPr>
        <w:t>；</w:t>
      </w:r>
    </w:p>
    <w:p w14:paraId="400B1B07">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（2）发包人按工程价款结算总额的</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%（不得超过3%）预留工程质量保证金，待缺陷责任期满后返还，是否付息及利息计算方式为：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无息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559362">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（3）其他方式：银行转账、电汇或网上支付等</w:t>
      </w:r>
      <w:r>
        <w:rPr>
          <w:rFonts w:hint="eastAsia" w:ascii="宋体" w:hAnsi="宋体" w:eastAsia="宋体" w:cs="宋体"/>
          <w:color w:val="auto"/>
          <w:highlight w:val="none"/>
          <w:lang w:eastAsia="zh-CN"/>
        </w:rPr>
        <w:t>形</w:t>
      </w:r>
      <w:r>
        <w:rPr>
          <w:rFonts w:hint="eastAsia" w:ascii="宋体" w:hAnsi="宋体" w:eastAsia="宋体" w:cs="宋体"/>
          <w:color w:val="auto"/>
          <w:highlight w:val="none"/>
        </w:rPr>
        <w:t>式。</w:t>
      </w:r>
    </w:p>
    <w:p w14:paraId="7BE6A731">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lang w:val="en-US" w:eastAsia="zh-CN"/>
        </w:rPr>
        <w:t>（3）其他方式：</w:t>
      </w:r>
      <w:r>
        <w:rPr>
          <w:rFonts w:hint="eastAsia" w:ascii="宋体" w:hAnsi="宋体" w:eastAsia="宋体" w:cs="宋体"/>
          <w:color w:val="auto"/>
          <w:highlight w:val="none"/>
          <w:u w:val="single"/>
          <w:lang w:val="en-US" w:eastAsia="zh-CN"/>
        </w:rPr>
        <w:t>无</w:t>
      </w:r>
      <w:r>
        <w:rPr>
          <w:rFonts w:hint="eastAsia" w:ascii="宋体" w:hAnsi="宋体" w:eastAsia="宋体" w:cs="宋体"/>
          <w:color w:val="auto"/>
          <w:highlight w:val="none"/>
        </w:rPr>
        <w:t>。</w:t>
      </w:r>
    </w:p>
    <w:p w14:paraId="364F7AA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15.3.2 质量保证金的扣留</w:t>
      </w:r>
    </w:p>
    <w:p w14:paraId="11B68E1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（2）或（3）  </w:t>
      </w:r>
      <w:r>
        <w:rPr>
          <w:rFonts w:hint="eastAsia" w:ascii="宋体" w:hAnsi="宋体" w:eastAsia="宋体" w:cs="宋体"/>
          <w:color w:val="auto"/>
          <w:highlight w:val="none"/>
        </w:rPr>
        <w:t>种方式：</w:t>
      </w:r>
    </w:p>
    <w:p w14:paraId="5AE0CB8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（1）在不缴纳履保证金情况下，按支付工程进度款时逐次扣留，质量保证金的计算基数不包括预付款的支付、扣回以及价格调整的金额；</w:t>
      </w:r>
    </w:p>
    <w:p w14:paraId="2F815C7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（2）工程竣工结算时，一次性扣留质量保证金，由承包人以银行保函、保证保险替代预留质量保证金，保函金额不得高于工程价款结算总额的3%；</w:t>
      </w:r>
    </w:p>
    <w:p w14:paraId="26D5D66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（3）其他扣留方式: 银行转账、电汇或网上支付、保函（银行保函、电子保函、保证保险保函、工程担保保函）等</w:t>
      </w:r>
      <w:r>
        <w:rPr>
          <w:rFonts w:hint="eastAsia" w:ascii="宋体" w:hAnsi="宋体" w:eastAsia="宋体" w:cs="宋体"/>
          <w:color w:val="auto"/>
          <w:highlight w:val="none"/>
          <w:lang w:eastAsia="zh-CN"/>
        </w:rPr>
        <w:t>形</w:t>
      </w:r>
      <w:r>
        <w:rPr>
          <w:rFonts w:hint="eastAsia" w:ascii="宋体" w:hAnsi="宋体" w:eastAsia="宋体" w:cs="宋体"/>
          <w:color w:val="auto"/>
          <w:highlight w:val="none"/>
        </w:rPr>
        <w:t>式。</w:t>
      </w:r>
    </w:p>
    <w:p w14:paraId="55AAF490">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eastAsia="zh-CN"/>
        </w:rPr>
        <w:t>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bookmarkEnd w:id="1107"/>
    <w:bookmarkEnd w:id="1108"/>
    <w:p w14:paraId="77908DD3">
      <w:pPr>
        <w:pStyle w:val="6"/>
        <w:spacing w:line="360" w:lineRule="auto"/>
        <w:rPr>
          <w:rFonts w:hint="eastAsia" w:ascii="宋体" w:hAnsi="宋体" w:eastAsia="宋体" w:cs="宋体"/>
          <w:color w:val="auto"/>
          <w:highlight w:val="none"/>
        </w:rPr>
      </w:pPr>
      <w:bookmarkStart w:id="1150" w:name="_Toc373478412"/>
      <w:bookmarkStart w:id="1151" w:name="_Toc407135268"/>
      <w:bookmarkStart w:id="1152" w:name="_Toc389065330"/>
      <w:bookmarkStart w:id="1153" w:name="_Toc78449854"/>
      <w:bookmarkStart w:id="1154" w:name="_Toc1902722111"/>
      <w:bookmarkStart w:id="1155" w:name="_Toc196306762"/>
      <w:bookmarkStart w:id="1156" w:name="_Toc373227765"/>
      <w:r>
        <w:rPr>
          <w:rFonts w:hint="eastAsia" w:ascii="宋体" w:hAnsi="宋体" w:eastAsia="宋体" w:cs="宋体"/>
          <w:color w:val="auto"/>
          <w:highlight w:val="none"/>
        </w:rPr>
        <w:t>15.4 保修</w:t>
      </w:r>
      <w:bookmarkEnd w:id="1150"/>
      <w:bookmarkEnd w:id="1151"/>
      <w:bookmarkEnd w:id="1152"/>
      <w:bookmarkEnd w:id="1153"/>
      <w:bookmarkEnd w:id="1154"/>
      <w:bookmarkEnd w:id="1155"/>
      <w:bookmarkEnd w:id="1156"/>
    </w:p>
    <w:bookmarkEnd w:id="1109"/>
    <w:p w14:paraId="6376F654">
      <w:pPr>
        <w:spacing w:line="360" w:lineRule="auto"/>
        <w:ind w:firstLine="409" w:firstLineChars="195"/>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14:paraId="2151E378">
      <w:pPr>
        <w:spacing w:line="360" w:lineRule="auto"/>
        <w:ind w:firstLine="409" w:firstLineChars="195"/>
        <w:jc w:val="left"/>
        <w:rPr>
          <w:rFonts w:hint="eastAsia" w:ascii="宋体" w:hAnsi="宋体" w:eastAsia="宋体" w:cs="宋体"/>
          <w:color w:val="auto"/>
          <w:kern w:val="0"/>
          <w:highlight w:val="none"/>
        </w:rPr>
      </w:pPr>
      <w:r>
        <w:rPr>
          <w:rFonts w:hint="eastAsia" w:ascii="宋体" w:hAnsi="宋体" w:eastAsia="宋体" w:cs="宋体"/>
          <w:color w:val="auto"/>
          <w:highlight w:val="none"/>
        </w:rPr>
        <w:t>工程保修期为：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见工程质量保修书</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88A1060">
      <w:pPr>
        <w:spacing w:line="360" w:lineRule="auto"/>
        <w:ind w:firstLine="409" w:firstLineChars="195"/>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工程保修书具体内容见合同附件2。</w:t>
      </w:r>
    </w:p>
    <w:p w14:paraId="3D1ECB37">
      <w:pPr>
        <w:spacing w:line="360" w:lineRule="auto"/>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14:paraId="3595C687">
      <w:pPr>
        <w:spacing w:line="360" w:lineRule="auto"/>
        <w:ind w:firstLine="409" w:firstLineChars="195"/>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kern w:val="0"/>
          <w:highlight w:val="none"/>
          <w:u w:val="single"/>
          <w:lang w:val="en-US" w:eastAsia="zh-CN"/>
        </w:rPr>
        <w:t>24小时</w:t>
      </w:r>
      <w:r>
        <w:rPr>
          <w:rFonts w:hint="eastAsia" w:ascii="宋体" w:hAnsi="宋体" w:eastAsia="宋体" w:cs="宋体"/>
          <w:color w:val="auto"/>
          <w:kern w:val="0"/>
          <w:highlight w:val="none"/>
        </w:rPr>
        <w:t>。</w:t>
      </w:r>
    </w:p>
    <w:bookmarkEnd w:id="1110"/>
    <w:bookmarkEnd w:id="1111"/>
    <w:bookmarkEnd w:id="1112"/>
    <w:bookmarkEnd w:id="1113"/>
    <w:p w14:paraId="30A96EC1">
      <w:pPr>
        <w:pStyle w:val="5"/>
        <w:spacing w:line="360" w:lineRule="auto"/>
        <w:rPr>
          <w:rFonts w:hint="eastAsia" w:ascii="宋体" w:hAnsi="宋体" w:eastAsia="宋体" w:cs="宋体"/>
          <w:color w:val="auto"/>
          <w:highlight w:val="none"/>
        </w:rPr>
      </w:pPr>
      <w:bookmarkStart w:id="1157" w:name="_Toc373227766"/>
      <w:bookmarkStart w:id="1158" w:name="_Toc78449855"/>
      <w:bookmarkStart w:id="1159" w:name="_Toc373478413"/>
      <w:bookmarkStart w:id="1160" w:name="_Toc1725581915"/>
      <w:bookmarkStart w:id="1161" w:name="_Toc389065331"/>
      <w:bookmarkStart w:id="1162" w:name="_Toc351203648"/>
      <w:bookmarkStart w:id="1163" w:name="_Toc1360137061"/>
      <w:bookmarkStart w:id="1164" w:name="_Toc407135269"/>
      <w:bookmarkStart w:id="1165" w:name="_Toc280868717"/>
      <w:bookmarkStart w:id="1166" w:name="_Toc280868718"/>
      <w:r>
        <w:rPr>
          <w:rFonts w:hint="eastAsia" w:ascii="宋体" w:hAnsi="宋体" w:eastAsia="宋体" w:cs="宋体"/>
          <w:color w:val="auto"/>
          <w:highlight w:val="none"/>
        </w:rPr>
        <w:t>16. 违约</w:t>
      </w:r>
      <w:bookmarkEnd w:id="1157"/>
      <w:bookmarkEnd w:id="1158"/>
      <w:bookmarkEnd w:id="1159"/>
      <w:bookmarkEnd w:id="1160"/>
      <w:bookmarkEnd w:id="1161"/>
      <w:bookmarkEnd w:id="1162"/>
      <w:bookmarkEnd w:id="1163"/>
      <w:bookmarkEnd w:id="1164"/>
    </w:p>
    <w:p w14:paraId="54A2D192">
      <w:pPr>
        <w:pStyle w:val="6"/>
        <w:spacing w:line="360" w:lineRule="auto"/>
        <w:rPr>
          <w:rFonts w:hint="eastAsia" w:ascii="宋体" w:hAnsi="宋体" w:eastAsia="宋体" w:cs="宋体"/>
          <w:color w:val="auto"/>
          <w:highlight w:val="none"/>
        </w:rPr>
      </w:pPr>
      <w:bookmarkStart w:id="1167" w:name="_Toc1973395665"/>
      <w:bookmarkStart w:id="1168" w:name="_Toc373478414"/>
      <w:bookmarkStart w:id="1169" w:name="_Toc373227767"/>
      <w:bookmarkStart w:id="1170" w:name="_Toc1535389315"/>
      <w:bookmarkStart w:id="1171" w:name="_Toc407135270"/>
      <w:bookmarkStart w:id="1172" w:name="_Toc389065332"/>
      <w:bookmarkStart w:id="1173" w:name="_Toc78449856"/>
      <w:r>
        <w:rPr>
          <w:rFonts w:hint="eastAsia" w:ascii="宋体" w:hAnsi="宋体" w:eastAsia="宋体" w:cs="宋体"/>
          <w:color w:val="auto"/>
          <w:highlight w:val="none"/>
        </w:rPr>
        <w:t>16.1 发包人违约</w:t>
      </w:r>
      <w:bookmarkEnd w:id="1167"/>
      <w:bookmarkEnd w:id="1168"/>
      <w:bookmarkEnd w:id="1169"/>
      <w:bookmarkEnd w:id="1170"/>
      <w:bookmarkEnd w:id="1171"/>
      <w:bookmarkEnd w:id="1172"/>
      <w:bookmarkEnd w:id="1173"/>
    </w:p>
    <w:p w14:paraId="393ED85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19CCBAC8">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按通用合同条款执行</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24E33C0F">
      <w:pPr>
        <w:spacing w:line="360" w:lineRule="auto"/>
        <w:ind w:firstLine="420" w:firstLineChars="200"/>
        <w:jc w:val="left"/>
        <w:outlineLvl w:val="1"/>
        <w:rPr>
          <w:rFonts w:hint="eastAsia" w:ascii="宋体" w:hAnsi="宋体" w:eastAsia="宋体" w:cs="宋体"/>
          <w:color w:val="auto"/>
          <w:kern w:val="0"/>
          <w:highlight w:val="none"/>
        </w:rPr>
      </w:pPr>
      <w:r>
        <w:rPr>
          <w:rFonts w:hint="eastAsia" w:ascii="宋体" w:hAnsi="宋体" w:eastAsia="宋体" w:cs="宋体"/>
          <w:color w:val="auto"/>
          <w:kern w:val="0"/>
          <w:highlight w:val="none"/>
        </w:rPr>
        <w:t>16.1.2 发包人违约的责任</w:t>
      </w:r>
    </w:p>
    <w:p w14:paraId="16006CB3">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6C606A74">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工期顺延</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62A4BEA2">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①若因项目资金暂时困难</w:t>
      </w:r>
      <w:r>
        <w:rPr>
          <w:rFonts w:hint="eastAsia" w:ascii="宋体" w:hAnsi="宋体" w:eastAsia="宋体" w:cs="宋体"/>
          <w:color w:val="auto"/>
          <w:kern w:val="0"/>
          <w:highlight w:val="none"/>
          <w:u w:val="single"/>
          <w:lang w:eastAsia="zh-CN"/>
        </w:rPr>
        <w:t>，</w:t>
      </w:r>
      <w:r>
        <w:rPr>
          <w:rFonts w:hint="eastAsia" w:ascii="宋体" w:hAnsi="宋体" w:eastAsia="宋体" w:cs="宋体"/>
          <w:color w:val="auto"/>
          <w:kern w:val="0"/>
          <w:highlight w:val="none"/>
          <w:u w:val="single"/>
        </w:rPr>
        <w:t>工程进度款可以承兑汇票的方式支付，但承兑汇票所涉及金额不得超过应付工程进度款的50%</w:t>
      </w:r>
      <w:r>
        <w:rPr>
          <w:rFonts w:hint="eastAsia" w:ascii="宋体" w:hAnsi="宋体" w:eastAsia="宋体" w:cs="宋体"/>
          <w:color w:val="auto"/>
          <w:kern w:val="0"/>
          <w:highlight w:val="none"/>
          <w:u w:val="single"/>
          <w:lang w:eastAsia="zh-CN"/>
        </w:rPr>
        <w:t>；</w:t>
      </w:r>
      <w:r>
        <w:rPr>
          <w:rFonts w:hint="eastAsia" w:ascii="宋体" w:hAnsi="宋体" w:eastAsia="宋体" w:cs="宋体"/>
          <w:color w:val="auto"/>
          <w:kern w:val="0"/>
          <w:highlight w:val="none"/>
          <w:u w:val="single"/>
        </w:rPr>
        <w:t>②若因发包人资金暂时困难，承包人应给予充分理解并与发包人另行商定工程进度款支付的时间和数额，承包人不得以此为理由放缓或停止施工</w:t>
      </w:r>
      <w:r>
        <w:rPr>
          <w:rFonts w:hint="eastAsia" w:ascii="宋体" w:hAnsi="宋体" w:eastAsia="宋体" w:cs="宋体"/>
          <w:color w:val="auto"/>
          <w:kern w:val="0"/>
          <w:highlight w:val="none"/>
        </w:rPr>
        <w:t>。</w:t>
      </w:r>
    </w:p>
    <w:p w14:paraId="7436F3D0">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双方另行商定 </w:t>
      </w:r>
      <w:r>
        <w:rPr>
          <w:rFonts w:hint="eastAsia" w:ascii="宋体" w:hAnsi="宋体" w:eastAsia="宋体" w:cs="宋体"/>
          <w:color w:val="auto"/>
          <w:kern w:val="0"/>
          <w:highlight w:val="none"/>
        </w:rPr>
        <w:t>。</w:t>
      </w:r>
    </w:p>
    <w:p w14:paraId="3867AB32">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承包人可以提出工期索赔</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3CE288C">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承包人可以提出工期索赔</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024DCF49">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承包人可以提出工期索赔</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7508059">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762144D2">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16.1.3 因发包人违约解除合同</w:t>
      </w:r>
    </w:p>
    <w:p w14:paraId="73C7C231">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承包人按16.1.1项〔发包人违约的情形〕约定暂停施工满 </w:t>
      </w:r>
      <w:r>
        <w:rPr>
          <w:rFonts w:hint="eastAsia" w:ascii="宋体" w:hAnsi="宋体" w:eastAsia="宋体" w:cs="宋体"/>
          <w:color w:val="auto"/>
          <w:kern w:val="0"/>
          <w:highlight w:val="none"/>
          <w:lang w:val="en-US" w:eastAsia="zh-CN"/>
        </w:rPr>
        <w:t>30</w:t>
      </w:r>
      <w:r>
        <w:rPr>
          <w:rFonts w:hint="eastAsia" w:ascii="宋体" w:hAnsi="宋体" w:eastAsia="宋体" w:cs="宋体"/>
          <w:color w:val="auto"/>
          <w:kern w:val="0"/>
          <w:highlight w:val="none"/>
        </w:rPr>
        <w:t xml:space="preserve"> 天后发包人仍不纠正其违约行为并致使合同目的不能实现的，承包人有权解除合同。</w:t>
      </w:r>
    </w:p>
    <w:p w14:paraId="25FC9DFB">
      <w:pPr>
        <w:pStyle w:val="6"/>
        <w:spacing w:line="360" w:lineRule="auto"/>
        <w:rPr>
          <w:rFonts w:hint="eastAsia" w:ascii="宋体" w:hAnsi="宋体" w:eastAsia="宋体" w:cs="宋体"/>
          <w:color w:val="auto"/>
          <w:highlight w:val="none"/>
        </w:rPr>
      </w:pPr>
      <w:bookmarkStart w:id="1174" w:name="_Toc407135271"/>
      <w:bookmarkStart w:id="1175" w:name="_Toc61078193"/>
      <w:bookmarkStart w:id="1176" w:name="_Toc373227768"/>
      <w:bookmarkStart w:id="1177" w:name="_Toc247586342"/>
      <w:bookmarkStart w:id="1178" w:name="_Toc78449857"/>
      <w:bookmarkStart w:id="1179" w:name="_Toc389065333"/>
      <w:bookmarkStart w:id="1180" w:name="_Toc373478415"/>
      <w:r>
        <w:rPr>
          <w:rFonts w:hint="eastAsia" w:ascii="宋体" w:hAnsi="宋体" w:eastAsia="宋体" w:cs="宋体"/>
          <w:color w:val="auto"/>
          <w:highlight w:val="none"/>
        </w:rPr>
        <w:t>16.2 承包人违约</w:t>
      </w:r>
      <w:bookmarkEnd w:id="1174"/>
      <w:bookmarkEnd w:id="1175"/>
      <w:bookmarkEnd w:id="1176"/>
      <w:bookmarkEnd w:id="1177"/>
      <w:bookmarkEnd w:id="1178"/>
      <w:bookmarkEnd w:id="1179"/>
      <w:bookmarkEnd w:id="1180"/>
    </w:p>
    <w:p w14:paraId="0F41E7FD">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65B5D332">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4457A9AF">
      <w:pPr>
        <w:spacing w:line="360" w:lineRule="auto"/>
        <w:ind w:firstLine="420" w:firstLineChars="200"/>
        <w:jc w:val="left"/>
        <w:outlineLvl w:val="1"/>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5F078154">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承包人违约责任的承担方式和计算方法：</w:t>
      </w:r>
    </w:p>
    <w:p w14:paraId="2AB5CFB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344F6543">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 xml:space="preserve">承包人有本合同通用条款第16.2.1（6）条情形的，或经监理人检验认为修复质量不合格而承包人拒绝再进行修补的，发包人将扣除承包人全部质量保修金。 </w:t>
      </w:r>
    </w:p>
    <w:p w14:paraId="65828A37">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3）因承包人原因造成工期延误的，承包人应承担的违约责任：承包人应向发包人支付误期违约金（每天赔偿金额为合同价款的万分之五），误期时间从规定竣工日期起直到全部工程或相应部分工程竣工验收各格之间的天数（扣除发包人批准顺延的工期，不足一日的按一日计算）。发包人可从应向承包人支付的任何金额中扣除此项违约金或其他方式收回此款，此违约金的支付并不能解除承包人应完成工程的责任或合同规定的其他责任。在施工过程中，工期延误达30天以上（含本数）的，发包人有权单方面解除合同并不支付任何费用。</w:t>
      </w:r>
    </w:p>
    <w:p w14:paraId="5B44CEF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467586D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4F39A3A5">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kern w:val="0"/>
          <w:highlight w:val="none"/>
          <w:u w:val="single"/>
        </w:rPr>
        <w:t>承包人有违反以下情况之一的，发包人有权解除合同，并没收其全部履约保证金</w:t>
      </w:r>
      <w:r>
        <w:rPr>
          <w:rFonts w:hint="eastAsia" w:ascii="宋体" w:hAnsi="宋体" w:eastAsia="宋体" w:cs="宋体"/>
          <w:color w:val="auto"/>
          <w:kern w:val="0"/>
          <w:highlight w:val="none"/>
        </w:rPr>
        <w:t>。</w:t>
      </w:r>
    </w:p>
    <w:p w14:paraId="7B33E54F">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(1)承包人无正当理由不按开工通知的要求及时进场组织施工和不按签订协议书时商定的进度计划有效地开展施工准备，造成工期延误的；</w:t>
      </w:r>
    </w:p>
    <w:p w14:paraId="20F3F4EA">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722D7BB1">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(3)未经监理人批准，承包人私自将已按投标文件承诺进入工地的工程设备、施工设备、临时工程或材料撤离工地的；</w:t>
      </w:r>
    </w:p>
    <w:p w14:paraId="426E1FE1">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(4)由于承包人原因拒绝按合同进度计划及时完成合同规定的工程，而又未采取有效措施赶上进度，造成工期严重延误的；</w:t>
      </w:r>
    </w:p>
    <w:p w14:paraId="72AC3E5B">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71CF8AC6">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(6)合同签订</w:t>
      </w:r>
      <w:r>
        <w:rPr>
          <w:rFonts w:hint="eastAsia" w:ascii="宋体" w:hAnsi="宋体" w:eastAsia="宋体" w:cs="宋体"/>
          <w:color w:val="auto"/>
          <w:highlight w:val="none"/>
        </w:rPr>
        <w:t>且具备法定开工条件后</w:t>
      </w:r>
      <w:r>
        <w:rPr>
          <w:rFonts w:hint="eastAsia" w:ascii="宋体" w:hAnsi="宋体" w:eastAsia="宋体" w:cs="宋体"/>
          <w:color w:val="auto"/>
          <w:kern w:val="0"/>
          <w:highlight w:val="none"/>
        </w:rPr>
        <w:t>之日起十五日内，承包人无法按合同规定及投标文件的承诺进场经监理工程师认可的该施工阶段应有的全部人员和机械的。</w:t>
      </w:r>
    </w:p>
    <w:p w14:paraId="0436C6B8">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lang w:eastAsia="zh-CN"/>
        </w:rPr>
        <w:t>除材料、设备另行协商外，其它无偿使用</w:t>
      </w:r>
      <w:r>
        <w:rPr>
          <w:rFonts w:hint="eastAsia" w:ascii="宋体" w:hAnsi="宋体" w:eastAsia="宋体" w:cs="宋体"/>
          <w:color w:val="auto"/>
          <w:kern w:val="0"/>
          <w:highlight w:val="none"/>
        </w:rPr>
        <w:t>。</w:t>
      </w:r>
    </w:p>
    <w:p w14:paraId="76BF885F">
      <w:pPr>
        <w:pStyle w:val="5"/>
        <w:spacing w:line="360" w:lineRule="auto"/>
        <w:rPr>
          <w:rFonts w:hint="eastAsia" w:ascii="宋体" w:hAnsi="宋体" w:eastAsia="宋体" w:cs="宋体"/>
          <w:color w:val="auto"/>
          <w:highlight w:val="none"/>
        </w:rPr>
      </w:pPr>
      <w:bookmarkStart w:id="1181" w:name="_Toc1753556740"/>
      <w:bookmarkStart w:id="1182" w:name="_Toc1117922953"/>
      <w:bookmarkStart w:id="1183" w:name="_Toc78449858"/>
      <w:bookmarkStart w:id="1184" w:name="_Toc351203649"/>
      <w:bookmarkStart w:id="1185" w:name="_Toc373478416"/>
      <w:bookmarkStart w:id="1186" w:name="_Toc389065334"/>
      <w:bookmarkStart w:id="1187" w:name="_Toc373227769"/>
      <w:bookmarkStart w:id="1188" w:name="_Toc407135272"/>
      <w:r>
        <w:rPr>
          <w:rFonts w:hint="eastAsia" w:ascii="宋体" w:hAnsi="宋体" w:eastAsia="宋体" w:cs="宋体"/>
          <w:color w:val="auto"/>
          <w:highlight w:val="none"/>
        </w:rPr>
        <w:t>17. 不可抗力</w:t>
      </w:r>
      <w:bookmarkEnd w:id="1181"/>
      <w:bookmarkEnd w:id="1182"/>
      <w:bookmarkEnd w:id="1183"/>
      <w:bookmarkEnd w:id="1184"/>
      <w:bookmarkEnd w:id="1185"/>
      <w:bookmarkEnd w:id="1186"/>
      <w:bookmarkEnd w:id="1187"/>
      <w:bookmarkEnd w:id="1188"/>
      <w:r>
        <w:rPr>
          <w:rFonts w:hint="eastAsia" w:ascii="宋体" w:hAnsi="宋体" w:eastAsia="宋体" w:cs="宋体"/>
          <w:color w:val="auto"/>
          <w:highlight w:val="none"/>
        </w:rPr>
        <w:t xml:space="preserve"> </w:t>
      </w:r>
      <w:bookmarkEnd w:id="1165"/>
    </w:p>
    <w:p w14:paraId="1BCC1AD4">
      <w:pPr>
        <w:pStyle w:val="6"/>
        <w:spacing w:line="360" w:lineRule="auto"/>
        <w:rPr>
          <w:rFonts w:hint="eastAsia" w:ascii="宋体" w:hAnsi="宋体" w:eastAsia="宋体" w:cs="宋体"/>
          <w:color w:val="auto"/>
          <w:highlight w:val="none"/>
        </w:rPr>
      </w:pPr>
      <w:bookmarkStart w:id="1189" w:name="_Toc373478417"/>
      <w:bookmarkStart w:id="1190" w:name="_Toc373227770"/>
      <w:bookmarkStart w:id="1191" w:name="_Toc666312941"/>
      <w:bookmarkStart w:id="1192" w:name="_Toc78449859"/>
      <w:bookmarkStart w:id="1193" w:name="_Toc429574049"/>
      <w:bookmarkStart w:id="1194" w:name="_Toc389065335"/>
      <w:bookmarkStart w:id="1195" w:name="_Toc407135273"/>
      <w:r>
        <w:rPr>
          <w:rFonts w:hint="eastAsia" w:ascii="宋体" w:hAnsi="宋体" w:eastAsia="宋体" w:cs="宋体"/>
          <w:color w:val="auto"/>
          <w:highlight w:val="none"/>
        </w:rPr>
        <w:t>17.1 不可抗力的确认</w:t>
      </w:r>
      <w:bookmarkEnd w:id="1189"/>
      <w:bookmarkEnd w:id="1190"/>
      <w:bookmarkEnd w:id="1191"/>
      <w:bookmarkEnd w:id="1192"/>
      <w:bookmarkEnd w:id="1193"/>
      <w:bookmarkEnd w:id="1194"/>
      <w:bookmarkEnd w:id="1195"/>
    </w:p>
    <w:p w14:paraId="53CBE89A">
      <w:pPr>
        <w:spacing w:line="360" w:lineRule="auto"/>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none"/>
        </w:rPr>
        <w:t>除通用合同条款约定的不可抗力事件之外，视为不可抗力的其他情形：</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eastAsia="zh-CN"/>
        </w:rPr>
        <w:t>无</w:t>
      </w:r>
      <w:r>
        <w:rPr>
          <w:rFonts w:hint="eastAsia" w:ascii="宋体" w:hAnsi="宋体" w:eastAsia="宋体" w:cs="宋体"/>
          <w:color w:val="auto"/>
          <w:kern w:val="0"/>
          <w:highlight w:val="none"/>
          <w:u w:val="single"/>
        </w:rPr>
        <w:t xml:space="preserve"> 。</w:t>
      </w:r>
    </w:p>
    <w:p w14:paraId="76CF77EA">
      <w:pPr>
        <w:pStyle w:val="6"/>
        <w:spacing w:line="360" w:lineRule="auto"/>
        <w:rPr>
          <w:rFonts w:hint="eastAsia" w:ascii="宋体" w:hAnsi="宋体" w:eastAsia="宋体" w:cs="宋体"/>
          <w:color w:val="auto"/>
          <w:highlight w:val="none"/>
        </w:rPr>
      </w:pPr>
      <w:bookmarkStart w:id="1196" w:name="_Toc1951449751"/>
      <w:bookmarkStart w:id="1197" w:name="_Toc389065336"/>
      <w:bookmarkStart w:id="1198" w:name="_Toc78449860"/>
      <w:bookmarkStart w:id="1199" w:name="_Toc407135274"/>
      <w:bookmarkStart w:id="1200" w:name="_Toc373478418"/>
      <w:bookmarkStart w:id="1201" w:name="_Toc373227771"/>
      <w:bookmarkStart w:id="1202" w:name="_Toc658729758"/>
      <w:r>
        <w:rPr>
          <w:rFonts w:hint="eastAsia" w:ascii="宋体" w:hAnsi="宋体" w:eastAsia="宋体" w:cs="宋体"/>
          <w:color w:val="auto"/>
          <w:highlight w:val="none"/>
        </w:rPr>
        <w:t>17.4 因不可抗力解除合同</w:t>
      </w:r>
      <w:bookmarkEnd w:id="1196"/>
      <w:bookmarkEnd w:id="1197"/>
      <w:bookmarkEnd w:id="1198"/>
      <w:bookmarkEnd w:id="1199"/>
      <w:bookmarkEnd w:id="1200"/>
      <w:bookmarkEnd w:id="1201"/>
      <w:bookmarkEnd w:id="1202"/>
    </w:p>
    <w:p w14:paraId="7ED95CE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天内完成款项的支付。</w:t>
      </w:r>
    </w:p>
    <w:p w14:paraId="0D9FD2DA">
      <w:pPr>
        <w:pStyle w:val="5"/>
        <w:spacing w:line="360" w:lineRule="auto"/>
        <w:rPr>
          <w:rFonts w:hint="eastAsia" w:ascii="宋体" w:hAnsi="宋体" w:eastAsia="宋体" w:cs="宋体"/>
          <w:color w:val="auto"/>
          <w:highlight w:val="none"/>
        </w:rPr>
      </w:pPr>
      <w:bookmarkStart w:id="1203" w:name="_Toc407135275"/>
      <w:bookmarkStart w:id="1204" w:name="_Toc373227772"/>
      <w:bookmarkStart w:id="1205" w:name="_Toc373478419"/>
      <w:bookmarkStart w:id="1206" w:name="_Toc612072600"/>
      <w:bookmarkStart w:id="1207" w:name="_Toc78449861"/>
      <w:bookmarkStart w:id="1208" w:name="_Toc351203650"/>
      <w:bookmarkStart w:id="1209" w:name="_Toc56822299"/>
      <w:bookmarkStart w:id="1210" w:name="_Toc389065337"/>
      <w:r>
        <w:rPr>
          <w:rFonts w:hint="eastAsia" w:ascii="宋体" w:hAnsi="宋体" w:eastAsia="宋体" w:cs="宋体"/>
          <w:color w:val="auto"/>
          <w:highlight w:val="none"/>
        </w:rPr>
        <w:t>18. 保险</w:t>
      </w:r>
      <w:bookmarkEnd w:id="1203"/>
      <w:bookmarkEnd w:id="1204"/>
      <w:bookmarkEnd w:id="1205"/>
      <w:bookmarkEnd w:id="1206"/>
      <w:bookmarkEnd w:id="1207"/>
      <w:bookmarkEnd w:id="1208"/>
      <w:bookmarkEnd w:id="1209"/>
      <w:bookmarkEnd w:id="1210"/>
    </w:p>
    <w:bookmarkEnd w:id="1166"/>
    <w:p w14:paraId="4B0C400F">
      <w:pPr>
        <w:pStyle w:val="6"/>
        <w:spacing w:line="360" w:lineRule="auto"/>
        <w:rPr>
          <w:rFonts w:hint="eastAsia" w:ascii="宋体" w:hAnsi="宋体" w:eastAsia="宋体" w:cs="宋体"/>
          <w:color w:val="auto"/>
          <w:highlight w:val="none"/>
        </w:rPr>
      </w:pPr>
      <w:bookmarkStart w:id="1211" w:name="_Toc389065338"/>
      <w:bookmarkStart w:id="1212" w:name="_Toc78449862"/>
      <w:bookmarkStart w:id="1213" w:name="_Toc1446953302"/>
      <w:bookmarkStart w:id="1214" w:name="_Toc373478420"/>
      <w:bookmarkStart w:id="1215" w:name="_Toc2075285517"/>
      <w:bookmarkStart w:id="1216" w:name="_Toc373227773"/>
      <w:bookmarkStart w:id="1217" w:name="_Toc407135276"/>
      <w:r>
        <w:rPr>
          <w:rFonts w:hint="eastAsia" w:ascii="宋体" w:hAnsi="宋体" w:eastAsia="宋体" w:cs="宋体"/>
          <w:color w:val="auto"/>
          <w:highlight w:val="none"/>
        </w:rPr>
        <w:t>18.1 工程保险</w:t>
      </w:r>
      <w:bookmarkEnd w:id="1211"/>
      <w:bookmarkEnd w:id="1212"/>
      <w:bookmarkEnd w:id="1213"/>
      <w:bookmarkEnd w:id="1214"/>
      <w:bookmarkEnd w:id="1215"/>
      <w:bookmarkEnd w:id="1216"/>
      <w:bookmarkEnd w:id="1217"/>
    </w:p>
    <w:p w14:paraId="4003F3E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执行通用条款</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0D72CE0C">
      <w:pPr>
        <w:pStyle w:val="6"/>
        <w:spacing w:line="360" w:lineRule="auto"/>
        <w:rPr>
          <w:rFonts w:hint="eastAsia" w:ascii="宋体" w:hAnsi="宋体" w:eastAsia="宋体" w:cs="宋体"/>
          <w:color w:val="auto"/>
          <w:highlight w:val="none"/>
        </w:rPr>
      </w:pPr>
      <w:bookmarkStart w:id="1218" w:name="_Toc78449863"/>
      <w:bookmarkStart w:id="1219" w:name="_Toc2001387503"/>
      <w:bookmarkStart w:id="1220" w:name="_Toc373478421"/>
      <w:bookmarkStart w:id="1221" w:name="_Toc407135277"/>
      <w:bookmarkStart w:id="1222" w:name="_Toc373227774"/>
      <w:bookmarkStart w:id="1223" w:name="_Toc454766369"/>
      <w:bookmarkStart w:id="1224" w:name="_Toc389065339"/>
      <w:r>
        <w:rPr>
          <w:rFonts w:hint="eastAsia" w:ascii="宋体" w:hAnsi="宋体" w:eastAsia="宋体" w:cs="宋体"/>
          <w:color w:val="auto"/>
          <w:highlight w:val="none"/>
        </w:rPr>
        <w:t>18.3 其他保险</w:t>
      </w:r>
      <w:bookmarkEnd w:id="1218"/>
      <w:bookmarkEnd w:id="1219"/>
      <w:bookmarkEnd w:id="1220"/>
      <w:bookmarkEnd w:id="1221"/>
      <w:bookmarkEnd w:id="1222"/>
      <w:bookmarkEnd w:id="1223"/>
      <w:bookmarkEnd w:id="1224"/>
    </w:p>
    <w:p w14:paraId="53A2871C">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关于其他保险的约定：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承包人必须为施工现场从事施工的所有作业人员和管理人员办 </w:t>
      </w:r>
    </w:p>
    <w:p w14:paraId="3D34D7B3">
      <w:pPr>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u w:val="single"/>
          <w:lang w:val="en-US" w:eastAsia="zh-CN"/>
        </w:rPr>
        <w:t>理意外伤害保险，并支付保险费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843190">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视实际情况需要投保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73E5630">
      <w:pPr>
        <w:pStyle w:val="6"/>
        <w:spacing w:line="360" w:lineRule="auto"/>
        <w:rPr>
          <w:rFonts w:hint="eastAsia" w:ascii="宋体" w:hAnsi="宋体" w:eastAsia="宋体" w:cs="宋体"/>
          <w:color w:val="auto"/>
          <w:highlight w:val="none"/>
        </w:rPr>
      </w:pPr>
      <w:bookmarkStart w:id="1225" w:name="_Toc407135278"/>
      <w:bookmarkStart w:id="1226" w:name="_Toc373478422"/>
      <w:bookmarkStart w:id="1227" w:name="_Toc78449864"/>
      <w:bookmarkStart w:id="1228" w:name="_Toc389065340"/>
      <w:bookmarkStart w:id="1229" w:name="_Toc373227775"/>
      <w:bookmarkStart w:id="1230" w:name="_Toc2102614655"/>
      <w:bookmarkStart w:id="1231" w:name="_Toc1114527236"/>
      <w:r>
        <w:rPr>
          <w:rFonts w:hint="eastAsia" w:ascii="宋体" w:hAnsi="宋体" w:eastAsia="宋体" w:cs="宋体"/>
          <w:color w:val="auto"/>
          <w:highlight w:val="none"/>
        </w:rPr>
        <w:t>18.7 通知义务</w:t>
      </w:r>
      <w:bookmarkEnd w:id="1225"/>
      <w:bookmarkEnd w:id="1226"/>
      <w:bookmarkEnd w:id="1227"/>
      <w:bookmarkEnd w:id="1228"/>
      <w:bookmarkEnd w:id="1229"/>
      <w:bookmarkEnd w:id="1230"/>
      <w:bookmarkEnd w:id="1231"/>
    </w:p>
    <w:p w14:paraId="179EAACC">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lang w:val="en-US" w:eastAsia="zh-CN"/>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114"/>
    <w:bookmarkEnd w:id="1115"/>
    <w:bookmarkEnd w:id="1116"/>
    <w:bookmarkEnd w:id="1117"/>
    <w:bookmarkEnd w:id="1118"/>
    <w:bookmarkEnd w:id="1119"/>
    <w:bookmarkEnd w:id="1120"/>
    <w:bookmarkEnd w:id="1121"/>
    <w:bookmarkEnd w:id="1122"/>
    <w:bookmarkEnd w:id="1123"/>
    <w:bookmarkEnd w:id="1124"/>
    <w:bookmarkEnd w:id="1125"/>
    <w:p w14:paraId="77EE25B9">
      <w:pPr>
        <w:pStyle w:val="5"/>
        <w:spacing w:line="360" w:lineRule="auto"/>
        <w:rPr>
          <w:rFonts w:hint="eastAsia" w:ascii="宋体" w:hAnsi="宋体" w:eastAsia="宋体" w:cs="宋体"/>
          <w:color w:val="auto"/>
          <w:highlight w:val="none"/>
        </w:rPr>
      </w:pPr>
      <w:bookmarkStart w:id="1232" w:name="_Toc1959910599"/>
      <w:bookmarkStart w:id="1233" w:name="_Toc407135279"/>
      <w:bookmarkStart w:id="1234" w:name="_Toc373227776"/>
      <w:bookmarkStart w:id="1235" w:name="_Toc373478423"/>
      <w:bookmarkStart w:id="1236" w:name="_Toc1430568476"/>
      <w:bookmarkStart w:id="1237" w:name="_Toc389065341"/>
      <w:bookmarkStart w:id="1238" w:name="_Toc78449865"/>
      <w:bookmarkStart w:id="1239" w:name="_Toc351203651"/>
      <w:r>
        <w:rPr>
          <w:rFonts w:hint="eastAsia" w:ascii="宋体" w:hAnsi="宋体" w:eastAsia="宋体" w:cs="宋体"/>
          <w:color w:val="auto"/>
          <w:highlight w:val="none"/>
        </w:rPr>
        <w:t>20. 争议解决</w:t>
      </w:r>
      <w:bookmarkEnd w:id="1232"/>
      <w:bookmarkEnd w:id="1233"/>
      <w:bookmarkEnd w:id="1234"/>
      <w:bookmarkEnd w:id="1235"/>
      <w:bookmarkEnd w:id="1236"/>
      <w:bookmarkEnd w:id="1237"/>
      <w:bookmarkEnd w:id="1238"/>
      <w:bookmarkEnd w:id="1239"/>
    </w:p>
    <w:bookmarkEnd w:id="1126"/>
    <w:bookmarkEnd w:id="1127"/>
    <w:p w14:paraId="016C0951">
      <w:pPr>
        <w:pStyle w:val="6"/>
        <w:spacing w:line="360" w:lineRule="auto"/>
        <w:rPr>
          <w:rFonts w:hint="eastAsia" w:ascii="宋体" w:hAnsi="宋体" w:eastAsia="宋体" w:cs="宋体"/>
          <w:color w:val="auto"/>
          <w:highlight w:val="none"/>
        </w:rPr>
      </w:pPr>
      <w:bookmarkStart w:id="1240" w:name="_Toc78449866"/>
      <w:bookmarkStart w:id="1241" w:name="_Toc2138124043"/>
      <w:bookmarkStart w:id="1242" w:name="_Toc389065342"/>
      <w:bookmarkStart w:id="1243" w:name="_Toc1645489822"/>
      <w:bookmarkStart w:id="1244" w:name="_Toc407135280"/>
      <w:bookmarkStart w:id="1245" w:name="_Toc373227777"/>
      <w:bookmarkStart w:id="1246" w:name="_Toc373478424"/>
      <w:r>
        <w:rPr>
          <w:rFonts w:hint="eastAsia" w:ascii="宋体" w:hAnsi="宋体" w:eastAsia="宋体" w:cs="宋体"/>
          <w:color w:val="auto"/>
          <w:highlight w:val="none"/>
        </w:rPr>
        <w:t>20.3 争</w:t>
      </w:r>
      <w:bookmarkEnd w:id="1128"/>
      <w:r>
        <w:rPr>
          <w:rFonts w:hint="eastAsia" w:ascii="宋体" w:hAnsi="宋体" w:eastAsia="宋体" w:cs="宋体"/>
          <w:color w:val="auto"/>
          <w:highlight w:val="none"/>
        </w:rPr>
        <w:t>议评审</w:t>
      </w:r>
      <w:bookmarkEnd w:id="1240"/>
      <w:bookmarkEnd w:id="1241"/>
      <w:bookmarkEnd w:id="1242"/>
      <w:bookmarkEnd w:id="1243"/>
      <w:bookmarkEnd w:id="1244"/>
      <w:bookmarkEnd w:id="1245"/>
      <w:bookmarkEnd w:id="1246"/>
    </w:p>
    <w:p w14:paraId="2C2B2088">
      <w:pPr>
        <w:spacing w:line="360" w:lineRule="auto"/>
        <w:ind w:left="149" w:leftChars="71" w:firstLine="315" w:firstLineChars="1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rPr>
        <w:t>。</w:t>
      </w:r>
    </w:p>
    <w:p w14:paraId="41FA1334">
      <w:pPr>
        <w:spacing w:line="360" w:lineRule="auto"/>
        <w:ind w:firstLine="420" w:firstLineChars="200"/>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14:paraId="2BBCE8CA">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rPr>
        <w:t>。</w:t>
      </w:r>
    </w:p>
    <w:p w14:paraId="677CF9F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rPr>
        <w:t>。</w:t>
      </w:r>
    </w:p>
    <w:p w14:paraId="5CABC3E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rPr>
        <w:t>。</w:t>
      </w:r>
    </w:p>
    <w:p w14:paraId="3DF8CCD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rPr>
        <w:t>。</w:t>
      </w:r>
    </w:p>
    <w:p w14:paraId="1FC44887">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14:paraId="4E058E2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lang w:eastAsia="zh-CN"/>
        </w:rPr>
        <w:t>无</w:t>
      </w:r>
      <w:r>
        <w:rPr>
          <w:rFonts w:hint="eastAsia" w:ascii="宋体" w:hAnsi="宋体" w:eastAsia="宋体" w:cs="宋体"/>
          <w:color w:val="auto"/>
          <w:highlight w:val="none"/>
        </w:rPr>
        <w:t>。</w:t>
      </w:r>
    </w:p>
    <w:p w14:paraId="21024CDB">
      <w:pPr>
        <w:pStyle w:val="6"/>
        <w:spacing w:line="360" w:lineRule="auto"/>
        <w:rPr>
          <w:rFonts w:hint="eastAsia" w:ascii="宋体" w:hAnsi="宋体" w:eastAsia="宋体" w:cs="宋体"/>
          <w:color w:val="auto"/>
          <w:highlight w:val="none"/>
        </w:rPr>
      </w:pPr>
      <w:bookmarkStart w:id="1247" w:name="_Toc373478425"/>
      <w:bookmarkStart w:id="1248" w:name="_Toc389065343"/>
      <w:bookmarkStart w:id="1249" w:name="_Toc1456517022"/>
      <w:bookmarkStart w:id="1250" w:name="_Toc373227778"/>
      <w:bookmarkStart w:id="1251" w:name="_Toc1156795721"/>
      <w:bookmarkStart w:id="1252" w:name="_Toc407135281"/>
      <w:bookmarkStart w:id="1253" w:name="_Toc78449867"/>
      <w:r>
        <w:rPr>
          <w:rFonts w:hint="eastAsia" w:ascii="宋体" w:hAnsi="宋体" w:eastAsia="宋体" w:cs="宋体"/>
          <w:color w:val="auto"/>
          <w:highlight w:val="none"/>
        </w:rPr>
        <w:t>20.4 仲裁或诉讼</w:t>
      </w:r>
      <w:bookmarkEnd w:id="1129"/>
      <w:bookmarkEnd w:id="1247"/>
      <w:bookmarkEnd w:id="1248"/>
      <w:bookmarkEnd w:id="1249"/>
      <w:bookmarkEnd w:id="1250"/>
      <w:bookmarkEnd w:id="1251"/>
      <w:bookmarkEnd w:id="1252"/>
      <w:bookmarkEnd w:id="1253"/>
    </w:p>
    <w:p w14:paraId="5C36622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14:paraId="66A1471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（1）提请</w:t>
      </w:r>
      <w:r>
        <w:rPr>
          <w:rFonts w:hint="eastAsia" w:ascii="宋体" w:hAnsi="宋体" w:eastAsia="宋体" w:cs="宋体"/>
          <w:color w:val="auto"/>
          <w:highlight w:val="none"/>
          <w:u w:val="single"/>
          <w:lang w:val="en-US" w:eastAsia="zh-CN"/>
        </w:rPr>
        <w:t>柳州市</w:t>
      </w:r>
      <w:r>
        <w:rPr>
          <w:rFonts w:hint="eastAsia" w:ascii="宋体" w:hAnsi="宋体" w:eastAsia="宋体" w:cs="宋体"/>
          <w:color w:val="auto"/>
          <w:highlight w:val="none"/>
        </w:rPr>
        <w:t>仲裁委员会按照该会仲裁规则进行仲裁，仲裁裁决是终局的，对合同双方均有约束力。</w:t>
      </w:r>
    </w:p>
    <w:p w14:paraId="74DA6A4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工程所在地有管辖权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bookmarkEnd w:id="1130"/>
      <w:bookmarkEnd w:id="1131"/>
      <w:bookmarkEnd w:id="1132"/>
      <w:bookmarkEnd w:id="1133"/>
      <w:bookmarkEnd w:id="1134"/>
      <w:bookmarkEnd w:id="1135"/>
    </w:p>
    <w:p w14:paraId="26BC12F4">
      <w:pPr>
        <w:spacing w:line="360" w:lineRule="auto"/>
        <w:ind w:firstLine="422" w:firstLineChars="200"/>
        <w:jc w:val="left"/>
        <w:rPr>
          <w:rFonts w:hint="eastAsia" w:ascii="宋体" w:hAnsi="宋体" w:eastAsia="宋体" w:cs="宋体"/>
          <w:b/>
          <w:bCs/>
          <w:color w:val="auto"/>
          <w:highlight w:val="none"/>
        </w:rPr>
      </w:pPr>
      <w:bookmarkStart w:id="1254" w:name="_Toc351203652"/>
      <w:r>
        <w:rPr>
          <w:rFonts w:hint="eastAsia" w:ascii="宋体" w:hAnsi="宋体" w:eastAsia="宋体" w:cs="宋体"/>
          <w:b/>
          <w:bCs/>
          <w:color w:val="auto"/>
          <w:highlight w:val="none"/>
          <w:lang w:val="en-US" w:eastAsia="zh-CN"/>
        </w:rPr>
        <w:t xml:space="preserve">21. 补充条款 </w:t>
      </w:r>
    </w:p>
    <w:p w14:paraId="190CD652">
      <w:pPr>
        <w:pStyle w:val="533"/>
        <w:spacing w:line="360" w:lineRule="auto"/>
        <w:ind w:left="0" w:leftChars="0" w:firstLine="630" w:firstLineChars="30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如若变更签证，则须经过柳州市柳南区教育局同意方可变更。</w:t>
      </w:r>
    </w:p>
    <w:p w14:paraId="6858752F">
      <w:pPr>
        <w:spacing w:line="360" w:lineRule="auto"/>
        <w:jc w:val="left"/>
        <w:rPr>
          <w:rFonts w:hint="eastAsia" w:ascii="宋体" w:hAnsi="宋体" w:eastAsia="宋体" w:cs="宋体"/>
          <w:color w:val="auto"/>
          <w:highlight w:val="none"/>
        </w:rPr>
      </w:pPr>
    </w:p>
    <w:p w14:paraId="338EE7C3">
      <w:pPr>
        <w:spacing w:line="360" w:lineRule="auto"/>
        <w:jc w:val="left"/>
        <w:rPr>
          <w:rFonts w:hint="eastAsia" w:ascii="宋体" w:hAnsi="宋体" w:eastAsia="宋体" w:cs="宋体"/>
          <w:b/>
          <w:bCs/>
          <w:color w:val="auto"/>
          <w:sz w:val="28"/>
          <w:szCs w:val="28"/>
          <w:highlight w:val="none"/>
        </w:rPr>
      </w:pPr>
    </w:p>
    <w:p w14:paraId="2027BF39">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bookmarkEnd w:id="1254"/>
    </w:p>
    <w:p w14:paraId="1F41574B">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附件1：承包人承揽工程项目一览表</w:t>
      </w:r>
    </w:p>
    <w:p w14:paraId="7338ECB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附件2：工程质量保修书</w:t>
      </w:r>
    </w:p>
    <w:p w14:paraId="01A6B2BC">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附件3：主要建设工程文件目录</w:t>
      </w:r>
    </w:p>
    <w:p w14:paraId="6282CB4C">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附件4：承包人用于本工程施工的机械设备表</w:t>
      </w:r>
    </w:p>
    <w:p w14:paraId="5E5D2C3F">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附件5：承包人主要施工管理人员表</w:t>
      </w:r>
    </w:p>
    <w:p w14:paraId="0BEF0A9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附件6：分包人主要施工管理人员表</w:t>
      </w:r>
    </w:p>
    <w:p w14:paraId="447D530F">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附件7：履约担保格式（独立保函、非独立保函）</w:t>
      </w:r>
    </w:p>
    <w:p w14:paraId="31F87C4A">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附件8：预付款担保格式（独立保函、非独立保函）</w:t>
      </w:r>
    </w:p>
    <w:p w14:paraId="2FE540D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附件9：支付担保格式（独立保函、非独立保函）</w:t>
      </w:r>
    </w:p>
    <w:p w14:paraId="6CD5F9C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附件10：预付款支付申请（核准）表</w:t>
      </w:r>
    </w:p>
    <w:p w14:paraId="653C802C">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附件11：进度款支付申请（核准）表</w:t>
      </w:r>
    </w:p>
    <w:p w14:paraId="24A987D1">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附件12：竣工结算款支付申请（核准）表</w:t>
      </w:r>
    </w:p>
    <w:p w14:paraId="4E2F957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附件13：最终结算款支付申请（核准）表</w:t>
      </w:r>
    </w:p>
    <w:p w14:paraId="35028F15">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附件14：总价合同进度款支付分解表</w:t>
      </w:r>
    </w:p>
    <w:p w14:paraId="59584FD3">
      <w:pPr>
        <w:spacing w:line="460" w:lineRule="exact"/>
        <w:ind w:firstLine="420" w:firstLineChars="200"/>
        <w:rPr>
          <w:rFonts w:hint="eastAsia" w:ascii="宋体" w:hAnsi="宋体" w:eastAsia="宋体" w:cs="宋体"/>
          <w:color w:val="auto"/>
          <w:highlight w:val="none"/>
        </w:rPr>
      </w:pPr>
    </w:p>
    <w:p w14:paraId="1C16198C">
      <w:pPr>
        <w:spacing w:line="460" w:lineRule="exact"/>
        <w:ind w:firstLine="420" w:firstLineChars="200"/>
        <w:rPr>
          <w:rFonts w:hint="eastAsia" w:ascii="宋体" w:hAnsi="宋体" w:eastAsia="宋体" w:cs="宋体"/>
          <w:color w:val="auto"/>
          <w:highlight w:val="none"/>
        </w:rPr>
      </w:pPr>
    </w:p>
    <w:p w14:paraId="3CFD5FFD">
      <w:pPr>
        <w:spacing w:line="460" w:lineRule="exact"/>
        <w:ind w:firstLine="420" w:firstLineChars="200"/>
        <w:rPr>
          <w:rFonts w:hint="eastAsia" w:ascii="宋体" w:hAnsi="宋体" w:eastAsia="宋体" w:cs="宋体"/>
          <w:color w:val="auto"/>
          <w:highlight w:val="none"/>
        </w:rPr>
        <w:sectPr>
          <w:pgSz w:w="11907" w:h="16840"/>
          <w:pgMar w:top="1440" w:right="1440" w:bottom="1440" w:left="1797" w:header="851" w:footer="851" w:gutter="0"/>
          <w:cols w:space="720" w:num="1"/>
          <w:docGrid w:linePitch="312" w:charSpace="0"/>
        </w:sectPr>
      </w:pPr>
    </w:p>
    <w:p w14:paraId="366FBB47">
      <w:pPr>
        <w:spacing w:before="120" w:beforeLines="50" w:after="120" w:afterLines="50" w:line="44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14:paraId="7AFA4514">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7776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14:paraId="541CE777">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单位工程名称</w:t>
            </w:r>
          </w:p>
        </w:tc>
        <w:tc>
          <w:tcPr>
            <w:tcW w:w="1440" w:type="dxa"/>
            <w:noWrap w:val="0"/>
            <w:vAlign w:val="center"/>
          </w:tcPr>
          <w:p w14:paraId="112266A1">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建设规模</w:t>
            </w:r>
          </w:p>
        </w:tc>
        <w:tc>
          <w:tcPr>
            <w:tcW w:w="1620" w:type="dxa"/>
            <w:noWrap w:val="0"/>
            <w:vAlign w:val="center"/>
          </w:tcPr>
          <w:p w14:paraId="589D80A9">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建筑面积(平方米)</w:t>
            </w:r>
          </w:p>
        </w:tc>
        <w:tc>
          <w:tcPr>
            <w:tcW w:w="1661" w:type="dxa"/>
            <w:noWrap w:val="0"/>
            <w:vAlign w:val="center"/>
          </w:tcPr>
          <w:p w14:paraId="2F53476E">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结构形式</w:t>
            </w:r>
          </w:p>
        </w:tc>
        <w:tc>
          <w:tcPr>
            <w:tcW w:w="850" w:type="dxa"/>
            <w:noWrap w:val="0"/>
            <w:vAlign w:val="center"/>
          </w:tcPr>
          <w:p w14:paraId="50F04744">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层数</w:t>
            </w:r>
          </w:p>
        </w:tc>
        <w:tc>
          <w:tcPr>
            <w:tcW w:w="1560" w:type="dxa"/>
            <w:noWrap w:val="0"/>
            <w:vAlign w:val="center"/>
          </w:tcPr>
          <w:p w14:paraId="5DA68E80">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生产能力</w:t>
            </w:r>
          </w:p>
        </w:tc>
        <w:tc>
          <w:tcPr>
            <w:tcW w:w="2126" w:type="dxa"/>
            <w:noWrap w:val="0"/>
            <w:vAlign w:val="center"/>
          </w:tcPr>
          <w:p w14:paraId="520C1436">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设备安装内容</w:t>
            </w:r>
          </w:p>
        </w:tc>
        <w:tc>
          <w:tcPr>
            <w:tcW w:w="1417" w:type="dxa"/>
            <w:noWrap w:val="0"/>
            <w:vAlign w:val="center"/>
          </w:tcPr>
          <w:p w14:paraId="51AE0E5E">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合同价格（元）</w:t>
            </w:r>
          </w:p>
        </w:tc>
        <w:tc>
          <w:tcPr>
            <w:tcW w:w="851" w:type="dxa"/>
            <w:noWrap w:val="0"/>
            <w:vAlign w:val="center"/>
          </w:tcPr>
          <w:p w14:paraId="099096DC">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开工日期</w:t>
            </w:r>
          </w:p>
        </w:tc>
        <w:tc>
          <w:tcPr>
            <w:tcW w:w="850" w:type="dxa"/>
            <w:noWrap w:val="0"/>
            <w:vAlign w:val="center"/>
          </w:tcPr>
          <w:p w14:paraId="6EAB5142">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竣工日期</w:t>
            </w:r>
          </w:p>
        </w:tc>
      </w:tr>
      <w:tr w14:paraId="3E03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A622366">
            <w:pPr>
              <w:pStyle w:val="19"/>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1BECB409">
            <w:pPr>
              <w:pStyle w:val="19"/>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10E26F6C">
            <w:pPr>
              <w:pStyle w:val="19"/>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60463B97">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1D296A69">
            <w:pPr>
              <w:pStyle w:val="19"/>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5689D248">
            <w:pPr>
              <w:pStyle w:val="19"/>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129E81BA">
            <w:pPr>
              <w:pStyle w:val="19"/>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0E3C95BD">
            <w:pPr>
              <w:pStyle w:val="19"/>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2608D201">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7F14580F">
            <w:pPr>
              <w:pStyle w:val="19"/>
              <w:keepNext/>
              <w:spacing w:after="0" w:line="440" w:lineRule="exact"/>
              <w:ind w:left="63" w:right="63"/>
              <w:rPr>
                <w:rFonts w:hint="eastAsia" w:ascii="宋体" w:hAnsi="宋体" w:eastAsia="宋体" w:cs="宋体"/>
                <w:color w:val="auto"/>
                <w:sz w:val="30"/>
                <w:szCs w:val="30"/>
                <w:highlight w:val="none"/>
              </w:rPr>
            </w:pPr>
          </w:p>
        </w:tc>
      </w:tr>
      <w:tr w14:paraId="586D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63EBD5CE">
            <w:pPr>
              <w:pStyle w:val="19"/>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0FAA2A7E">
            <w:pPr>
              <w:pStyle w:val="19"/>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343BBA5A">
            <w:pPr>
              <w:pStyle w:val="19"/>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77757854">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5C936234">
            <w:pPr>
              <w:pStyle w:val="19"/>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6228D1A1">
            <w:pPr>
              <w:pStyle w:val="19"/>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7496E979">
            <w:pPr>
              <w:pStyle w:val="19"/>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40E72A3F">
            <w:pPr>
              <w:pStyle w:val="19"/>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10CE238E">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216BD595">
            <w:pPr>
              <w:pStyle w:val="19"/>
              <w:keepNext/>
              <w:spacing w:after="0" w:line="440" w:lineRule="exact"/>
              <w:ind w:left="63" w:right="63"/>
              <w:rPr>
                <w:rFonts w:hint="eastAsia" w:ascii="宋体" w:hAnsi="宋体" w:eastAsia="宋体" w:cs="宋体"/>
                <w:color w:val="auto"/>
                <w:sz w:val="30"/>
                <w:szCs w:val="30"/>
                <w:highlight w:val="none"/>
              </w:rPr>
            </w:pPr>
          </w:p>
        </w:tc>
      </w:tr>
      <w:tr w14:paraId="2ED4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6D7B5D77">
            <w:pPr>
              <w:pStyle w:val="19"/>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22B4A0B0">
            <w:pPr>
              <w:pStyle w:val="19"/>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433BFAC1">
            <w:pPr>
              <w:pStyle w:val="19"/>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351B176A">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704B79B9">
            <w:pPr>
              <w:pStyle w:val="19"/>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4375CF01">
            <w:pPr>
              <w:pStyle w:val="19"/>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65E5B797">
            <w:pPr>
              <w:pStyle w:val="19"/>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0759885F">
            <w:pPr>
              <w:pStyle w:val="19"/>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2A081DB0">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3412E32B">
            <w:pPr>
              <w:pStyle w:val="19"/>
              <w:keepNext/>
              <w:spacing w:after="0" w:line="440" w:lineRule="exact"/>
              <w:ind w:left="63" w:right="63"/>
              <w:rPr>
                <w:rFonts w:hint="eastAsia" w:ascii="宋体" w:hAnsi="宋体" w:eastAsia="宋体" w:cs="宋体"/>
                <w:color w:val="auto"/>
                <w:sz w:val="30"/>
                <w:szCs w:val="30"/>
                <w:highlight w:val="none"/>
              </w:rPr>
            </w:pPr>
          </w:p>
        </w:tc>
      </w:tr>
      <w:tr w14:paraId="58C8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9D29C02">
            <w:pPr>
              <w:pStyle w:val="19"/>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016825A5">
            <w:pPr>
              <w:pStyle w:val="19"/>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58722D73">
            <w:pPr>
              <w:pStyle w:val="19"/>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200CD4C0">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511D8FAD">
            <w:pPr>
              <w:pStyle w:val="19"/>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5CF0A7A2">
            <w:pPr>
              <w:pStyle w:val="19"/>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1E3B5F95">
            <w:pPr>
              <w:pStyle w:val="19"/>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35145CE9">
            <w:pPr>
              <w:pStyle w:val="19"/>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78C0645D">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750718B7">
            <w:pPr>
              <w:pStyle w:val="19"/>
              <w:keepNext/>
              <w:spacing w:after="0" w:line="440" w:lineRule="exact"/>
              <w:ind w:left="63" w:right="63"/>
              <w:rPr>
                <w:rFonts w:hint="eastAsia" w:ascii="宋体" w:hAnsi="宋体" w:eastAsia="宋体" w:cs="宋体"/>
                <w:color w:val="auto"/>
                <w:sz w:val="30"/>
                <w:szCs w:val="30"/>
                <w:highlight w:val="none"/>
              </w:rPr>
            </w:pPr>
          </w:p>
        </w:tc>
      </w:tr>
      <w:tr w14:paraId="636C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BB2AA41">
            <w:pPr>
              <w:pStyle w:val="19"/>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64F14582">
            <w:pPr>
              <w:pStyle w:val="19"/>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47213942">
            <w:pPr>
              <w:pStyle w:val="19"/>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411D0413">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3C68412E">
            <w:pPr>
              <w:pStyle w:val="19"/>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32543F5A">
            <w:pPr>
              <w:pStyle w:val="19"/>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537E7FD0">
            <w:pPr>
              <w:pStyle w:val="19"/>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732FE3E5">
            <w:pPr>
              <w:pStyle w:val="19"/>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1B4E4E9E">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04126342">
            <w:pPr>
              <w:pStyle w:val="19"/>
              <w:keepNext/>
              <w:spacing w:after="0" w:line="440" w:lineRule="exact"/>
              <w:ind w:left="63" w:right="63"/>
              <w:rPr>
                <w:rFonts w:hint="eastAsia" w:ascii="宋体" w:hAnsi="宋体" w:eastAsia="宋体" w:cs="宋体"/>
                <w:color w:val="auto"/>
                <w:sz w:val="30"/>
                <w:szCs w:val="30"/>
                <w:highlight w:val="none"/>
              </w:rPr>
            </w:pPr>
          </w:p>
        </w:tc>
      </w:tr>
      <w:tr w14:paraId="4E93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A0EBEBB">
            <w:pPr>
              <w:pStyle w:val="19"/>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609D6DD4">
            <w:pPr>
              <w:pStyle w:val="19"/>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7A44CECE">
            <w:pPr>
              <w:pStyle w:val="19"/>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73CB0F15">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03936869">
            <w:pPr>
              <w:pStyle w:val="19"/>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074E15DC">
            <w:pPr>
              <w:pStyle w:val="19"/>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5AB63869">
            <w:pPr>
              <w:pStyle w:val="19"/>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49A10350">
            <w:pPr>
              <w:pStyle w:val="19"/>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21865A66">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36BF4076">
            <w:pPr>
              <w:pStyle w:val="19"/>
              <w:keepNext/>
              <w:spacing w:after="0" w:line="440" w:lineRule="exact"/>
              <w:ind w:left="63" w:right="63"/>
              <w:rPr>
                <w:rFonts w:hint="eastAsia" w:ascii="宋体" w:hAnsi="宋体" w:eastAsia="宋体" w:cs="宋体"/>
                <w:color w:val="auto"/>
                <w:sz w:val="30"/>
                <w:szCs w:val="30"/>
                <w:highlight w:val="none"/>
              </w:rPr>
            </w:pPr>
          </w:p>
        </w:tc>
      </w:tr>
      <w:tr w14:paraId="5B56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79600AD">
            <w:pPr>
              <w:pStyle w:val="19"/>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1716A8C7">
            <w:pPr>
              <w:pStyle w:val="19"/>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1BABF1B5">
            <w:pPr>
              <w:pStyle w:val="19"/>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2F9C8E69">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415AC462">
            <w:pPr>
              <w:pStyle w:val="19"/>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1CCFD3FD">
            <w:pPr>
              <w:pStyle w:val="19"/>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27DDD718">
            <w:pPr>
              <w:pStyle w:val="19"/>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57F9D77D">
            <w:pPr>
              <w:pStyle w:val="19"/>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62D4FC42">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0925621A">
            <w:pPr>
              <w:pStyle w:val="19"/>
              <w:keepNext/>
              <w:spacing w:after="0" w:line="440" w:lineRule="exact"/>
              <w:ind w:left="63" w:right="63"/>
              <w:rPr>
                <w:rFonts w:hint="eastAsia" w:ascii="宋体" w:hAnsi="宋体" w:eastAsia="宋体" w:cs="宋体"/>
                <w:color w:val="auto"/>
                <w:sz w:val="30"/>
                <w:szCs w:val="30"/>
                <w:highlight w:val="none"/>
              </w:rPr>
            </w:pPr>
          </w:p>
        </w:tc>
      </w:tr>
      <w:tr w14:paraId="77D8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6FF4C06A">
            <w:pPr>
              <w:pStyle w:val="19"/>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6F7F5A35">
            <w:pPr>
              <w:pStyle w:val="19"/>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4DB2A248">
            <w:pPr>
              <w:pStyle w:val="19"/>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40A5DAB9">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1BD407C1">
            <w:pPr>
              <w:pStyle w:val="19"/>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7B562663">
            <w:pPr>
              <w:pStyle w:val="19"/>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058D1DD2">
            <w:pPr>
              <w:pStyle w:val="19"/>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1C11F7F4">
            <w:pPr>
              <w:pStyle w:val="19"/>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575355D4">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5E0A825C">
            <w:pPr>
              <w:pStyle w:val="19"/>
              <w:keepNext/>
              <w:spacing w:after="0" w:line="440" w:lineRule="exact"/>
              <w:ind w:left="63" w:right="63"/>
              <w:rPr>
                <w:rFonts w:hint="eastAsia" w:ascii="宋体" w:hAnsi="宋体" w:eastAsia="宋体" w:cs="宋体"/>
                <w:color w:val="auto"/>
                <w:sz w:val="30"/>
                <w:szCs w:val="30"/>
                <w:highlight w:val="none"/>
              </w:rPr>
            </w:pPr>
          </w:p>
        </w:tc>
      </w:tr>
      <w:tr w14:paraId="3451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8721A71">
            <w:pPr>
              <w:pStyle w:val="19"/>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42219C60">
            <w:pPr>
              <w:pStyle w:val="19"/>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272E7A03">
            <w:pPr>
              <w:pStyle w:val="19"/>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648FD36C">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4238BB45">
            <w:pPr>
              <w:pStyle w:val="19"/>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492F36C8">
            <w:pPr>
              <w:pStyle w:val="19"/>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6E5BBAE1">
            <w:pPr>
              <w:pStyle w:val="19"/>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12565A70">
            <w:pPr>
              <w:pStyle w:val="19"/>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32D79080">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2275B1A6">
            <w:pPr>
              <w:pStyle w:val="19"/>
              <w:keepNext/>
              <w:spacing w:after="0" w:line="440" w:lineRule="exact"/>
              <w:ind w:left="63" w:right="63"/>
              <w:rPr>
                <w:rFonts w:hint="eastAsia" w:ascii="宋体" w:hAnsi="宋体" w:eastAsia="宋体" w:cs="宋体"/>
                <w:color w:val="auto"/>
                <w:sz w:val="30"/>
                <w:szCs w:val="30"/>
                <w:highlight w:val="none"/>
              </w:rPr>
            </w:pPr>
          </w:p>
        </w:tc>
      </w:tr>
      <w:tr w14:paraId="1168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62E9336F">
            <w:pPr>
              <w:pStyle w:val="19"/>
              <w:keepNext/>
              <w:spacing w:after="0" w:line="440" w:lineRule="exact"/>
              <w:ind w:left="63" w:right="63"/>
              <w:rPr>
                <w:rFonts w:hint="eastAsia" w:ascii="宋体" w:hAnsi="宋体" w:eastAsia="宋体" w:cs="宋体"/>
                <w:color w:val="auto"/>
                <w:sz w:val="30"/>
                <w:szCs w:val="30"/>
                <w:highlight w:val="none"/>
              </w:rPr>
            </w:pPr>
          </w:p>
        </w:tc>
        <w:tc>
          <w:tcPr>
            <w:tcW w:w="1440" w:type="dxa"/>
            <w:noWrap w:val="0"/>
            <w:vAlign w:val="center"/>
          </w:tcPr>
          <w:p w14:paraId="1598B7F1">
            <w:pPr>
              <w:pStyle w:val="19"/>
              <w:keepNext/>
              <w:spacing w:after="0" w:line="440" w:lineRule="exact"/>
              <w:ind w:left="63" w:right="63"/>
              <w:rPr>
                <w:rFonts w:hint="eastAsia" w:ascii="宋体" w:hAnsi="宋体" w:eastAsia="宋体" w:cs="宋体"/>
                <w:color w:val="auto"/>
                <w:sz w:val="30"/>
                <w:szCs w:val="30"/>
                <w:highlight w:val="none"/>
              </w:rPr>
            </w:pPr>
          </w:p>
        </w:tc>
        <w:tc>
          <w:tcPr>
            <w:tcW w:w="1620" w:type="dxa"/>
            <w:noWrap w:val="0"/>
            <w:vAlign w:val="center"/>
          </w:tcPr>
          <w:p w14:paraId="6960754A">
            <w:pPr>
              <w:pStyle w:val="19"/>
              <w:keepNext/>
              <w:spacing w:after="0" w:line="440" w:lineRule="exact"/>
              <w:ind w:left="63" w:right="63"/>
              <w:rPr>
                <w:rFonts w:hint="eastAsia" w:ascii="宋体" w:hAnsi="宋体" w:eastAsia="宋体" w:cs="宋体"/>
                <w:color w:val="auto"/>
                <w:sz w:val="30"/>
                <w:szCs w:val="30"/>
                <w:highlight w:val="none"/>
              </w:rPr>
            </w:pPr>
          </w:p>
        </w:tc>
        <w:tc>
          <w:tcPr>
            <w:tcW w:w="1661" w:type="dxa"/>
            <w:noWrap w:val="0"/>
            <w:vAlign w:val="center"/>
          </w:tcPr>
          <w:p w14:paraId="4CAE1981">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32DB2A76">
            <w:pPr>
              <w:pStyle w:val="19"/>
              <w:keepNext/>
              <w:spacing w:after="0" w:line="440" w:lineRule="exact"/>
              <w:ind w:left="63" w:right="63"/>
              <w:rPr>
                <w:rFonts w:hint="eastAsia" w:ascii="宋体" w:hAnsi="宋体" w:eastAsia="宋体" w:cs="宋体"/>
                <w:color w:val="auto"/>
                <w:sz w:val="30"/>
                <w:szCs w:val="30"/>
                <w:highlight w:val="none"/>
              </w:rPr>
            </w:pPr>
          </w:p>
        </w:tc>
        <w:tc>
          <w:tcPr>
            <w:tcW w:w="1560" w:type="dxa"/>
            <w:noWrap w:val="0"/>
            <w:vAlign w:val="center"/>
          </w:tcPr>
          <w:p w14:paraId="743EB996">
            <w:pPr>
              <w:pStyle w:val="19"/>
              <w:keepNext/>
              <w:spacing w:after="0" w:line="440" w:lineRule="exact"/>
              <w:ind w:left="63" w:right="63"/>
              <w:rPr>
                <w:rFonts w:hint="eastAsia" w:ascii="宋体" w:hAnsi="宋体" w:eastAsia="宋体" w:cs="宋体"/>
                <w:color w:val="auto"/>
                <w:sz w:val="30"/>
                <w:szCs w:val="30"/>
                <w:highlight w:val="none"/>
              </w:rPr>
            </w:pPr>
          </w:p>
        </w:tc>
        <w:tc>
          <w:tcPr>
            <w:tcW w:w="2126" w:type="dxa"/>
            <w:noWrap w:val="0"/>
            <w:vAlign w:val="center"/>
          </w:tcPr>
          <w:p w14:paraId="48AE2279">
            <w:pPr>
              <w:pStyle w:val="19"/>
              <w:keepNext/>
              <w:spacing w:after="0" w:line="440" w:lineRule="exact"/>
              <w:ind w:left="63" w:right="63"/>
              <w:rPr>
                <w:rFonts w:hint="eastAsia" w:ascii="宋体" w:hAnsi="宋体" w:eastAsia="宋体" w:cs="宋体"/>
                <w:color w:val="auto"/>
                <w:sz w:val="30"/>
                <w:szCs w:val="30"/>
                <w:highlight w:val="none"/>
              </w:rPr>
            </w:pPr>
          </w:p>
        </w:tc>
        <w:tc>
          <w:tcPr>
            <w:tcW w:w="1417" w:type="dxa"/>
            <w:noWrap w:val="0"/>
            <w:vAlign w:val="center"/>
          </w:tcPr>
          <w:p w14:paraId="44372AC5">
            <w:pPr>
              <w:pStyle w:val="19"/>
              <w:keepNext/>
              <w:spacing w:after="0" w:line="440" w:lineRule="exact"/>
              <w:ind w:left="63" w:right="63"/>
              <w:rPr>
                <w:rFonts w:hint="eastAsia" w:ascii="宋体" w:hAnsi="宋体" w:eastAsia="宋体" w:cs="宋体"/>
                <w:color w:val="auto"/>
                <w:sz w:val="30"/>
                <w:szCs w:val="30"/>
                <w:highlight w:val="none"/>
              </w:rPr>
            </w:pPr>
          </w:p>
        </w:tc>
        <w:tc>
          <w:tcPr>
            <w:tcW w:w="851" w:type="dxa"/>
            <w:noWrap w:val="0"/>
            <w:vAlign w:val="center"/>
          </w:tcPr>
          <w:p w14:paraId="34FAEB88">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48298A35">
            <w:pPr>
              <w:pStyle w:val="19"/>
              <w:keepNext/>
              <w:spacing w:after="0" w:line="440" w:lineRule="exact"/>
              <w:ind w:left="63" w:right="63"/>
              <w:rPr>
                <w:rFonts w:hint="eastAsia" w:ascii="宋体" w:hAnsi="宋体" w:eastAsia="宋体" w:cs="宋体"/>
                <w:color w:val="auto"/>
                <w:sz w:val="30"/>
                <w:szCs w:val="30"/>
                <w:highlight w:val="none"/>
              </w:rPr>
            </w:pPr>
          </w:p>
        </w:tc>
      </w:tr>
    </w:tbl>
    <w:p w14:paraId="4CF2A634">
      <w:pPr>
        <w:spacing w:line="460" w:lineRule="exact"/>
        <w:ind w:firstLine="420" w:firstLineChars="200"/>
        <w:rPr>
          <w:rFonts w:hint="eastAsia" w:ascii="宋体" w:hAnsi="宋体" w:eastAsia="宋体" w:cs="宋体"/>
          <w:color w:val="auto"/>
          <w:highlight w:val="none"/>
        </w:rPr>
      </w:pPr>
    </w:p>
    <w:p w14:paraId="5712ED45">
      <w:pPr>
        <w:spacing w:line="460" w:lineRule="exact"/>
        <w:ind w:firstLine="420" w:firstLineChars="200"/>
        <w:rPr>
          <w:rFonts w:hint="eastAsia" w:ascii="宋体" w:hAnsi="宋体" w:eastAsia="宋体" w:cs="宋体"/>
          <w:color w:val="auto"/>
          <w:highlight w:val="none"/>
        </w:rPr>
      </w:pPr>
    </w:p>
    <w:p w14:paraId="2C3E9DB4">
      <w:pPr>
        <w:spacing w:line="460" w:lineRule="exact"/>
        <w:ind w:firstLine="420" w:firstLineChars="200"/>
        <w:rPr>
          <w:rFonts w:hint="eastAsia" w:ascii="宋体" w:hAnsi="宋体" w:eastAsia="宋体" w:cs="宋体"/>
          <w:color w:val="auto"/>
          <w:highlight w:val="none"/>
        </w:rPr>
        <w:sectPr>
          <w:pgSz w:w="16840" w:h="11907" w:orient="landscape"/>
          <w:pgMar w:top="1440" w:right="1440" w:bottom="1440" w:left="1797" w:header="851" w:footer="851" w:gutter="0"/>
          <w:cols w:space="720" w:num="1"/>
          <w:docGrid w:linePitch="312" w:charSpace="0"/>
        </w:sectPr>
      </w:pPr>
    </w:p>
    <w:p w14:paraId="52B37AF5">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附件2：</w:t>
      </w:r>
    </w:p>
    <w:p w14:paraId="32CFF3E6">
      <w:pPr>
        <w:spacing w:before="120" w:beforeLines="50" w:after="120" w:afterLines="50"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工程质量保修书（房屋建筑工程）</w:t>
      </w:r>
    </w:p>
    <w:p w14:paraId="29F88AC2">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966094E">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7F14234">
      <w:pPr>
        <w:spacing w:line="440" w:lineRule="exact"/>
        <w:rPr>
          <w:rFonts w:hint="eastAsia" w:ascii="宋体" w:hAnsi="宋体" w:eastAsia="宋体" w:cs="宋体"/>
          <w:color w:val="auto"/>
          <w:highlight w:val="none"/>
        </w:rPr>
      </w:pPr>
    </w:p>
    <w:p w14:paraId="3C1C14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发包人和承包人根据《中华人民共和国建筑法》和《建设工程质量管理条例》，经协商一致就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（工程全称）签订工程质量保修书。</w:t>
      </w:r>
    </w:p>
    <w:p w14:paraId="007FD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一、工程质量保修范围和内容</w:t>
      </w:r>
    </w:p>
    <w:p w14:paraId="4CFAE2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承包人在质量保修期内，按照有关法律规定和合同约定，承担工程质量保修责任。</w:t>
      </w:r>
    </w:p>
    <w:p w14:paraId="2A34C07F">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7295DEC">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899EF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二、质量保修期</w:t>
      </w:r>
    </w:p>
    <w:p w14:paraId="1442FD7C">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根据《建设工程质量管理条例》及有关规定，工程的质量保修期如下：</w:t>
      </w:r>
    </w:p>
    <w:p w14:paraId="777F0F3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1．地基基础工程和主体结构工程为设计文件规定的工程合理使用年限；</w:t>
      </w:r>
    </w:p>
    <w:p w14:paraId="7357B974">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2．屋面防水工程、有防水要求的卫生间、房间和外墙面的防渗为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3CF40B8B">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3．装修工程为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00E68B5F">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4．电气管线、给排水管道、设备安装工程为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3CC0DDEC">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5．供热与供冷系统为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个采暖期、供冷期；</w:t>
      </w:r>
    </w:p>
    <w:p w14:paraId="683625A1">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6．住宅小区内的给排水设施、道路等配套工程为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6E36BDF3">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7．其他项目保修期限约定如下：</w:t>
      </w:r>
    </w:p>
    <w:p w14:paraId="0E54795F">
      <w:pPr>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p>
    <w:p w14:paraId="791E163A">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质量保修期自工程竣工验收合格之日起计算。</w:t>
      </w:r>
    </w:p>
    <w:p w14:paraId="34AFE065">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三、缺陷责任期</w:t>
      </w:r>
    </w:p>
    <w:p w14:paraId="4A3955F0">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工程缺陷责任期为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个月（最长不超过24个月），缺陷责任期自工程竣工验收合格之日起计算。单位工程先于全部工程进行验收，单位工程缺陷责任期自单位工程验收合格之日起算。</w:t>
      </w:r>
    </w:p>
    <w:p w14:paraId="017B4D94">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缺陷责任期</w:t>
      </w:r>
      <w:r>
        <w:rPr>
          <w:rFonts w:hint="eastAsia" w:ascii="宋体" w:hAnsi="宋体" w:eastAsia="宋体" w:cs="宋体"/>
          <w:color w:val="auto"/>
          <w:highlight w:val="none"/>
          <w:u w:val="single"/>
        </w:rPr>
        <w:t>满</w:t>
      </w:r>
      <w:r>
        <w:rPr>
          <w:rFonts w:hint="eastAsia" w:ascii="宋体" w:hAnsi="宋体" w:eastAsia="宋体" w:cs="宋体"/>
          <w:color w:val="auto"/>
          <w:highlight w:val="none"/>
        </w:rPr>
        <w:t>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r>
        <w:rPr>
          <w:rFonts w:hint="eastAsia" w:ascii="宋体" w:hAnsi="宋体" w:eastAsia="宋体" w:cs="宋体"/>
          <w:color w:val="auto"/>
          <w:highlight w:val="none"/>
          <w:u w:val="single"/>
        </w:rPr>
        <w:t>（按合同约定期限），</w:t>
      </w:r>
      <w:r>
        <w:rPr>
          <w:rFonts w:hint="eastAsia" w:ascii="宋体" w:hAnsi="宋体" w:eastAsia="宋体" w:cs="宋体"/>
          <w:color w:val="auto"/>
          <w:highlight w:val="none"/>
        </w:rPr>
        <w:t>发包人应退还剩余的质量保证金。</w:t>
      </w:r>
    </w:p>
    <w:p w14:paraId="15F224D1">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四、质量保修责任</w:t>
      </w:r>
    </w:p>
    <w:p w14:paraId="2BD23E06">
      <w:pPr>
        <w:spacing w:line="360" w:lineRule="auto"/>
        <w:ind w:left="105" w:leftChars="50" w:firstLine="430" w:firstLineChars="205"/>
        <w:rPr>
          <w:rFonts w:hint="eastAsia" w:ascii="宋体" w:hAnsi="宋体" w:eastAsia="宋体" w:cs="宋体"/>
          <w:color w:val="auto"/>
          <w:highlight w:val="none"/>
        </w:rPr>
      </w:pPr>
      <w:r>
        <w:rPr>
          <w:rFonts w:hint="eastAsia" w:ascii="宋体" w:hAnsi="宋体" w:eastAsia="宋体" w:cs="宋体"/>
          <w:color w:val="auto"/>
          <w:highlight w:val="none"/>
        </w:rPr>
        <w:t>1．属于保修范围、内容的项目，承包人应当在接到保修通知之日起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天内派人保修。承包人不在约定期限内派人保修的，发包人可以委托他人修理，修理费用从质量保证金内扣除。</w:t>
      </w:r>
    </w:p>
    <w:p w14:paraId="1716DA60">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2．发生紧急事故需抢修的，承包人在接到事故通知后，应当立即到达事故现场抢修。</w:t>
      </w:r>
    </w:p>
    <w:p w14:paraId="61D72FC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BA2330A">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4．质量保修完成后，由发包人组织验收。</w:t>
      </w:r>
    </w:p>
    <w:p w14:paraId="5A130364">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五、保修费用</w:t>
      </w:r>
    </w:p>
    <w:p w14:paraId="638E480F">
      <w:pPr>
        <w:tabs>
          <w:tab w:val="left" w:pos="7380"/>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保修费用由造成质量缺陷的责任方承担。</w:t>
      </w:r>
    </w:p>
    <w:p w14:paraId="0BAEC52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六、双方约定的其他工程质量保修事项： </w:t>
      </w:r>
    </w:p>
    <w:p w14:paraId="7A28E72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AE7FE63">
      <w:pPr>
        <w:spacing w:line="360" w:lineRule="auto"/>
        <w:ind w:firstLine="399" w:firstLineChars="190"/>
        <w:rPr>
          <w:rFonts w:hint="eastAsia" w:ascii="宋体" w:hAnsi="宋体" w:eastAsia="宋体" w:cs="宋体"/>
          <w:color w:val="auto"/>
          <w:highlight w:val="none"/>
        </w:rPr>
      </w:pPr>
      <w:r>
        <w:rPr>
          <w:rFonts w:hint="eastAsia" w:ascii="宋体" w:hAnsi="宋体" w:eastAsia="宋体" w:cs="宋体"/>
          <w:color w:val="auto"/>
          <w:highlight w:val="none"/>
        </w:rPr>
        <w:t>工程质量保修书由发包人、承包人在工程竣工验收前共同签署，作为施工合同附件，其有效期限至保修期满。</w:t>
      </w:r>
    </w:p>
    <w:p w14:paraId="2ED746DA">
      <w:pPr>
        <w:spacing w:line="360" w:lineRule="auto"/>
        <w:ind w:firstLine="420"/>
        <w:rPr>
          <w:rFonts w:hint="eastAsia" w:ascii="宋体" w:hAnsi="宋体" w:eastAsia="宋体" w:cs="宋体"/>
          <w:color w:val="auto"/>
          <w:highlight w:val="none"/>
        </w:rPr>
      </w:pPr>
    </w:p>
    <w:p w14:paraId="6F104C5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发包人（公章）：</w:t>
      </w:r>
      <w:r>
        <w:rPr>
          <w:rFonts w:hint="eastAsia" w:ascii="宋体" w:hAnsi="宋体" w:eastAsia="宋体" w:cs="宋体"/>
          <w:color w:val="auto"/>
          <w:highlight w:val="none"/>
          <w:u w:val="single"/>
        </w:rPr>
        <w:t xml:space="preserve">         </w:t>
      </w:r>
      <w:r>
        <w:rPr>
          <w:rFonts w:hint="eastAsia" w:ascii="宋体" w:hAnsi="宋体" w:eastAsia="宋体" w:cs="宋体"/>
          <w:color w:val="auto"/>
          <w:highlight w:val="none"/>
        </w:rPr>
        <w:t xml:space="preserve">             承包人（公章）：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2A6DEFE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2E64F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p>
    <w:p w14:paraId="2FC90B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5F307DC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595A615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2E664D6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p>
    <w:p w14:paraId="72AC4217">
      <w:pPr>
        <w:tabs>
          <w:tab w:val="left" w:pos="2880"/>
          <w:tab w:val="left" w:pos="3060"/>
          <w:tab w:val="left" w:pos="450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2A1B4A06">
      <w:pPr>
        <w:tabs>
          <w:tab w:val="left" w:pos="7200"/>
          <w:tab w:val="left" w:pos="7380"/>
          <w:tab w:val="left" w:pos="756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p>
    <w:p w14:paraId="254A9B73">
      <w:pPr>
        <w:spacing w:before="120" w:beforeLines="50" w:after="120" w:afterLines="50" w:line="440" w:lineRule="exact"/>
        <w:jc w:val="center"/>
        <w:rPr>
          <w:rFonts w:hint="eastAsia" w:ascii="宋体" w:hAnsi="宋体" w:eastAsia="宋体" w:cs="宋体"/>
          <w:color w:val="auto"/>
          <w:sz w:val="32"/>
          <w:szCs w:val="32"/>
          <w:highlight w:val="none"/>
        </w:rPr>
      </w:pPr>
    </w:p>
    <w:p w14:paraId="5CF448AE">
      <w:pPr>
        <w:spacing w:before="120" w:beforeLines="50" w:after="120" w:afterLines="50" w:line="440" w:lineRule="exact"/>
        <w:jc w:val="center"/>
        <w:rPr>
          <w:rFonts w:hint="eastAsia" w:ascii="宋体" w:hAnsi="宋体" w:eastAsia="宋体" w:cs="宋体"/>
          <w:color w:val="auto"/>
          <w:sz w:val="32"/>
          <w:szCs w:val="32"/>
          <w:highlight w:val="none"/>
        </w:rPr>
      </w:pPr>
    </w:p>
    <w:p w14:paraId="620DBEFF">
      <w:pPr>
        <w:spacing w:before="120" w:beforeLines="50" w:after="120" w:afterLines="50" w:line="440" w:lineRule="exact"/>
        <w:jc w:val="center"/>
        <w:rPr>
          <w:rFonts w:hint="eastAsia" w:ascii="宋体" w:hAnsi="宋体" w:eastAsia="宋体" w:cs="宋体"/>
          <w:color w:val="auto"/>
          <w:sz w:val="32"/>
          <w:szCs w:val="32"/>
          <w:highlight w:val="none"/>
        </w:rPr>
      </w:pPr>
    </w:p>
    <w:p w14:paraId="68BE2260">
      <w:pPr>
        <w:spacing w:before="120" w:beforeLines="50" w:after="120" w:afterLines="50" w:line="440" w:lineRule="exact"/>
        <w:jc w:val="center"/>
        <w:rPr>
          <w:rFonts w:hint="eastAsia" w:ascii="宋体" w:hAnsi="宋体" w:eastAsia="宋体" w:cs="宋体"/>
          <w:color w:val="auto"/>
          <w:sz w:val="32"/>
          <w:szCs w:val="32"/>
          <w:highlight w:val="none"/>
        </w:rPr>
      </w:pPr>
    </w:p>
    <w:p w14:paraId="55CE526A">
      <w:pPr>
        <w:rPr>
          <w:rFonts w:hint="eastAsia" w:ascii="宋体" w:hAnsi="宋体" w:eastAsia="宋体" w:cs="宋体"/>
          <w:color w:val="auto"/>
          <w:sz w:val="32"/>
          <w:szCs w:val="32"/>
          <w:highlight w:val="none"/>
        </w:rPr>
      </w:pPr>
    </w:p>
    <w:p w14:paraId="1DA32138">
      <w:pPr>
        <w:rPr>
          <w:rFonts w:hint="eastAsia" w:ascii="宋体" w:hAnsi="宋体" w:eastAsia="宋体" w:cs="宋体"/>
          <w:color w:val="auto"/>
          <w:sz w:val="32"/>
          <w:szCs w:val="32"/>
          <w:highlight w:val="none"/>
        </w:rPr>
        <w:sectPr>
          <w:footerReference r:id="rId8" w:type="default"/>
          <w:pgSz w:w="11906" w:h="16839"/>
          <w:pgMar w:top="1431" w:right="1745" w:bottom="1099" w:left="1785" w:header="0" w:footer="930" w:gutter="0"/>
          <w:cols w:space="720" w:num="1"/>
        </w:sectPr>
      </w:pPr>
    </w:p>
    <w:p w14:paraId="422A985F">
      <w:pPr>
        <w:rPr>
          <w:rFonts w:hint="eastAsia" w:ascii="宋体" w:hAnsi="宋体" w:eastAsia="宋体" w:cs="宋体"/>
          <w:color w:val="auto"/>
          <w:sz w:val="32"/>
          <w:szCs w:val="32"/>
          <w:highlight w:val="none"/>
        </w:rPr>
      </w:pPr>
    </w:p>
    <w:p w14:paraId="4922D676">
      <w:pPr>
        <w:spacing w:before="120" w:beforeLines="50" w:after="120" w:afterLines="50"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工程质量保修书（市政公用工程）</w:t>
      </w:r>
    </w:p>
    <w:p w14:paraId="6F2848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6B07C8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10CBCC9">
      <w:pPr>
        <w:spacing w:line="360" w:lineRule="auto"/>
        <w:rPr>
          <w:rFonts w:hint="eastAsia" w:ascii="宋体" w:hAnsi="宋体" w:eastAsia="宋体" w:cs="宋体"/>
          <w:color w:val="auto"/>
          <w:highlight w:val="none"/>
        </w:rPr>
      </w:pPr>
    </w:p>
    <w:p w14:paraId="2B669C35">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发包人和承包人根据《中华人民共和国建筑法》和《建设工程质量管理条例》，经协商一致就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（工程全称）签订工程质量保修书。</w:t>
      </w:r>
    </w:p>
    <w:p w14:paraId="457220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一、工程质量保修范围和内容</w:t>
      </w:r>
    </w:p>
    <w:p w14:paraId="0BDDED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承包人在质量保修期内，按照有关法律规定和合同约定，承担工程质量保修责任。</w:t>
      </w:r>
    </w:p>
    <w:p w14:paraId="4072FC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质量保修范围包括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，以及双方约定的其他项目。具体保修的内容，双方约定如下：</w:t>
      </w:r>
    </w:p>
    <w:p w14:paraId="4179B3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5CFF7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二、质量保修期</w:t>
      </w:r>
    </w:p>
    <w:p w14:paraId="3B51F1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根据《建设工程质量管理条例》及有关规定，工程的质量保修期如下：</w:t>
      </w:r>
    </w:p>
    <w:p w14:paraId="01632B23">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1．桥梁工程为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年（建议桥梁隧道主体结构工程为设计文件规定的合理使用年限）；</w:t>
      </w:r>
    </w:p>
    <w:p w14:paraId="4D8240F9">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2．道路工程为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年（建议路基、路面、桥面为2年）；</w:t>
      </w:r>
    </w:p>
    <w:p w14:paraId="4CFA6390">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3．排水（雨水）工程为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年（建议道路工程中的排水工程为3年）；</w:t>
      </w:r>
    </w:p>
    <w:p w14:paraId="548B2771">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 xml:space="preserve">4．绿化工程为 </w:t>
      </w:r>
      <w:r>
        <w:rPr>
          <w:rFonts w:hint="eastAsia" w:ascii="宋体" w:hAnsi="宋体" w:eastAsia="宋体" w:cs="宋体"/>
          <w:color w:val="auto"/>
          <w:highlight w:val="none"/>
          <w:u w:val="single"/>
        </w:rPr>
        <w:t xml:space="preserve">单位工程竣工验收合格后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年</w:t>
      </w:r>
      <w:r>
        <w:rPr>
          <w:rFonts w:hint="eastAsia" w:ascii="宋体" w:hAnsi="宋体" w:eastAsia="宋体" w:cs="宋体"/>
          <w:color w:val="auto"/>
          <w:highlight w:val="none"/>
        </w:rPr>
        <w:t>；</w:t>
      </w:r>
    </w:p>
    <w:p w14:paraId="6BB76FE4">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5. 地下防水工程为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年（建议为5年）；</w:t>
      </w:r>
    </w:p>
    <w:p w14:paraId="695A065E">
      <w:pPr>
        <w:spacing w:line="360" w:lineRule="auto"/>
        <w:ind w:firstLine="426"/>
        <w:rPr>
          <w:rFonts w:hint="eastAsia" w:ascii="宋体" w:hAnsi="宋体" w:eastAsia="宋体" w:cs="宋体"/>
          <w:color w:val="auto"/>
          <w:highlight w:val="none"/>
        </w:rPr>
      </w:pPr>
      <w:r>
        <w:rPr>
          <w:rFonts w:hint="eastAsia" w:ascii="宋体" w:hAnsi="宋体" w:eastAsia="宋体" w:cs="宋体"/>
          <w:color w:val="auto"/>
          <w:highlight w:val="none"/>
        </w:rPr>
        <w:t>6．其他附属工程为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p w14:paraId="2C21E32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7.在没有明文规定下，参照建设工程质量保修条例，双方协商为设计文件规定 的该工程的合理使用年限内保修；</w:t>
      </w:r>
    </w:p>
    <w:p w14:paraId="2CCACC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8.其他约定：设备按国家及厂家有关产品“三包”规定执行“三包” ，质保期  除特别注明外，最短不得少于1年，终身维修。</w:t>
      </w:r>
    </w:p>
    <w:p w14:paraId="03D016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质量保修期自工程竣工验收合格之日起计算。</w:t>
      </w:r>
    </w:p>
    <w:p w14:paraId="6DD328CD">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三、质量保修责任</w:t>
      </w:r>
    </w:p>
    <w:p w14:paraId="32CC0DDA">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1．属于保修范围、内容的项目，承包人应当在接到保修通知之日起</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天内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派人保修。承包人不在约定期限内派人保修的，发包人可以委托他人修理，修理 费用从质量保修金内扣除。</w:t>
      </w:r>
    </w:p>
    <w:p w14:paraId="3022D1AB">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2．发生紧急事故需抢修的，承包人在接到事故通知后，应当立即到达事故现场 抢修。</w:t>
      </w:r>
    </w:p>
    <w:p w14:paraId="50A6F347">
      <w:pPr>
        <w:spacing w:line="360" w:lineRule="auto"/>
        <w:ind w:firstLine="420"/>
        <w:rPr>
          <w:rFonts w:hint="eastAsia" w:ascii="宋体" w:hAnsi="宋体" w:eastAsia="宋体" w:cs="宋体"/>
          <w:color w:val="auto"/>
          <w:highlight w:val="none"/>
        </w:rPr>
        <w:sectPr>
          <w:pgSz w:w="11906" w:h="16839"/>
          <w:pgMar w:top="1431" w:right="1745" w:bottom="1099" w:left="1785" w:header="0" w:footer="930" w:gutter="0"/>
          <w:cols w:space="720" w:num="1"/>
        </w:sectPr>
      </w:pPr>
    </w:p>
    <w:p w14:paraId="0FF49481">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3．对于涉及结构安全的质量问题，应当按照《建设工程质量管理条例》的规定,立即向当地建设行政主管部门和有关部门报告，采取安全防范措施，并由原设 计人或者具有相应资质等级的设计人提出保修方案，承包人实施保修。</w:t>
      </w:r>
    </w:p>
    <w:p w14:paraId="4C5B05A8">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4．质量保修完成后，由发包人组织验收。</w:t>
      </w:r>
    </w:p>
    <w:p w14:paraId="0B5DAB06">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四、质量保修金的支付</w:t>
      </w:r>
    </w:p>
    <w:p w14:paraId="2C8FD6F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本工程约定的工程质量保修金为：工程价款结算总额的</w:t>
      </w:r>
      <w:r>
        <w:rPr>
          <w:rFonts w:hint="eastAsia" w:ascii="宋体" w:hAnsi="宋体" w:eastAsia="宋体" w:cs="宋体"/>
          <w:color w:val="auto"/>
          <w:highlight w:val="none"/>
          <w:u w:val="single"/>
        </w:rPr>
        <w:t xml:space="preserve">3% </w:t>
      </w:r>
      <w:r>
        <w:rPr>
          <w:rFonts w:hint="eastAsia" w:ascii="宋体" w:hAnsi="宋体" w:eastAsia="宋体" w:cs="宋体"/>
          <w:color w:val="auto"/>
          <w:highlight w:val="none"/>
        </w:rPr>
        <w:t xml:space="preserve">。 </w:t>
      </w:r>
    </w:p>
    <w:p w14:paraId="74D6555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质量保修金银行利率为零。</w:t>
      </w:r>
    </w:p>
    <w:p w14:paraId="310E5083">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五、质量保修金的返还</w:t>
      </w:r>
    </w:p>
    <w:p w14:paraId="0AEA725F">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质量保修金发包人在应付款中扣除，待工程质量保修期满并把工程移交使用部门 管理后，将质量保修金（不计利息）退回承包人。在保修期内承包人应按保修内 容进行保修，若承包人接到发包人保修通知书在二天内未派人进行修理的，发包 人则安排其它公司修理，在保修期内发生的修理费用由承包人负责或由发包人从 保修金中扣除。</w:t>
      </w:r>
    </w:p>
    <w:p w14:paraId="61901945">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六、其他</w:t>
      </w:r>
    </w:p>
    <w:p w14:paraId="3A414EB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双方约定的其他工程质量保修事项：</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14:paraId="778BF44B">
      <w:pPr>
        <w:spacing w:line="360" w:lineRule="auto"/>
        <w:ind w:firstLine="420"/>
        <w:rPr>
          <w:rFonts w:hint="eastAsia" w:ascii="宋体" w:hAnsi="宋体" w:eastAsia="宋体" w:cs="宋体"/>
          <w:color w:val="auto"/>
          <w:highlight w:val="none"/>
        </w:rPr>
      </w:pPr>
    </w:p>
    <w:p w14:paraId="4872F6F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本工程质量保修书作为施工合同附件，由施工合同发包人承包人双方共同签署。</w:t>
      </w:r>
    </w:p>
    <w:p w14:paraId="242571EF">
      <w:pPr>
        <w:spacing w:line="360" w:lineRule="auto"/>
        <w:ind w:firstLine="420"/>
        <w:rPr>
          <w:rFonts w:hint="eastAsia" w:ascii="宋体" w:hAnsi="宋体" w:eastAsia="宋体" w:cs="宋体"/>
          <w:color w:val="auto"/>
          <w:highlight w:val="none"/>
        </w:rPr>
      </w:pPr>
    </w:p>
    <w:p w14:paraId="1BE04A37">
      <w:pPr>
        <w:spacing w:line="360" w:lineRule="auto"/>
        <w:ind w:firstLine="420"/>
        <w:rPr>
          <w:rFonts w:hint="eastAsia" w:ascii="宋体" w:hAnsi="宋体" w:eastAsia="宋体" w:cs="宋体"/>
          <w:color w:val="auto"/>
          <w:highlight w:val="none"/>
        </w:rPr>
      </w:pPr>
    </w:p>
    <w:p w14:paraId="23D1A149">
      <w:pPr>
        <w:spacing w:line="360" w:lineRule="auto"/>
        <w:ind w:firstLine="420"/>
        <w:rPr>
          <w:rFonts w:hint="eastAsia" w:ascii="宋体" w:hAnsi="宋体" w:eastAsia="宋体" w:cs="宋体"/>
          <w:color w:val="auto"/>
          <w:highlight w:val="none"/>
        </w:rPr>
      </w:pPr>
    </w:p>
    <w:p w14:paraId="6CAF355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发包人（公章）：</w:t>
      </w:r>
      <w:r>
        <w:rPr>
          <w:rFonts w:hint="eastAsia" w:ascii="宋体" w:hAnsi="宋体" w:eastAsia="宋体" w:cs="宋体"/>
          <w:color w:val="auto"/>
          <w:highlight w:val="none"/>
          <w:u w:val="single"/>
        </w:rPr>
        <w:t xml:space="preserve">         </w:t>
      </w:r>
      <w:r>
        <w:rPr>
          <w:rFonts w:hint="eastAsia" w:ascii="宋体" w:hAnsi="宋体" w:eastAsia="宋体" w:cs="宋体"/>
          <w:color w:val="auto"/>
          <w:highlight w:val="none"/>
        </w:rPr>
        <w:t xml:space="preserve">             承包人（公章）：</w:t>
      </w:r>
      <w:r>
        <w:rPr>
          <w:rFonts w:hint="eastAsia" w:ascii="宋体" w:hAnsi="宋体" w:eastAsia="宋体" w:cs="宋体"/>
          <w:color w:val="auto"/>
          <w:highlight w:val="none"/>
          <w:u w:val="single"/>
        </w:rPr>
        <w:t>          </w:t>
      </w:r>
    </w:p>
    <w:p w14:paraId="3107974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p>
    <w:p w14:paraId="21AA942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法定代表人（签字）：</w:t>
      </w:r>
      <w:r>
        <w:rPr>
          <w:rFonts w:hint="eastAsia" w:ascii="宋体" w:hAnsi="宋体" w:eastAsia="宋体" w:cs="宋体"/>
          <w:color w:val="auto"/>
          <w:highlight w:val="none"/>
          <w:u w:val="single"/>
        </w:rPr>
        <w:t>     </w:t>
      </w:r>
    </w:p>
    <w:p w14:paraId="590840D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委托代理人（签字）：</w:t>
      </w:r>
      <w:r>
        <w:rPr>
          <w:rFonts w:hint="eastAsia" w:ascii="宋体" w:hAnsi="宋体" w:eastAsia="宋体" w:cs="宋体"/>
          <w:color w:val="auto"/>
          <w:highlight w:val="none"/>
          <w:u w:val="single"/>
        </w:rPr>
        <w:t>     </w:t>
      </w:r>
    </w:p>
    <w:p w14:paraId="3BB5021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3586185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2B678E5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p>
    <w:p w14:paraId="3E848DB6">
      <w:pPr>
        <w:tabs>
          <w:tab w:val="left" w:pos="2880"/>
          <w:tab w:val="left" w:pos="3060"/>
          <w:tab w:val="left" w:pos="450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0D51D484">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4E56659">
      <w:pPr>
        <w:spacing w:line="360" w:lineRule="auto"/>
        <w:rPr>
          <w:rFonts w:hint="eastAsia" w:ascii="宋体" w:hAnsi="宋体" w:eastAsia="宋体" w:cs="宋体"/>
          <w:color w:val="auto"/>
          <w:highlight w:val="none"/>
        </w:rPr>
      </w:pPr>
    </w:p>
    <w:p w14:paraId="0AEC0B6D">
      <w:pPr>
        <w:spacing w:line="360" w:lineRule="auto"/>
        <w:rPr>
          <w:rFonts w:hint="eastAsia" w:ascii="宋体" w:hAnsi="宋体" w:eastAsia="宋体" w:cs="宋体"/>
          <w:color w:val="auto"/>
          <w:highlight w:val="none"/>
        </w:rPr>
      </w:pPr>
    </w:p>
    <w:p w14:paraId="7FE85D52">
      <w:pPr>
        <w:spacing w:line="360" w:lineRule="auto"/>
        <w:rPr>
          <w:rFonts w:hint="eastAsia" w:ascii="宋体" w:hAnsi="宋体" w:eastAsia="宋体" w:cs="宋体"/>
          <w:color w:val="auto"/>
          <w:highlight w:val="none"/>
        </w:rPr>
      </w:pPr>
    </w:p>
    <w:p w14:paraId="24E527D1">
      <w:pPr>
        <w:spacing w:line="360" w:lineRule="auto"/>
        <w:rPr>
          <w:rFonts w:hint="eastAsia" w:ascii="宋体" w:hAnsi="宋体" w:eastAsia="宋体" w:cs="宋体"/>
          <w:color w:val="auto"/>
          <w:highlight w:val="none"/>
        </w:rPr>
      </w:pPr>
    </w:p>
    <w:p w14:paraId="456F07F3">
      <w:pPr>
        <w:spacing w:line="360" w:lineRule="auto"/>
        <w:rPr>
          <w:rFonts w:hint="eastAsia" w:ascii="宋体" w:hAnsi="宋体" w:eastAsia="宋体" w:cs="宋体"/>
          <w:color w:val="auto"/>
          <w:highlight w:val="none"/>
        </w:rPr>
      </w:pPr>
    </w:p>
    <w:p w14:paraId="0FDB589D">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附件3：</w:t>
      </w:r>
    </w:p>
    <w:p w14:paraId="058AD86E">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主要建设工程文件目录</w:t>
      </w: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9721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3323B0B6">
            <w:pPr>
              <w:pStyle w:val="19"/>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文件名称</w:t>
            </w:r>
          </w:p>
        </w:tc>
        <w:tc>
          <w:tcPr>
            <w:tcW w:w="1276" w:type="dxa"/>
            <w:tcBorders>
              <w:top w:val="single" w:color="auto" w:sz="12" w:space="0"/>
              <w:bottom w:val="double" w:color="auto" w:sz="6" w:space="0"/>
            </w:tcBorders>
            <w:noWrap w:val="0"/>
            <w:vAlign w:val="center"/>
          </w:tcPr>
          <w:p w14:paraId="4477DBFB">
            <w:pPr>
              <w:pStyle w:val="19"/>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套数</w:t>
            </w:r>
          </w:p>
        </w:tc>
        <w:tc>
          <w:tcPr>
            <w:tcW w:w="1450" w:type="dxa"/>
            <w:tcBorders>
              <w:top w:val="single" w:color="auto" w:sz="12" w:space="0"/>
              <w:bottom w:val="double" w:color="auto" w:sz="6" w:space="0"/>
            </w:tcBorders>
            <w:noWrap w:val="0"/>
            <w:vAlign w:val="center"/>
          </w:tcPr>
          <w:p w14:paraId="76CB73CF">
            <w:pPr>
              <w:pStyle w:val="19"/>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费用（元）</w:t>
            </w:r>
          </w:p>
        </w:tc>
        <w:tc>
          <w:tcPr>
            <w:tcW w:w="1243" w:type="dxa"/>
            <w:tcBorders>
              <w:top w:val="single" w:color="auto" w:sz="12" w:space="0"/>
              <w:bottom w:val="double" w:color="auto" w:sz="6" w:space="0"/>
            </w:tcBorders>
            <w:noWrap w:val="0"/>
            <w:vAlign w:val="center"/>
          </w:tcPr>
          <w:p w14:paraId="20096DCE">
            <w:pPr>
              <w:pStyle w:val="19"/>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质量</w:t>
            </w:r>
          </w:p>
        </w:tc>
        <w:tc>
          <w:tcPr>
            <w:tcW w:w="1450" w:type="dxa"/>
            <w:tcBorders>
              <w:top w:val="single" w:color="auto" w:sz="12" w:space="0"/>
              <w:bottom w:val="double" w:color="auto" w:sz="6" w:space="0"/>
            </w:tcBorders>
            <w:noWrap w:val="0"/>
            <w:vAlign w:val="top"/>
          </w:tcPr>
          <w:p w14:paraId="21E6896C">
            <w:pPr>
              <w:spacing w:line="440" w:lineRule="exact"/>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移交时间</w:t>
            </w:r>
          </w:p>
        </w:tc>
        <w:tc>
          <w:tcPr>
            <w:tcW w:w="1667" w:type="dxa"/>
            <w:tcBorders>
              <w:top w:val="single" w:color="auto" w:sz="12" w:space="0"/>
              <w:bottom w:val="double" w:color="auto" w:sz="6" w:space="0"/>
            </w:tcBorders>
            <w:noWrap w:val="0"/>
            <w:vAlign w:val="top"/>
          </w:tcPr>
          <w:p w14:paraId="5B39AF6D">
            <w:pPr>
              <w:spacing w:line="440" w:lineRule="exact"/>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责任人</w:t>
            </w:r>
          </w:p>
        </w:tc>
      </w:tr>
      <w:tr w14:paraId="6EEE5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54DE966D">
            <w:pPr>
              <w:pStyle w:val="19"/>
              <w:keepNext/>
              <w:spacing w:after="0" w:line="440" w:lineRule="exact"/>
              <w:ind w:left="63" w:right="63"/>
              <w:rPr>
                <w:rFonts w:hint="eastAsia" w:ascii="宋体" w:hAnsi="宋体" w:eastAsia="宋体" w:cs="宋体"/>
                <w:color w:val="auto"/>
                <w:sz w:val="30"/>
                <w:szCs w:val="30"/>
                <w:highlight w:val="none"/>
              </w:rPr>
            </w:pPr>
          </w:p>
        </w:tc>
        <w:tc>
          <w:tcPr>
            <w:tcW w:w="1276" w:type="dxa"/>
            <w:tcBorders>
              <w:top w:val="double" w:color="auto" w:sz="6" w:space="0"/>
              <w:bottom w:val="single" w:color="auto" w:sz="6" w:space="0"/>
            </w:tcBorders>
            <w:noWrap w:val="0"/>
            <w:vAlign w:val="center"/>
          </w:tcPr>
          <w:p w14:paraId="1E072D10">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tcBorders>
              <w:top w:val="double" w:color="auto" w:sz="6" w:space="0"/>
              <w:bottom w:val="single" w:color="auto" w:sz="6" w:space="0"/>
            </w:tcBorders>
            <w:noWrap w:val="0"/>
            <w:vAlign w:val="center"/>
          </w:tcPr>
          <w:p w14:paraId="071997C6">
            <w:pPr>
              <w:pStyle w:val="19"/>
              <w:keepNext/>
              <w:spacing w:after="0" w:line="440" w:lineRule="exact"/>
              <w:ind w:left="63" w:right="63"/>
              <w:rPr>
                <w:rFonts w:hint="eastAsia" w:ascii="宋体" w:hAnsi="宋体" w:eastAsia="宋体" w:cs="宋体"/>
                <w:color w:val="auto"/>
                <w:sz w:val="30"/>
                <w:szCs w:val="30"/>
                <w:highlight w:val="none"/>
              </w:rPr>
            </w:pPr>
          </w:p>
        </w:tc>
        <w:tc>
          <w:tcPr>
            <w:tcW w:w="1243" w:type="dxa"/>
            <w:tcBorders>
              <w:top w:val="double" w:color="auto" w:sz="6" w:space="0"/>
              <w:bottom w:val="single" w:color="auto" w:sz="6" w:space="0"/>
            </w:tcBorders>
            <w:noWrap w:val="0"/>
            <w:vAlign w:val="center"/>
          </w:tcPr>
          <w:p w14:paraId="4C4BE70E">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tcBorders>
              <w:top w:val="double" w:color="auto" w:sz="6" w:space="0"/>
              <w:bottom w:val="single" w:color="auto" w:sz="6" w:space="0"/>
            </w:tcBorders>
            <w:noWrap w:val="0"/>
            <w:vAlign w:val="center"/>
          </w:tcPr>
          <w:p w14:paraId="7BC1A2EE">
            <w:pPr>
              <w:pStyle w:val="19"/>
              <w:keepNext/>
              <w:spacing w:after="0" w:line="440" w:lineRule="exact"/>
              <w:ind w:left="63" w:right="63"/>
              <w:rPr>
                <w:rFonts w:hint="eastAsia" w:ascii="宋体" w:hAnsi="宋体" w:eastAsia="宋体" w:cs="宋体"/>
                <w:color w:val="auto"/>
                <w:sz w:val="30"/>
                <w:szCs w:val="30"/>
                <w:highlight w:val="none"/>
              </w:rPr>
            </w:pPr>
          </w:p>
        </w:tc>
        <w:tc>
          <w:tcPr>
            <w:tcW w:w="1667" w:type="dxa"/>
            <w:tcBorders>
              <w:top w:val="double" w:color="auto" w:sz="6" w:space="0"/>
              <w:bottom w:val="single" w:color="auto" w:sz="6" w:space="0"/>
            </w:tcBorders>
            <w:noWrap w:val="0"/>
            <w:vAlign w:val="center"/>
          </w:tcPr>
          <w:p w14:paraId="412167C6">
            <w:pPr>
              <w:pStyle w:val="19"/>
              <w:keepNext/>
              <w:spacing w:after="0" w:line="440" w:lineRule="exact"/>
              <w:ind w:left="63" w:right="63"/>
              <w:rPr>
                <w:rFonts w:hint="eastAsia" w:ascii="宋体" w:hAnsi="宋体" w:eastAsia="宋体" w:cs="宋体"/>
                <w:color w:val="auto"/>
                <w:sz w:val="30"/>
                <w:szCs w:val="30"/>
                <w:highlight w:val="none"/>
              </w:rPr>
            </w:pPr>
          </w:p>
        </w:tc>
      </w:tr>
      <w:tr w14:paraId="73A13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5CD45446">
            <w:pPr>
              <w:pStyle w:val="19"/>
              <w:keepNext/>
              <w:spacing w:after="0" w:line="440" w:lineRule="exact"/>
              <w:ind w:left="63" w:right="63"/>
              <w:rPr>
                <w:rFonts w:hint="eastAsia" w:ascii="宋体" w:hAnsi="宋体" w:eastAsia="宋体" w:cs="宋体"/>
                <w:color w:val="auto"/>
                <w:sz w:val="30"/>
                <w:szCs w:val="30"/>
                <w:highlight w:val="none"/>
              </w:rPr>
            </w:pPr>
          </w:p>
        </w:tc>
        <w:tc>
          <w:tcPr>
            <w:tcW w:w="1276" w:type="dxa"/>
            <w:tcBorders>
              <w:top w:val="nil"/>
            </w:tcBorders>
            <w:noWrap w:val="0"/>
            <w:vAlign w:val="center"/>
          </w:tcPr>
          <w:p w14:paraId="5EAB5D2E">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tcBorders>
              <w:top w:val="nil"/>
            </w:tcBorders>
            <w:noWrap w:val="0"/>
            <w:vAlign w:val="center"/>
          </w:tcPr>
          <w:p w14:paraId="4ADDD613">
            <w:pPr>
              <w:pStyle w:val="19"/>
              <w:keepNext/>
              <w:spacing w:after="0" w:line="440" w:lineRule="exact"/>
              <w:ind w:left="63" w:right="63"/>
              <w:rPr>
                <w:rFonts w:hint="eastAsia" w:ascii="宋体" w:hAnsi="宋体" w:eastAsia="宋体" w:cs="宋体"/>
                <w:color w:val="auto"/>
                <w:sz w:val="30"/>
                <w:szCs w:val="30"/>
                <w:highlight w:val="none"/>
              </w:rPr>
            </w:pPr>
          </w:p>
        </w:tc>
        <w:tc>
          <w:tcPr>
            <w:tcW w:w="1243" w:type="dxa"/>
            <w:tcBorders>
              <w:top w:val="nil"/>
            </w:tcBorders>
            <w:noWrap w:val="0"/>
            <w:vAlign w:val="center"/>
          </w:tcPr>
          <w:p w14:paraId="62FCCCE4">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tcBorders>
              <w:top w:val="nil"/>
            </w:tcBorders>
            <w:noWrap w:val="0"/>
            <w:vAlign w:val="center"/>
          </w:tcPr>
          <w:p w14:paraId="7B5C4AF3">
            <w:pPr>
              <w:pStyle w:val="19"/>
              <w:keepNext/>
              <w:spacing w:after="0" w:line="440" w:lineRule="exact"/>
              <w:ind w:left="63" w:right="63"/>
              <w:rPr>
                <w:rFonts w:hint="eastAsia" w:ascii="宋体" w:hAnsi="宋体" w:eastAsia="宋体" w:cs="宋体"/>
                <w:color w:val="auto"/>
                <w:sz w:val="30"/>
                <w:szCs w:val="30"/>
                <w:highlight w:val="none"/>
              </w:rPr>
            </w:pPr>
          </w:p>
        </w:tc>
        <w:tc>
          <w:tcPr>
            <w:tcW w:w="1667" w:type="dxa"/>
            <w:tcBorders>
              <w:top w:val="nil"/>
            </w:tcBorders>
            <w:noWrap w:val="0"/>
            <w:vAlign w:val="center"/>
          </w:tcPr>
          <w:p w14:paraId="75BF994C">
            <w:pPr>
              <w:pStyle w:val="19"/>
              <w:keepNext/>
              <w:spacing w:after="0" w:line="440" w:lineRule="exact"/>
              <w:ind w:left="63" w:right="63"/>
              <w:rPr>
                <w:rFonts w:hint="eastAsia" w:ascii="宋体" w:hAnsi="宋体" w:eastAsia="宋体" w:cs="宋体"/>
                <w:color w:val="auto"/>
                <w:sz w:val="30"/>
                <w:szCs w:val="30"/>
                <w:highlight w:val="none"/>
              </w:rPr>
            </w:pPr>
          </w:p>
        </w:tc>
      </w:tr>
      <w:tr w14:paraId="5EC41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E745686">
            <w:pPr>
              <w:pStyle w:val="19"/>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20E2C644">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6DDCA673">
            <w:pPr>
              <w:pStyle w:val="19"/>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338BB211">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3813E6ED">
            <w:pPr>
              <w:pStyle w:val="19"/>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3AFB1FA7">
            <w:pPr>
              <w:pStyle w:val="19"/>
              <w:keepNext/>
              <w:spacing w:after="0" w:line="440" w:lineRule="exact"/>
              <w:ind w:left="63" w:right="63"/>
              <w:rPr>
                <w:rFonts w:hint="eastAsia" w:ascii="宋体" w:hAnsi="宋体" w:eastAsia="宋体" w:cs="宋体"/>
                <w:color w:val="auto"/>
                <w:sz w:val="30"/>
                <w:szCs w:val="30"/>
                <w:highlight w:val="none"/>
              </w:rPr>
            </w:pPr>
          </w:p>
        </w:tc>
      </w:tr>
      <w:tr w14:paraId="1D470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F7C5833">
            <w:pPr>
              <w:pStyle w:val="19"/>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43A57123">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4509B95B">
            <w:pPr>
              <w:pStyle w:val="19"/>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24D312D0">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593A01B1">
            <w:pPr>
              <w:pStyle w:val="19"/>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6A5CDAA1">
            <w:pPr>
              <w:pStyle w:val="19"/>
              <w:keepNext/>
              <w:spacing w:after="0" w:line="440" w:lineRule="exact"/>
              <w:ind w:left="63" w:right="63"/>
              <w:rPr>
                <w:rFonts w:hint="eastAsia" w:ascii="宋体" w:hAnsi="宋体" w:eastAsia="宋体" w:cs="宋体"/>
                <w:color w:val="auto"/>
                <w:sz w:val="30"/>
                <w:szCs w:val="30"/>
                <w:highlight w:val="none"/>
              </w:rPr>
            </w:pPr>
          </w:p>
        </w:tc>
      </w:tr>
      <w:tr w14:paraId="5CEA7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85B828C">
            <w:pPr>
              <w:pStyle w:val="19"/>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7375D1E7">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416F72FA">
            <w:pPr>
              <w:pStyle w:val="19"/>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010E3F52">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6DB6A45C">
            <w:pPr>
              <w:pStyle w:val="19"/>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17C9F28C">
            <w:pPr>
              <w:pStyle w:val="19"/>
              <w:keepNext/>
              <w:spacing w:after="0" w:line="440" w:lineRule="exact"/>
              <w:ind w:left="63" w:right="63"/>
              <w:rPr>
                <w:rFonts w:hint="eastAsia" w:ascii="宋体" w:hAnsi="宋体" w:eastAsia="宋体" w:cs="宋体"/>
                <w:color w:val="auto"/>
                <w:sz w:val="30"/>
                <w:szCs w:val="30"/>
                <w:highlight w:val="none"/>
              </w:rPr>
            </w:pPr>
          </w:p>
        </w:tc>
      </w:tr>
      <w:tr w14:paraId="299E7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EC91E04">
            <w:pPr>
              <w:pStyle w:val="19"/>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3778CB03">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750F3A97">
            <w:pPr>
              <w:pStyle w:val="19"/>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58D18E4A">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6496C2DE">
            <w:pPr>
              <w:pStyle w:val="19"/>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39B5FB83">
            <w:pPr>
              <w:pStyle w:val="19"/>
              <w:keepNext/>
              <w:spacing w:after="0" w:line="440" w:lineRule="exact"/>
              <w:ind w:left="63" w:right="63"/>
              <w:rPr>
                <w:rFonts w:hint="eastAsia" w:ascii="宋体" w:hAnsi="宋体" w:eastAsia="宋体" w:cs="宋体"/>
                <w:color w:val="auto"/>
                <w:sz w:val="30"/>
                <w:szCs w:val="30"/>
                <w:highlight w:val="none"/>
              </w:rPr>
            </w:pPr>
          </w:p>
        </w:tc>
      </w:tr>
      <w:tr w14:paraId="5C574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68757F9">
            <w:pPr>
              <w:pStyle w:val="19"/>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1DB1D2C9">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5A83C2A1">
            <w:pPr>
              <w:pStyle w:val="19"/>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33005CED">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2862CD1A">
            <w:pPr>
              <w:pStyle w:val="19"/>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4EF5047E">
            <w:pPr>
              <w:pStyle w:val="19"/>
              <w:keepNext/>
              <w:spacing w:after="0" w:line="440" w:lineRule="exact"/>
              <w:ind w:left="63" w:right="63"/>
              <w:rPr>
                <w:rFonts w:hint="eastAsia" w:ascii="宋体" w:hAnsi="宋体" w:eastAsia="宋体" w:cs="宋体"/>
                <w:color w:val="auto"/>
                <w:sz w:val="30"/>
                <w:szCs w:val="30"/>
                <w:highlight w:val="none"/>
              </w:rPr>
            </w:pPr>
          </w:p>
        </w:tc>
      </w:tr>
      <w:tr w14:paraId="65B38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4E2E4E7">
            <w:pPr>
              <w:pStyle w:val="19"/>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6BB714DB">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5BC5DA36">
            <w:pPr>
              <w:pStyle w:val="19"/>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4FCE35F3">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3DB1162D">
            <w:pPr>
              <w:pStyle w:val="19"/>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3A45AD91">
            <w:pPr>
              <w:pStyle w:val="19"/>
              <w:keepNext/>
              <w:spacing w:after="0" w:line="440" w:lineRule="exact"/>
              <w:ind w:left="63" w:right="63"/>
              <w:rPr>
                <w:rFonts w:hint="eastAsia" w:ascii="宋体" w:hAnsi="宋体" w:eastAsia="宋体" w:cs="宋体"/>
                <w:color w:val="auto"/>
                <w:sz w:val="30"/>
                <w:szCs w:val="30"/>
                <w:highlight w:val="none"/>
              </w:rPr>
            </w:pPr>
          </w:p>
        </w:tc>
      </w:tr>
      <w:tr w14:paraId="65B52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EE124DA">
            <w:pPr>
              <w:rPr>
                <w:rFonts w:hint="eastAsia" w:ascii="宋体" w:hAnsi="宋体" w:eastAsia="宋体" w:cs="宋体"/>
                <w:color w:val="auto"/>
                <w:sz w:val="30"/>
                <w:szCs w:val="30"/>
                <w:highlight w:val="none"/>
              </w:rPr>
            </w:pPr>
          </w:p>
        </w:tc>
        <w:tc>
          <w:tcPr>
            <w:tcW w:w="1276" w:type="dxa"/>
            <w:noWrap w:val="0"/>
            <w:vAlign w:val="top"/>
          </w:tcPr>
          <w:p w14:paraId="7B025929">
            <w:pPr>
              <w:rPr>
                <w:rFonts w:hint="eastAsia" w:ascii="宋体" w:hAnsi="宋体" w:eastAsia="宋体" w:cs="宋体"/>
                <w:color w:val="auto"/>
                <w:sz w:val="30"/>
                <w:szCs w:val="30"/>
                <w:highlight w:val="none"/>
              </w:rPr>
            </w:pPr>
          </w:p>
        </w:tc>
        <w:tc>
          <w:tcPr>
            <w:tcW w:w="1450" w:type="dxa"/>
            <w:noWrap w:val="0"/>
            <w:vAlign w:val="top"/>
          </w:tcPr>
          <w:p w14:paraId="77F82E18">
            <w:pPr>
              <w:rPr>
                <w:rFonts w:hint="eastAsia" w:ascii="宋体" w:hAnsi="宋体" w:eastAsia="宋体" w:cs="宋体"/>
                <w:color w:val="auto"/>
                <w:sz w:val="30"/>
                <w:szCs w:val="30"/>
                <w:highlight w:val="none"/>
              </w:rPr>
            </w:pPr>
          </w:p>
        </w:tc>
        <w:tc>
          <w:tcPr>
            <w:tcW w:w="1243" w:type="dxa"/>
            <w:noWrap w:val="0"/>
            <w:vAlign w:val="top"/>
          </w:tcPr>
          <w:p w14:paraId="1B09B6CE">
            <w:pPr>
              <w:rPr>
                <w:rFonts w:hint="eastAsia" w:ascii="宋体" w:hAnsi="宋体" w:eastAsia="宋体" w:cs="宋体"/>
                <w:color w:val="auto"/>
                <w:sz w:val="30"/>
                <w:szCs w:val="30"/>
                <w:highlight w:val="none"/>
              </w:rPr>
            </w:pPr>
          </w:p>
        </w:tc>
        <w:tc>
          <w:tcPr>
            <w:tcW w:w="1450" w:type="dxa"/>
            <w:noWrap w:val="0"/>
            <w:vAlign w:val="top"/>
          </w:tcPr>
          <w:p w14:paraId="0D6846A1">
            <w:pPr>
              <w:rPr>
                <w:rFonts w:hint="eastAsia" w:ascii="宋体" w:hAnsi="宋体" w:eastAsia="宋体" w:cs="宋体"/>
                <w:color w:val="auto"/>
                <w:sz w:val="30"/>
                <w:szCs w:val="30"/>
                <w:highlight w:val="none"/>
              </w:rPr>
            </w:pPr>
          </w:p>
        </w:tc>
        <w:tc>
          <w:tcPr>
            <w:tcW w:w="1667" w:type="dxa"/>
            <w:noWrap w:val="0"/>
            <w:vAlign w:val="top"/>
          </w:tcPr>
          <w:p w14:paraId="3DAFC71F">
            <w:pPr>
              <w:rPr>
                <w:rFonts w:hint="eastAsia" w:ascii="宋体" w:hAnsi="宋体" w:eastAsia="宋体" w:cs="宋体"/>
                <w:color w:val="auto"/>
                <w:sz w:val="30"/>
                <w:szCs w:val="30"/>
                <w:highlight w:val="none"/>
              </w:rPr>
            </w:pPr>
          </w:p>
        </w:tc>
      </w:tr>
      <w:tr w14:paraId="027ED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3B9008B">
            <w:pPr>
              <w:pStyle w:val="19"/>
              <w:keepNext/>
              <w:spacing w:after="0" w:line="440" w:lineRule="exact"/>
              <w:ind w:left="63" w:right="63"/>
              <w:rPr>
                <w:rFonts w:hint="eastAsia" w:ascii="宋体" w:hAnsi="宋体" w:eastAsia="宋体" w:cs="宋体"/>
                <w:color w:val="auto"/>
                <w:sz w:val="30"/>
                <w:szCs w:val="30"/>
                <w:highlight w:val="none"/>
              </w:rPr>
            </w:pPr>
          </w:p>
        </w:tc>
        <w:tc>
          <w:tcPr>
            <w:tcW w:w="1276" w:type="dxa"/>
            <w:noWrap w:val="0"/>
            <w:vAlign w:val="center"/>
          </w:tcPr>
          <w:p w14:paraId="61FC3591">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2B3F39E8">
            <w:pPr>
              <w:pStyle w:val="19"/>
              <w:keepNext/>
              <w:spacing w:after="0" w:line="440" w:lineRule="exact"/>
              <w:ind w:left="63" w:right="63"/>
              <w:rPr>
                <w:rFonts w:hint="eastAsia" w:ascii="宋体" w:hAnsi="宋体" w:eastAsia="宋体" w:cs="宋体"/>
                <w:color w:val="auto"/>
                <w:sz w:val="30"/>
                <w:szCs w:val="30"/>
                <w:highlight w:val="none"/>
              </w:rPr>
            </w:pPr>
          </w:p>
        </w:tc>
        <w:tc>
          <w:tcPr>
            <w:tcW w:w="1243" w:type="dxa"/>
            <w:noWrap w:val="0"/>
            <w:vAlign w:val="center"/>
          </w:tcPr>
          <w:p w14:paraId="7D720D49">
            <w:pPr>
              <w:pStyle w:val="19"/>
              <w:keepNext/>
              <w:spacing w:after="0" w:line="440" w:lineRule="exact"/>
              <w:ind w:left="63" w:right="63"/>
              <w:rPr>
                <w:rFonts w:hint="eastAsia" w:ascii="宋体" w:hAnsi="宋体" w:eastAsia="宋体" w:cs="宋体"/>
                <w:color w:val="auto"/>
                <w:sz w:val="30"/>
                <w:szCs w:val="30"/>
                <w:highlight w:val="none"/>
              </w:rPr>
            </w:pPr>
          </w:p>
        </w:tc>
        <w:tc>
          <w:tcPr>
            <w:tcW w:w="1450" w:type="dxa"/>
            <w:noWrap w:val="0"/>
            <w:vAlign w:val="center"/>
          </w:tcPr>
          <w:p w14:paraId="5C1BD6C9">
            <w:pPr>
              <w:pStyle w:val="19"/>
              <w:keepNext/>
              <w:spacing w:after="0" w:line="440" w:lineRule="exact"/>
              <w:ind w:left="63" w:right="63"/>
              <w:rPr>
                <w:rFonts w:hint="eastAsia" w:ascii="宋体" w:hAnsi="宋体" w:eastAsia="宋体" w:cs="宋体"/>
                <w:color w:val="auto"/>
                <w:sz w:val="30"/>
                <w:szCs w:val="30"/>
                <w:highlight w:val="none"/>
              </w:rPr>
            </w:pPr>
          </w:p>
        </w:tc>
        <w:tc>
          <w:tcPr>
            <w:tcW w:w="1667" w:type="dxa"/>
            <w:noWrap w:val="0"/>
            <w:vAlign w:val="center"/>
          </w:tcPr>
          <w:p w14:paraId="0A10AE7B">
            <w:pPr>
              <w:pStyle w:val="19"/>
              <w:keepNext/>
              <w:spacing w:after="0" w:line="440" w:lineRule="exact"/>
              <w:ind w:left="63" w:right="63"/>
              <w:rPr>
                <w:rFonts w:hint="eastAsia" w:ascii="宋体" w:hAnsi="宋体" w:eastAsia="宋体" w:cs="宋体"/>
                <w:color w:val="auto"/>
                <w:sz w:val="30"/>
                <w:szCs w:val="30"/>
                <w:highlight w:val="none"/>
              </w:rPr>
            </w:pPr>
          </w:p>
        </w:tc>
      </w:tr>
      <w:tr w14:paraId="19C46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2CE83FB">
            <w:pPr>
              <w:rPr>
                <w:rFonts w:hint="eastAsia" w:ascii="宋体" w:hAnsi="宋体" w:eastAsia="宋体" w:cs="宋体"/>
                <w:color w:val="auto"/>
                <w:sz w:val="30"/>
                <w:szCs w:val="30"/>
                <w:highlight w:val="none"/>
              </w:rPr>
            </w:pPr>
          </w:p>
        </w:tc>
        <w:tc>
          <w:tcPr>
            <w:tcW w:w="1276" w:type="dxa"/>
            <w:noWrap w:val="0"/>
            <w:vAlign w:val="top"/>
          </w:tcPr>
          <w:p w14:paraId="62976A56">
            <w:pPr>
              <w:rPr>
                <w:rFonts w:hint="eastAsia" w:ascii="宋体" w:hAnsi="宋体" w:eastAsia="宋体" w:cs="宋体"/>
                <w:color w:val="auto"/>
                <w:sz w:val="30"/>
                <w:szCs w:val="30"/>
                <w:highlight w:val="none"/>
              </w:rPr>
            </w:pPr>
          </w:p>
        </w:tc>
        <w:tc>
          <w:tcPr>
            <w:tcW w:w="1450" w:type="dxa"/>
            <w:noWrap w:val="0"/>
            <w:vAlign w:val="top"/>
          </w:tcPr>
          <w:p w14:paraId="0F97745F">
            <w:pPr>
              <w:rPr>
                <w:rFonts w:hint="eastAsia" w:ascii="宋体" w:hAnsi="宋体" w:eastAsia="宋体" w:cs="宋体"/>
                <w:color w:val="auto"/>
                <w:sz w:val="30"/>
                <w:szCs w:val="30"/>
                <w:highlight w:val="none"/>
              </w:rPr>
            </w:pPr>
          </w:p>
        </w:tc>
        <w:tc>
          <w:tcPr>
            <w:tcW w:w="1243" w:type="dxa"/>
            <w:noWrap w:val="0"/>
            <w:vAlign w:val="top"/>
          </w:tcPr>
          <w:p w14:paraId="3D6B9E68">
            <w:pPr>
              <w:rPr>
                <w:rFonts w:hint="eastAsia" w:ascii="宋体" w:hAnsi="宋体" w:eastAsia="宋体" w:cs="宋体"/>
                <w:color w:val="auto"/>
                <w:sz w:val="30"/>
                <w:szCs w:val="30"/>
                <w:highlight w:val="none"/>
              </w:rPr>
            </w:pPr>
          </w:p>
        </w:tc>
        <w:tc>
          <w:tcPr>
            <w:tcW w:w="1450" w:type="dxa"/>
            <w:noWrap w:val="0"/>
            <w:vAlign w:val="top"/>
          </w:tcPr>
          <w:p w14:paraId="1783B456">
            <w:pPr>
              <w:rPr>
                <w:rFonts w:hint="eastAsia" w:ascii="宋体" w:hAnsi="宋体" w:eastAsia="宋体" w:cs="宋体"/>
                <w:color w:val="auto"/>
                <w:sz w:val="30"/>
                <w:szCs w:val="30"/>
                <w:highlight w:val="none"/>
              </w:rPr>
            </w:pPr>
          </w:p>
        </w:tc>
        <w:tc>
          <w:tcPr>
            <w:tcW w:w="1667" w:type="dxa"/>
            <w:noWrap w:val="0"/>
            <w:vAlign w:val="top"/>
          </w:tcPr>
          <w:p w14:paraId="41FE9CF8">
            <w:pPr>
              <w:rPr>
                <w:rFonts w:hint="eastAsia" w:ascii="宋体" w:hAnsi="宋体" w:eastAsia="宋体" w:cs="宋体"/>
                <w:color w:val="auto"/>
                <w:sz w:val="30"/>
                <w:szCs w:val="30"/>
                <w:highlight w:val="none"/>
              </w:rPr>
            </w:pPr>
          </w:p>
        </w:tc>
      </w:tr>
      <w:tr w14:paraId="279FE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AF04CAC">
            <w:pPr>
              <w:rPr>
                <w:rFonts w:hint="eastAsia" w:ascii="宋体" w:hAnsi="宋体" w:eastAsia="宋体" w:cs="宋体"/>
                <w:color w:val="auto"/>
                <w:sz w:val="30"/>
                <w:szCs w:val="30"/>
                <w:highlight w:val="none"/>
              </w:rPr>
            </w:pPr>
          </w:p>
        </w:tc>
        <w:tc>
          <w:tcPr>
            <w:tcW w:w="1276" w:type="dxa"/>
            <w:noWrap w:val="0"/>
            <w:vAlign w:val="top"/>
          </w:tcPr>
          <w:p w14:paraId="2AE9ED8C">
            <w:pPr>
              <w:rPr>
                <w:rFonts w:hint="eastAsia" w:ascii="宋体" w:hAnsi="宋体" w:eastAsia="宋体" w:cs="宋体"/>
                <w:color w:val="auto"/>
                <w:sz w:val="30"/>
                <w:szCs w:val="30"/>
                <w:highlight w:val="none"/>
              </w:rPr>
            </w:pPr>
          </w:p>
        </w:tc>
        <w:tc>
          <w:tcPr>
            <w:tcW w:w="1450" w:type="dxa"/>
            <w:noWrap w:val="0"/>
            <w:vAlign w:val="top"/>
          </w:tcPr>
          <w:p w14:paraId="7D692AF7">
            <w:pPr>
              <w:rPr>
                <w:rFonts w:hint="eastAsia" w:ascii="宋体" w:hAnsi="宋体" w:eastAsia="宋体" w:cs="宋体"/>
                <w:color w:val="auto"/>
                <w:sz w:val="30"/>
                <w:szCs w:val="30"/>
                <w:highlight w:val="none"/>
              </w:rPr>
            </w:pPr>
          </w:p>
        </w:tc>
        <w:tc>
          <w:tcPr>
            <w:tcW w:w="1243" w:type="dxa"/>
            <w:noWrap w:val="0"/>
            <w:vAlign w:val="top"/>
          </w:tcPr>
          <w:p w14:paraId="34A47AAF">
            <w:pPr>
              <w:rPr>
                <w:rFonts w:hint="eastAsia" w:ascii="宋体" w:hAnsi="宋体" w:eastAsia="宋体" w:cs="宋体"/>
                <w:color w:val="auto"/>
                <w:sz w:val="30"/>
                <w:szCs w:val="30"/>
                <w:highlight w:val="none"/>
              </w:rPr>
            </w:pPr>
          </w:p>
        </w:tc>
        <w:tc>
          <w:tcPr>
            <w:tcW w:w="1450" w:type="dxa"/>
            <w:noWrap w:val="0"/>
            <w:vAlign w:val="top"/>
          </w:tcPr>
          <w:p w14:paraId="31F10E59">
            <w:pPr>
              <w:rPr>
                <w:rFonts w:hint="eastAsia" w:ascii="宋体" w:hAnsi="宋体" w:eastAsia="宋体" w:cs="宋体"/>
                <w:color w:val="auto"/>
                <w:sz w:val="30"/>
                <w:szCs w:val="30"/>
                <w:highlight w:val="none"/>
              </w:rPr>
            </w:pPr>
          </w:p>
        </w:tc>
        <w:tc>
          <w:tcPr>
            <w:tcW w:w="1667" w:type="dxa"/>
            <w:noWrap w:val="0"/>
            <w:vAlign w:val="top"/>
          </w:tcPr>
          <w:p w14:paraId="3CDAEC4E">
            <w:pPr>
              <w:rPr>
                <w:rFonts w:hint="eastAsia" w:ascii="宋体" w:hAnsi="宋体" w:eastAsia="宋体" w:cs="宋体"/>
                <w:color w:val="auto"/>
                <w:sz w:val="30"/>
                <w:szCs w:val="30"/>
                <w:highlight w:val="none"/>
              </w:rPr>
            </w:pPr>
          </w:p>
        </w:tc>
      </w:tr>
      <w:tr w14:paraId="3FB11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E461583">
            <w:pPr>
              <w:rPr>
                <w:rFonts w:hint="eastAsia" w:ascii="宋体" w:hAnsi="宋体" w:eastAsia="宋体" w:cs="宋体"/>
                <w:color w:val="auto"/>
                <w:sz w:val="30"/>
                <w:szCs w:val="30"/>
                <w:highlight w:val="none"/>
              </w:rPr>
            </w:pPr>
          </w:p>
        </w:tc>
        <w:tc>
          <w:tcPr>
            <w:tcW w:w="1276" w:type="dxa"/>
            <w:noWrap w:val="0"/>
            <w:vAlign w:val="top"/>
          </w:tcPr>
          <w:p w14:paraId="314DE543">
            <w:pPr>
              <w:rPr>
                <w:rFonts w:hint="eastAsia" w:ascii="宋体" w:hAnsi="宋体" w:eastAsia="宋体" w:cs="宋体"/>
                <w:color w:val="auto"/>
                <w:sz w:val="30"/>
                <w:szCs w:val="30"/>
                <w:highlight w:val="none"/>
              </w:rPr>
            </w:pPr>
          </w:p>
        </w:tc>
        <w:tc>
          <w:tcPr>
            <w:tcW w:w="1450" w:type="dxa"/>
            <w:noWrap w:val="0"/>
            <w:vAlign w:val="top"/>
          </w:tcPr>
          <w:p w14:paraId="3271753F">
            <w:pPr>
              <w:rPr>
                <w:rFonts w:hint="eastAsia" w:ascii="宋体" w:hAnsi="宋体" w:eastAsia="宋体" w:cs="宋体"/>
                <w:color w:val="auto"/>
                <w:sz w:val="30"/>
                <w:szCs w:val="30"/>
                <w:highlight w:val="none"/>
              </w:rPr>
            </w:pPr>
          </w:p>
        </w:tc>
        <w:tc>
          <w:tcPr>
            <w:tcW w:w="1243" w:type="dxa"/>
            <w:noWrap w:val="0"/>
            <w:vAlign w:val="top"/>
          </w:tcPr>
          <w:p w14:paraId="69BF7D0B">
            <w:pPr>
              <w:rPr>
                <w:rFonts w:hint="eastAsia" w:ascii="宋体" w:hAnsi="宋体" w:eastAsia="宋体" w:cs="宋体"/>
                <w:color w:val="auto"/>
                <w:sz w:val="30"/>
                <w:szCs w:val="30"/>
                <w:highlight w:val="none"/>
              </w:rPr>
            </w:pPr>
          </w:p>
        </w:tc>
        <w:tc>
          <w:tcPr>
            <w:tcW w:w="1450" w:type="dxa"/>
            <w:noWrap w:val="0"/>
            <w:vAlign w:val="top"/>
          </w:tcPr>
          <w:p w14:paraId="3823F105">
            <w:pPr>
              <w:rPr>
                <w:rFonts w:hint="eastAsia" w:ascii="宋体" w:hAnsi="宋体" w:eastAsia="宋体" w:cs="宋体"/>
                <w:color w:val="auto"/>
                <w:sz w:val="30"/>
                <w:szCs w:val="30"/>
                <w:highlight w:val="none"/>
              </w:rPr>
            </w:pPr>
          </w:p>
        </w:tc>
        <w:tc>
          <w:tcPr>
            <w:tcW w:w="1667" w:type="dxa"/>
            <w:noWrap w:val="0"/>
            <w:vAlign w:val="top"/>
          </w:tcPr>
          <w:p w14:paraId="6C80A1F9">
            <w:pPr>
              <w:rPr>
                <w:rFonts w:hint="eastAsia" w:ascii="宋体" w:hAnsi="宋体" w:eastAsia="宋体" w:cs="宋体"/>
                <w:color w:val="auto"/>
                <w:sz w:val="30"/>
                <w:szCs w:val="30"/>
                <w:highlight w:val="none"/>
              </w:rPr>
            </w:pPr>
          </w:p>
        </w:tc>
      </w:tr>
      <w:tr w14:paraId="0B3F7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D308F05">
            <w:pPr>
              <w:rPr>
                <w:rFonts w:hint="eastAsia" w:ascii="宋体" w:hAnsi="宋体" w:eastAsia="宋体" w:cs="宋体"/>
                <w:color w:val="auto"/>
                <w:sz w:val="30"/>
                <w:szCs w:val="30"/>
                <w:highlight w:val="none"/>
              </w:rPr>
            </w:pPr>
          </w:p>
        </w:tc>
        <w:tc>
          <w:tcPr>
            <w:tcW w:w="1276" w:type="dxa"/>
            <w:noWrap w:val="0"/>
            <w:vAlign w:val="top"/>
          </w:tcPr>
          <w:p w14:paraId="48BF638A">
            <w:pPr>
              <w:rPr>
                <w:rFonts w:hint="eastAsia" w:ascii="宋体" w:hAnsi="宋体" w:eastAsia="宋体" w:cs="宋体"/>
                <w:color w:val="auto"/>
                <w:sz w:val="30"/>
                <w:szCs w:val="30"/>
                <w:highlight w:val="none"/>
              </w:rPr>
            </w:pPr>
          </w:p>
        </w:tc>
        <w:tc>
          <w:tcPr>
            <w:tcW w:w="1450" w:type="dxa"/>
            <w:noWrap w:val="0"/>
            <w:vAlign w:val="top"/>
          </w:tcPr>
          <w:p w14:paraId="644046A3">
            <w:pPr>
              <w:rPr>
                <w:rFonts w:hint="eastAsia" w:ascii="宋体" w:hAnsi="宋体" w:eastAsia="宋体" w:cs="宋体"/>
                <w:color w:val="auto"/>
                <w:sz w:val="30"/>
                <w:szCs w:val="30"/>
                <w:highlight w:val="none"/>
              </w:rPr>
            </w:pPr>
          </w:p>
        </w:tc>
        <w:tc>
          <w:tcPr>
            <w:tcW w:w="1243" w:type="dxa"/>
            <w:noWrap w:val="0"/>
            <w:vAlign w:val="top"/>
          </w:tcPr>
          <w:p w14:paraId="4CF053E2">
            <w:pPr>
              <w:rPr>
                <w:rFonts w:hint="eastAsia" w:ascii="宋体" w:hAnsi="宋体" w:eastAsia="宋体" w:cs="宋体"/>
                <w:color w:val="auto"/>
                <w:sz w:val="30"/>
                <w:szCs w:val="30"/>
                <w:highlight w:val="none"/>
              </w:rPr>
            </w:pPr>
          </w:p>
        </w:tc>
        <w:tc>
          <w:tcPr>
            <w:tcW w:w="1450" w:type="dxa"/>
            <w:noWrap w:val="0"/>
            <w:vAlign w:val="top"/>
          </w:tcPr>
          <w:p w14:paraId="2F4C1E8C">
            <w:pPr>
              <w:rPr>
                <w:rFonts w:hint="eastAsia" w:ascii="宋体" w:hAnsi="宋体" w:eastAsia="宋体" w:cs="宋体"/>
                <w:color w:val="auto"/>
                <w:sz w:val="30"/>
                <w:szCs w:val="30"/>
                <w:highlight w:val="none"/>
              </w:rPr>
            </w:pPr>
          </w:p>
        </w:tc>
        <w:tc>
          <w:tcPr>
            <w:tcW w:w="1667" w:type="dxa"/>
            <w:noWrap w:val="0"/>
            <w:vAlign w:val="top"/>
          </w:tcPr>
          <w:p w14:paraId="0D5E8861">
            <w:pPr>
              <w:rPr>
                <w:rFonts w:hint="eastAsia" w:ascii="宋体" w:hAnsi="宋体" w:eastAsia="宋体" w:cs="宋体"/>
                <w:color w:val="auto"/>
                <w:sz w:val="30"/>
                <w:szCs w:val="30"/>
                <w:highlight w:val="none"/>
              </w:rPr>
            </w:pPr>
          </w:p>
        </w:tc>
      </w:tr>
      <w:tr w14:paraId="123CA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41CA203">
            <w:pPr>
              <w:rPr>
                <w:rFonts w:hint="eastAsia" w:ascii="宋体" w:hAnsi="宋体" w:eastAsia="宋体" w:cs="宋体"/>
                <w:color w:val="auto"/>
                <w:sz w:val="30"/>
                <w:szCs w:val="30"/>
                <w:highlight w:val="none"/>
              </w:rPr>
            </w:pPr>
          </w:p>
        </w:tc>
        <w:tc>
          <w:tcPr>
            <w:tcW w:w="1276" w:type="dxa"/>
            <w:noWrap w:val="0"/>
            <w:vAlign w:val="top"/>
          </w:tcPr>
          <w:p w14:paraId="0F09940C">
            <w:pPr>
              <w:rPr>
                <w:rFonts w:hint="eastAsia" w:ascii="宋体" w:hAnsi="宋体" w:eastAsia="宋体" w:cs="宋体"/>
                <w:color w:val="auto"/>
                <w:sz w:val="30"/>
                <w:szCs w:val="30"/>
                <w:highlight w:val="none"/>
              </w:rPr>
            </w:pPr>
          </w:p>
        </w:tc>
        <w:tc>
          <w:tcPr>
            <w:tcW w:w="1450" w:type="dxa"/>
            <w:noWrap w:val="0"/>
            <w:vAlign w:val="top"/>
          </w:tcPr>
          <w:p w14:paraId="7232B914">
            <w:pPr>
              <w:rPr>
                <w:rFonts w:hint="eastAsia" w:ascii="宋体" w:hAnsi="宋体" w:eastAsia="宋体" w:cs="宋体"/>
                <w:color w:val="auto"/>
                <w:sz w:val="30"/>
                <w:szCs w:val="30"/>
                <w:highlight w:val="none"/>
              </w:rPr>
            </w:pPr>
          </w:p>
        </w:tc>
        <w:tc>
          <w:tcPr>
            <w:tcW w:w="1243" w:type="dxa"/>
            <w:noWrap w:val="0"/>
            <w:vAlign w:val="top"/>
          </w:tcPr>
          <w:p w14:paraId="36E0BA40">
            <w:pPr>
              <w:rPr>
                <w:rFonts w:hint="eastAsia" w:ascii="宋体" w:hAnsi="宋体" w:eastAsia="宋体" w:cs="宋体"/>
                <w:color w:val="auto"/>
                <w:sz w:val="30"/>
                <w:szCs w:val="30"/>
                <w:highlight w:val="none"/>
              </w:rPr>
            </w:pPr>
          </w:p>
        </w:tc>
        <w:tc>
          <w:tcPr>
            <w:tcW w:w="1450" w:type="dxa"/>
            <w:noWrap w:val="0"/>
            <w:vAlign w:val="top"/>
          </w:tcPr>
          <w:p w14:paraId="3F302F8A">
            <w:pPr>
              <w:rPr>
                <w:rFonts w:hint="eastAsia" w:ascii="宋体" w:hAnsi="宋体" w:eastAsia="宋体" w:cs="宋体"/>
                <w:color w:val="auto"/>
                <w:sz w:val="30"/>
                <w:szCs w:val="30"/>
                <w:highlight w:val="none"/>
              </w:rPr>
            </w:pPr>
          </w:p>
        </w:tc>
        <w:tc>
          <w:tcPr>
            <w:tcW w:w="1667" w:type="dxa"/>
            <w:noWrap w:val="0"/>
            <w:vAlign w:val="top"/>
          </w:tcPr>
          <w:p w14:paraId="3C0645B3">
            <w:pPr>
              <w:rPr>
                <w:rFonts w:hint="eastAsia" w:ascii="宋体" w:hAnsi="宋体" w:eastAsia="宋体" w:cs="宋体"/>
                <w:color w:val="auto"/>
                <w:sz w:val="30"/>
                <w:szCs w:val="30"/>
                <w:highlight w:val="none"/>
              </w:rPr>
            </w:pPr>
          </w:p>
        </w:tc>
      </w:tr>
      <w:tr w14:paraId="7EE0F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94A6E12">
            <w:pPr>
              <w:rPr>
                <w:rFonts w:hint="eastAsia" w:ascii="宋体" w:hAnsi="宋体" w:eastAsia="宋体" w:cs="宋体"/>
                <w:color w:val="auto"/>
                <w:sz w:val="30"/>
                <w:szCs w:val="30"/>
                <w:highlight w:val="none"/>
              </w:rPr>
            </w:pPr>
          </w:p>
        </w:tc>
        <w:tc>
          <w:tcPr>
            <w:tcW w:w="1276" w:type="dxa"/>
            <w:noWrap w:val="0"/>
            <w:vAlign w:val="top"/>
          </w:tcPr>
          <w:p w14:paraId="2F1BD639">
            <w:pPr>
              <w:rPr>
                <w:rFonts w:hint="eastAsia" w:ascii="宋体" w:hAnsi="宋体" w:eastAsia="宋体" w:cs="宋体"/>
                <w:color w:val="auto"/>
                <w:sz w:val="30"/>
                <w:szCs w:val="30"/>
                <w:highlight w:val="none"/>
              </w:rPr>
            </w:pPr>
          </w:p>
        </w:tc>
        <w:tc>
          <w:tcPr>
            <w:tcW w:w="1450" w:type="dxa"/>
            <w:noWrap w:val="0"/>
            <w:vAlign w:val="top"/>
          </w:tcPr>
          <w:p w14:paraId="780DE37C">
            <w:pPr>
              <w:rPr>
                <w:rFonts w:hint="eastAsia" w:ascii="宋体" w:hAnsi="宋体" w:eastAsia="宋体" w:cs="宋体"/>
                <w:color w:val="auto"/>
                <w:sz w:val="30"/>
                <w:szCs w:val="30"/>
                <w:highlight w:val="none"/>
              </w:rPr>
            </w:pPr>
          </w:p>
        </w:tc>
        <w:tc>
          <w:tcPr>
            <w:tcW w:w="1243" w:type="dxa"/>
            <w:noWrap w:val="0"/>
            <w:vAlign w:val="top"/>
          </w:tcPr>
          <w:p w14:paraId="19F8306B">
            <w:pPr>
              <w:rPr>
                <w:rFonts w:hint="eastAsia" w:ascii="宋体" w:hAnsi="宋体" w:eastAsia="宋体" w:cs="宋体"/>
                <w:color w:val="auto"/>
                <w:sz w:val="30"/>
                <w:szCs w:val="30"/>
                <w:highlight w:val="none"/>
              </w:rPr>
            </w:pPr>
          </w:p>
        </w:tc>
        <w:tc>
          <w:tcPr>
            <w:tcW w:w="1450" w:type="dxa"/>
            <w:noWrap w:val="0"/>
            <w:vAlign w:val="top"/>
          </w:tcPr>
          <w:p w14:paraId="336763CB">
            <w:pPr>
              <w:rPr>
                <w:rFonts w:hint="eastAsia" w:ascii="宋体" w:hAnsi="宋体" w:eastAsia="宋体" w:cs="宋体"/>
                <w:color w:val="auto"/>
                <w:sz w:val="30"/>
                <w:szCs w:val="30"/>
                <w:highlight w:val="none"/>
              </w:rPr>
            </w:pPr>
          </w:p>
        </w:tc>
        <w:tc>
          <w:tcPr>
            <w:tcW w:w="1667" w:type="dxa"/>
            <w:noWrap w:val="0"/>
            <w:vAlign w:val="top"/>
          </w:tcPr>
          <w:p w14:paraId="10745601">
            <w:pPr>
              <w:rPr>
                <w:rFonts w:hint="eastAsia" w:ascii="宋体" w:hAnsi="宋体" w:eastAsia="宋体" w:cs="宋体"/>
                <w:color w:val="auto"/>
                <w:sz w:val="30"/>
                <w:szCs w:val="30"/>
                <w:highlight w:val="none"/>
              </w:rPr>
            </w:pPr>
          </w:p>
        </w:tc>
      </w:tr>
      <w:tr w14:paraId="3DA7F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8508353">
            <w:pPr>
              <w:rPr>
                <w:rFonts w:hint="eastAsia" w:ascii="宋体" w:hAnsi="宋体" w:eastAsia="宋体" w:cs="宋体"/>
                <w:color w:val="auto"/>
                <w:sz w:val="30"/>
                <w:szCs w:val="30"/>
                <w:highlight w:val="none"/>
              </w:rPr>
            </w:pPr>
          </w:p>
        </w:tc>
        <w:tc>
          <w:tcPr>
            <w:tcW w:w="1276" w:type="dxa"/>
            <w:noWrap w:val="0"/>
            <w:vAlign w:val="top"/>
          </w:tcPr>
          <w:p w14:paraId="25F14F82">
            <w:pPr>
              <w:rPr>
                <w:rFonts w:hint="eastAsia" w:ascii="宋体" w:hAnsi="宋体" w:eastAsia="宋体" w:cs="宋体"/>
                <w:color w:val="auto"/>
                <w:sz w:val="30"/>
                <w:szCs w:val="30"/>
                <w:highlight w:val="none"/>
              </w:rPr>
            </w:pPr>
          </w:p>
        </w:tc>
        <w:tc>
          <w:tcPr>
            <w:tcW w:w="1450" w:type="dxa"/>
            <w:noWrap w:val="0"/>
            <w:vAlign w:val="top"/>
          </w:tcPr>
          <w:p w14:paraId="77EA7ED7">
            <w:pPr>
              <w:rPr>
                <w:rFonts w:hint="eastAsia" w:ascii="宋体" w:hAnsi="宋体" w:eastAsia="宋体" w:cs="宋体"/>
                <w:color w:val="auto"/>
                <w:sz w:val="30"/>
                <w:szCs w:val="30"/>
                <w:highlight w:val="none"/>
              </w:rPr>
            </w:pPr>
          </w:p>
        </w:tc>
        <w:tc>
          <w:tcPr>
            <w:tcW w:w="1243" w:type="dxa"/>
            <w:noWrap w:val="0"/>
            <w:vAlign w:val="top"/>
          </w:tcPr>
          <w:p w14:paraId="1689F41A">
            <w:pPr>
              <w:rPr>
                <w:rFonts w:hint="eastAsia" w:ascii="宋体" w:hAnsi="宋体" w:eastAsia="宋体" w:cs="宋体"/>
                <w:color w:val="auto"/>
                <w:sz w:val="30"/>
                <w:szCs w:val="30"/>
                <w:highlight w:val="none"/>
              </w:rPr>
            </w:pPr>
          </w:p>
        </w:tc>
        <w:tc>
          <w:tcPr>
            <w:tcW w:w="1450" w:type="dxa"/>
            <w:noWrap w:val="0"/>
            <w:vAlign w:val="top"/>
          </w:tcPr>
          <w:p w14:paraId="6BD29427">
            <w:pPr>
              <w:rPr>
                <w:rFonts w:hint="eastAsia" w:ascii="宋体" w:hAnsi="宋体" w:eastAsia="宋体" w:cs="宋体"/>
                <w:color w:val="auto"/>
                <w:sz w:val="30"/>
                <w:szCs w:val="30"/>
                <w:highlight w:val="none"/>
              </w:rPr>
            </w:pPr>
          </w:p>
        </w:tc>
        <w:tc>
          <w:tcPr>
            <w:tcW w:w="1667" w:type="dxa"/>
            <w:noWrap w:val="0"/>
            <w:vAlign w:val="top"/>
          </w:tcPr>
          <w:p w14:paraId="2F11570C">
            <w:pPr>
              <w:rPr>
                <w:rFonts w:hint="eastAsia" w:ascii="宋体" w:hAnsi="宋体" w:eastAsia="宋体" w:cs="宋体"/>
                <w:color w:val="auto"/>
                <w:sz w:val="30"/>
                <w:szCs w:val="30"/>
                <w:highlight w:val="none"/>
              </w:rPr>
            </w:pPr>
          </w:p>
        </w:tc>
      </w:tr>
      <w:tr w14:paraId="0C8AE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D6C9928">
            <w:pPr>
              <w:rPr>
                <w:rFonts w:hint="eastAsia" w:ascii="宋体" w:hAnsi="宋体" w:eastAsia="宋体" w:cs="宋体"/>
                <w:color w:val="auto"/>
                <w:sz w:val="30"/>
                <w:szCs w:val="30"/>
                <w:highlight w:val="none"/>
              </w:rPr>
            </w:pPr>
          </w:p>
        </w:tc>
        <w:tc>
          <w:tcPr>
            <w:tcW w:w="1276" w:type="dxa"/>
            <w:noWrap w:val="0"/>
            <w:vAlign w:val="top"/>
          </w:tcPr>
          <w:p w14:paraId="7CDE2758">
            <w:pPr>
              <w:rPr>
                <w:rFonts w:hint="eastAsia" w:ascii="宋体" w:hAnsi="宋体" w:eastAsia="宋体" w:cs="宋体"/>
                <w:color w:val="auto"/>
                <w:sz w:val="30"/>
                <w:szCs w:val="30"/>
                <w:highlight w:val="none"/>
              </w:rPr>
            </w:pPr>
          </w:p>
        </w:tc>
        <w:tc>
          <w:tcPr>
            <w:tcW w:w="1450" w:type="dxa"/>
            <w:noWrap w:val="0"/>
            <w:vAlign w:val="top"/>
          </w:tcPr>
          <w:p w14:paraId="42FC7F7A">
            <w:pPr>
              <w:rPr>
                <w:rFonts w:hint="eastAsia" w:ascii="宋体" w:hAnsi="宋体" w:eastAsia="宋体" w:cs="宋体"/>
                <w:color w:val="auto"/>
                <w:sz w:val="30"/>
                <w:szCs w:val="30"/>
                <w:highlight w:val="none"/>
              </w:rPr>
            </w:pPr>
          </w:p>
        </w:tc>
        <w:tc>
          <w:tcPr>
            <w:tcW w:w="1243" w:type="dxa"/>
            <w:noWrap w:val="0"/>
            <w:vAlign w:val="top"/>
          </w:tcPr>
          <w:p w14:paraId="143831E4">
            <w:pPr>
              <w:rPr>
                <w:rFonts w:hint="eastAsia" w:ascii="宋体" w:hAnsi="宋体" w:eastAsia="宋体" w:cs="宋体"/>
                <w:color w:val="auto"/>
                <w:sz w:val="30"/>
                <w:szCs w:val="30"/>
                <w:highlight w:val="none"/>
              </w:rPr>
            </w:pPr>
          </w:p>
        </w:tc>
        <w:tc>
          <w:tcPr>
            <w:tcW w:w="1450" w:type="dxa"/>
            <w:noWrap w:val="0"/>
            <w:vAlign w:val="top"/>
          </w:tcPr>
          <w:p w14:paraId="3DFF4386">
            <w:pPr>
              <w:rPr>
                <w:rFonts w:hint="eastAsia" w:ascii="宋体" w:hAnsi="宋体" w:eastAsia="宋体" w:cs="宋体"/>
                <w:color w:val="auto"/>
                <w:sz w:val="30"/>
                <w:szCs w:val="30"/>
                <w:highlight w:val="none"/>
              </w:rPr>
            </w:pPr>
          </w:p>
        </w:tc>
        <w:tc>
          <w:tcPr>
            <w:tcW w:w="1667" w:type="dxa"/>
            <w:noWrap w:val="0"/>
            <w:vAlign w:val="top"/>
          </w:tcPr>
          <w:p w14:paraId="2DD28643">
            <w:pPr>
              <w:rPr>
                <w:rFonts w:hint="eastAsia" w:ascii="宋体" w:hAnsi="宋体" w:eastAsia="宋体" w:cs="宋体"/>
                <w:color w:val="auto"/>
                <w:sz w:val="30"/>
                <w:szCs w:val="30"/>
                <w:highlight w:val="none"/>
              </w:rPr>
            </w:pPr>
          </w:p>
        </w:tc>
      </w:tr>
      <w:tr w14:paraId="67DA8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259A0CA">
            <w:pPr>
              <w:rPr>
                <w:rFonts w:hint="eastAsia" w:ascii="宋体" w:hAnsi="宋体" w:eastAsia="宋体" w:cs="宋体"/>
                <w:color w:val="auto"/>
                <w:sz w:val="30"/>
                <w:szCs w:val="30"/>
                <w:highlight w:val="none"/>
              </w:rPr>
            </w:pPr>
          </w:p>
        </w:tc>
        <w:tc>
          <w:tcPr>
            <w:tcW w:w="1276" w:type="dxa"/>
            <w:noWrap w:val="0"/>
            <w:vAlign w:val="top"/>
          </w:tcPr>
          <w:p w14:paraId="7ABB942C">
            <w:pPr>
              <w:rPr>
                <w:rFonts w:hint="eastAsia" w:ascii="宋体" w:hAnsi="宋体" w:eastAsia="宋体" w:cs="宋体"/>
                <w:color w:val="auto"/>
                <w:sz w:val="30"/>
                <w:szCs w:val="30"/>
                <w:highlight w:val="none"/>
              </w:rPr>
            </w:pPr>
          </w:p>
        </w:tc>
        <w:tc>
          <w:tcPr>
            <w:tcW w:w="1450" w:type="dxa"/>
            <w:noWrap w:val="0"/>
            <w:vAlign w:val="top"/>
          </w:tcPr>
          <w:p w14:paraId="75B28677">
            <w:pPr>
              <w:rPr>
                <w:rFonts w:hint="eastAsia" w:ascii="宋体" w:hAnsi="宋体" w:eastAsia="宋体" w:cs="宋体"/>
                <w:color w:val="auto"/>
                <w:sz w:val="30"/>
                <w:szCs w:val="30"/>
                <w:highlight w:val="none"/>
              </w:rPr>
            </w:pPr>
          </w:p>
        </w:tc>
        <w:tc>
          <w:tcPr>
            <w:tcW w:w="1243" w:type="dxa"/>
            <w:noWrap w:val="0"/>
            <w:vAlign w:val="top"/>
          </w:tcPr>
          <w:p w14:paraId="68C0E511">
            <w:pPr>
              <w:rPr>
                <w:rFonts w:hint="eastAsia" w:ascii="宋体" w:hAnsi="宋体" w:eastAsia="宋体" w:cs="宋体"/>
                <w:color w:val="auto"/>
                <w:sz w:val="30"/>
                <w:szCs w:val="30"/>
                <w:highlight w:val="none"/>
              </w:rPr>
            </w:pPr>
          </w:p>
        </w:tc>
        <w:tc>
          <w:tcPr>
            <w:tcW w:w="1450" w:type="dxa"/>
            <w:noWrap w:val="0"/>
            <w:vAlign w:val="top"/>
          </w:tcPr>
          <w:p w14:paraId="5401D9B0">
            <w:pPr>
              <w:rPr>
                <w:rFonts w:hint="eastAsia" w:ascii="宋体" w:hAnsi="宋体" w:eastAsia="宋体" w:cs="宋体"/>
                <w:color w:val="auto"/>
                <w:sz w:val="30"/>
                <w:szCs w:val="30"/>
                <w:highlight w:val="none"/>
              </w:rPr>
            </w:pPr>
          </w:p>
        </w:tc>
        <w:tc>
          <w:tcPr>
            <w:tcW w:w="1667" w:type="dxa"/>
            <w:noWrap w:val="0"/>
            <w:vAlign w:val="top"/>
          </w:tcPr>
          <w:p w14:paraId="44FA0319">
            <w:pPr>
              <w:rPr>
                <w:rFonts w:hint="eastAsia" w:ascii="宋体" w:hAnsi="宋体" w:eastAsia="宋体" w:cs="宋体"/>
                <w:color w:val="auto"/>
                <w:sz w:val="30"/>
                <w:szCs w:val="30"/>
                <w:highlight w:val="none"/>
              </w:rPr>
            </w:pPr>
          </w:p>
        </w:tc>
      </w:tr>
    </w:tbl>
    <w:p w14:paraId="1E2CEF55">
      <w:pPr>
        <w:spacing w:line="440" w:lineRule="exact"/>
        <w:rPr>
          <w:rFonts w:hint="eastAsia" w:ascii="宋体" w:hAnsi="宋体" w:eastAsia="宋体" w:cs="宋体"/>
          <w:color w:val="auto"/>
          <w:sz w:val="30"/>
          <w:szCs w:val="30"/>
          <w:highlight w:val="none"/>
        </w:rPr>
      </w:pPr>
    </w:p>
    <w:p w14:paraId="5F0309CC">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附件4：</w:t>
      </w:r>
    </w:p>
    <w:p w14:paraId="48DA7C36">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CC5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40EA2ED0">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418" w:type="dxa"/>
            <w:noWrap w:val="0"/>
            <w:vAlign w:val="center"/>
          </w:tcPr>
          <w:p w14:paraId="10E3E15B">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机械或设备名称</w:t>
            </w:r>
          </w:p>
        </w:tc>
        <w:tc>
          <w:tcPr>
            <w:tcW w:w="850" w:type="dxa"/>
            <w:noWrap w:val="0"/>
            <w:vAlign w:val="center"/>
          </w:tcPr>
          <w:p w14:paraId="0AB71D69">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规格型号</w:t>
            </w:r>
          </w:p>
        </w:tc>
        <w:tc>
          <w:tcPr>
            <w:tcW w:w="1058" w:type="dxa"/>
            <w:noWrap w:val="0"/>
            <w:vAlign w:val="center"/>
          </w:tcPr>
          <w:p w14:paraId="7A09BD86">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880" w:type="dxa"/>
            <w:noWrap w:val="0"/>
            <w:vAlign w:val="center"/>
          </w:tcPr>
          <w:p w14:paraId="4DF76BB3">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产地</w:t>
            </w:r>
          </w:p>
        </w:tc>
        <w:tc>
          <w:tcPr>
            <w:tcW w:w="1020" w:type="dxa"/>
            <w:noWrap w:val="0"/>
            <w:vAlign w:val="center"/>
          </w:tcPr>
          <w:p w14:paraId="1A50E4FB">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制造年份</w:t>
            </w:r>
          </w:p>
        </w:tc>
        <w:tc>
          <w:tcPr>
            <w:tcW w:w="1480" w:type="dxa"/>
            <w:noWrap w:val="0"/>
            <w:vAlign w:val="center"/>
          </w:tcPr>
          <w:p w14:paraId="644B74D5">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额定功率（kW）</w:t>
            </w:r>
          </w:p>
        </w:tc>
        <w:tc>
          <w:tcPr>
            <w:tcW w:w="1020" w:type="dxa"/>
            <w:noWrap w:val="0"/>
            <w:vAlign w:val="center"/>
          </w:tcPr>
          <w:p w14:paraId="3BAB7D89">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生产能力</w:t>
            </w:r>
          </w:p>
        </w:tc>
        <w:tc>
          <w:tcPr>
            <w:tcW w:w="921" w:type="dxa"/>
            <w:noWrap w:val="0"/>
            <w:vAlign w:val="center"/>
          </w:tcPr>
          <w:p w14:paraId="216CC475">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3AEE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FC07DAB">
            <w:pPr>
              <w:pStyle w:val="19"/>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2F6DEF4C">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7EFC08F2">
            <w:pPr>
              <w:pStyle w:val="19"/>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3DFC7A77">
            <w:pPr>
              <w:pStyle w:val="19"/>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6D56FCA0">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542C1952">
            <w:pPr>
              <w:pStyle w:val="19"/>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22681AB9">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22F6AB92">
            <w:pPr>
              <w:pStyle w:val="19"/>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21DECE9F">
            <w:pPr>
              <w:pStyle w:val="19"/>
              <w:keepNext/>
              <w:spacing w:after="0" w:line="440" w:lineRule="exact"/>
              <w:ind w:left="63" w:right="63"/>
              <w:rPr>
                <w:rFonts w:hint="eastAsia" w:ascii="宋体" w:hAnsi="宋体" w:eastAsia="宋体" w:cs="宋体"/>
                <w:color w:val="auto"/>
                <w:sz w:val="30"/>
                <w:szCs w:val="30"/>
                <w:highlight w:val="none"/>
              </w:rPr>
            </w:pPr>
          </w:p>
        </w:tc>
      </w:tr>
      <w:tr w14:paraId="4E91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CDBF18A">
            <w:pPr>
              <w:pStyle w:val="19"/>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40BB1D53">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14D913BE">
            <w:pPr>
              <w:pStyle w:val="19"/>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7D1C3BAF">
            <w:pPr>
              <w:pStyle w:val="19"/>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33CFB4ED">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27B2C1A7">
            <w:pPr>
              <w:pStyle w:val="19"/>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16482632">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64D473FD">
            <w:pPr>
              <w:pStyle w:val="19"/>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465D529F">
            <w:pPr>
              <w:pStyle w:val="19"/>
              <w:keepNext/>
              <w:spacing w:after="0" w:line="440" w:lineRule="exact"/>
              <w:ind w:left="63" w:right="63"/>
              <w:rPr>
                <w:rFonts w:hint="eastAsia" w:ascii="宋体" w:hAnsi="宋体" w:eastAsia="宋体" w:cs="宋体"/>
                <w:color w:val="auto"/>
                <w:sz w:val="30"/>
                <w:szCs w:val="30"/>
                <w:highlight w:val="none"/>
              </w:rPr>
            </w:pPr>
          </w:p>
        </w:tc>
      </w:tr>
      <w:tr w14:paraId="1CD6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6D2D1E8">
            <w:pPr>
              <w:pStyle w:val="19"/>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5EF0357D">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51B3275D">
            <w:pPr>
              <w:pStyle w:val="19"/>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22F50143">
            <w:pPr>
              <w:pStyle w:val="19"/>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2C5907BA">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5B283D7F">
            <w:pPr>
              <w:pStyle w:val="19"/>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55913D31">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2BA0C58C">
            <w:pPr>
              <w:pStyle w:val="19"/>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1A56ACE1">
            <w:pPr>
              <w:pStyle w:val="19"/>
              <w:keepNext/>
              <w:spacing w:after="0" w:line="440" w:lineRule="exact"/>
              <w:ind w:left="63" w:right="63"/>
              <w:rPr>
                <w:rFonts w:hint="eastAsia" w:ascii="宋体" w:hAnsi="宋体" w:eastAsia="宋体" w:cs="宋体"/>
                <w:color w:val="auto"/>
                <w:sz w:val="30"/>
                <w:szCs w:val="30"/>
                <w:highlight w:val="none"/>
              </w:rPr>
            </w:pPr>
          </w:p>
        </w:tc>
      </w:tr>
      <w:tr w14:paraId="3FF1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E844843">
            <w:pPr>
              <w:pStyle w:val="19"/>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4571C374">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36286E19">
            <w:pPr>
              <w:pStyle w:val="19"/>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256AEF2A">
            <w:pPr>
              <w:pStyle w:val="19"/>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6BD304A0">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678C29A9">
            <w:pPr>
              <w:pStyle w:val="19"/>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40F18E56">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0300DD31">
            <w:pPr>
              <w:pStyle w:val="19"/>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300A872E">
            <w:pPr>
              <w:pStyle w:val="19"/>
              <w:keepNext/>
              <w:spacing w:after="0" w:line="440" w:lineRule="exact"/>
              <w:ind w:left="63" w:right="63"/>
              <w:rPr>
                <w:rFonts w:hint="eastAsia" w:ascii="宋体" w:hAnsi="宋体" w:eastAsia="宋体" w:cs="宋体"/>
                <w:color w:val="auto"/>
                <w:sz w:val="30"/>
                <w:szCs w:val="30"/>
                <w:highlight w:val="none"/>
              </w:rPr>
            </w:pPr>
          </w:p>
        </w:tc>
      </w:tr>
      <w:tr w14:paraId="1310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2D21427">
            <w:pPr>
              <w:pStyle w:val="19"/>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11729A9F">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19B8DE71">
            <w:pPr>
              <w:pStyle w:val="19"/>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06A5881F">
            <w:pPr>
              <w:pStyle w:val="19"/>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36A536B5">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5E6FCFE1">
            <w:pPr>
              <w:pStyle w:val="19"/>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1481A4D9">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46CC2F4B">
            <w:pPr>
              <w:pStyle w:val="19"/>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44A91AA3">
            <w:pPr>
              <w:pStyle w:val="19"/>
              <w:keepNext/>
              <w:spacing w:after="0" w:line="440" w:lineRule="exact"/>
              <w:ind w:left="63" w:right="63"/>
              <w:rPr>
                <w:rFonts w:hint="eastAsia" w:ascii="宋体" w:hAnsi="宋体" w:eastAsia="宋体" w:cs="宋体"/>
                <w:color w:val="auto"/>
                <w:sz w:val="30"/>
                <w:szCs w:val="30"/>
                <w:highlight w:val="none"/>
              </w:rPr>
            </w:pPr>
          </w:p>
        </w:tc>
      </w:tr>
      <w:tr w14:paraId="09C1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F460C76">
            <w:pPr>
              <w:pStyle w:val="19"/>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4B4DEA98">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4388DBE8">
            <w:pPr>
              <w:pStyle w:val="19"/>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1B58F689">
            <w:pPr>
              <w:pStyle w:val="19"/>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3B8F5594">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65181198">
            <w:pPr>
              <w:pStyle w:val="19"/>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51C63157">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626935A7">
            <w:pPr>
              <w:pStyle w:val="19"/>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13D76A5F">
            <w:pPr>
              <w:pStyle w:val="19"/>
              <w:keepNext/>
              <w:spacing w:after="0" w:line="440" w:lineRule="exact"/>
              <w:ind w:left="63" w:right="63"/>
              <w:rPr>
                <w:rFonts w:hint="eastAsia" w:ascii="宋体" w:hAnsi="宋体" w:eastAsia="宋体" w:cs="宋体"/>
                <w:color w:val="auto"/>
                <w:sz w:val="30"/>
                <w:szCs w:val="30"/>
                <w:highlight w:val="none"/>
              </w:rPr>
            </w:pPr>
          </w:p>
        </w:tc>
      </w:tr>
      <w:tr w14:paraId="781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79EB6F4">
            <w:pPr>
              <w:pStyle w:val="19"/>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26599DAE">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2411E827">
            <w:pPr>
              <w:pStyle w:val="19"/>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3F2EC11A">
            <w:pPr>
              <w:pStyle w:val="19"/>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14831B98">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4AC323A4">
            <w:pPr>
              <w:pStyle w:val="19"/>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64F4EADD">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4F64B25A">
            <w:pPr>
              <w:pStyle w:val="19"/>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7B5DB3A7">
            <w:pPr>
              <w:pStyle w:val="19"/>
              <w:keepNext/>
              <w:spacing w:after="0" w:line="440" w:lineRule="exact"/>
              <w:ind w:left="63" w:right="63"/>
              <w:rPr>
                <w:rFonts w:hint="eastAsia" w:ascii="宋体" w:hAnsi="宋体" w:eastAsia="宋体" w:cs="宋体"/>
                <w:color w:val="auto"/>
                <w:sz w:val="30"/>
                <w:szCs w:val="30"/>
                <w:highlight w:val="none"/>
              </w:rPr>
            </w:pPr>
          </w:p>
        </w:tc>
      </w:tr>
      <w:tr w14:paraId="2512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27C09C8">
            <w:pPr>
              <w:pStyle w:val="19"/>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34D925E5">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4ED71306">
            <w:pPr>
              <w:pStyle w:val="19"/>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65151507">
            <w:pPr>
              <w:pStyle w:val="19"/>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74C24D88">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62533283">
            <w:pPr>
              <w:pStyle w:val="19"/>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16777E5D">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7918BA7A">
            <w:pPr>
              <w:pStyle w:val="19"/>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25A21D84">
            <w:pPr>
              <w:pStyle w:val="19"/>
              <w:keepNext/>
              <w:spacing w:after="0" w:line="440" w:lineRule="exact"/>
              <w:ind w:left="63" w:right="63"/>
              <w:rPr>
                <w:rFonts w:hint="eastAsia" w:ascii="宋体" w:hAnsi="宋体" w:eastAsia="宋体" w:cs="宋体"/>
                <w:color w:val="auto"/>
                <w:sz w:val="30"/>
                <w:szCs w:val="30"/>
                <w:highlight w:val="none"/>
              </w:rPr>
            </w:pPr>
          </w:p>
        </w:tc>
      </w:tr>
      <w:tr w14:paraId="2A21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AA9A25A">
            <w:pPr>
              <w:rPr>
                <w:rFonts w:hint="eastAsia" w:ascii="宋体" w:hAnsi="宋体" w:eastAsia="宋体" w:cs="宋体"/>
                <w:color w:val="auto"/>
                <w:sz w:val="30"/>
                <w:szCs w:val="30"/>
                <w:highlight w:val="none"/>
              </w:rPr>
            </w:pPr>
          </w:p>
        </w:tc>
        <w:tc>
          <w:tcPr>
            <w:tcW w:w="1418" w:type="dxa"/>
            <w:noWrap w:val="0"/>
            <w:vAlign w:val="top"/>
          </w:tcPr>
          <w:p w14:paraId="4149F015">
            <w:pPr>
              <w:rPr>
                <w:rFonts w:hint="eastAsia" w:ascii="宋体" w:hAnsi="宋体" w:eastAsia="宋体" w:cs="宋体"/>
                <w:color w:val="auto"/>
                <w:sz w:val="30"/>
                <w:szCs w:val="30"/>
                <w:highlight w:val="none"/>
              </w:rPr>
            </w:pPr>
          </w:p>
        </w:tc>
        <w:tc>
          <w:tcPr>
            <w:tcW w:w="850" w:type="dxa"/>
            <w:noWrap w:val="0"/>
            <w:vAlign w:val="top"/>
          </w:tcPr>
          <w:p w14:paraId="2F1E885D">
            <w:pPr>
              <w:rPr>
                <w:rFonts w:hint="eastAsia" w:ascii="宋体" w:hAnsi="宋体" w:eastAsia="宋体" w:cs="宋体"/>
                <w:color w:val="auto"/>
                <w:sz w:val="30"/>
                <w:szCs w:val="30"/>
                <w:highlight w:val="none"/>
              </w:rPr>
            </w:pPr>
          </w:p>
        </w:tc>
        <w:tc>
          <w:tcPr>
            <w:tcW w:w="1058" w:type="dxa"/>
            <w:noWrap w:val="0"/>
            <w:vAlign w:val="top"/>
          </w:tcPr>
          <w:p w14:paraId="1DC29590">
            <w:pPr>
              <w:rPr>
                <w:rFonts w:hint="eastAsia" w:ascii="宋体" w:hAnsi="宋体" w:eastAsia="宋体" w:cs="宋体"/>
                <w:color w:val="auto"/>
                <w:sz w:val="30"/>
                <w:szCs w:val="30"/>
                <w:highlight w:val="none"/>
              </w:rPr>
            </w:pPr>
          </w:p>
        </w:tc>
        <w:tc>
          <w:tcPr>
            <w:tcW w:w="880" w:type="dxa"/>
            <w:noWrap w:val="0"/>
            <w:vAlign w:val="top"/>
          </w:tcPr>
          <w:p w14:paraId="5BB0C04A">
            <w:pPr>
              <w:rPr>
                <w:rFonts w:hint="eastAsia" w:ascii="宋体" w:hAnsi="宋体" w:eastAsia="宋体" w:cs="宋体"/>
                <w:color w:val="auto"/>
                <w:sz w:val="30"/>
                <w:szCs w:val="30"/>
                <w:highlight w:val="none"/>
              </w:rPr>
            </w:pPr>
          </w:p>
        </w:tc>
        <w:tc>
          <w:tcPr>
            <w:tcW w:w="1020" w:type="dxa"/>
            <w:noWrap w:val="0"/>
            <w:vAlign w:val="top"/>
          </w:tcPr>
          <w:p w14:paraId="3BA0FCDC">
            <w:pPr>
              <w:rPr>
                <w:rFonts w:hint="eastAsia" w:ascii="宋体" w:hAnsi="宋体" w:eastAsia="宋体" w:cs="宋体"/>
                <w:color w:val="auto"/>
                <w:sz w:val="30"/>
                <w:szCs w:val="30"/>
                <w:highlight w:val="none"/>
              </w:rPr>
            </w:pPr>
          </w:p>
        </w:tc>
        <w:tc>
          <w:tcPr>
            <w:tcW w:w="1480" w:type="dxa"/>
            <w:noWrap w:val="0"/>
            <w:vAlign w:val="top"/>
          </w:tcPr>
          <w:p w14:paraId="79B0499F">
            <w:pPr>
              <w:rPr>
                <w:rFonts w:hint="eastAsia" w:ascii="宋体" w:hAnsi="宋体" w:eastAsia="宋体" w:cs="宋体"/>
                <w:color w:val="auto"/>
                <w:sz w:val="30"/>
                <w:szCs w:val="30"/>
                <w:highlight w:val="none"/>
              </w:rPr>
            </w:pPr>
          </w:p>
        </w:tc>
        <w:tc>
          <w:tcPr>
            <w:tcW w:w="1020" w:type="dxa"/>
            <w:noWrap w:val="0"/>
            <w:vAlign w:val="top"/>
          </w:tcPr>
          <w:p w14:paraId="67AED402">
            <w:pPr>
              <w:rPr>
                <w:rFonts w:hint="eastAsia" w:ascii="宋体" w:hAnsi="宋体" w:eastAsia="宋体" w:cs="宋体"/>
                <w:color w:val="auto"/>
                <w:sz w:val="30"/>
                <w:szCs w:val="30"/>
                <w:highlight w:val="none"/>
              </w:rPr>
            </w:pPr>
          </w:p>
        </w:tc>
        <w:tc>
          <w:tcPr>
            <w:tcW w:w="921" w:type="dxa"/>
            <w:noWrap w:val="0"/>
            <w:vAlign w:val="top"/>
          </w:tcPr>
          <w:p w14:paraId="2689C3BD">
            <w:pPr>
              <w:rPr>
                <w:rFonts w:hint="eastAsia" w:ascii="宋体" w:hAnsi="宋体" w:eastAsia="宋体" w:cs="宋体"/>
                <w:color w:val="auto"/>
                <w:sz w:val="30"/>
                <w:szCs w:val="30"/>
                <w:highlight w:val="none"/>
              </w:rPr>
            </w:pPr>
          </w:p>
        </w:tc>
      </w:tr>
      <w:tr w14:paraId="2D82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AB735E2">
            <w:pPr>
              <w:pStyle w:val="19"/>
              <w:keepNext/>
              <w:spacing w:after="0" w:line="440" w:lineRule="exact"/>
              <w:ind w:left="63" w:right="63"/>
              <w:rPr>
                <w:rFonts w:hint="eastAsia" w:ascii="宋体" w:hAnsi="宋体" w:eastAsia="宋体" w:cs="宋体"/>
                <w:color w:val="auto"/>
                <w:sz w:val="30"/>
                <w:szCs w:val="30"/>
                <w:highlight w:val="none"/>
              </w:rPr>
            </w:pPr>
          </w:p>
        </w:tc>
        <w:tc>
          <w:tcPr>
            <w:tcW w:w="1418" w:type="dxa"/>
            <w:noWrap w:val="0"/>
            <w:vAlign w:val="center"/>
          </w:tcPr>
          <w:p w14:paraId="1D4FB1F8">
            <w:pPr>
              <w:pStyle w:val="19"/>
              <w:keepNext/>
              <w:spacing w:after="0" w:line="440" w:lineRule="exact"/>
              <w:ind w:left="63" w:right="63"/>
              <w:rPr>
                <w:rFonts w:hint="eastAsia" w:ascii="宋体" w:hAnsi="宋体" w:eastAsia="宋体" w:cs="宋体"/>
                <w:color w:val="auto"/>
                <w:sz w:val="30"/>
                <w:szCs w:val="30"/>
                <w:highlight w:val="none"/>
              </w:rPr>
            </w:pPr>
          </w:p>
        </w:tc>
        <w:tc>
          <w:tcPr>
            <w:tcW w:w="850" w:type="dxa"/>
            <w:noWrap w:val="0"/>
            <w:vAlign w:val="center"/>
          </w:tcPr>
          <w:p w14:paraId="5F62FDE2">
            <w:pPr>
              <w:pStyle w:val="19"/>
              <w:keepNext/>
              <w:spacing w:after="0" w:line="440" w:lineRule="exact"/>
              <w:ind w:left="63" w:right="63"/>
              <w:rPr>
                <w:rFonts w:hint="eastAsia" w:ascii="宋体" w:hAnsi="宋体" w:eastAsia="宋体" w:cs="宋体"/>
                <w:color w:val="auto"/>
                <w:sz w:val="30"/>
                <w:szCs w:val="30"/>
                <w:highlight w:val="none"/>
              </w:rPr>
            </w:pPr>
          </w:p>
        </w:tc>
        <w:tc>
          <w:tcPr>
            <w:tcW w:w="1058" w:type="dxa"/>
            <w:noWrap w:val="0"/>
            <w:vAlign w:val="center"/>
          </w:tcPr>
          <w:p w14:paraId="4B923FC5">
            <w:pPr>
              <w:pStyle w:val="19"/>
              <w:keepNext/>
              <w:spacing w:after="0" w:line="440" w:lineRule="exact"/>
              <w:ind w:left="63" w:right="63"/>
              <w:rPr>
                <w:rFonts w:hint="eastAsia" w:ascii="宋体" w:hAnsi="宋体" w:eastAsia="宋体" w:cs="宋体"/>
                <w:color w:val="auto"/>
                <w:sz w:val="30"/>
                <w:szCs w:val="30"/>
                <w:highlight w:val="none"/>
              </w:rPr>
            </w:pPr>
          </w:p>
        </w:tc>
        <w:tc>
          <w:tcPr>
            <w:tcW w:w="880" w:type="dxa"/>
            <w:noWrap w:val="0"/>
            <w:vAlign w:val="center"/>
          </w:tcPr>
          <w:p w14:paraId="5BF9E636">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0FB9F83D">
            <w:pPr>
              <w:pStyle w:val="19"/>
              <w:keepNext/>
              <w:spacing w:after="0" w:line="440" w:lineRule="exact"/>
              <w:ind w:left="63" w:right="63"/>
              <w:rPr>
                <w:rFonts w:hint="eastAsia" w:ascii="宋体" w:hAnsi="宋体" w:eastAsia="宋体" w:cs="宋体"/>
                <w:color w:val="auto"/>
                <w:sz w:val="30"/>
                <w:szCs w:val="30"/>
                <w:highlight w:val="none"/>
              </w:rPr>
            </w:pPr>
          </w:p>
        </w:tc>
        <w:tc>
          <w:tcPr>
            <w:tcW w:w="1480" w:type="dxa"/>
            <w:noWrap w:val="0"/>
            <w:vAlign w:val="center"/>
          </w:tcPr>
          <w:p w14:paraId="229DCD98">
            <w:pPr>
              <w:pStyle w:val="19"/>
              <w:keepNext/>
              <w:spacing w:after="0" w:line="440" w:lineRule="exact"/>
              <w:ind w:left="63" w:right="63"/>
              <w:rPr>
                <w:rFonts w:hint="eastAsia" w:ascii="宋体" w:hAnsi="宋体" w:eastAsia="宋体" w:cs="宋体"/>
                <w:color w:val="auto"/>
                <w:sz w:val="30"/>
                <w:szCs w:val="30"/>
                <w:highlight w:val="none"/>
              </w:rPr>
            </w:pPr>
          </w:p>
        </w:tc>
        <w:tc>
          <w:tcPr>
            <w:tcW w:w="1020" w:type="dxa"/>
            <w:noWrap w:val="0"/>
            <w:vAlign w:val="center"/>
          </w:tcPr>
          <w:p w14:paraId="10881BEC">
            <w:pPr>
              <w:pStyle w:val="19"/>
              <w:keepNext/>
              <w:spacing w:after="0" w:line="440" w:lineRule="exact"/>
              <w:ind w:left="63" w:right="63"/>
              <w:rPr>
                <w:rFonts w:hint="eastAsia" w:ascii="宋体" w:hAnsi="宋体" w:eastAsia="宋体" w:cs="宋体"/>
                <w:color w:val="auto"/>
                <w:sz w:val="30"/>
                <w:szCs w:val="30"/>
                <w:highlight w:val="none"/>
              </w:rPr>
            </w:pPr>
          </w:p>
        </w:tc>
        <w:tc>
          <w:tcPr>
            <w:tcW w:w="921" w:type="dxa"/>
            <w:noWrap w:val="0"/>
            <w:vAlign w:val="center"/>
          </w:tcPr>
          <w:p w14:paraId="4E4D6EEA">
            <w:pPr>
              <w:pStyle w:val="19"/>
              <w:keepNext/>
              <w:spacing w:after="0" w:line="440" w:lineRule="exact"/>
              <w:ind w:left="63" w:right="63"/>
              <w:rPr>
                <w:rFonts w:hint="eastAsia" w:ascii="宋体" w:hAnsi="宋体" w:eastAsia="宋体" w:cs="宋体"/>
                <w:color w:val="auto"/>
                <w:sz w:val="30"/>
                <w:szCs w:val="30"/>
                <w:highlight w:val="none"/>
              </w:rPr>
            </w:pPr>
          </w:p>
        </w:tc>
      </w:tr>
      <w:tr w14:paraId="17DC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AFE2945">
            <w:pPr>
              <w:rPr>
                <w:rFonts w:hint="eastAsia" w:ascii="宋体" w:hAnsi="宋体" w:eastAsia="宋体" w:cs="宋体"/>
                <w:color w:val="auto"/>
                <w:sz w:val="30"/>
                <w:szCs w:val="30"/>
                <w:highlight w:val="none"/>
              </w:rPr>
            </w:pPr>
          </w:p>
        </w:tc>
        <w:tc>
          <w:tcPr>
            <w:tcW w:w="1418" w:type="dxa"/>
            <w:noWrap w:val="0"/>
            <w:vAlign w:val="top"/>
          </w:tcPr>
          <w:p w14:paraId="6707AD93">
            <w:pPr>
              <w:rPr>
                <w:rFonts w:hint="eastAsia" w:ascii="宋体" w:hAnsi="宋体" w:eastAsia="宋体" w:cs="宋体"/>
                <w:color w:val="auto"/>
                <w:sz w:val="30"/>
                <w:szCs w:val="30"/>
                <w:highlight w:val="none"/>
              </w:rPr>
            </w:pPr>
          </w:p>
        </w:tc>
        <w:tc>
          <w:tcPr>
            <w:tcW w:w="850" w:type="dxa"/>
            <w:noWrap w:val="0"/>
            <w:vAlign w:val="top"/>
          </w:tcPr>
          <w:p w14:paraId="3E5EFD4E">
            <w:pPr>
              <w:rPr>
                <w:rFonts w:hint="eastAsia" w:ascii="宋体" w:hAnsi="宋体" w:eastAsia="宋体" w:cs="宋体"/>
                <w:color w:val="auto"/>
                <w:sz w:val="30"/>
                <w:szCs w:val="30"/>
                <w:highlight w:val="none"/>
              </w:rPr>
            </w:pPr>
          </w:p>
        </w:tc>
        <w:tc>
          <w:tcPr>
            <w:tcW w:w="1058" w:type="dxa"/>
            <w:noWrap w:val="0"/>
            <w:vAlign w:val="top"/>
          </w:tcPr>
          <w:p w14:paraId="682374D3">
            <w:pPr>
              <w:rPr>
                <w:rFonts w:hint="eastAsia" w:ascii="宋体" w:hAnsi="宋体" w:eastAsia="宋体" w:cs="宋体"/>
                <w:color w:val="auto"/>
                <w:sz w:val="30"/>
                <w:szCs w:val="30"/>
                <w:highlight w:val="none"/>
              </w:rPr>
            </w:pPr>
          </w:p>
        </w:tc>
        <w:tc>
          <w:tcPr>
            <w:tcW w:w="880" w:type="dxa"/>
            <w:noWrap w:val="0"/>
            <w:vAlign w:val="top"/>
          </w:tcPr>
          <w:p w14:paraId="3F8434C5">
            <w:pPr>
              <w:rPr>
                <w:rFonts w:hint="eastAsia" w:ascii="宋体" w:hAnsi="宋体" w:eastAsia="宋体" w:cs="宋体"/>
                <w:color w:val="auto"/>
                <w:sz w:val="30"/>
                <w:szCs w:val="30"/>
                <w:highlight w:val="none"/>
              </w:rPr>
            </w:pPr>
          </w:p>
        </w:tc>
        <w:tc>
          <w:tcPr>
            <w:tcW w:w="1020" w:type="dxa"/>
            <w:noWrap w:val="0"/>
            <w:vAlign w:val="top"/>
          </w:tcPr>
          <w:p w14:paraId="7D50B9DC">
            <w:pPr>
              <w:rPr>
                <w:rFonts w:hint="eastAsia" w:ascii="宋体" w:hAnsi="宋体" w:eastAsia="宋体" w:cs="宋体"/>
                <w:color w:val="auto"/>
                <w:sz w:val="30"/>
                <w:szCs w:val="30"/>
                <w:highlight w:val="none"/>
              </w:rPr>
            </w:pPr>
          </w:p>
        </w:tc>
        <w:tc>
          <w:tcPr>
            <w:tcW w:w="1480" w:type="dxa"/>
            <w:noWrap w:val="0"/>
            <w:vAlign w:val="top"/>
          </w:tcPr>
          <w:p w14:paraId="6A555B81">
            <w:pPr>
              <w:rPr>
                <w:rFonts w:hint="eastAsia" w:ascii="宋体" w:hAnsi="宋体" w:eastAsia="宋体" w:cs="宋体"/>
                <w:color w:val="auto"/>
                <w:sz w:val="30"/>
                <w:szCs w:val="30"/>
                <w:highlight w:val="none"/>
              </w:rPr>
            </w:pPr>
          </w:p>
        </w:tc>
        <w:tc>
          <w:tcPr>
            <w:tcW w:w="1020" w:type="dxa"/>
            <w:noWrap w:val="0"/>
            <w:vAlign w:val="top"/>
          </w:tcPr>
          <w:p w14:paraId="4C2EBEE2">
            <w:pPr>
              <w:rPr>
                <w:rFonts w:hint="eastAsia" w:ascii="宋体" w:hAnsi="宋体" w:eastAsia="宋体" w:cs="宋体"/>
                <w:color w:val="auto"/>
                <w:sz w:val="30"/>
                <w:szCs w:val="30"/>
                <w:highlight w:val="none"/>
              </w:rPr>
            </w:pPr>
          </w:p>
        </w:tc>
        <w:tc>
          <w:tcPr>
            <w:tcW w:w="921" w:type="dxa"/>
            <w:noWrap w:val="0"/>
            <w:vAlign w:val="top"/>
          </w:tcPr>
          <w:p w14:paraId="7D826F5E">
            <w:pPr>
              <w:rPr>
                <w:rFonts w:hint="eastAsia" w:ascii="宋体" w:hAnsi="宋体" w:eastAsia="宋体" w:cs="宋体"/>
                <w:color w:val="auto"/>
                <w:sz w:val="30"/>
                <w:szCs w:val="30"/>
                <w:highlight w:val="none"/>
              </w:rPr>
            </w:pPr>
          </w:p>
        </w:tc>
      </w:tr>
      <w:tr w14:paraId="20AC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E18D3BE">
            <w:pPr>
              <w:rPr>
                <w:rFonts w:hint="eastAsia" w:ascii="宋体" w:hAnsi="宋体" w:eastAsia="宋体" w:cs="宋体"/>
                <w:color w:val="auto"/>
                <w:sz w:val="30"/>
                <w:szCs w:val="30"/>
                <w:highlight w:val="none"/>
              </w:rPr>
            </w:pPr>
          </w:p>
        </w:tc>
        <w:tc>
          <w:tcPr>
            <w:tcW w:w="1418" w:type="dxa"/>
            <w:noWrap w:val="0"/>
            <w:vAlign w:val="top"/>
          </w:tcPr>
          <w:p w14:paraId="080A62AD">
            <w:pPr>
              <w:rPr>
                <w:rFonts w:hint="eastAsia" w:ascii="宋体" w:hAnsi="宋体" w:eastAsia="宋体" w:cs="宋体"/>
                <w:color w:val="auto"/>
                <w:sz w:val="30"/>
                <w:szCs w:val="30"/>
                <w:highlight w:val="none"/>
              </w:rPr>
            </w:pPr>
          </w:p>
        </w:tc>
        <w:tc>
          <w:tcPr>
            <w:tcW w:w="850" w:type="dxa"/>
            <w:noWrap w:val="0"/>
            <w:vAlign w:val="top"/>
          </w:tcPr>
          <w:p w14:paraId="4CE7E9E7">
            <w:pPr>
              <w:rPr>
                <w:rFonts w:hint="eastAsia" w:ascii="宋体" w:hAnsi="宋体" w:eastAsia="宋体" w:cs="宋体"/>
                <w:color w:val="auto"/>
                <w:sz w:val="30"/>
                <w:szCs w:val="30"/>
                <w:highlight w:val="none"/>
              </w:rPr>
            </w:pPr>
          </w:p>
        </w:tc>
        <w:tc>
          <w:tcPr>
            <w:tcW w:w="1058" w:type="dxa"/>
            <w:noWrap w:val="0"/>
            <w:vAlign w:val="top"/>
          </w:tcPr>
          <w:p w14:paraId="160C053E">
            <w:pPr>
              <w:rPr>
                <w:rFonts w:hint="eastAsia" w:ascii="宋体" w:hAnsi="宋体" w:eastAsia="宋体" w:cs="宋体"/>
                <w:color w:val="auto"/>
                <w:sz w:val="30"/>
                <w:szCs w:val="30"/>
                <w:highlight w:val="none"/>
              </w:rPr>
            </w:pPr>
          </w:p>
        </w:tc>
        <w:tc>
          <w:tcPr>
            <w:tcW w:w="880" w:type="dxa"/>
            <w:noWrap w:val="0"/>
            <w:vAlign w:val="top"/>
          </w:tcPr>
          <w:p w14:paraId="07B88308">
            <w:pPr>
              <w:rPr>
                <w:rFonts w:hint="eastAsia" w:ascii="宋体" w:hAnsi="宋体" w:eastAsia="宋体" w:cs="宋体"/>
                <w:color w:val="auto"/>
                <w:sz w:val="30"/>
                <w:szCs w:val="30"/>
                <w:highlight w:val="none"/>
              </w:rPr>
            </w:pPr>
          </w:p>
        </w:tc>
        <w:tc>
          <w:tcPr>
            <w:tcW w:w="1020" w:type="dxa"/>
            <w:noWrap w:val="0"/>
            <w:vAlign w:val="top"/>
          </w:tcPr>
          <w:p w14:paraId="0FF4664D">
            <w:pPr>
              <w:rPr>
                <w:rFonts w:hint="eastAsia" w:ascii="宋体" w:hAnsi="宋体" w:eastAsia="宋体" w:cs="宋体"/>
                <w:color w:val="auto"/>
                <w:sz w:val="30"/>
                <w:szCs w:val="30"/>
                <w:highlight w:val="none"/>
              </w:rPr>
            </w:pPr>
          </w:p>
        </w:tc>
        <w:tc>
          <w:tcPr>
            <w:tcW w:w="1480" w:type="dxa"/>
            <w:noWrap w:val="0"/>
            <w:vAlign w:val="top"/>
          </w:tcPr>
          <w:p w14:paraId="291AE53D">
            <w:pPr>
              <w:rPr>
                <w:rFonts w:hint="eastAsia" w:ascii="宋体" w:hAnsi="宋体" w:eastAsia="宋体" w:cs="宋体"/>
                <w:color w:val="auto"/>
                <w:sz w:val="30"/>
                <w:szCs w:val="30"/>
                <w:highlight w:val="none"/>
              </w:rPr>
            </w:pPr>
          </w:p>
        </w:tc>
        <w:tc>
          <w:tcPr>
            <w:tcW w:w="1020" w:type="dxa"/>
            <w:noWrap w:val="0"/>
            <w:vAlign w:val="top"/>
          </w:tcPr>
          <w:p w14:paraId="0AF090D9">
            <w:pPr>
              <w:rPr>
                <w:rFonts w:hint="eastAsia" w:ascii="宋体" w:hAnsi="宋体" w:eastAsia="宋体" w:cs="宋体"/>
                <w:color w:val="auto"/>
                <w:sz w:val="30"/>
                <w:szCs w:val="30"/>
                <w:highlight w:val="none"/>
              </w:rPr>
            </w:pPr>
          </w:p>
        </w:tc>
        <w:tc>
          <w:tcPr>
            <w:tcW w:w="921" w:type="dxa"/>
            <w:noWrap w:val="0"/>
            <w:vAlign w:val="top"/>
          </w:tcPr>
          <w:p w14:paraId="026CFD9B">
            <w:pPr>
              <w:rPr>
                <w:rFonts w:hint="eastAsia" w:ascii="宋体" w:hAnsi="宋体" w:eastAsia="宋体" w:cs="宋体"/>
                <w:color w:val="auto"/>
                <w:sz w:val="30"/>
                <w:szCs w:val="30"/>
                <w:highlight w:val="none"/>
              </w:rPr>
            </w:pPr>
          </w:p>
        </w:tc>
      </w:tr>
      <w:tr w14:paraId="4325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B2F8E6B">
            <w:pPr>
              <w:rPr>
                <w:rFonts w:hint="eastAsia" w:ascii="宋体" w:hAnsi="宋体" w:eastAsia="宋体" w:cs="宋体"/>
                <w:color w:val="auto"/>
                <w:sz w:val="30"/>
                <w:szCs w:val="30"/>
                <w:highlight w:val="none"/>
              </w:rPr>
            </w:pPr>
          </w:p>
        </w:tc>
        <w:tc>
          <w:tcPr>
            <w:tcW w:w="1418" w:type="dxa"/>
            <w:noWrap w:val="0"/>
            <w:vAlign w:val="top"/>
          </w:tcPr>
          <w:p w14:paraId="63F6637A">
            <w:pPr>
              <w:rPr>
                <w:rFonts w:hint="eastAsia" w:ascii="宋体" w:hAnsi="宋体" w:eastAsia="宋体" w:cs="宋体"/>
                <w:color w:val="auto"/>
                <w:sz w:val="30"/>
                <w:szCs w:val="30"/>
                <w:highlight w:val="none"/>
              </w:rPr>
            </w:pPr>
          </w:p>
        </w:tc>
        <w:tc>
          <w:tcPr>
            <w:tcW w:w="850" w:type="dxa"/>
            <w:noWrap w:val="0"/>
            <w:vAlign w:val="top"/>
          </w:tcPr>
          <w:p w14:paraId="5D5A7494">
            <w:pPr>
              <w:rPr>
                <w:rFonts w:hint="eastAsia" w:ascii="宋体" w:hAnsi="宋体" w:eastAsia="宋体" w:cs="宋体"/>
                <w:color w:val="auto"/>
                <w:sz w:val="30"/>
                <w:szCs w:val="30"/>
                <w:highlight w:val="none"/>
              </w:rPr>
            </w:pPr>
          </w:p>
        </w:tc>
        <w:tc>
          <w:tcPr>
            <w:tcW w:w="1058" w:type="dxa"/>
            <w:noWrap w:val="0"/>
            <w:vAlign w:val="top"/>
          </w:tcPr>
          <w:p w14:paraId="7BA8CA41">
            <w:pPr>
              <w:rPr>
                <w:rFonts w:hint="eastAsia" w:ascii="宋体" w:hAnsi="宋体" w:eastAsia="宋体" w:cs="宋体"/>
                <w:color w:val="auto"/>
                <w:sz w:val="30"/>
                <w:szCs w:val="30"/>
                <w:highlight w:val="none"/>
              </w:rPr>
            </w:pPr>
          </w:p>
        </w:tc>
        <w:tc>
          <w:tcPr>
            <w:tcW w:w="880" w:type="dxa"/>
            <w:noWrap w:val="0"/>
            <w:vAlign w:val="top"/>
          </w:tcPr>
          <w:p w14:paraId="427E56B0">
            <w:pPr>
              <w:rPr>
                <w:rFonts w:hint="eastAsia" w:ascii="宋体" w:hAnsi="宋体" w:eastAsia="宋体" w:cs="宋体"/>
                <w:color w:val="auto"/>
                <w:sz w:val="30"/>
                <w:szCs w:val="30"/>
                <w:highlight w:val="none"/>
              </w:rPr>
            </w:pPr>
          </w:p>
        </w:tc>
        <w:tc>
          <w:tcPr>
            <w:tcW w:w="1020" w:type="dxa"/>
            <w:noWrap w:val="0"/>
            <w:vAlign w:val="top"/>
          </w:tcPr>
          <w:p w14:paraId="29EC7207">
            <w:pPr>
              <w:rPr>
                <w:rFonts w:hint="eastAsia" w:ascii="宋体" w:hAnsi="宋体" w:eastAsia="宋体" w:cs="宋体"/>
                <w:color w:val="auto"/>
                <w:sz w:val="30"/>
                <w:szCs w:val="30"/>
                <w:highlight w:val="none"/>
              </w:rPr>
            </w:pPr>
          </w:p>
        </w:tc>
        <w:tc>
          <w:tcPr>
            <w:tcW w:w="1480" w:type="dxa"/>
            <w:noWrap w:val="0"/>
            <w:vAlign w:val="top"/>
          </w:tcPr>
          <w:p w14:paraId="25A61D66">
            <w:pPr>
              <w:rPr>
                <w:rFonts w:hint="eastAsia" w:ascii="宋体" w:hAnsi="宋体" w:eastAsia="宋体" w:cs="宋体"/>
                <w:color w:val="auto"/>
                <w:sz w:val="30"/>
                <w:szCs w:val="30"/>
                <w:highlight w:val="none"/>
              </w:rPr>
            </w:pPr>
          </w:p>
        </w:tc>
        <w:tc>
          <w:tcPr>
            <w:tcW w:w="1020" w:type="dxa"/>
            <w:noWrap w:val="0"/>
            <w:vAlign w:val="top"/>
          </w:tcPr>
          <w:p w14:paraId="799AC2FE">
            <w:pPr>
              <w:rPr>
                <w:rFonts w:hint="eastAsia" w:ascii="宋体" w:hAnsi="宋体" w:eastAsia="宋体" w:cs="宋体"/>
                <w:color w:val="auto"/>
                <w:sz w:val="30"/>
                <w:szCs w:val="30"/>
                <w:highlight w:val="none"/>
              </w:rPr>
            </w:pPr>
          </w:p>
        </w:tc>
        <w:tc>
          <w:tcPr>
            <w:tcW w:w="921" w:type="dxa"/>
            <w:noWrap w:val="0"/>
            <w:vAlign w:val="top"/>
          </w:tcPr>
          <w:p w14:paraId="3D0B98DE">
            <w:pPr>
              <w:rPr>
                <w:rFonts w:hint="eastAsia" w:ascii="宋体" w:hAnsi="宋体" w:eastAsia="宋体" w:cs="宋体"/>
                <w:color w:val="auto"/>
                <w:sz w:val="30"/>
                <w:szCs w:val="30"/>
                <w:highlight w:val="none"/>
              </w:rPr>
            </w:pPr>
          </w:p>
        </w:tc>
      </w:tr>
      <w:tr w14:paraId="7B5D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C9C0088">
            <w:pPr>
              <w:rPr>
                <w:rFonts w:hint="eastAsia" w:ascii="宋体" w:hAnsi="宋体" w:eastAsia="宋体" w:cs="宋体"/>
                <w:color w:val="auto"/>
                <w:sz w:val="30"/>
                <w:szCs w:val="30"/>
                <w:highlight w:val="none"/>
              </w:rPr>
            </w:pPr>
          </w:p>
        </w:tc>
        <w:tc>
          <w:tcPr>
            <w:tcW w:w="1418" w:type="dxa"/>
            <w:noWrap w:val="0"/>
            <w:vAlign w:val="top"/>
          </w:tcPr>
          <w:p w14:paraId="46598033">
            <w:pPr>
              <w:rPr>
                <w:rFonts w:hint="eastAsia" w:ascii="宋体" w:hAnsi="宋体" w:eastAsia="宋体" w:cs="宋体"/>
                <w:color w:val="auto"/>
                <w:sz w:val="30"/>
                <w:szCs w:val="30"/>
                <w:highlight w:val="none"/>
              </w:rPr>
            </w:pPr>
          </w:p>
        </w:tc>
        <w:tc>
          <w:tcPr>
            <w:tcW w:w="850" w:type="dxa"/>
            <w:noWrap w:val="0"/>
            <w:vAlign w:val="top"/>
          </w:tcPr>
          <w:p w14:paraId="6E59B61A">
            <w:pPr>
              <w:rPr>
                <w:rFonts w:hint="eastAsia" w:ascii="宋体" w:hAnsi="宋体" w:eastAsia="宋体" w:cs="宋体"/>
                <w:color w:val="auto"/>
                <w:sz w:val="30"/>
                <w:szCs w:val="30"/>
                <w:highlight w:val="none"/>
              </w:rPr>
            </w:pPr>
          </w:p>
        </w:tc>
        <w:tc>
          <w:tcPr>
            <w:tcW w:w="1058" w:type="dxa"/>
            <w:noWrap w:val="0"/>
            <w:vAlign w:val="top"/>
          </w:tcPr>
          <w:p w14:paraId="1F17212B">
            <w:pPr>
              <w:rPr>
                <w:rFonts w:hint="eastAsia" w:ascii="宋体" w:hAnsi="宋体" w:eastAsia="宋体" w:cs="宋体"/>
                <w:color w:val="auto"/>
                <w:sz w:val="30"/>
                <w:szCs w:val="30"/>
                <w:highlight w:val="none"/>
              </w:rPr>
            </w:pPr>
          </w:p>
        </w:tc>
        <w:tc>
          <w:tcPr>
            <w:tcW w:w="880" w:type="dxa"/>
            <w:noWrap w:val="0"/>
            <w:vAlign w:val="top"/>
          </w:tcPr>
          <w:p w14:paraId="2ED0C4AB">
            <w:pPr>
              <w:rPr>
                <w:rFonts w:hint="eastAsia" w:ascii="宋体" w:hAnsi="宋体" w:eastAsia="宋体" w:cs="宋体"/>
                <w:color w:val="auto"/>
                <w:sz w:val="30"/>
                <w:szCs w:val="30"/>
                <w:highlight w:val="none"/>
              </w:rPr>
            </w:pPr>
          </w:p>
        </w:tc>
        <w:tc>
          <w:tcPr>
            <w:tcW w:w="1020" w:type="dxa"/>
            <w:noWrap w:val="0"/>
            <w:vAlign w:val="top"/>
          </w:tcPr>
          <w:p w14:paraId="5C91B941">
            <w:pPr>
              <w:rPr>
                <w:rFonts w:hint="eastAsia" w:ascii="宋体" w:hAnsi="宋体" w:eastAsia="宋体" w:cs="宋体"/>
                <w:color w:val="auto"/>
                <w:sz w:val="30"/>
                <w:szCs w:val="30"/>
                <w:highlight w:val="none"/>
              </w:rPr>
            </w:pPr>
          </w:p>
        </w:tc>
        <w:tc>
          <w:tcPr>
            <w:tcW w:w="1480" w:type="dxa"/>
            <w:noWrap w:val="0"/>
            <w:vAlign w:val="top"/>
          </w:tcPr>
          <w:p w14:paraId="4DEA8150">
            <w:pPr>
              <w:rPr>
                <w:rFonts w:hint="eastAsia" w:ascii="宋体" w:hAnsi="宋体" w:eastAsia="宋体" w:cs="宋体"/>
                <w:color w:val="auto"/>
                <w:sz w:val="30"/>
                <w:szCs w:val="30"/>
                <w:highlight w:val="none"/>
              </w:rPr>
            </w:pPr>
          </w:p>
        </w:tc>
        <w:tc>
          <w:tcPr>
            <w:tcW w:w="1020" w:type="dxa"/>
            <w:noWrap w:val="0"/>
            <w:vAlign w:val="top"/>
          </w:tcPr>
          <w:p w14:paraId="147EA085">
            <w:pPr>
              <w:rPr>
                <w:rFonts w:hint="eastAsia" w:ascii="宋体" w:hAnsi="宋体" w:eastAsia="宋体" w:cs="宋体"/>
                <w:color w:val="auto"/>
                <w:sz w:val="30"/>
                <w:szCs w:val="30"/>
                <w:highlight w:val="none"/>
              </w:rPr>
            </w:pPr>
          </w:p>
        </w:tc>
        <w:tc>
          <w:tcPr>
            <w:tcW w:w="921" w:type="dxa"/>
            <w:noWrap w:val="0"/>
            <w:vAlign w:val="top"/>
          </w:tcPr>
          <w:p w14:paraId="45D14EEC">
            <w:pPr>
              <w:rPr>
                <w:rFonts w:hint="eastAsia" w:ascii="宋体" w:hAnsi="宋体" w:eastAsia="宋体" w:cs="宋体"/>
                <w:color w:val="auto"/>
                <w:sz w:val="30"/>
                <w:szCs w:val="30"/>
                <w:highlight w:val="none"/>
              </w:rPr>
            </w:pPr>
          </w:p>
        </w:tc>
      </w:tr>
      <w:tr w14:paraId="4E38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B44D8CC">
            <w:pPr>
              <w:rPr>
                <w:rFonts w:hint="eastAsia" w:ascii="宋体" w:hAnsi="宋体" w:eastAsia="宋体" w:cs="宋体"/>
                <w:color w:val="auto"/>
                <w:sz w:val="30"/>
                <w:szCs w:val="30"/>
                <w:highlight w:val="none"/>
              </w:rPr>
            </w:pPr>
          </w:p>
        </w:tc>
        <w:tc>
          <w:tcPr>
            <w:tcW w:w="1418" w:type="dxa"/>
            <w:noWrap w:val="0"/>
            <w:vAlign w:val="top"/>
          </w:tcPr>
          <w:p w14:paraId="5F681608">
            <w:pPr>
              <w:rPr>
                <w:rFonts w:hint="eastAsia" w:ascii="宋体" w:hAnsi="宋体" w:eastAsia="宋体" w:cs="宋体"/>
                <w:color w:val="auto"/>
                <w:sz w:val="30"/>
                <w:szCs w:val="30"/>
                <w:highlight w:val="none"/>
              </w:rPr>
            </w:pPr>
          </w:p>
        </w:tc>
        <w:tc>
          <w:tcPr>
            <w:tcW w:w="850" w:type="dxa"/>
            <w:noWrap w:val="0"/>
            <w:vAlign w:val="top"/>
          </w:tcPr>
          <w:p w14:paraId="49828166">
            <w:pPr>
              <w:rPr>
                <w:rFonts w:hint="eastAsia" w:ascii="宋体" w:hAnsi="宋体" w:eastAsia="宋体" w:cs="宋体"/>
                <w:color w:val="auto"/>
                <w:sz w:val="30"/>
                <w:szCs w:val="30"/>
                <w:highlight w:val="none"/>
              </w:rPr>
            </w:pPr>
          </w:p>
        </w:tc>
        <w:tc>
          <w:tcPr>
            <w:tcW w:w="1058" w:type="dxa"/>
            <w:noWrap w:val="0"/>
            <w:vAlign w:val="top"/>
          </w:tcPr>
          <w:p w14:paraId="2CA91F59">
            <w:pPr>
              <w:rPr>
                <w:rFonts w:hint="eastAsia" w:ascii="宋体" w:hAnsi="宋体" w:eastAsia="宋体" w:cs="宋体"/>
                <w:color w:val="auto"/>
                <w:sz w:val="30"/>
                <w:szCs w:val="30"/>
                <w:highlight w:val="none"/>
              </w:rPr>
            </w:pPr>
          </w:p>
        </w:tc>
        <w:tc>
          <w:tcPr>
            <w:tcW w:w="880" w:type="dxa"/>
            <w:noWrap w:val="0"/>
            <w:vAlign w:val="top"/>
          </w:tcPr>
          <w:p w14:paraId="15A1601B">
            <w:pPr>
              <w:rPr>
                <w:rFonts w:hint="eastAsia" w:ascii="宋体" w:hAnsi="宋体" w:eastAsia="宋体" w:cs="宋体"/>
                <w:color w:val="auto"/>
                <w:sz w:val="30"/>
                <w:szCs w:val="30"/>
                <w:highlight w:val="none"/>
              </w:rPr>
            </w:pPr>
          </w:p>
        </w:tc>
        <w:tc>
          <w:tcPr>
            <w:tcW w:w="1020" w:type="dxa"/>
            <w:noWrap w:val="0"/>
            <w:vAlign w:val="top"/>
          </w:tcPr>
          <w:p w14:paraId="781C908D">
            <w:pPr>
              <w:rPr>
                <w:rFonts w:hint="eastAsia" w:ascii="宋体" w:hAnsi="宋体" w:eastAsia="宋体" w:cs="宋体"/>
                <w:color w:val="auto"/>
                <w:sz w:val="30"/>
                <w:szCs w:val="30"/>
                <w:highlight w:val="none"/>
              </w:rPr>
            </w:pPr>
          </w:p>
        </w:tc>
        <w:tc>
          <w:tcPr>
            <w:tcW w:w="1480" w:type="dxa"/>
            <w:noWrap w:val="0"/>
            <w:vAlign w:val="top"/>
          </w:tcPr>
          <w:p w14:paraId="7D343296">
            <w:pPr>
              <w:rPr>
                <w:rFonts w:hint="eastAsia" w:ascii="宋体" w:hAnsi="宋体" w:eastAsia="宋体" w:cs="宋体"/>
                <w:color w:val="auto"/>
                <w:sz w:val="30"/>
                <w:szCs w:val="30"/>
                <w:highlight w:val="none"/>
              </w:rPr>
            </w:pPr>
          </w:p>
        </w:tc>
        <w:tc>
          <w:tcPr>
            <w:tcW w:w="1020" w:type="dxa"/>
            <w:noWrap w:val="0"/>
            <w:vAlign w:val="top"/>
          </w:tcPr>
          <w:p w14:paraId="2AC8C6F1">
            <w:pPr>
              <w:rPr>
                <w:rFonts w:hint="eastAsia" w:ascii="宋体" w:hAnsi="宋体" w:eastAsia="宋体" w:cs="宋体"/>
                <w:color w:val="auto"/>
                <w:sz w:val="30"/>
                <w:szCs w:val="30"/>
                <w:highlight w:val="none"/>
              </w:rPr>
            </w:pPr>
          </w:p>
        </w:tc>
        <w:tc>
          <w:tcPr>
            <w:tcW w:w="921" w:type="dxa"/>
            <w:noWrap w:val="0"/>
            <w:vAlign w:val="top"/>
          </w:tcPr>
          <w:p w14:paraId="01976583">
            <w:pPr>
              <w:rPr>
                <w:rFonts w:hint="eastAsia" w:ascii="宋体" w:hAnsi="宋体" w:eastAsia="宋体" w:cs="宋体"/>
                <w:color w:val="auto"/>
                <w:sz w:val="30"/>
                <w:szCs w:val="30"/>
                <w:highlight w:val="none"/>
              </w:rPr>
            </w:pPr>
          </w:p>
        </w:tc>
      </w:tr>
      <w:tr w14:paraId="05EB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CC1C32A">
            <w:pPr>
              <w:rPr>
                <w:rFonts w:hint="eastAsia" w:ascii="宋体" w:hAnsi="宋体" w:eastAsia="宋体" w:cs="宋体"/>
                <w:color w:val="auto"/>
                <w:sz w:val="30"/>
                <w:szCs w:val="30"/>
                <w:highlight w:val="none"/>
              </w:rPr>
            </w:pPr>
          </w:p>
        </w:tc>
        <w:tc>
          <w:tcPr>
            <w:tcW w:w="1418" w:type="dxa"/>
            <w:noWrap w:val="0"/>
            <w:vAlign w:val="top"/>
          </w:tcPr>
          <w:p w14:paraId="4F18C885">
            <w:pPr>
              <w:rPr>
                <w:rFonts w:hint="eastAsia" w:ascii="宋体" w:hAnsi="宋体" w:eastAsia="宋体" w:cs="宋体"/>
                <w:color w:val="auto"/>
                <w:sz w:val="30"/>
                <w:szCs w:val="30"/>
                <w:highlight w:val="none"/>
              </w:rPr>
            </w:pPr>
          </w:p>
        </w:tc>
        <w:tc>
          <w:tcPr>
            <w:tcW w:w="850" w:type="dxa"/>
            <w:noWrap w:val="0"/>
            <w:vAlign w:val="top"/>
          </w:tcPr>
          <w:p w14:paraId="7F080A2B">
            <w:pPr>
              <w:rPr>
                <w:rFonts w:hint="eastAsia" w:ascii="宋体" w:hAnsi="宋体" w:eastAsia="宋体" w:cs="宋体"/>
                <w:color w:val="auto"/>
                <w:sz w:val="30"/>
                <w:szCs w:val="30"/>
                <w:highlight w:val="none"/>
              </w:rPr>
            </w:pPr>
          </w:p>
        </w:tc>
        <w:tc>
          <w:tcPr>
            <w:tcW w:w="1058" w:type="dxa"/>
            <w:noWrap w:val="0"/>
            <w:vAlign w:val="top"/>
          </w:tcPr>
          <w:p w14:paraId="5EE53339">
            <w:pPr>
              <w:rPr>
                <w:rFonts w:hint="eastAsia" w:ascii="宋体" w:hAnsi="宋体" w:eastAsia="宋体" w:cs="宋体"/>
                <w:color w:val="auto"/>
                <w:sz w:val="30"/>
                <w:szCs w:val="30"/>
                <w:highlight w:val="none"/>
              </w:rPr>
            </w:pPr>
          </w:p>
        </w:tc>
        <w:tc>
          <w:tcPr>
            <w:tcW w:w="880" w:type="dxa"/>
            <w:noWrap w:val="0"/>
            <w:vAlign w:val="top"/>
          </w:tcPr>
          <w:p w14:paraId="579F4526">
            <w:pPr>
              <w:rPr>
                <w:rFonts w:hint="eastAsia" w:ascii="宋体" w:hAnsi="宋体" w:eastAsia="宋体" w:cs="宋体"/>
                <w:color w:val="auto"/>
                <w:sz w:val="30"/>
                <w:szCs w:val="30"/>
                <w:highlight w:val="none"/>
              </w:rPr>
            </w:pPr>
          </w:p>
        </w:tc>
        <w:tc>
          <w:tcPr>
            <w:tcW w:w="1020" w:type="dxa"/>
            <w:noWrap w:val="0"/>
            <w:vAlign w:val="top"/>
          </w:tcPr>
          <w:p w14:paraId="3BC8661C">
            <w:pPr>
              <w:rPr>
                <w:rFonts w:hint="eastAsia" w:ascii="宋体" w:hAnsi="宋体" w:eastAsia="宋体" w:cs="宋体"/>
                <w:color w:val="auto"/>
                <w:sz w:val="30"/>
                <w:szCs w:val="30"/>
                <w:highlight w:val="none"/>
              </w:rPr>
            </w:pPr>
          </w:p>
        </w:tc>
        <w:tc>
          <w:tcPr>
            <w:tcW w:w="1480" w:type="dxa"/>
            <w:noWrap w:val="0"/>
            <w:vAlign w:val="top"/>
          </w:tcPr>
          <w:p w14:paraId="57D5F949">
            <w:pPr>
              <w:rPr>
                <w:rFonts w:hint="eastAsia" w:ascii="宋体" w:hAnsi="宋体" w:eastAsia="宋体" w:cs="宋体"/>
                <w:color w:val="auto"/>
                <w:sz w:val="30"/>
                <w:szCs w:val="30"/>
                <w:highlight w:val="none"/>
              </w:rPr>
            </w:pPr>
          </w:p>
        </w:tc>
        <w:tc>
          <w:tcPr>
            <w:tcW w:w="1020" w:type="dxa"/>
            <w:noWrap w:val="0"/>
            <w:vAlign w:val="top"/>
          </w:tcPr>
          <w:p w14:paraId="695BCD0A">
            <w:pPr>
              <w:rPr>
                <w:rFonts w:hint="eastAsia" w:ascii="宋体" w:hAnsi="宋体" w:eastAsia="宋体" w:cs="宋体"/>
                <w:color w:val="auto"/>
                <w:sz w:val="30"/>
                <w:szCs w:val="30"/>
                <w:highlight w:val="none"/>
              </w:rPr>
            </w:pPr>
          </w:p>
        </w:tc>
        <w:tc>
          <w:tcPr>
            <w:tcW w:w="921" w:type="dxa"/>
            <w:noWrap w:val="0"/>
            <w:vAlign w:val="top"/>
          </w:tcPr>
          <w:p w14:paraId="05B32A4A">
            <w:pPr>
              <w:rPr>
                <w:rFonts w:hint="eastAsia" w:ascii="宋体" w:hAnsi="宋体" w:eastAsia="宋体" w:cs="宋体"/>
                <w:color w:val="auto"/>
                <w:sz w:val="30"/>
                <w:szCs w:val="30"/>
                <w:highlight w:val="none"/>
              </w:rPr>
            </w:pPr>
          </w:p>
        </w:tc>
      </w:tr>
      <w:tr w14:paraId="44AD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3595080">
            <w:pPr>
              <w:rPr>
                <w:rFonts w:hint="eastAsia" w:ascii="宋体" w:hAnsi="宋体" w:eastAsia="宋体" w:cs="宋体"/>
                <w:color w:val="auto"/>
                <w:sz w:val="30"/>
                <w:szCs w:val="30"/>
                <w:highlight w:val="none"/>
              </w:rPr>
            </w:pPr>
          </w:p>
        </w:tc>
        <w:tc>
          <w:tcPr>
            <w:tcW w:w="1418" w:type="dxa"/>
            <w:noWrap w:val="0"/>
            <w:vAlign w:val="top"/>
          </w:tcPr>
          <w:p w14:paraId="3AF3A61C">
            <w:pPr>
              <w:rPr>
                <w:rFonts w:hint="eastAsia" w:ascii="宋体" w:hAnsi="宋体" w:eastAsia="宋体" w:cs="宋体"/>
                <w:color w:val="auto"/>
                <w:sz w:val="30"/>
                <w:szCs w:val="30"/>
                <w:highlight w:val="none"/>
              </w:rPr>
            </w:pPr>
          </w:p>
        </w:tc>
        <w:tc>
          <w:tcPr>
            <w:tcW w:w="850" w:type="dxa"/>
            <w:noWrap w:val="0"/>
            <w:vAlign w:val="top"/>
          </w:tcPr>
          <w:p w14:paraId="17C89756">
            <w:pPr>
              <w:rPr>
                <w:rFonts w:hint="eastAsia" w:ascii="宋体" w:hAnsi="宋体" w:eastAsia="宋体" w:cs="宋体"/>
                <w:color w:val="auto"/>
                <w:sz w:val="30"/>
                <w:szCs w:val="30"/>
                <w:highlight w:val="none"/>
              </w:rPr>
            </w:pPr>
          </w:p>
        </w:tc>
        <w:tc>
          <w:tcPr>
            <w:tcW w:w="1058" w:type="dxa"/>
            <w:noWrap w:val="0"/>
            <w:vAlign w:val="top"/>
          </w:tcPr>
          <w:p w14:paraId="07E17849">
            <w:pPr>
              <w:rPr>
                <w:rFonts w:hint="eastAsia" w:ascii="宋体" w:hAnsi="宋体" w:eastAsia="宋体" w:cs="宋体"/>
                <w:color w:val="auto"/>
                <w:sz w:val="30"/>
                <w:szCs w:val="30"/>
                <w:highlight w:val="none"/>
              </w:rPr>
            </w:pPr>
          </w:p>
        </w:tc>
        <w:tc>
          <w:tcPr>
            <w:tcW w:w="880" w:type="dxa"/>
            <w:noWrap w:val="0"/>
            <w:vAlign w:val="top"/>
          </w:tcPr>
          <w:p w14:paraId="600339AF">
            <w:pPr>
              <w:rPr>
                <w:rFonts w:hint="eastAsia" w:ascii="宋体" w:hAnsi="宋体" w:eastAsia="宋体" w:cs="宋体"/>
                <w:color w:val="auto"/>
                <w:sz w:val="30"/>
                <w:szCs w:val="30"/>
                <w:highlight w:val="none"/>
              </w:rPr>
            </w:pPr>
          </w:p>
        </w:tc>
        <w:tc>
          <w:tcPr>
            <w:tcW w:w="1020" w:type="dxa"/>
            <w:noWrap w:val="0"/>
            <w:vAlign w:val="top"/>
          </w:tcPr>
          <w:p w14:paraId="6BF932CE">
            <w:pPr>
              <w:rPr>
                <w:rFonts w:hint="eastAsia" w:ascii="宋体" w:hAnsi="宋体" w:eastAsia="宋体" w:cs="宋体"/>
                <w:color w:val="auto"/>
                <w:sz w:val="30"/>
                <w:szCs w:val="30"/>
                <w:highlight w:val="none"/>
              </w:rPr>
            </w:pPr>
          </w:p>
        </w:tc>
        <w:tc>
          <w:tcPr>
            <w:tcW w:w="1480" w:type="dxa"/>
            <w:noWrap w:val="0"/>
            <w:vAlign w:val="top"/>
          </w:tcPr>
          <w:p w14:paraId="5AF55E34">
            <w:pPr>
              <w:rPr>
                <w:rFonts w:hint="eastAsia" w:ascii="宋体" w:hAnsi="宋体" w:eastAsia="宋体" w:cs="宋体"/>
                <w:color w:val="auto"/>
                <w:sz w:val="30"/>
                <w:szCs w:val="30"/>
                <w:highlight w:val="none"/>
              </w:rPr>
            </w:pPr>
          </w:p>
        </w:tc>
        <w:tc>
          <w:tcPr>
            <w:tcW w:w="1020" w:type="dxa"/>
            <w:noWrap w:val="0"/>
            <w:vAlign w:val="top"/>
          </w:tcPr>
          <w:p w14:paraId="77144B22">
            <w:pPr>
              <w:rPr>
                <w:rFonts w:hint="eastAsia" w:ascii="宋体" w:hAnsi="宋体" w:eastAsia="宋体" w:cs="宋体"/>
                <w:color w:val="auto"/>
                <w:sz w:val="30"/>
                <w:szCs w:val="30"/>
                <w:highlight w:val="none"/>
              </w:rPr>
            </w:pPr>
          </w:p>
        </w:tc>
        <w:tc>
          <w:tcPr>
            <w:tcW w:w="921" w:type="dxa"/>
            <w:noWrap w:val="0"/>
            <w:vAlign w:val="top"/>
          </w:tcPr>
          <w:p w14:paraId="17EA1B2A">
            <w:pPr>
              <w:rPr>
                <w:rFonts w:hint="eastAsia" w:ascii="宋体" w:hAnsi="宋体" w:eastAsia="宋体" w:cs="宋体"/>
                <w:color w:val="auto"/>
                <w:sz w:val="30"/>
                <w:szCs w:val="30"/>
                <w:highlight w:val="none"/>
              </w:rPr>
            </w:pPr>
          </w:p>
        </w:tc>
      </w:tr>
      <w:tr w14:paraId="72AD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BCBD63E">
            <w:pPr>
              <w:rPr>
                <w:rFonts w:hint="eastAsia" w:ascii="宋体" w:hAnsi="宋体" w:eastAsia="宋体" w:cs="宋体"/>
                <w:color w:val="auto"/>
                <w:sz w:val="30"/>
                <w:szCs w:val="30"/>
                <w:highlight w:val="none"/>
              </w:rPr>
            </w:pPr>
          </w:p>
        </w:tc>
        <w:tc>
          <w:tcPr>
            <w:tcW w:w="1418" w:type="dxa"/>
            <w:noWrap w:val="0"/>
            <w:vAlign w:val="top"/>
          </w:tcPr>
          <w:p w14:paraId="2CCE90FA">
            <w:pPr>
              <w:rPr>
                <w:rFonts w:hint="eastAsia" w:ascii="宋体" w:hAnsi="宋体" w:eastAsia="宋体" w:cs="宋体"/>
                <w:color w:val="auto"/>
                <w:sz w:val="30"/>
                <w:szCs w:val="30"/>
                <w:highlight w:val="none"/>
              </w:rPr>
            </w:pPr>
          </w:p>
        </w:tc>
        <w:tc>
          <w:tcPr>
            <w:tcW w:w="850" w:type="dxa"/>
            <w:noWrap w:val="0"/>
            <w:vAlign w:val="top"/>
          </w:tcPr>
          <w:p w14:paraId="0960258D">
            <w:pPr>
              <w:rPr>
                <w:rFonts w:hint="eastAsia" w:ascii="宋体" w:hAnsi="宋体" w:eastAsia="宋体" w:cs="宋体"/>
                <w:color w:val="auto"/>
                <w:sz w:val="30"/>
                <w:szCs w:val="30"/>
                <w:highlight w:val="none"/>
              </w:rPr>
            </w:pPr>
          </w:p>
        </w:tc>
        <w:tc>
          <w:tcPr>
            <w:tcW w:w="1058" w:type="dxa"/>
            <w:noWrap w:val="0"/>
            <w:vAlign w:val="top"/>
          </w:tcPr>
          <w:p w14:paraId="5EE68CEC">
            <w:pPr>
              <w:rPr>
                <w:rFonts w:hint="eastAsia" w:ascii="宋体" w:hAnsi="宋体" w:eastAsia="宋体" w:cs="宋体"/>
                <w:color w:val="auto"/>
                <w:sz w:val="30"/>
                <w:szCs w:val="30"/>
                <w:highlight w:val="none"/>
              </w:rPr>
            </w:pPr>
          </w:p>
        </w:tc>
        <w:tc>
          <w:tcPr>
            <w:tcW w:w="880" w:type="dxa"/>
            <w:noWrap w:val="0"/>
            <w:vAlign w:val="top"/>
          </w:tcPr>
          <w:p w14:paraId="6CCBFC0F">
            <w:pPr>
              <w:rPr>
                <w:rFonts w:hint="eastAsia" w:ascii="宋体" w:hAnsi="宋体" w:eastAsia="宋体" w:cs="宋体"/>
                <w:color w:val="auto"/>
                <w:sz w:val="30"/>
                <w:szCs w:val="30"/>
                <w:highlight w:val="none"/>
              </w:rPr>
            </w:pPr>
          </w:p>
        </w:tc>
        <w:tc>
          <w:tcPr>
            <w:tcW w:w="1020" w:type="dxa"/>
            <w:noWrap w:val="0"/>
            <w:vAlign w:val="top"/>
          </w:tcPr>
          <w:p w14:paraId="592C0BDC">
            <w:pPr>
              <w:rPr>
                <w:rFonts w:hint="eastAsia" w:ascii="宋体" w:hAnsi="宋体" w:eastAsia="宋体" w:cs="宋体"/>
                <w:color w:val="auto"/>
                <w:sz w:val="30"/>
                <w:szCs w:val="30"/>
                <w:highlight w:val="none"/>
              </w:rPr>
            </w:pPr>
          </w:p>
        </w:tc>
        <w:tc>
          <w:tcPr>
            <w:tcW w:w="1480" w:type="dxa"/>
            <w:noWrap w:val="0"/>
            <w:vAlign w:val="top"/>
          </w:tcPr>
          <w:p w14:paraId="0F42CA2F">
            <w:pPr>
              <w:rPr>
                <w:rFonts w:hint="eastAsia" w:ascii="宋体" w:hAnsi="宋体" w:eastAsia="宋体" w:cs="宋体"/>
                <w:color w:val="auto"/>
                <w:sz w:val="30"/>
                <w:szCs w:val="30"/>
                <w:highlight w:val="none"/>
              </w:rPr>
            </w:pPr>
          </w:p>
        </w:tc>
        <w:tc>
          <w:tcPr>
            <w:tcW w:w="1020" w:type="dxa"/>
            <w:noWrap w:val="0"/>
            <w:vAlign w:val="top"/>
          </w:tcPr>
          <w:p w14:paraId="60DA05DC">
            <w:pPr>
              <w:rPr>
                <w:rFonts w:hint="eastAsia" w:ascii="宋体" w:hAnsi="宋体" w:eastAsia="宋体" w:cs="宋体"/>
                <w:color w:val="auto"/>
                <w:sz w:val="30"/>
                <w:szCs w:val="30"/>
                <w:highlight w:val="none"/>
              </w:rPr>
            </w:pPr>
          </w:p>
        </w:tc>
        <w:tc>
          <w:tcPr>
            <w:tcW w:w="921" w:type="dxa"/>
            <w:noWrap w:val="0"/>
            <w:vAlign w:val="top"/>
          </w:tcPr>
          <w:p w14:paraId="27879B9C">
            <w:pPr>
              <w:rPr>
                <w:rFonts w:hint="eastAsia" w:ascii="宋体" w:hAnsi="宋体" w:eastAsia="宋体" w:cs="宋体"/>
                <w:color w:val="auto"/>
                <w:sz w:val="30"/>
                <w:szCs w:val="30"/>
                <w:highlight w:val="none"/>
              </w:rPr>
            </w:pPr>
          </w:p>
        </w:tc>
      </w:tr>
      <w:tr w14:paraId="5597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5D287DD">
            <w:pPr>
              <w:rPr>
                <w:rFonts w:hint="eastAsia" w:ascii="宋体" w:hAnsi="宋体" w:eastAsia="宋体" w:cs="宋体"/>
                <w:color w:val="auto"/>
                <w:sz w:val="30"/>
                <w:szCs w:val="30"/>
                <w:highlight w:val="none"/>
              </w:rPr>
            </w:pPr>
          </w:p>
        </w:tc>
        <w:tc>
          <w:tcPr>
            <w:tcW w:w="1418" w:type="dxa"/>
            <w:noWrap w:val="0"/>
            <w:vAlign w:val="top"/>
          </w:tcPr>
          <w:p w14:paraId="4A9A00F1">
            <w:pPr>
              <w:rPr>
                <w:rFonts w:hint="eastAsia" w:ascii="宋体" w:hAnsi="宋体" w:eastAsia="宋体" w:cs="宋体"/>
                <w:color w:val="auto"/>
                <w:sz w:val="30"/>
                <w:szCs w:val="30"/>
                <w:highlight w:val="none"/>
              </w:rPr>
            </w:pPr>
          </w:p>
        </w:tc>
        <w:tc>
          <w:tcPr>
            <w:tcW w:w="850" w:type="dxa"/>
            <w:noWrap w:val="0"/>
            <w:vAlign w:val="top"/>
          </w:tcPr>
          <w:p w14:paraId="7291BE0E">
            <w:pPr>
              <w:rPr>
                <w:rFonts w:hint="eastAsia" w:ascii="宋体" w:hAnsi="宋体" w:eastAsia="宋体" w:cs="宋体"/>
                <w:color w:val="auto"/>
                <w:sz w:val="30"/>
                <w:szCs w:val="30"/>
                <w:highlight w:val="none"/>
              </w:rPr>
            </w:pPr>
          </w:p>
        </w:tc>
        <w:tc>
          <w:tcPr>
            <w:tcW w:w="1058" w:type="dxa"/>
            <w:noWrap w:val="0"/>
            <w:vAlign w:val="top"/>
          </w:tcPr>
          <w:p w14:paraId="319FF8A2">
            <w:pPr>
              <w:rPr>
                <w:rFonts w:hint="eastAsia" w:ascii="宋体" w:hAnsi="宋体" w:eastAsia="宋体" w:cs="宋体"/>
                <w:color w:val="auto"/>
                <w:sz w:val="30"/>
                <w:szCs w:val="30"/>
                <w:highlight w:val="none"/>
              </w:rPr>
            </w:pPr>
          </w:p>
        </w:tc>
        <w:tc>
          <w:tcPr>
            <w:tcW w:w="880" w:type="dxa"/>
            <w:noWrap w:val="0"/>
            <w:vAlign w:val="top"/>
          </w:tcPr>
          <w:p w14:paraId="6BFAE1E1">
            <w:pPr>
              <w:rPr>
                <w:rFonts w:hint="eastAsia" w:ascii="宋体" w:hAnsi="宋体" w:eastAsia="宋体" w:cs="宋体"/>
                <w:color w:val="auto"/>
                <w:sz w:val="30"/>
                <w:szCs w:val="30"/>
                <w:highlight w:val="none"/>
              </w:rPr>
            </w:pPr>
          </w:p>
        </w:tc>
        <w:tc>
          <w:tcPr>
            <w:tcW w:w="1020" w:type="dxa"/>
            <w:noWrap w:val="0"/>
            <w:vAlign w:val="top"/>
          </w:tcPr>
          <w:p w14:paraId="3056827F">
            <w:pPr>
              <w:rPr>
                <w:rFonts w:hint="eastAsia" w:ascii="宋体" w:hAnsi="宋体" w:eastAsia="宋体" w:cs="宋体"/>
                <w:color w:val="auto"/>
                <w:sz w:val="30"/>
                <w:szCs w:val="30"/>
                <w:highlight w:val="none"/>
              </w:rPr>
            </w:pPr>
          </w:p>
        </w:tc>
        <w:tc>
          <w:tcPr>
            <w:tcW w:w="1480" w:type="dxa"/>
            <w:noWrap w:val="0"/>
            <w:vAlign w:val="top"/>
          </w:tcPr>
          <w:p w14:paraId="5060D626">
            <w:pPr>
              <w:rPr>
                <w:rFonts w:hint="eastAsia" w:ascii="宋体" w:hAnsi="宋体" w:eastAsia="宋体" w:cs="宋体"/>
                <w:color w:val="auto"/>
                <w:sz w:val="30"/>
                <w:szCs w:val="30"/>
                <w:highlight w:val="none"/>
              </w:rPr>
            </w:pPr>
          </w:p>
        </w:tc>
        <w:tc>
          <w:tcPr>
            <w:tcW w:w="1020" w:type="dxa"/>
            <w:noWrap w:val="0"/>
            <w:vAlign w:val="top"/>
          </w:tcPr>
          <w:p w14:paraId="357BD953">
            <w:pPr>
              <w:rPr>
                <w:rFonts w:hint="eastAsia" w:ascii="宋体" w:hAnsi="宋体" w:eastAsia="宋体" w:cs="宋体"/>
                <w:color w:val="auto"/>
                <w:sz w:val="30"/>
                <w:szCs w:val="30"/>
                <w:highlight w:val="none"/>
              </w:rPr>
            </w:pPr>
          </w:p>
        </w:tc>
        <w:tc>
          <w:tcPr>
            <w:tcW w:w="921" w:type="dxa"/>
            <w:noWrap w:val="0"/>
            <w:vAlign w:val="top"/>
          </w:tcPr>
          <w:p w14:paraId="3A72F6D4">
            <w:pPr>
              <w:rPr>
                <w:rFonts w:hint="eastAsia" w:ascii="宋体" w:hAnsi="宋体" w:eastAsia="宋体" w:cs="宋体"/>
                <w:color w:val="auto"/>
                <w:sz w:val="30"/>
                <w:szCs w:val="30"/>
                <w:highlight w:val="none"/>
              </w:rPr>
            </w:pPr>
          </w:p>
        </w:tc>
      </w:tr>
    </w:tbl>
    <w:p w14:paraId="0136FBA5">
      <w:pPr>
        <w:spacing w:line="440" w:lineRule="exact"/>
        <w:rPr>
          <w:rFonts w:hint="eastAsia" w:ascii="宋体" w:hAnsi="宋体" w:eastAsia="宋体" w:cs="宋体"/>
          <w:color w:val="auto"/>
          <w:sz w:val="30"/>
          <w:szCs w:val="30"/>
          <w:highlight w:val="none"/>
        </w:rPr>
        <w:sectPr>
          <w:footerReference r:id="rId9" w:type="default"/>
          <w:pgSz w:w="11907" w:h="16840"/>
          <w:pgMar w:top="1440" w:right="1440" w:bottom="1440" w:left="1797" w:header="851" w:footer="851" w:gutter="0"/>
          <w:cols w:space="720" w:num="1"/>
          <w:docGrid w:linePitch="312" w:charSpace="0"/>
        </w:sectPr>
      </w:pPr>
    </w:p>
    <w:p w14:paraId="3AD687AD">
      <w:pPr>
        <w:spacing w:line="44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255" w:name="_Toc296503228"/>
      <w:bookmarkStart w:id="1256" w:name="_Toc267261699"/>
      <w:bookmarkStart w:id="1257" w:name="_Toc296891056"/>
      <w:bookmarkStart w:id="1258" w:name="_Toc296891268"/>
      <w:bookmarkStart w:id="1259" w:name="_Toc296944567"/>
      <w:bookmarkStart w:id="1260" w:name="_Toc296347227"/>
      <w:bookmarkStart w:id="1261" w:name="_Toc296346729"/>
      <w:r>
        <w:rPr>
          <w:rFonts w:hint="eastAsia" w:ascii="宋体" w:hAnsi="宋体" w:eastAsia="宋体" w:cs="宋体"/>
          <w:color w:val="auto"/>
          <w:sz w:val="30"/>
          <w:szCs w:val="30"/>
          <w:highlight w:val="none"/>
        </w:rPr>
        <w:t>件5：</w:t>
      </w:r>
    </w:p>
    <w:bookmarkEnd w:id="1255"/>
    <w:bookmarkEnd w:id="1256"/>
    <w:bookmarkEnd w:id="1257"/>
    <w:bookmarkEnd w:id="1258"/>
    <w:bookmarkEnd w:id="1259"/>
    <w:bookmarkEnd w:id="1260"/>
    <w:bookmarkEnd w:id="1261"/>
    <w:p w14:paraId="6F0F5E8C">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FB2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8C0B6E0">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p>
        </w:tc>
        <w:tc>
          <w:tcPr>
            <w:tcW w:w="1418" w:type="dxa"/>
            <w:noWrap w:val="0"/>
            <w:vAlign w:val="center"/>
          </w:tcPr>
          <w:p w14:paraId="69AF6434">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134" w:type="dxa"/>
            <w:noWrap w:val="0"/>
            <w:vAlign w:val="center"/>
          </w:tcPr>
          <w:p w14:paraId="7E614455">
            <w:pPr>
              <w:pStyle w:val="19"/>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noWrap w:val="0"/>
            <w:vAlign w:val="center"/>
          </w:tcPr>
          <w:p w14:paraId="5D585C0A">
            <w:pPr>
              <w:pStyle w:val="19"/>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252" w:type="dxa"/>
            <w:noWrap w:val="0"/>
            <w:vAlign w:val="center"/>
          </w:tcPr>
          <w:p w14:paraId="6F195AE5">
            <w:pPr>
              <w:pStyle w:val="19"/>
              <w:keepNext/>
              <w:spacing w:after="0" w:line="440" w:lineRule="exact"/>
              <w:ind w:left="0" w:leftChars="0"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计划进场时间</w:t>
            </w:r>
          </w:p>
        </w:tc>
      </w:tr>
      <w:tr w14:paraId="5CF5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566F7312">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一、总部人员</w:t>
            </w:r>
          </w:p>
        </w:tc>
      </w:tr>
      <w:tr w14:paraId="2D60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2107EC6">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项目主管</w:t>
            </w:r>
          </w:p>
        </w:tc>
        <w:tc>
          <w:tcPr>
            <w:tcW w:w="1418" w:type="dxa"/>
            <w:noWrap w:val="0"/>
            <w:vAlign w:val="center"/>
          </w:tcPr>
          <w:p w14:paraId="1EBC09E3">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14FFE857">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51131C1">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1C3680FB">
            <w:pPr>
              <w:pStyle w:val="19"/>
              <w:keepNext/>
              <w:spacing w:after="0" w:line="440" w:lineRule="exact"/>
              <w:ind w:left="63" w:right="63"/>
              <w:rPr>
                <w:rFonts w:hint="eastAsia" w:ascii="宋体" w:hAnsi="宋体" w:eastAsia="宋体" w:cs="宋体"/>
                <w:color w:val="auto"/>
                <w:sz w:val="30"/>
                <w:szCs w:val="30"/>
                <w:highlight w:val="none"/>
              </w:rPr>
            </w:pPr>
          </w:p>
        </w:tc>
      </w:tr>
      <w:tr w14:paraId="6EA2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2BEE9EB">
            <w:pPr>
              <w:pStyle w:val="19"/>
              <w:keepNext/>
              <w:spacing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6811E73B">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3548EE0">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380E4259">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64F169D">
            <w:pPr>
              <w:pStyle w:val="19"/>
              <w:keepNext/>
              <w:spacing w:after="0" w:line="440" w:lineRule="exact"/>
              <w:ind w:left="63" w:right="63"/>
              <w:rPr>
                <w:rFonts w:hint="eastAsia" w:ascii="宋体" w:hAnsi="宋体" w:eastAsia="宋体" w:cs="宋体"/>
                <w:color w:val="auto"/>
                <w:sz w:val="30"/>
                <w:szCs w:val="30"/>
                <w:highlight w:val="none"/>
              </w:rPr>
            </w:pPr>
          </w:p>
        </w:tc>
      </w:tr>
      <w:tr w14:paraId="5BCC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74DC52B">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496DD4E4">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0489E03D">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3A49BD6">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9E3C89F">
            <w:pPr>
              <w:pStyle w:val="19"/>
              <w:keepNext/>
              <w:spacing w:after="0" w:line="440" w:lineRule="exact"/>
              <w:ind w:left="63" w:right="63"/>
              <w:rPr>
                <w:rFonts w:hint="eastAsia" w:ascii="宋体" w:hAnsi="宋体" w:eastAsia="宋体" w:cs="宋体"/>
                <w:color w:val="auto"/>
                <w:sz w:val="30"/>
                <w:szCs w:val="30"/>
                <w:highlight w:val="none"/>
              </w:rPr>
            </w:pPr>
          </w:p>
        </w:tc>
      </w:tr>
      <w:tr w14:paraId="684B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2A8A69A">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28B32525">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58883FE">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60E6EACB">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73CA72F">
            <w:pPr>
              <w:pStyle w:val="19"/>
              <w:keepNext/>
              <w:spacing w:after="0" w:line="440" w:lineRule="exact"/>
              <w:ind w:left="63" w:right="63"/>
              <w:rPr>
                <w:rFonts w:hint="eastAsia" w:ascii="宋体" w:hAnsi="宋体" w:eastAsia="宋体" w:cs="宋体"/>
                <w:color w:val="auto"/>
                <w:sz w:val="30"/>
                <w:szCs w:val="30"/>
                <w:highlight w:val="none"/>
              </w:rPr>
            </w:pPr>
          </w:p>
        </w:tc>
      </w:tr>
      <w:tr w14:paraId="73AF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5C1129EC">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二、现场人员</w:t>
            </w:r>
          </w:p>
        </w:tc>
      </w:tr>
      <w:tr w14:paraId="2342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C4277FA">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项目经理</w:t>
            </w:r>
          </w:p>
        </w:tc>
        <w:tc>
          <w:tcPr>
            <w:tcW w:w="1418" w:type="dxa"/>
            <w:noWrap w:val="0"/>
            <w:vAlign w:val="center"/>
          </w:tcPr>
          <w:p w14:paraId="1CF46E0D">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4F7B7BE">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111D512">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074830D">
            <w:pPr>
              <w:pStyle w:val="19"/>
              <w:keepNext/>
              <w:spacing w:after="0" w:line="440" w:lineRule="exact"/>
              <w:ind w:left="63" w:right="63"/>
              <w:rPr>
                <w:rFonts w:hint="eastAsia" w:ascii="宋体" w:hAnsi="宋体" w:eastAsia="宋体" w:cs="宋体"/>
                <w:color w:val="auto"/>
                <w:sz w:val="30"/>
                <w:szCs w:val="30"/>
                <w:highlight w:val="none"/>
              </w:rPr>
            </w:pPr>
          </w:p>
        </w:tc>
      </w:tr>
      <w:tr w14:paraId="1E73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7EB521D">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项目副经理</w:t>
            </w:r>
          </w:p>
        </w:tc>
        <w:tc>
          <w:tcPr>
            <w:tcW w:w="1418" w:type="dxa"/>
            <w:noWrap w:val="0"/>
            <w:vAlign w:val="center"/>
          </w:tcPr>
          <w:p w14:paraId="0F4FA446">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CC5FE83">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12F0399">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182604ED">
            <w:pPr>
              <w:pStyle w:val="19"/>
              <w:keepNext/>
              <w:spacing w:after="0" w:line="440" w:lineRule="exact"/>
              <w:ind w:left="63" w:right="63"/>
              <w:rPr>
                <w:rFonts w:hint="eastAsia" w:ascii="宋体" w:hAnsi="宋体" w:eastAsia="宋体" w:cs="宋体"/>
                <w:color w:val="auto"/>
                <w:sz w:val="30"/>
                <w:szCs w:val="30"/>
                <w:highlight w:val="none"/>
              </w:rPr>
            </w:pPr>
          </w:p>
        </w:tc>
      </w:tr>
      <w:tr w14:paraId="04A8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F4D557E">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技术负责人</w:t>
            </w:r>
          </w:p>
        </w:tc>
        <w:tc>
          <w:tcPr>
            <w:tcW w:w="1418" w:type="dxa"/>
            <w:noWrap w:val="0"/>
            <w:vAlign w:val="center"/>
          </w:tcPr>
          <w:p w14:paraId="7970397C">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46F1581">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729DDD8">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B468CD6">
            <w:pPr>
              <w:pStyle w:val="19"/>
              <w:keepNext/>
              <w:spacing w:after="0" w:line="440" w:lineRule="exact"/>
              <w:ind w:left="63" w:right="63"/>
              <w:rPr>
                <w:rFonts w:hint="eastAsia" w:ascii="宋体" w:hAnsi="宋体" w:eastAsia="宋体" w:cs="宋体"/>
                <w:color w:val="auto"/>
                <w:sz w:val="30"/>
                <w:szCs w:val="30"/>
                <w:highlight w:val="none"/>
              </w:rPr>
            </w:pPr>
          </w:p>
        </w:tc>
      </w:tr>
      <w:tr w14:paraId="193C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EB268E1">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造价管理</w:t>
            </w:r>
          </w:p>
        </w:tc>
        <w:tc>
          <w:tcPr>
            <w:tcW w:w="1418" w:type="dxa"/>
            <w:noWrap w:val="0"/>
            <w:vAlign w:val="center"/>
          </w:tcPr>
          <w:p w14:paraId="3579CFDB">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4F9205DC">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586E995">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79BDD0A1">
            <w:pPr>
              <w:pStyle w:val="19"/>
              <w:keepNext/>
              <w:spacing w:after="0" w:line="440" w:lineRule="exact"/>
              <w:ind w:left="63" w:right="63"/>
              <w:rPr>
                <w:rFonts w:hint="eastAsia" w:ascii="宋体" w:hAnsi="宋体" w:eastAsia="宋体" w:cs="宋体"/>
                <w:color w:val="auto"/>
                <w:sz w:val="30"/>
                <w:szCs w:val="30"/>
                <w:highlight w:val="none"/>
              </w:rPr>
            </w:pPr>
          </w:p>
        </w:tc>
      </w:tr>
      <w:tr w14:paraId="3FC3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B1F1A94">
            <w:pPr>
              <w:pStyle w:val="19"/>
              <w:keepNext/>
              <w:spacing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质量管理</w:t>
            </w:r>
          </w:p>
        </w:tc>
        <w:tc>
          <w:tcPr>
            <w:tcW w:w="1418" w:type="dxa"/>
            <w:noWrap w:val="0"/>
            <w:vAlign w:val="center"/>
          </w:tcPr>
          <w:p w14:paraId="65A40C22">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7009A05D">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47DB888">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1EEB08B7">
            <w:pPr>
              <w:pStyle w:val="19"/>
              <w:keepNext/>
              <w:spacing w:after="0" w:line="440" w:lineRule="exact"/>
              <w:ind w:left="63" w:right="63"/>
              <w:rPr>
                <w:rFonts w:hint="eastAsia" w:ascii="宋体" w:hAnsi="宋体" w:eastAsia="宋体" w:cs="宋体"/>
                <w:color w:val="auto"/>
                <w:sz w:val="30"/>
                <w:szCs w:val="30"/>
                <w:highlight w:val="none"/>
              </w:rPr>
            </w:pPr>
          </w:p>
        </w:tc>
      </w:tr>
      <w:tr w14:paraId="5FF8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F1F1777">
            <w:pPr>
              <w:pStyle w:val="19"/>
              <w:keepNext/>
              <w:spacing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00025BAE">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71EAEC35">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5B62441">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D9804B3">
            <w:pPr>
              <w:pStyle w:val="19"/>
              <w:keepNext/>
              <w:spacing w:after="0" w:line="440" w:lineRule="exact"/>
              <w:ind w:left="63" w:right="63"/>
              <w:rPr>
                <w:rFonts w:hint="eastAsia" w:ascii="宋体" w:hAnsi="宋体" w:eastAsia="宋体" w:cs="宋体"/>
                <w:color w:val="auto"/>
                <w:sz w:val="30"/>
                <w:szCs w:val="30"/>
                <w:highlight w:val="none"/>
              </w:rPr>
            </w:pPr>
          </w:p>
        </w:tc>
      </w:tr>
      <w:tr w14:paraId="3D86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0512268">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5E7E704F">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51A6B701">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33A12D0D">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4014AC5A">
            <w:pPr>
              <w:pStyle w:val="19"/>
              <w:keepNext/>
              <w:spacing w:after="0" w:line="440" w:lineRule="exact"/>
              <w:ind w:left="63" w:right="63"/>
              <w:rPr>
                <w:rFonts w:hint="eastAsia" w:ascii="宋体" w:hAnsi="宋体" w:eastAsia="宋体" w:cs="宋体"/>
                <w:color w:val="auto"/>
                <w:sz w:val="30"/>
                <w:szCs w:val="30"/>
                <w:highlight w:val="none"/>
              </w:rPr>
            </w:pPr>
          </w:p>
        </w:tc>
      </w:tr>
      <w:tr w14:paraId="3C54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741500F">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材料管理</w:t>
            </w:r>
          </w:p>
        </w:tc>
        <w:tc>
          <w:tcPr>
            <w:tcW w:w="1418" w:type="dxa"/>
            <w:noWrap w:val="0"/>
            <w:vAlign w:val="center"/>
          </w:tcPr>
          <w:p w14:paraId="5FEDE8DE">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0D6EF505">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285387C9">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3C3CD89B">
            <w:pPr>
              <w:pStyle w:val="19"/>
              <w:keepNext/>
              <w:spacing w:after="0" w:line="440" w:lineRule="exact"/>
              <w:ind w:left="63" w:right="63"/>
              <w:rPr>
                <w:rFonts w:hint="eastAsia" w:ascii="宋体" w:hAnsi="宋体" w:eastAsia="宋体" w:cs="宋体"/>
                <w:color w:val="auto"/>
                <w:sz w:val="30"/>
                <w:szCs w:val="30"/>
                <w:highlight w:val="none"/>
              </w:rPr>
            </w:pPr>
          </w:p>
        </w:tc>
      </w:tr>
      <w:tr w14:paraId="630F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B0E340B">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计划管理</w:t>
            </w:r>
          </w:p>
        </w:tc>
        <w:tc>
          <w:tcPr>
            <w:tcW w:w="1418" w:type="dxa"/>
            <w:noWrap w:val="0"/>
            <w:vAlign w:val="center"/>
          </w:tcPr>
          <w:p w14:paraId="229DE63A">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F1C8664">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09F3A22">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68041845">
            <w:pPr>
              <w:pStyle w:val="19"/>
              <w:keepNext/>
              <w:spacing w:after="0" w:line="440" w:lineRule="exact"/>
              <w:ind w:left="63" w:right="63"/>
              <w:rPr>
                <w:rFonts w:hint="eastAsia" w:ascii="宋体" w:hAnsi="宋体" w:eastAsia="宋体" w:cs="宋体"/>
                <w:color w:val="auto"/>
                <w:sz w:val="30"/>
                <w:szCs w:val="30"/>
                <w:highlight w:val="none"/>
              </w:rPr>
            </w:pPr>
          </w:p>
        </w:tc>
      </w:tr>
      <w:tr w14:paraId="3A35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5731C71">
            <w:pPr>
              <w:pStyle w:val="19"/>
              <w:keepNext/>
              <w:spacing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安全管理</w:t>
            </w:r>
          </w:p>
        </w:tc>
        <w:tc>
          <w:tcPr>
            <w:tcW w:w="1418" w:type="dxa"/>
            <w:noWrap w:val="0"/>
            <w:vAlign w:val="center"/>
          </w:tcPr>
          <w:p w14:paraId="45C3655F">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53CF9BAF">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80170AD">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3EB93472">
            <w:pPr>
              <w:pStyle w:val="19"/>
              <w:keepNext/>
              <w:spacing w:after="0" w:line="440" w:lineRule="exact"/>
              <w:ind w:left="63" w:right="63"/>
              <w:rPr>
                <w:rFonts w:hint="eastAsia" w:ascii="宋体" w:hAnsi="宋体" w:eastAsia="宋体" w:cs="宋体"/>
                <w:color w:val="auto"/>
                <w:sz w:val="30"/>
                <w:szCs w:val="30"/>
                <w:highlight w:val="none"/>
              </w:rPr>
            </w:pPr>
          </w:p>
        </w:tc>
      </w:tr>
      <w:tr w14:paraId="239E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82F35FF">
            <w:pPr>
              <w:pStyle w:val="19"/>
              <w:keepNext/>
              <w:spacing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40D73DFD">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4368165E">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000FFCB">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7B1B5B91">
            <w:pPr>
              <w:pStyle w:val="19"/>
              <w:keepNext/>
              <w:spacing w:after="0" w:line="440" w:lineRule="exact"/>
              <w:ind w:left="63" w:right="63"/>
              <w:rPr>
                <w:rFonts w:hint="eastAsia" w:ascii="宋体" w:hAnsi="宋体" w:eastAsia="宋体" w:cs="宋体"/>
                <w:color w:val="auto"/>
                <w:sz w:val="30"/>
                <w:szCs w:val="30"/>
                <w:highlight w:val="none"/>
              </w:rPr>
            </w:pPr>
          </w:p>
        </w:tc>
      </w:tr>
      <w:tr w14:paraId="7D00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8F7BA8A">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0EC074D1">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04DD235A">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70A4B4CA">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6CE6492B">
            <w:pPr>
              <w:pStyle w:val="19"/>
              <w:keepNext/>
              <w:spacing w:after="0" w:line="440" w:lineRule="exact"/>
              <w:ind w:left="63" w:right="63"/>
              <w:rPr>
                <w:rFonts w:hint="eastAsia" w:ascii="宋体" w:hAnsi="宋体" w:eastAsia="宋体" w:cs="宋体"/>
                <w:color w:val="auto"/>
                <w:sz w:val="30"/>
                <w:szCs w:val="30"/>
                <w:highlight w:val="none"/>
              </w:rPr>
            </w:pPr>
          </w:p>
        </w:tc>
      </w:tr>
      <w:tr w14:paraId="1CF5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7D8CAD7">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4C5570A4">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004C3489">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4EEE98B">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0F087A0">
            <w:pPr>
              <w:pStyle w:val="19"/>
              <w:keepNext/>
              <w:spacing w:after="0" w:line="440" w:lineRule="exact"/>
              <w:ind w:left="63" w:right="63"/>
              <w:rPr>
                <w:rFonts w:hint="eastAsia" w:ascii="宋体" w:hAnsi="宋体" w:eastAsia="宋体" w:cs="宋体"/>
                <w:color w:val="auto"/>
                <w:sz w:val="30"/>
                <w:szCs w:val="30"/>
                <w:highlight w:val="none"/>
              </w:rPr>
            </w:pPr>
          </w:p>
        </w:tc>
      </w:tr>
      <w:tr w14:paraId="7775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2ED8DC2">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4C130853">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19300CB0">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C71CBF7">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CAEBFDD">
            <w:pPr>
              <w:pStyle w:val="19"/>
              <w:keepNext/>
              <w:spacing w:after="0" w:line="440" w:lineRule="exact"/>
              <w:ind w:left="63" w:right="63"/>
              <w:rPr>
                <w:rFonts w:hint="eastAsia" w:ascii="宋体" w:hAnsi="宋体" w:eastAsia="宋体" w:cs="宋体"/>
                <w:color w:val="auto"/>
                <w:sz w:val="30"/>
                <w:szCs w:val="30"/>
                <w:highlight w:val="none"/>
              </w:rPr>
            </w:pPr>
          </w:p>
        </w:tc>
      </w:tr>
      <w:tr w14:paraId="2A9F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970B59F">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04718878">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540268A">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2F1F5B5">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F5D22A2">
            <w:pPr>
              <w:pStyle w:val="19"/>
              <w:keepNext/>
              <w:spacing w:after="0" w:line="440" w:lineRule="exact"/>
              <w:ind w:left="63" w:right="63"/>
              <w:rPr>
                <w:rFonts w:hint="eastAsia" w:ascii="宋体" w:hAnsi="宋体" w:eastAsia="宋体" w:cs="宋体"/>
                <w:color w:val="auto"/>
                <w:sz w:val="30"/>
                <w:szCs w:val="30"/>
                <w:highlight w:val="none"/>
              </w:rPr>
            </w:pPr>
          </w:p>
        </w:tc>
      </w:tr>
      <w:tr w14:paraId="3DF1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475EB7F">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6E974EF0">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0ECCF229">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CC3BE06">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00E4AD1">
            <w:pPr>
              <w:pStyle w:val="19"/>
              <w:keepNext/>
              <w:spacing w:after="0" w:line="440" w:lineRule="exact"/>
              <w:ind w:left="63" w:right="63"/>
              <w:rPr>
                <w:rFonts w:hint="eastAsia" w:ascii="宋体" w:hAnsi="宋体" w:eastAsia="宋体" w:cs="宋体"/>
                <w:color w:val="auto"/>
                <w:sz w:val="30"/>
                <w:szCs w:val="30"/>
                <w:highlight w:val="none"/>
              </w:rPr>
            </w:pPr>
          </w:p>
        </w:tc>
      </w:tr>
      <w:tr w14:paraId="494D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3153DFD">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66ED7CD2">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27B756FD">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6594587">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E677404">
            <w:pPr>
              <w:pStyle w:val="19"/>
              <w:keepNext/>
              <w:spacing w:after="0" w:line="440" w:lineRule="exact"/>
              <w:ind w:left="63" w:right="63"/>
              <w:rPr>
                <w:rFonts w:hint="eastAsia" w:ascii="宋体" w:hAnsi="宋体" w:eastAsia="宋体" w:cs="宋体"/>
                <w:color w:val="auto"/>
                <w:sz w:val="30"/>
                <w:szCs w:val="30"/>
                <w:highlight w:val="none"/>
              </w:rPr>
            </w:pPr>
          </w:p>
        </w:tc>
      </w:tr>
      <w:tr w14:paraId="4582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E15231C">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3B85B169">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7E9BD0B">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6A1956D4">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2DFC886">
            <w:pPr>
              <w:pStyle w:val="19"/>
              <w:keepNext/>
              <w:spacing w:after="0" w:line="440" w:lineRule="exact"/>
              <w:ind w:left="63" w:right="63"/>
              <w:rPr>
                <w:rFonts w:hint="eastAsia" w:ascii="宋体" w:hAnsi="宋体" w:eastAsia="宋体" w:cs="宋体"/>
                <w:color w:val="auto"/>
                <w:sz w:val="30"/>
                <w:szCs w:val="30"/>
                <w:highlight w:val="none"/>
              </w:rPr>
            </w:pPr>
          </w:p>
        </w:tc>
      </w:tr>
    </w:tbl>
    <w:p w14:paraId="64796EAC">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1262" w:name="_Toc296891269"/>
      <w:bookmarkStart w:id="1263" w:name="_Toc296891057"/>
      <w:bookmarkStart w:id="1264" w:name="_Toc296347228"/>
      <w:bookmarkStart w:id="1265" w:name="_Toc296346730"/>
      <w:bookmarkStart w:id="1266" w:name="_Toc296944568"/>
      <w:bookmarkStart w:id="1267" w:name="_Toc296503229"/>
      <w:r>
        <w:rPr>
          <w:rFonts w:hint="eastAsia" w:ascii="宋体" w:hAnsi="宋体" w:eastAsia="宋体" w:cs="宋体"/>
          <w:color w:val="auto"/>
          <w:sz w:val="30"/>
          <w:szCs w:val="30"/>
          <w:highlight w:val="none"/>
        </w:rPr>
        <w:t>件6：</w:t>
      </w:r>
    </w:p>
    <w:bookmarkEnd w:id="1262"/>
    <w:bookmarkEnd w:id="1263"/>
    <w:bookmarkEnd w:id="1264"/>
    <w:bookmarkEnd w:id="1265"/>
    <w:bookmarkEnd w:id="1266"/>
    <w:bookmarkEnd w:id="1267"/>
    <w:p w14:paraId="2C432298">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分包人主要施工管理人员表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09E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ACFB94B">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p>
        </w:tc>
        <w:tc>
          <w:tcPr>
            <w:tcW w:w="1418" w:type="dxa"/>
            <w:noWrap w:val="0"/>
            <w:vAlign w:val="center"/>
          </w:tcPr>
          <w:p w14:paraId="1A11F076">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134" w:type="dxa"/>
            <w:noWrap w:val="0"/>
            <w:vAlign w:val="center"/>
          </w:tcPr>
          <w:p w14:paraId="57ABBC31">
            <w:pPr>
              <w:pStyle w:val="19"/>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noWrap w:val="0"/>
            <w:vAlign w:val="center"/>
          </w:tcPr>
          <w:p w14:paraId="3453CD51">
            <w:pPr>
              <w:pStyle w:val="19"/>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252" w:type="dxa"/>
            <w:noWrap w:val="0"/>
            <w:vAlign w:val="center"/>
          </w:tcPr>
          <w:p w14:paraId="2B54BDC8">
            <w:pPr>
              <w:pStyle w:val="19"/>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主要资历、经验及承担过的项目</w:t>
            </w:r>
          </w:p>
        </w:tc>
      </w:tr>
      <w:tr w14:paraId="72FA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4F447AF4">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一、总部人员</w:t>
            </w:r>
          </w:p>
        </w:tc>
      </w:tr>
      <w:tr w14:paraId="13DA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7E7831A">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项目主管</w:t>
            </w:r>
          </w:p>
        </w:tc>
        <w:tc>
          <w:tcPr>
            <w:tcW w:w="1418" w:type="dxa"/>
            <w:noWrap w:val="0"/>
            <w:vAlign w:val="center"/>
          </w:tcPr>
          <w:p w14:paraId="215C6FFA">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C7110A7">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2A7DCA5E">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449D2F8C">
            <w:pPr>
              <w:pStyle w:val="19"/>
              <w:keepNext/>
              <w:spacing w:after="0" w:line="440" w:lineRule="exact"/>
              <w:ind w:left="63" w:right="63"/>
              <w:rPr>
                <w:rFonts w:hint="eastAsia" w:ascii="宋体" w:hAnsi="宋体" w:eastAsia="宋体" w:cs="宋体"/>
                <w:color w:val="auto"/>
                <w:sz w:val="30"/>
                <w:szCs w:val="30"/>
                <w:highlight w:val="none"/>
              </w:rPr>
            </w:pPr>
          </w:p>
        </w:tc>
      </w:tr>
      <w:tr w14:paraId="75BA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A60B594">
            <w:pPr>
              <w:pStyle w:val="19"/>
              <w:keepNext/>
              <w:spacing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4DB71433">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0C6FB06E">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C8F8A5E">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B3BD581">
            <w:pPr>
              <w:pStyle w:val="19"/>
              <w:keepNext/>
              <w:spacing w:after="0" w:line="440" w:lineRule="exact"/>
              <w:ind w:left="63" w:right="63"/>
              <w:rPr>
                <w:rFonts w:hint="eastAsia" w:ascii="宋体" w:hAnsi="宋体" w:eastAsia="宋体" w:cs="宋体"/>
                <w:color w:val="auto"/>
                <w:sz w:val="30"/>
                <w:szCs w:val="30"/>
                <w:highlight w:val="none"/>
              </w:rPr>
            </w:pPr>
          </w:p>
        </w:tc>
      </w:tr>
      <w:tr w14:paraId="240F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0750D32">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68BADB37">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12A4E69B">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205634CB">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70A492D8">
            <w:pPr>
              <w:pStyle w:val="19"/>
              <w:keepNext/>
              <w:spacing w:after="0" w:line="440" w:lineRule="exact"/>
              <w:ind w:left="63" w:right="63"/>
              <w:rPr>
                <w:rFonts w:hint="eastAsia" w:ascii="宋体" w:hAnsi="宋体" w:eastAsia="宋体" w:cs="宋体"/>
                <w:color w:val="auto"/>
                <w:sz w:val="30"/>
                <w:szCs w:val="30"/>
                <w:highlight w:val="none"/>
              </w:rPr>
            </w:pPr>
          </w:p>
        </w:tc>
      </w:tr>
      <w:tr w14:paraId="7A98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27951E2">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184B35BD">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9D28E4A">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6E4CC434">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63C60FEF">
            <w:pPr>
              <w:pStyle w:val="19"/>
              <w:keepNext/>
              <w:spacing w:after="0" w:line="440" w:lineRule="exact"/>
              <w:ind w:left="63" w:right="63"/>
              <w:rPr>
                <w:rFonts w:hint="eastAsia" w:ascii="宋体" w:hAnsi="宋体" w:eastAsia="宋体" w:cs="宋体"/>
                <w:color w:val="auto"/>
                <w:sz w:val="30"/>
                <w:szCs w:val="30"/>
                <w:highlight w:val="none"/>
              </w:rPr>
            </w:pPr>
          </w:p>
        </w:tc>
      </w:tr>
      <w:tr w14:paraId="5BE5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91290BC">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二、现场人员</w:t>
            </w:r>
          </w:p>
        </w:tc>
      </w:tr>
      <w:tr w14:paraId="2EBB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BFB70A5">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项目经理</w:t>
            </w:r>
          </w:p>
        </w:tc>
        <w:tc>
          <w:tcPr>
            <w:tcW w:w="1418" w:type="dxa"/>
            <w:noWrap w:val="0"/>
            <w:vAlign w:val="center"/>
          </w:tcPr>
          <w:p w14:paraId="7019DFD6">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54305166">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3ECFA655">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8735184">
            <w:pPr>
              <w:pStyle w:val="19"/>
              <w:keepNext/>
              <w:spacing w:after="0" w:line="440" w:lineRule="exact"/>
              <w:ind w:left="63" w:right="63"/>
              <w:rPr>
                <w:rFonts w:hint="eastAsia" w:ascii="宋体" w:hAnsi="宋体" w:eastAsia="宋体" w:cs="宋体"/>
                <w:color w:val="auto"/>
                <w:sz w:val="30"/>
                <w:szCs w:val="30"/>
                <w:highlight w:val="none"/>
              </w:rPr>
            </w:pPr>
          </w:p>
        </w:tc>
      </w:tr>
      <w:tr w14:paraId="4D55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0D6BB73">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项目副经理</w:t>
            </w:r>
          </w:p>
        </w:tc>
        <w:tc>
          <w:tcPr>
            <w:tcW w:w="1418" w:type="dxa"/>
            <w:noWrap w:val="0"/>
            <w:vAlign w:val="center"/>
          </w:tcPr>
          <w:p w14:paraId="1ACF46D3">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70CC685D">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285A205E">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302B0EAA">
            <w:pPr>
              <w:pStyle w:val="19"/>
              <w:keepNext/>
              <w:spacing w:after="0" w:line="440" w:lineRule="exact"/>
              <w:ind w:left="63" w:right="63"/>
              <w:rPr>
                <w:rFonts w:hint="eastAsia" w:ascii="宋体" w:hAnsi="宋体" w:eastAsia="宋体" w:cs="宋体"/>
                <w:color w:val="auto"/>
                <w:sz w:val="30"/>
                <w:szCs w:val="30"/>
                <w:highlight w:val="none"/>
              </w:rPr>
            </w:pPr>
          </w:p>
        </w:tc>
      </w:tr>
      <w:tr w14:paraId="42A1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7ACCCEB">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技术负责人</w:t>
            </w:r>
          </w:p>
        </w:tc>
        <w:tc>
          <w:tcPr>
            <w:tcW w:w="1418" w:type="dxa"/>
            <w:noWrap w:val="0"/>
            <w:vAlign w:val="center"/>
          </w:tcPr>
          <w:p w14:paraId="68CC1612">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2EFDF839">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31DD5692">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160FDB7F">
            <w:pPr>
              <w:pStyle w:val="19"/>
              <w:keepNext/>
              <w:spacing w:after="0" w:line="440" w:lineRule="exact"/>
              <w:ind w:left="63" w:right="63"/>
              <w:rPr>
                <w:rFonts w:hint="eastAsia" w:ascii="宋体" w:hAnsi="宋体" w:eastAsia="宋体" w:cs="宋体"/>
                <w:color w:val="auto"/>
                <w:sz w:val="30"/>
                <w:szCs w:val="30"/>
                <w:highlight w:val="none"/>
              </w:rPr>
            </w:pPr>
          </w:p>
        </w:tc>
      </w:tr>
      <w:tr w14:paraId="1F40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97EB7C7">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造价管理</w:t>
            </w:r>
          </w:p>
        </w:tc>
        <w:tc>
          <w:tcPr>
            <w:tcW w:w="1418" w:type="dxa"/>
            <w:noWrap w:val="0"/>
            <w:vAlign w:val="center"/>
          </w:tcPr>
          <w:p w14:paraId="16E508F1">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1D3FA30">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9B1CDAC">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6375F997">
            <w:pPr>
              <w:pStyle w:val="19"/>
              <w:keepNext/>
              <w:spacing w:after="0" w:line="440" w:lineRule="exact"/>
              <w:ind w:left="63" w:right="63"/>
              <w:rPr>
                <w:rFonts w:hint="eastAsia" w:ascii="宋体" w:hAnsi="宋体" w:eastAsia="宋体" w:cs="宋体"/>
                <w:color w:val="auto"/>
                <w:sz w:val="30"/>
                <w:szCs w:val="30"/>
                <w:highlight w:val="none"/>
              </w:rPr>
            </w:pPr>
          </w:p>
        </w:tc>
      </w:tr>
      <w:tr w14:paraId="7C95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C48AF50">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质量管理</w:t>
            </w:r>
          </w:p>
        </w:tc>
        <w:tc>
          <w:tcPr>
            <w:tcW w:w="1418" w:type="dxa"/>
            <w:noWrap w:val="0"/>
            <w:vAlign w:val="center"/>
          </w:tcPr>
          <w:p w14:paraId="03580A87">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CB5878F">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1287120">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643BE7AA">
            <w:pPr>
              <w:pStyle w:val="19"/>
              <w:keepNext/>
              <w:spacing w:after="0" w:line="440" w:lineRule="exact"/>
              <w:ind w:left="63" w:right="63"/>
              <w:rPr>
                <w:rFonts w:hint="eastAsia" w:ascii="宋体" w:hAnsi="宋体" w:eastAsia="宋体" w:cs="宋体"/>
                <w:color w:val="auto"/>
                <w:sz w:val="30"/>
                <w:szCs w:val="30"/>
                <w:highlight w:val="none"/>
              </w:rPr>
            </w:pPr>
          </w:p>
        </w:tc>
      </w:tr>
      <w:tr w14:paraId="6FF3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93F24F2">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材料管理</w:t>
            </w:r>
          </w:p>
        </w:tc>
        <w:tc>
          <w:tcPr>
            <w:tcW w:w="1418" w:type="dxa"/>
            <w:noWrap w:val="0"/>
            <w:vAlign w:val="center"/>
          </w:tcPr>
          <w:p w14:paraId="1096D5C8">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5F07B37A">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A0C92E7">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823966A">
            <w:pPr>
              <w:pStyle w:val="19"/>
              <w:keepNext/>
              <w:spacing w:after="0" w:line="440" w:lineRule="exact"/>
              <w:ind w:left="63" w:right="63"/>
              <w:rPr>
                <w:rFonts w:hint="eastAsia" w:ascii="宋体" w:hAnsi="宋体" w:eastAsia="宋体" w:cs="宋体"/>
                <w:color w:val="auto"/>
                <w:sz w:val="30"/>
                <w:szCs w:val="30"/>
                <w:highlight w:val="none"/>
              </w:rPr>
            </w:pPr>
          </w:p>
        </w:tc>
      </w:tr>
      <w:tr w14:paraId="4560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1FF49B0">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计划管理</w:t>
            </w:r>
          </w:p>
        </w:tc>
        <w:tc>
          <w:tcPr>
            <w:tcW w:w="1418" w:type="dxa"/>
            <w:noWrap w:val="0"/>
            <w:vAlign w:val="center"/>
          </w:tcPr>
          <w:p w14:paraId="52B7AFC9">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762C4754">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4E36790">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7DC0587C">
            <w:pPr>
              <w:pStyle w:val="19"/>
              <w:keepNext/>
              <w:spacing w:after="0" w:line="440" w:lineRule="exact"/>
              <w:ind w:left="63" w:right="63"/>
              <w:rPr>
                <w:rFonts w:hint="eastAsia" w:ascii="宋体" w:hAnsi="宋体" w:eastAsia="宋体" w:cs="宋体"/>
                <w:color w:val="auto"/>
                <w:sz w:val="30"/>
                <w:szCs w:val="30"/>
                <w:highlight w:val="none"/>
              </w:rPr>
            </w:pPr>
          </w:p>
        </w:tc>
      </w:tr>
      <w:tr w14:paraId="6861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F6161A3">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安全管理</w:t>
            </w:r>
          </w:p>
        </w:tc>
        <w:tc>
          <w:tcPr>
            <w:tcW w:w="1418" w:type="dxa"/>
            <w:noWrap w:val="0"/>
            <w:vAlign w:val="center"/>
          </w:tcPr>
          <w:p w14:paraId="6E10982C">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766296A7">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2568B7B1">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15BBC5DB">
            <w:pPr>
              <w:pStyle w:val="19"/>
              <w:keepNext/>
              <w:spacing w:after="0" w:line="440" w:lineRule="exact"/>
              <w:ind w:left="63" w:right="63"/>
              <w:rPr>
                <w:rFonts w:hint="eastAsia" w:ascii="宋体" w:hAnsi="宋体" w:eastAsia="宋体" w:cs="宋体"/>
                <w:color w:val="auto"/>
                <w:sz w:val="30"/>
                <w:szCs w:val="30"/>
                <w:highlight w:val="none"/>
              </w:rPr>
            </w:pPr>
          </w:p>
        </w:tc>
      </w:tr>
      <w:tr w14:paraId="7806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8F904D2">
            <w:pPr>
              <w:pStyle w:val="19"/>
              <w:keepNext/>
              <w:spacing w:after="0" w:line="440" w:lineRule="exact"/>
              <w:ind w:left="63" w:right="6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其他人员</w:t>
            </w:r>
          </w:p>
        </w:tc>
        <w:tc>
          <w:tcPr>
            <w:tcW w:w="1418" w:type="dxa"/>
            <w:noWrap w:val="0"/>
            <w:vAlign w:val="center"/>
          </w:tcPr>
          <w:p w14:paraId="4D1F2269">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11874DBE">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0D914DD1">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56120E3D">
            <w:pPr>
              <w:pStyle w:val="19"/>
              <w:keepNext/>
              <w:spacing w:after="0" w:line="440" w:lineRule="exact"/>
              <w:ind w:left="63" w:right="63"/>
              <w:rPr>
                <w:rFonts w:hint="eastAsia" w:ascii="宋体" w:hAnsi="宋体" w:eastAsia="宋体" w:cs="宋体"/>
                <w:color w:val="auto"/>
                <w:sz w:val="30"/>
                <w:szCs w:val="30"/>
                <w:highlight w:val="none"/>
              </w:rPr>
            </w:pPr>
          </w:p>
        </w:tc>
      </w:tr>
      <w:tr w14:paraId="7D6D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BF7BBFD">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2CC0D82C">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63F686B7">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4F052DD">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F8EC583">
            <w:pPr>
              <w:pStyle w:val="19"/>
              <w:keepNext/>
              <w:spacing w:after="0" w:line="440" w:lineRule="exact"/>
              <w:ind w:left="63" w:right="63"/>
              <w:rPr>
                <w:rFonts w:hint="eastAsia" w:ascii="宋体" w:hAnsi="宋体" w:eastAsia="宋体" w:cs="宋体"/>
                <w:color w:val="auto"/>
                <w:sz w:val="30"/>
                <w:szCs w:val="30"/>
                <w:highlight w:val="none"/>
              </w:rPr>
            </w:pPr>
          </w:p>
        </w:tc>
      </w:tr>
      <w:tr w14:paraId="2D5B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33DC0BE">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4F1EDD37">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444B6309">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24001CF6">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29C1BCB3">
            <w:pPr>
              <w:pStyle w:val="19"/>
              <w:keepNext/>
              <w:spacing w:after="0" w:line="440" w:lineRule="exact"/>
              <w:ind w:left="63" w:right="63"/>
              <w:rPr>
                <w:rFonts w:hint="eastAsia" w:ascii="宋体" w:hAnsi="宋体" w:eastAsia="宋体" w:cs="宋体"/>
                <w:color w:val="auto"/>
                <w:sz w:val="30"/>
                <w:szCs w:val="30"/>
                <w:highlight w:val="none"/>
              </w:rPr>
            </w:pPr>
          </w:p>
        </w:tc>
      </w:tr>
      <w:tr w14:paraId="3BFF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02FA0F6">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2297B802">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716C6D78">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4BFB84B8">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328BC43F">
            <w:pPr>
              <w:pStyle w:val="19"/>
              <w:keepNext/>
              <w:spacing w:after="0" w:line="440" w:lineRule="exact"/>
              <w:ind w:left="63" w:right="63"/>
              <w:rPr>
                <w:rFonts w:hint="eastAsia" w:ascii="宋体" w:hAnsi="宋体" w:eastAsia="宋体" w:cs="宋体"/>
                <w:color w:val="auto"/>
                <w:sz w:val="30"/>
                <w:szCs w:val="30"/>
                <w:highlight w:val="none"/>
              </w:rPr>
            </w:pPr>
          </w:p>
        </w:tc>
      </w:tr>
      <w:tr w14:paraId="3561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1E380AB">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2D53E441">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4D62BCD3">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148FDD21">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058B6A9F">
            <w:pPr>
              <w:pStyle w:val="19"/>
              <w:keepNext/>
              <w:spacing w:after="0" w:line="440" w:lineRule="exact"/>
              <w:ind w:left="63" w:right="63"/>
              <w:rPr>
                <w:rFonts w:hint="eastAsia" w:ascii="宋体" w:hAnsi="宋体" w:eastAsia="宋体" w:cs="宋体"/>
                <w:color w:val="auto"/>
                <w:sz w:val="30"/>
                <w:szCs w:val="30"/>
                <w:highlight w:val="none"/>
              </w:rPr>
            </w:pPr>
          </w:p>
        </w:tc>
      </w:tr>
      <w:tr w14:paraId="10E8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2951879">
            <w:pPr>
              <w:pStyle w:val="19"/>
              <w:keepNext/>
              <w:spacing w:after="0" w:line="440" w:lineRule="exact"/>
              <w:ind w:left="63" w:right="63"/>
              <w:rPr>
                <w:rFonts w:hint="eastAsia" w:ascii="宋体" w:hAnsi="宋体" w:eastAsia="宋体" w:cs="宋体"/>
                <w:color w:val="auto"/>
                <w:sz w:val="28"/>
                <w:szCs w:val="28"/>
                <w:highlight w:val="none"/>
              </w:rPr>
            </w:pPr>
          </w:p>
        </w:tc>
        <w:tc>
          <w:tcPr>
            <w:tcW w:w="1418" w:type="dxa"/>
            <w:noWrap w:val="0"/>
            <w:vAlign w:val="center"/>
          </w:tcPr>
          <w:p w14:paraId="08DAC90E">
            <w:pPr>
              <w:pStyle w:val="19"/>
              <w:keepNext/>
              <w:spacing w:after="0" w:line="440" w:lineRule="exact"/>
              <w:ind w:left="63" w:right="63"/>
              <w:rPr>
                <w:rFonts w:hint="eastAsia" w:ascii="宋体" w:hAnsi="宋体" w:eastAsia="宋体" w:cs="宋体"/>
                <w:color w:val="auto"/>
                <w:sz w:val="28"/>
                <w:szCs w:val="28"/>
                <w:highlight w:val="none"/>
              </w:rPr>
            </w:pPr>
          </w:p>
        </w:tc>
        <w:tc>
          <w:tcPr>
            <w:tcW w:w="1134" w:type="dxa"/>
            <w:noWrap w:val="0"/>
            <w:vAlign w:val="center"/>
          </w:tcPr>
          <w:p w14:paraId="3C0D0754">
            <w:pPr>
              <w:pStyle w:val="19"/>
              <w:keepNext/>
              <w:spacing w:after="0" w:line="440" w:lineRule="exact"/>
              <w:ind w:left="63" w:right="63"/>
              <w:rPr>
                <w:rFonts w:hint="eastAsia" w:ascii="宋体" w:hAnsi="宋体" w:eastAsia="宋体" w:cs="宋体"/>
                <w:color w:val="auto"/>
                <w:sz w:val="30"/>
                <w:szCs w:val="30"/>
                <w:highlight w:val="none"/>
              </w:rPr>
            </w:pPr>
          </w:p>
        </w:tc>
        <w:tc>
          <w:tcPr>
            <w:tcW w:w="1134" w:type="dxa"/>
            <w:noWrap w:val="0"/>
            <w:vAlign w:val="center"/>
          </w:tcPr>
          <w:p w14:paraId="5D271687">
            <w:pPr>
              <w:pStyle w:val="19"/>
              <w:keepNext/>
              <w:spacing w:after="0" w:line="440" w:lineRule="exact"/>
              <w:ind w:left="63" w:right="63"/>
              <w:rPr>
                <w:rFonts w:hint="eastAsia" w:ascii="宋体" w:hAnsi="宋体" w:eastAsia="宋体" w:cs="宋体"/>
                <w:color w:val="auto"/>
                <w:sz w:val="30"/>
                <w:szCs w:val="30"/>
                <w:highlight w:val="none"/>
              </w:rPr>
            </w:pPr>
          </w:p>
        </w:tc>
        <w:tc>
          <w:tcPr>
            <w:tcW w:w="4252" w:type="dxa"/>
            <w:noWrap w:val="0"/>
            <w:vAlign w:val="center"/>
          </w:tcPr>
          <w:p w14:paraId="6B649859">
            <w:pPr>
              <w:pStyle w:val="19"/>
              <w:keepNext/>
              <w:spacing w:after="0" w:line="440" w:lineRule="exact"/>
              <w:ind w:left="63" w:right="63"/>
              <w:rPr>
                <w:rFonts w:hint="eastAsia" w:ascii="宋体" w:hAnsi="宋体" w:eastAsia="宋体" w:cs="宋体"/>
                <w:color w:val="auto"/>
                <w:sz w:val="30"/>
                <w:szCs w:val="30"/>
                <w:highlight w:val="none"/>
              </w:rPr>
            </w:pPr>
          </w:p>
        </w:tc>
      </w:tr>
    </w:tbl>
    <w:p w14:paraId="4FB183C9">
      <w:pPr>
        <w:spacing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0"/>
          <w:szCs w:val="30"/>
          <w:highlight w:val="none"/>
        </w:rPr>
        <w:br w:type="page"/>
      </w:r>
      <w:bookmarkStart w:id="1268" w:name="_Toc267261701"/>
      <w:r>
        <w:rPr>
          <w:rFonts w:hint="eastAsia" w:ascii="宋体" w:hAnsi="宋体" w:eastAsia="宋体" w:cs="宋体"/>
          <w:color w:val="auto"/>
          <w:sz w:val="32"/>
          <w:szCs w:val="32"/>
          <w:highlight w:val="none"/>
        </w:rPr>
        <w:t>附件7</w:t>
      </w:r>
    </w:p>
    <w:p w14:paraId="351BC4D5">
      <w:pPr>
        <w:spacing w:line="360" w:lineRule="auto"/>
        <w:jc w:val="left"/>
        <w:rPr>
          <w:rFonts w:hint="eastAsia" w:ascii="宋体" w:hAnsi="宋体" w:eastAsia="宋体" w:cs="宋体"/>
          <w:b/>
          <w:bCs/>
          <w:color w:val="auto"/>
          <w:sz w:val="32"/>
          <w:szCs w:val="32"/>
          <w:highlight w:val="none"/>
        </w:rPr>
      </w:pPr>
    </w:p>
    <w:p w14:paraId="55D7876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履约保函示范文本</w:t>
      </w:r>
    </w:p>
    <w:p w14:paraId="114EDDE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（独立保函）</w:t>
      </w:r>
    </w:p>
    <w:p w14:paraId="39FC7D53">
      <w:pPr>
        <w:wordWrap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14:paraId="667C9D1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w:t>
      </w:r>
    </w:p>
    <w:p w14:paraId="7592D1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16BF47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w:t>
      </w:r>
    </w:p>
    <w:p w14:paraId="79F17C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1E0625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开立人：</w:t>
      </w:r>
    </w:p>
    <w:p w14:paraId="467595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3F65CB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FE1A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（受益人名称）： </w:t>
      </w:r>
    </w:p>
    <w:p w14:paraId="31B6C9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（以下简称“受益人”）与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（以下简称“申请人”）于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工程（以下简称“本工程”）施工和有关事项协商一致共同签订</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1F63C6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一、本保函担保范围：承包人未按照基础合同的约定履行义务，应当向贵方承担的违约责任和赔偿因此造成的损失、利息、律师费、诉讼费用等实现债权的费用。</w:t>
      </w:r>
    </w:p>
    <w:p w14:paraId="5A9971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二、本保函担保金额最高不超过人民币（大写）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8FCD1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三、本保函有效期自开立之日起至基础合同约定的缺陷责任期后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213BA61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四、我方承诺，在收到受益人发来的书面付款通知后的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日内无条件支付，前述书面付款通知即为付款要求之单据，且应满足以下要求：</w:t>
      </w:r>
    </w:p>
    <w:p w14:paraId="05B844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（1）付款通知到达的日期在本保函的有效期内；</w:t>
      </w:r>
    </w:p>
    <w:p w14:paraId="71CAF3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（2）载明要求支付的金额；</w:t>
      </w:r>
    </w:p>
    <w:p w14:paraId="17BF60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（3）载明申请人违反合同义务的条款和内容；</w:t>
      </w:r>
    </w:p>
    <w:p w14:paraId="786698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（4）声明不存在合同文件约定或我国法律规定免除申请人或开立人支付责任的情形；</w:t>
      </w:r>
    </w:p>
    <w:p w14:paraId="603287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（5）付款通知应在本保函有效期内到达的地址是：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0B66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受益人发出的书面付款通知应由其为鉴明受益人法定代表人（负责人）或授权代理人签字并加盖公章。</w:t>
      </w:r>
    </w:p>
    <w:p w14:paraId="78F882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五、本保函项下的权利不得转让，不得设定担保。贵方未经我方书面同意转 让本保函或其项下任何权利，对我方不发生法律效力。 </w:t>
      </w:r>
    </w:p>
    <w:p w14:paraId="24F390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六、与本保函有关的基础合同不成立、不生效、无效、被撤销、被解除，不影响本保函的独立有效。 </w:t>
      </w:r>
    </w:p>
    <w:p w14:paraId="1B26C5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67D501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八、本保函适用的法律为中华人民共和国法律，争议裁判管辖地为中华人民共和国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E70FD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九、本保函自我方法定代表人或授权代表签字并加盖公章之日起生效。 </w:t>
      </w:r>
    </w:p>
    <w:p w14:paraId="2D1AE2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 立 人：                              （公章） </w:t>
      </w:r>
    </w:p>
    <w:p w14:paraId="421C81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               （签字） </w:t>
      </w:r>
    </w:p>
    <w:p w14:paraId="047291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6468CA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29B123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381909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14:paraId="7F532B21">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开立时间：      年      月    </w:t>
      </w:r>
    </w:p>
    <w:p w14:paraId="6792D982">
      <w:pPr>
        <w:spacing w:line="360" w:lineRule="auto"/>
        <w:jc w:val="left"/>
        <w:rPr>
          <w:rFonts w:hint="eastAsia" w:ascii="宋体" w:hAnsi="宋体" w:eastAsia="宋体" w:cs="宋体"/>
          <w:color w:val="auto"/>
          <w:sz w:val="30"/>
          <w:szCs w:val="30"/>
          <w:highlight w:val="none"/>
        </w:rPr>
      </w:pPr>
    </w:p>
    <w:p w14:paraId="1EB46AA6">
      <w:pPr>
        <w:rPr>
          <w:rFonts w:hint="eastAsia" w:ascii="宋体" w:hAnsi="宋体" w:eastAsia="宋体" w:cs="宋体"/>
          <w:b/>
          <w:bCs/>
          <w:color w:val="auto"/>
          <w:sz w:val="32"/>
          <w:szCs w:val="32"/>
          <w:highlight w:val="none"/>
        </w:rPr>
      </w:pPr>
      <w:bookmarkStart w:id="1269" w:name="_Toc296503231"/>
      <w:bookmarkStart w:id="1270" w:name="_Toc296891059"/>
      <w:bookmarkStart w:id="1271" w:name="_Toc296891271"/>
      <w:bookmarkStart w:id="1272" w:name="_Toc296944570"/>
      <w:bookmarkStart w:id="1273" w:name="_Toc296347230"/>
      <w:bookmarkStart w:id="1274" w:name="_Toc296346732"/>
      <w:r>
        <w:rPr>
          <w:rFonts w:hint="eastAsia" w:ascii="宋体" w:hAnsi="宋体" w:eastAsia="宋体" w:cs="宋体"/>
          <w:b/>
          <w:bCs/>
          <w:color w:val="auto"/>
          <w:sz w:val="32"/>
          <w:szCs w:val="32"/>
          <w:highlight w:val="none"/>
        </w:rPr>
        <w:br w:type="page"/>
      </w:r>
    </w:p>
    <w:p w14:paraId="0A5FF5AA">
      <w:pPr>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附件7</w:t>
      </w:r>
    </w:p>
    <w:p w14:paraId="7F29CE0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履约保函示范文本</w:t>
      </w:r>
    </w:p>
    <w:p w14:paraId="0F012C6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（非独立保函）</w:t>
      </w:r>
    </w:p>
    <w:p w14:paraId="76696AC0">
      <w:pPr>
        <w:spacing w:line="360" w:lineRule="auto"/>
        <w:jc w:val="center"/>
        <w:rPr>
          <w:rFonts w:hint="eastAsia" w:ascii="宋体" w:hAnsi="宋体" w:eastAsia="宋体" w:cs="宋体"/>
          <w:b/>
          <w:bCs/>
          <w:color w:val="auto"/>
          <w:sz w:val="32"/>
          <w:szCs w:val="32"/>
          <w:highlight w:val="none"/>
        </w:rPr>
      </w:pPr>
    </w:p>
    <w:p w14:paraId="5C08BCAB">
      <w:pPr>
        <w:wordWrap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14:paraId="3CCF96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p>
    <w:p w14:paraId="0E56E1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0CF4AF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担保权人/发包人： </w:t>
      </w:r>
    </w:p>
    <w:p w14:paraId="52749A6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352F2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保证人：</w:t>
      </w:r>
    </w:p>
    <w:p w14:paraId="38099E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70D845B">
      <w:pPr>
        <w:spacing w:line="360" w:lineRule="auto"/>
        <w:rPr>
          <w:rFonts w:hint="eastAsia" w:ascii="宋体" w:hAnsi="宋体" w:eastAsia="宋体" w:cs="宋体"/>
          <w:color w:val="auto"/>
          <w:sz w:val="24"/>
          <w:szCs w:val="24"/>
          <w:highlight w:val="none"/>
        </w:rPr>
      </w:pPr>
    </w:p>
    <w:p w14:paraId="3FA2A8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（发包人名称）： </w:t>
      </w:r>
    </w:p>
    <w:p w14:paraId="019D1B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（以下简称“发包人”）与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（以下简称“承包人”）于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工程（以下简称“本工程”）施工和有关事项协商一致共同签订</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（以下简称“主合同”），我方即保证人基于承包人的请求，同意就承包人履行与贵方签订的主合同项下的义务，向贵方提供如下保证担保（以下简称“本保证担保”）。 </w:t>
      </w:r>
    </w:p>
    <w:p w14:paraId="750B6B74">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一、保证担保的范围及保证担保金额</w:t>
      </w:r>
    </w:p>
    <w:p w14:paraId="53CE05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1.保证担保范围：承包人未按照主合同的约定履行义务，应当向贵方承担的违约责任和赔偿因此造成的损失、利息、律师费、诉讼费用等实现债权的费用。</w:t>
      </w:r>
    </w:p>
    <w:p w14:paraId="49F51D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2.保证担保金额最高不超过人民币（大写）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39C027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二、保证担保的方式及保证期间 </w:t>
      </w:r>
    </w:p>
    <w:p w14:paraId="33C421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1.保证担保方式：连带责任保证。</w:t>
      </w:r>
    </w:p>
    <w:p w14:paraId="4BC2D4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2.保证期间：自出具之日起至主合同约定的缺陷责任期后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40FD9D6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三、承担保证担保责任的形式</w:t>
      </w:r>
    </w:p>
    <w:p w14:paraId="10C3E0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我方按照贵方的要求以下列方式之一承担保证担保责任： </w:t>
      </w:r>
    </w:p>
    <w:p w14:paraId="23A157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1.向承包人资金、设备或者技术援助，使其能继续履行合同义务；</w:t>
      </w:r>
    </w:p>
    <w:p w14:paraId="3ABBE3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2.直接接管该项工程或者委托经贵方同意的其他承包商，继续履行合同义务；</w:t>
      </w:r>
    </w:p>
    <w:p w14:paraId="311A89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3.在保证担保金额最高限额内，按照合同约定，向贵方承担违约责任和赔偿因此造成的损失，以及利息和律师费、诉讼费用等实现债权的费用。</w:t>
      </w:r>
    </w:p>
    <w:p w14:paraId="567E8E2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四、代偿的安排 </w:t>
      </w:r>
    </w:p>
    <w:p w14:paraId="06356A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46E609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2.贵方以工程质量不符合主合同约定标准为由，向我方提出违约索赔的，还需同时提供符合相应条件要求的工程质量检测部门出具的质量说明材料。</w:t>
      </w:r>
    </w:p>
    <w:p w14:paraId="658717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3.我方收到贵方的书面索赔通知及相应证明材料后，在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工作日内进行核定后按照本保函的承诺承担保证责任。</w:t>
      </w:r>
    </w:p>
    <w:p w14:paraId="4EE5990E">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五、保证担保责任的解除 </w:t>
      </w:r>
    </w:p>
    <w:p w14:paraId="66396A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1.保证期间届满贵方未向我方书面主张保证责任的，自保证期间届满次日起，我方解除保证责任。 </w:t>
      </w:r>
    </w:p>
    <w:p w14:paraId="4D73BE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2.我方按照本保证担保向贵方履行了保证担保责任后，自我方向贵方支付的金额达到最高保证担保金额之日起，保证担保责任解除。 </w:t>
      </w:r>
    </w:p>
    <w:p w14:paraId="7A42AB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3.按照法律法规的规定应解除我方保证担保责任的其它情形的，我方在本保证担保项下的保证担保责任亦解除。 </w:t>
      </w:r>
    </w:p>
    <w:p w14:paraId="45B628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08B84D5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六、免责条款 </w:t>
      </w:r>
    </w:p>
    <w:p w14:paraId="7F91D4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1.因贵方原因致使承包人未按照主合同约定履行义务的，我方不承担保证担保责任。 </w:t>
      </w:r>
    </w:p>
    <w:p w14:paraId="274BBC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2.依照法律规定或贵方与发包人的另行约定，免除承包人部分或全部义务的，我方亦免除其相应的保证担保责任。 </w:t>
      </w:r>
    </w:p>
    <w:p w14:paraId="731C4D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3.因不可抗力造成承包人未按照主合同约定履行义务的，我方不承担保证担保责任。</w:t>
      </w:r>
    </w:p>
    <w:p w14:paraId="47E5AA5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029162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1.本保证担保项下的权利不得转让，不得设定担保。贵方未经我方书面同意转让本保证担保或其项下任何权利，对我方不发生法律效力。 </w:t>
      </w:r>
    </w:p>
    <w:p w14:paraId="59D15D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2.本保证担保适用的法律为中华人民共和国法律，争议裁判管辖地为中华人民共和国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D6099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3.本保证担保自我方法定代表人或授权代表签字并加盖公章之日起生效。 </w:t>
      </w:r>
    </w:p>
    <w:p w14:paraId="78B1FC0A">
      <w:pPr>
        <w:spacing w:line="360" w:lineRule="auto"/>
        <w:ind w:firstLine="480" w:firstLineChars="200"/>
        <w:rPr>
          <w:rFonts w:hint="eastAsia" w:ascii="宋体" w:hAnsi="宋体" w:eastAsia="宋体" w:cs="宋体"/>
          <w:color w:val="auto"/>
          <w:sz w:val="24"/>
          <w:szCs w:val="24"/>
          <w:highlight w:val="none"/>
        </w:rPr>
      </w:pPr>
    </w:p>
    <w:p w14:paraId="47DBA2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保 证 人：                              （公章） </w:t>
      </w:r>
    </w:p>
    <w:p w14:paraId="551778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               （签字） </w:t>
      </w:r>
    </w:p>
    <w:p w14:paraId="1E8A04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7E901B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6478AB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3B24DA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14:paraId="6B9751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      年      月        日</w:t>
      </w:r>
    </w:p>
    <w:p w14:paraId="543EDC79">
      <w:pPr>
        <w:rPr>
          <w:rFonts w:hint="eastAsia" w:ascii="宋体" w:hAnsi="宋体" w:eastAsia="宋体" w:cs="宋体"/>
          <w:color w:val="auto"/>
          <w:highlight w:val="none"/>
        </w:rPr>
      </w:pPr>
    </w:p>
    <w:p w14:paraId="78DD77ED">
      <w:pPr>
        <w:rPr>
          <w:rFonts w:hint="eastAsia" w:ascii="宋体" w:hAnsi="宋体" w:eastAsia="宋体" w:cs="宋体"/>
          <w:color w:val="auto"/>
          <w:highlight w:val="none"/>
        </w:rPr>
        <w:sectPr>
          <w:footerReference r:id="rId10" w:type="default"/>
          <w:pgSz w:w="11906" w:h="16838"/>
          <w:pgMar w:top="1134" w:right="1134" w:bottom="1134" w:left="1134" w:header="851" w:footer="992" w:gutter="0"/>
          <w:cols w:space="425" w:num="1"/>
          <w:docGrid w:type="lines" w:linePitch="312" w:charSpace="0"/>
        </w:sectPr>
      </w:pPr>
    </w:p>
    <w:p w14:paraId="1EE16345">
      <w:pPr>
        <w:rPr>
          <w:rFonts w:hint="eastAsia" w:ascii="宋体" w:hAnsi="宋体" w:eastAsia="宋体" w:cs="宋体"/>
          <w:color w:val="auto"/>
          <w:highlight w:val="none"/>
        </w:rPr>
      </w:pPr>
    </w:p>
    <w:bookmarkEnd w:id="1268"/>
    <w:bookmarkEnd w:id="1269"/>
    <w:bookmarkEnd w:id="1270"/>
    <w:bookmarkEnd w:id="1271"/>
    <w:bookmarkEnd w:id="1272"/>
    <w:bookmarkEnd w:id="1273"/>
    <w:bookmarkEnd w:id="1274"/>
    <w:p w14:paraId="03AB9C1D">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rPr>
        <w:t>附件8：</w:t>
      </w:r>
    </w:p>
    <w:p w14:paraId="48162B7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预付款保函示范文本</w:t>
      </w:r>
    </w:p>
    <w:p w14:paraId="5DDC544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（独立保函）</w:t>
      </w:r>
    </w:p>
    <w:p w14:paraId="65A632A4">
      <w:pPr>
        <w:wordWrap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14:paraId="33C3ECAB">
      <w:pPr>
        <w:spacing w:line="360" w:lineRule="auto"/>
        <w:rPr>
          <w:rFonts w:hint="eastAsia" w:ascii="宋体" w:hAnsi="宋体" w:eastAsia="宋体" w:cs="宋体"/>
          <w:color w:val="auto"/>
          <w:sz w:val="24"/>
          <w:szCs w:val="24"/>
          <w:highlight w:val="none"/>
        </w:rPr>
      </w:pPr>
    </w:p>
    <w:p w14:paraId="4C3641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w:t>
      </w:r>
    </w:p>
    <w:p w14:paraId="4F0DF7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040CF2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w:t>
      </w:r>
    </w:p>
    <w:p w14:paraId="293098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140C2C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开立人：</w:t>
      </w:r>
    </w:p>
    <w:p w14:paraId="31C562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73CAB5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3711E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（受益人名称）： </w:t>
      </w:r>
    </w:p>
    <w:p w14:paraId="6744A9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（以下简称“受益人”）与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（以下简称“申请人”）于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工程（以下简称“本工程”）施工和有关事项协商一致共同签订</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14:paraId="3E0DC0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54E2A3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二、本保函担保金额最高不超过人民币（大写）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62A63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三、本保函有效期自开立之日起至发包人全额扣回预付款后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C02D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四、我方承诺，在收到受益人发来的书面付款通知后的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日内无条件支付，前述书面付款通知即为付款要求之单据，且应满足以下要求：</w:t>
      </w:r>
    </w:p>
    <w:p w14:paraId="483CB2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（1）付款通知到达的日期在本保函的有效期内；</w:t>
      </w:r>
    </w:p>
    <w:p w14:paraId="310A77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（2）载明要求支付的金额；</w:t>
      </w:r>
    </w:p>
    <w:p w14:paraId="209752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（3）载明申请人违反合同义务的条款和内容；</w:t>
      </w:r>
    </w:p>
    <w:p w14:paraId="45158E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（4）声明不存在合同文件约定或我国法律规定免除申请人或开立人支付责任的情形；</w:t>
      </w:r>
    </w:p>
    <w:p w14:paraId="03AB6A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（5）付款通知应在本保函有效期内到达的地址是：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8587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受益人发出的书面付款通知应由其为鉴明受益人法定代表人（负责人）或授权代理人签字并加盖公章。</w:t>
      </w:r>
    </w:p>
    <w:p w14:paraId="4F60F2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五、本保函项下的权利不得转让，不得设定担保。贵方未经我方书面同意转 让本保函或其项下任何权利，对我方不发生法律效力。 </w:t>
      </w:r>
    </w:p>
    <w:p w14:paraId="7C388F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六、与本保函有关的基础合同不成立、不生效、无效、被撤销、被解除，不影响本保函的独立有效。 </w:t>
      </w:r>
    </w:p>
    <w:p w14:paraId="739240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D964A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八、本保函适用的法律为中华人民共和国法律，争议裁判管辖地为中华人民共和国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8C6ED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九、本保函自我方法定代表人或授权代表签字并加盖公章之日起生效。 </w:t>
      </w:r>
    </w:p>
    <w:p w14:paraId="1E8E72BE">
      <w:pPr>
        <w:spacing w:line="360" w:lineRule="auto"/>
        <w:ind w:firstLine="480" w:firstLineChars="200"/>
        <w:rPr>
          <w:rFonts w:hint="eastAsia" w:ascii="宋体" w:hAnsi="宋体" w:eastAsia="宋体" w:cs="宋体"/>
          <w:color w:val="auto"/>
          <w:sz w:val="24"/>
          <w:szCs w:val="24"/>
          <w:highlight w:val="none"/>
        </w:rPr>
      </w:pPr>
    </w:p>
    <w:p w14:paraId="62310379">
      <w:pPr>
        <w:spacing w:line="360" w:lineRule="auto"/>
        <w:ind w:firstLine="480" w:firstLineChars="200"/>
        <w:rPr>
          <w:rFonts w:hint="eastAsia" w:ascii="宋体" w:hAnsi="宋体" w:eastAsia="宋体" w:cs="宋体"/>
          <w:color w:val="auto"/>
          <w:sz w:val="24"/>
          <w:szCs w:val="24"/>
          <w:highlight w:val="none"/>
        </w:rPr>
      </w:pPr>
    </w:p>
    <w:p w14:paraId="23A444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 立 人：                              （公章） </w:t>
      </w:r>
    </w:p>
    <w:p w14:paraId="2BBEF8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              （签字） </w:t>
      </w:r>
    </w:p>
    <w:p w14:paraId="0D02A9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207FF5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095151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693376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14:paraId="29796EFD">
      <w:pPr>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开立时间：      年      月        日</w:t>
      </w:r>
    </w:p>
    <w:p w14:paraId="39F399D4">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FC94441">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附件8</w:t>
      </w:r>
    </w:p>
    <w:p w14:paraId="26D0FA2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预付款保函示范文本</w:t>
      </w:r>
    </w:p>
    <w:p w14:paraId="7AC8097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（非独立保函）</w:t>
      </w:r>
    </w:p>
    <w:p w14:paraId="51572999">
      <w:pPr>
        <w:wordWrap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14:paraId="4D004AAD">
      <w:pPr>
        <w:spacing w:line="360" w:lineRule="auto"/>
        <w:rPr>
          <w:rFonts w:hint="eastAsia" w:ascii="宋体" w:hAnsi="宋体" w:eastAsia="宋体" w:cs="宋体"/>
          <w:color w:val="auto"/>
          <w:sz w:val="24"/>
          <w:szCs w:val="24"/>
          <w:highlight w:val="none"/>
        </w:rPr>
      </w:pPr>
    </w:p>
    <w:p w14:paraId="2DF1FC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担保权人/发包人：</w:t>
      </w:r>
    </w:p>
    <w:p w14:paraId="5B926C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13C22B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承包人： </w:t>
      </w:r>
    </w:p>
    <w:p w14:paraId="455E7A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586156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保证人：</w:t>
      </w:r>
    </w:p>
    <w:p w14:paraId="39B902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5DBF8149">
      <w:pPr>
        <w:spacing w:line="360" w:lineRule="auto"/>
        <w:rPr>
          <w:rFonts w:hint="eastAsia" w:ascii="宋体" w:hAnsi="宋体" w:eastAsia="宋体" w:cs="宋体"/>
          <w:color w:val="auto"/>
          <w:sz w:val="24"/>
          <w:szCs w:val="24"/>
          <w:highlight w:val="none"/>
        </w:rPr>
      </w:pPr>
    </w:p>
    <w:p w14:paraId="6FB4A2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（发包人名称）： </w:t>
      </w:r>
    </w:p>
    <w:p w14:paraId="7D9651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（以下简称“发包人”）与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（以下简称“承包人”）于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工程（以下简称“本工程”）施工和有关事项协商一致共同签订</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（以下简称“主合同”），我方即保证人基于承包人的请求，同意就承包人按照合同约定正确和合理地为合同目的使用预付款，不将预付款挪作他用，向贵方提供如下保证担保（以下简称“本保证担保”）。 </w:t>
      </w:r>
    </w:p>
    <w:p w14:paraId="696E96B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一、保证担保的范围及保证担保金额</w:t>
      </w:r>
    </w:p>
    <w:p w14:paraId="35C4F6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1.保证担保范围：申请人未按照合同约定正确和合理地为合同目的使用预付款，应当向贵方承担的违约责任和赔偿因此造成的损失、利息、律师费、诉讼费用等实现债权的费用。</w:t>
      </w:r>
    </w:p>
    <w:p w14:paraId="6D38DE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2.保证担保金额最高不超过人民币（大写）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62C940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二、保证担保的方式及保证期间 </w:t>
      </w:r>
    </w:p>
    <w:p w14:paraId="49CF43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1.保证担保方式：连带责任保证。</w:t>
      </w:r>
    </w:p>
    <w:p w14:paraId="51580D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2.保证期间：自出具之日起至发包人全额扣回预付款后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35B4330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三、承担保证担保责任的形式</w:t>
      </w:r>
    </w:p>
    <w:p w14:paraId="33D5A1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发生应承担保证责任情形的，我方在保证金额内向贵方支付，并赔偿因此给贵方造成的损失，以及利息和律师费、诉讼费用等实现债权的费用。</w:t>
      </w:r>
    </w:p>
    <w:p w14:paraId="623BB94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四、代偿的安排 </w:t>
      </w:r>
    </w:p>
    <w:p w14:paraId="21D0E3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57919A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2.我方收到贵方的书面索赔通知及相应证明材料后，在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工作日内进行核定后按照本保函的承诺承担保证责任。</w:t>
      </w:r>
    </w:p>
    <w:p w14:paraId="46DE400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五、保证担保责任的解除 </w:t>
      </w:r>
    </w:p>
    <w:p w14:paraId="6DB4A4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1.保证期间届满贵方未向我方书面主张保证责任的，自保证期间届满次日起，我方解除保证责任。 </w:t>
      </w:r>
    </w:p>
    <w:p w14:paraId="4CD5AE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2.我方按照本保证担保向贵方履行了保证担保责任后，自我方向贵方支付的金额达到最高保证担保金额之日起，保证担保责任解除。 </w:t>
      </w:r>
    </w:p>
    <w:p w14:paraId="680B08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3.按照法律法规的规定应解除我方保证担保责任的其它情形的，我方在本保证担保项下的保证担保责任亦解除。 </w:t>
      </w:r>
    </w:p>
    <w:p w14:paraId="4DCF3A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4CD2F49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六、免责条款 </w:t>
      </w:r>
    </w:p>
    <w:p w14:paraId="012C8B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1.因贵方原因致使发生应承担保证责任情形的，我方不承担保证担保责任。 </w:t>
      </w:r>
    </w:p>
    <w:p w14:paraId="6E5B23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2.依照法律规定或贵方与承包人的另行约定，免除承包人部分或全部义务的，我方亦免除其相应的保证担保责任。 </w:t>
      </w:r>
    </w:p>
    <w:p w14:paraId="593571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3.因不可抗力造成发生应承担保证责任情形的，我方不承担保证担保责任。</w:t>
      </w:r>
    </w:p>
    <w:p w14:paraId="2806DEB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631FEF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1.本保证担保项下的权利不得转让，不得设定担保。贵方未经我方书面同意转让本保证担保或其项下任何权利，对我方不发生法律效力。 </w:t>
      </w:r>
    </w:p>
    <w:p w14:paraId="1798E9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2.本保证担保适用的法律为中华人民共和国法律，争议裁判管辖地为中华人民共和国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C270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3.本保证担保自我方法定代表人或授权代表签字并加盖公章之日起生效。 </w:t>
      </w:r>
    </w:p>
    <w:p w14:paraId="68877E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保 证 人：                              （公章） </w:t>
      </w:r>
    </w:p>
    <w:p w14:paraId="617DF7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              （签字） </w:t>
      </w:r>
    </w:p>
    <w:p w14:paraId="2F8B6E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507158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46E9AC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6645D6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14:paraId="787B63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      年      月        日</w:t>
      </w:r>
    </w:p>
    <w:p w14:paraId="43BC679E">
      <w:pPr>
        <w:rPr>
          <w:rFonts w:hint="eastAsia" w:ascii="宋体" w:hAnsi="宋体" w:eastAsia="宋体" w:cs="宋体"/>
          <w:color w:val="auto"/>
          <w:highlight w:val="none"/>
        </w:rPr>
      </w:pPr>
    </w:p>
    <w:p w14:paraId="2653612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FA0084F">
      <w:pPr>
        <w:spacing w:line="360" w:lineRule="auto"/>
        <w:jc w:val="center"/>
        <w:rPr>
          <w:rFonts w:hint="eastAsia" w:ascii="宋体" w:hAnsi="宋体" w:eastAsia="宋体" w:cs="宋体"/>
          <w:b/>
          <w:bCs/>
          <w:color w:val="auto"/>
          <w:sz w:val="32"/>
          <w:szCs w:val="32"/>
          <w:highlight w:val="none"/>
        </w:rPr>
      </w:pPr>
    </w:p>
    <w:p w14:paraId="2B6F50C3">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附件9：</w:t>
      </w:r>
    </w:p>
    <w:p w14:paraId="526D4617">
      <w:pPr>
        <w:spacing w:line="360" w:lineRule="auto"/>
        <w:jc w:val="left"/>
        <w:rPr>
          <w:rFonts w:hint="eastAsia" w:ascii="宋体" w:hAnsi="宋体" w:eastAsia="宋体" w:cs="宋体"/>
          <w:b/>
          <w:bCs/>
          <w:color w:val="auto"/>
          <w:sz w:val="32"/>
          <w:szCs w:val="32"/>
          <w:highlight w:val="none"/>
        </w:rPr>
      </w:pPr>
    </w:p>
    <w:p w14:paraId="71B6283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支付保函示范文本</w:t>
      </w:r>
    </w:p>
    <w:p w14:paraId="08A5B8C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（独立保函）</w:t>
      </w:r>
    </w:p>
    <w:p w14:paraId="0DFD67FD">
      <w:pPr>
        <w:wordWrap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14:paraId="3B5827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w:t>
      </w:r>
    </w:p>
    <w:p w14:paraId="129E64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105EEE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w:t>
      </w:r>
    </w:p>
    <w:p w14:paraId="1D61CF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45A0A3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开立人：</w:t>
      </w:r>
    </w:p>
    <w:p w14:paraId="334B61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p>
    <w:p w14:paraId="5600FF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4A5200A">
      <w:pPr>
        <w:spacing w:line="360" w:lineRule="auto"/>
        <w:rPr>
          <w:rFonts w:hint="eastAsia" w:ascii="宋体" w:hAnsi="宋体" w:eastAsia="宋体" w:cs="宋体"/>
          <w:color w:val="auto"/>
          <w:sz w:val="24"/>
          <w:szCs w:val="24"/>
          <w:highlight w:val="none"/>
        </w:rPr>
      </w:pPr>
      <w:bookmarkStart w:id="1275" w:name="_Hlk40355074"/>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（受益人名称）： </w:t>
      </w:r>
    </w:p>
    <w:bookmarkEnd w:id="1275"/>
    <w:p w14:paraId="759EBA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（以下简称“受益人”）与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（以下简称“申请人”）于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工程（以下简称“本工程”）施工和有关事项协商一致共同签订</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2656F1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一、本保函担保范围：申请人未履行基础合同约定的工程款支付义务，应当向贵方承担的违约责任和赔偿因此造成的损失、利息、律师费、诉讼费用等实现债权的费用。</w:t>
      </w:r>
    </w:p>
    <w:p w14:paraId="7AF376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二、本保函担保金额最高不超过人民币（大写）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E73E0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三、本保函有效期自开立之日起至基础合同约定的除工程质量保修金以外的全部工程结算款项支付之日后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76E8BC5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四、我方承诺，在收到受益人发来的书面付款通知后的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日内无条件支付，前述书面付款通知即为付款要求之单据，且应满足以下要求：</w:t>
      </w:r>
    </w:p>
    <w:p w14:paraId="648F5C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（1）付款通知到达的日期在本保函的有效期内；</w:t>
      </w:r>
    </w:p>
    <w:p w14:paraId="733426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（2）载明要求支付的金额；</w:t>
      </w:r>
    </w:p>
    <w:p w14:paraId="37125B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（3）载明申请人违反合同义务的条款和内容；</w:t>
      </w:r>
    </w:p>
    <w:p w14:paraId="13B9F9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（4）声明不存在合同文件约定或我国法律规定免除申请人或开立人支付责任的情形；</w:t>
      </w:r>
    </w:p>
    <w:p w14:paraId="556D9B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（5）付款通知应在本保函有效期内到达的地址是：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5D11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受益人发出的书面付款通知应由其为鉴明受益人法定代表人（负责人）或授权代理人签字并加盖公章。</w:t>
      </w:r>
    </w:p>
    <w:p w14:paraId="398AC3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五、本保函项下的权利不得转让，不得设定担保。贵方未经我方书面同意转 让本保函或其项下任何权利，对我方不发生法律效力。 </w:t>
      </w:r>
    </w:p>
    <w:p w14:paraId="2BC0CA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六、与本保函有关的基础合同不成立、不生效、无效、被撤销、被解除，不影响本保函的独立有效。 </w:t>
      </w:r>
    </w:p>
    <w:p w14:paraId="0AE4AE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4EA160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八、本保函适用的法律为中华人民共和国法律，争议裁判管辖地为中华人民共和国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069EA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九、本保函自我方法定代表人</w:t>
      </w:r>
      <w:bookmarkStart w:id="1276" w:name="_Hlk58487855"/>
      <w:r>
        <w:rPr>
          <w:rFonts w:hint="eastAsia" w:ascii="宋体" w:hAnsi="宋体" w:eastAsia="宋体" w:cs="宋体"/>
          <w:color w:val="auto"/>
          <w:sz w:val="24"/>
          <w:szCs w:val="24"/>
          <w:highlight w:val="none"/>
        </w:rPr>
        <w:t>或授权代表</w:t>
      </w:r>
      <w:bookmarkEnd w:id="1276"/>
      <w:r>
        <w:rPr>
          <w:rFonts w:hint="eastAsia" w:ascii="宋体" w:hAnsi="宋体" w:eastAsia="宋体" w:cs="宋体"/>
          <w:color w:val="auto"/>
          <w:sz w:val="24"/>
          <w:szCs w:val="24"/>
          <w:highlight w:val="none"/>
        </w:rPr>
        <w:t xml:space="preserve">签字并加盖公章之日起生效。 </w:t>
      </w:r>
    </w:p>
    <w:p w14:paraId="249174F5">
      <w:pPr>
        <w:spacing w:line="360" w:lineRule="auto"/>
        <w:ind w:firstLine="480" w:firstLineChars="200"/>
        <w:rPr>
          <w:rFonts w:hint="eastAsia" w:ascii="宋体" w:hAnsi="宋体" w:eastAsia="宋体" w:cs="宋体"/>
          <w:color w:val="auto"/>
          <w:sz w:val="24"/>
          <w:szCs w:val="24"/>
          <w:highlight w:val="none"/>
        </w:rPr>
      </w:pPr>
    </w:p>
    <w:p w14:paraId="7A426871">
      <w:pPr>
        <w:spacing w:line="360" w:lineRule="auto"/>
        <w:ind w:firstLine="480" w:firstLineChars="200"/>
        <w:rPr>
          <w:rFonts w:hint="eastAsia" w:ascii="宋体" w:hAnsi="宋体" w:eastAsia="宋体" w:cs="宋体"/>
          <w:color w:val="auto"/>
          <w:sz w:val="24"/>
          <w:szCs w:val="24"/>
          <w:highlight w:val="none"/>
        </w:rPr>
      </w:pPr>
    </w:p>
    <w:p w14:paraId="09EDD3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 立 人：                              （公章） </w:t>
      </w:r>
    </w:p>
    <w:p w14:paraId="407E0E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              （签字） </w:t>
      </w:r>
    </w:p>
    <w:p w14:paraId="27F034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1174D5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567D97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2B662E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14:paraId="69748C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开立时间：      年      月        日</w:t>
      </w:r>
    </w:p>
    <w:p w14:paraId="30F29B61">
      <w:pPr>
        <w:spacing w:line="360" w:lineRule="auto"/>
        <w:ind w:firstLine="480" w:firstLineChars="200"/>
        <w:rPr>
          <w:rFonts w:hint="eastAsia" w:ascii="宋体" w:hAnsi="宋体" w:eastAsia="宋体" w:cs="宋体"/>
          <w:color w:val="auto"/>
          <w:sz w:val="24"/>
          <w:szCs w:val="24"/>
          <w:highlight w:val="none"/>
        </w:rPr>
      </w:pPr>
    </w:p>
    <w:p w14:paraId="0143AC12">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07D7A23">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附件9：</w:t>
      </w:r>
    </w:p>
    <w:p w14:paraId="64E7860B">
      <w:pPr>
        <w:spacing w:line="360" w:lineRule="auto"/>
        <w:jc w:val="left"/>
        <w:rPr>
          <w:rFonts w:hint="eastAsia" w:ascii="宋体" w:hAnsi="宋体" w:eastAsia="宋体" w:cs="宋体"/>
          <w:b/>
          <w:bCs/>
          <w:color w:val="auto"/>
          <w:sz w:val="32"/>
          <w:szCs w:val="32"/>
          <w:highlight w:val="none"/>
        </w:rPr>
      </w:pPr>
    </w:p>
    <w:p w14:paraId="3B7AF69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支付保函示范文本</w:t>
      </w:r>
    </w:p>
    <w:p w14:paraId="4179FCE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（非独立保函）</w:t>
      </w:r>
    </w:p>
    <w:p w14:paraId="7C33D0A0">
      <w:pPr>
        <w:wordWrap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编号：      </w:t>
      </w:r>
    </w:p>
    <w:p w14:paraId="1AE1DB6F">
      <w:pPr>
        <w:wordWrap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C321A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p>
    <w:p w14:paraId="51487E6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639385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担保权人/承包人： </w:t>
      </w:r>
    </w:p>
    <w:p w14:paraId="642D83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57889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保证人：</w:t>
      </w:r>
    </w:p>
    <w:p w14:paraId="6F5921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CD9CCF0">
      <w:pPr>
        <w:spacing w:line="360" w:lineRule="auto"/>
        <w:rPr>
          <w:rFonts w:hint="eastAsia" w:ascii="宋体" w:hAnsi="宋体" w:eastAsia="宋体" w:cs="宋体"/>
          <w:color w:val="auto"/>
          <w:sz w:val="24"/>
          <w:szCs w:val="24"/>
          <w:highlight w:val="none"/>
        </w:rPr>
      </w:pPr>
    </w:p>
    <w:p w14:paraId="09C654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（承包人名称）： </w:t>
      </w:r>
    </w:p>
    <w:p w14:paraId="4C8899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（以下简称“发包人”）与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（以下简称“承包人”）于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工程（以下简称“本工程”）施工和有关事项协商一致共同签订</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14:paraId="7C73956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一、保证担保的范围及保证担保金额</w:t>
      </w:r>
    </w:p>
    <w:p w14:paraId="69AFF8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1.保证担保范围：申请人未履行主合同约定的工程款支付义务，应当向贵方承担的违约责任和赔偿因此造成的损失、利息、律师费、诉讼费用等实现债权的费用。</w:t>
      </w:r>
    </w:p>
    <w:p w14:paraId="6B6151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2.保证担保金额最高不超过人民币（大写）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DA5274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二、保证担保的方式及保证期间 </w:t>
      </w:r>
    </w:p>
    <w:p w14:paraId="53A208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1.保证担保方式：连带责任保证。</w:t>
      </w:r>
    </w:p>
    <w:p w14:paraId="3C4E33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2.保证期间：自出具之日起至主合同约定的除工程质量保修金以外的工程款支付之日后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4516187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三、承担保证担保责任的形式</w:t>
      </w:r>
    </w:p>
    <w:p w14:paraId="51FFAD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发包人未按合同约定向贵方支付主合同项下工程款的，由我方在保证金额内代为支付，并赔偿因此给贵方造成的损失，以及利息和律师费、诉讼费用等实现债权的费用。</w:t>
      </w:r>
    </w:p>
    <w:p w14:paraId="43EBFCB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四、代偿的安排 </w:t>
      </w:r>
    </w:p>
    <w:p w14:paraId="0AAFF4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1.贵方要求我方承担保证责任的，应向我方发出书面索赔通知及发包人未支付主合同约定工程款的证明材料。索赔通知应写明要求索赔的金额，支付款项应到达的帐号。</w:t>
      </w:r>
    </w:p>
    <w:p w14:paraId="6B2EB3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3DC994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3.我方收到贵方的书面索赔通知及相应证明材料后，在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工作日内进行核定后按照本保函的承诺承担保证责任。</w:t>
      </w:r>
    </w:p>
    <w:p w14:paraId="792CEBB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五、保证担保责任的解除 </w:t>
      </w:r>
    </w:p>
    <w:p w14:paraId="62129D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1.保证期间届满贵方未向我方书面主张保证责任的，自保证期间届满次日起，我方解除保证责任。 </w:t>
      </w:r>
    </w:p>
    <w:p w14:paraId="5E4947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2.我方按照本保证担保向贵方履行了保证担保责任后，自我方向贵方支付的金额达到最高保证担保金额之日起，保证担保责任解除。 </w:t>
      </w:r>
    </w:p>
    <w:p w14:paraId="0209B3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3.按照法律法规的规定应解除我方保证担保责任的其它情形的，我方在本保证担保项下的保证担保责任亦解除。 </w:t>
      </w:r>
    </w:p>
    <w:p w14:paraId="3799F9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6962BD1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六、免责条款 </w:t>
      </w:r>
    </w:p>
    <w:p w14:paraId="44129C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1.因贵方原因致使发包人未履行主合同项下工程款付款义务的，我方不承担保证担保责任。 </w:t>
      </w:r>
    </w:p>
    <w:p w14:paraId="41DD3D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2.依照法律规定或贵方与发包人的另行约定，免除发包人部分或全部义务的，我方亦免除其相应的保证担保责任。 </w:t>
      </w:r>
    </w:p>
    <w:p w14:paraId="545D5F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3.因不可抗力造成发包人未履行主合同项下工程款付款义务的，我方不承担保证担保责任。</w:t>
      </w:r>
    </w:p>
    <w:p w14:paraId="0F7D7B5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733CB4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1.本保证担保项下的权利不得转让，不得设定担保。贵方未经我方书面同意转让本保证担保或其项下任何权利，对我方不发生法律效力。 </w:t>
      </w:r>
    </w:p>
    <w:p w14:paraId="449702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2.本保证担保适用的法律为中华人民共和国法律，争议裁判管辖地为中华人民共和国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F44FB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3.本保证担保自我方法定代表人或授权代表签字并加盖公章之日起生效。 </w:t>
      </w:r>
    </w:p>
    <w:p w14:paraId="432B3AB5">
      <w:pPr>
        <w:spacing w:line="360" w:lineRule="auto"/>
        <w:ind w:firstLine="480" w:firstLineChars="200"/>
        <w:rPr>
          <w:rFonts w:hint="eastAsia" w:ascii="宋体" w:hAnsi="宋体" w:eastAsia="宋体" w:cs="宋体"/>
          <w:color w:val="auto"/>
          <w:sz w:val="24"/>
          <w:szCs w:val="24"/>
          <w:highlight w:val="none"/>
        </w:rPr>
      </w:pPr>
    </w:p>
    <w:p w14:paraId="2EB09C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保 证 人：                              （公章） </w:t>
      </w:r>
    </w:p>
    <w:p w14:paraId="799C95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              （签字） </w:t>
      </w:r>
    </w:p>
    <w:p w14:paraId="7762DB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4542DA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194CAB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6E7251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14:paraId="47CB72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      年      月        日</w:t>
      </w:r>
    </w:p>
    <w:p w14:paraId="2FACD76A">
      <w:pPr>
        <w:rPr>
          <w:rFonts w:hint="eastAsia" w:ascii="宋体" w:hAnsi="宋体" w:eastAsia="宋体" w:cs="宋体"/>
          <w:color w:val="auto"/>
          <w:highlight w:val="none"/>
        </w:rPr>
      </w:pPr>
    </w:p>
    <w:p w14:paraId="777DF75D">
      <w:pPr>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p>
    <w:p w14:paraId="49CFDDC8">
      <w:pPr>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附件10：</w:t>
      </w:r>
    </w:p>
    <w:p w14:paraId="265F58F6">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预付款支付申请（核准）表</w:t>
      </w:r>
    </w:p>
    <w:p w14:paraId="12DA51C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                                             编号：</w:t>
      </w:r>
    </w:p>
    <w:tbl>
      <w:tblPr>
        <w:tblStyle w:val="5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5D91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072" w:type="dxa"/>
            <w:gridSpan w:val="2"/>
            <w:noWrap w:val="0"/>
            <w:vAlign w:val="top"/>
          </w:tcPr>
          <w:p w14:paraId="71B89F90">
            <w:pPr>
              <w:spacing w:line="480" w:lineRule="exact"/>
              <w:ind w:left="525" w:leftChars="149" w:hanging="212" w:hangingChars="101"/>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（发包人全称）</w:t>
            </w:r>
          </w:p>
          <w:p w14:paraId="60A95129">
            <w:pPr>
              <w:spacing w:line="400" w:lineRule="exact"/>
              <w:ind w:left="-4" w:leftChars="-2"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我方根据施工合同的约定，现申请支付工程预付款额为(大写)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元，(小写)</w:t>
            </w:r>
          </w:p>
          <w:p w14:paraId="0999A56D">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元，请予核准。</w:t>
            </w:r>
          </w:p>
          <w:tbl>
            <w:tblPr>
              <w:tblStyle w:val="57"/>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2707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53622A5B">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340" w:type="dxa"/>
                  <w:noWrap w:val="0"/>
                  <w:vAlign w:val="center"/>
                </w:tcPr>
                <w:p w14:paraId="7F46150F">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名      称</w:t>
                  </w:r>
                </w:p>
              </w:tc>
              <w:tc>
                <w:tcPr>
                  <w:tcW w:w="1764" w:type="dxa"/>
                  <w:noWrap w:val="0"/>
                  <w:vAlign w:val="center"/>
                </w:tcPr>
                <w:p w14:paraId="3B2D4D0A">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申请金额（元）</w:t>
                  </w:r>
                </w:p>
              </w:tc>
              <w:tc>
                <w:tcPr>
                  <w:tcW w:w="2240" w:type="dxa"/>
                  <w:noWrap w:val="0"/>
                  <w:vAlign w:val="center"/>
                </w:tcPr>
                <w:p w14:paraId="09811096">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复核金额（元）</w:t>
                  </w:r>
                </w:p>
              </w:tc>
              <w:tc>
                <w:tcPr>
                  <w:tcW w:w="1080" w:type="dxa"/>
                  <w:noWrap w:val="0"/>
                  <w:vAlign w:val="center"/>
                </w:tcPr>
                <w:p w14:paraId="2D46206A">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B57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FC9E21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340" w:type="dxa"/>
                  <w:noWrap w:val="0"/>
                  <w:vAlign w:val="top"/>
                </w:tcPr>
                <w:p w14:paraId="346F1A6A">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已签约合同价款金额</w:t>
                  </w:r>
                </w:p>
              </w:tc>
              <w:tc>
                <w:tcPr>
                  <w:tcW w:w="1764" w:type="dxa"/>
                  <w:noWrap w:val="0"/>
                  <w:vAlign w:val="top"/>
                </w:tcPr>
                <w:p w14:paraId="3B72C031">
                  <w:pPr>
                    <w:spacing w:line="280" w:lineRule="exact"/>
                    <w:rPr>
                      <w:rFonts w:hint="eastAsia" w:ascii="宋体" w:hAnsi="宋体" w:eastAsia="宋体" w:cs="宋体"/>
                      <w:color w:val="auto"/>
                      <w:highlight w:val="none"/>
                    </w:rPr>
                  </w:pPr>
                </w:p>
              </w:tc>
              <w:tc>
                <w:tcPr>
                  <w:tcW w:w="2240" w:type="dxa"/>
                  <w:noWrap w:val="0"/>
                  <w:vAlign w:val="top"/>
                </w:tcPr>
                <w:p w14:paraId="2554FF08">
                  <w:pPr>
                    <w:spacing w:line="280" w:lineRule="exact"/>
                    <w:rPr>
                      <w:rFonts w:hint="eastAsia" w:ascii="宋体" w:hAnsi="宋体" w:eastAsia="宋体" w:cs="宋体"/>
                      <w:color w:val="auto"/>
                      <w:highlight w:val="none"/>
                    </w:rPr>
                  </w:pPr>
                </w:p>
              </w:tc>
              <w:tc>
                <w:tcPr>
                  <w:tcW w:w="1080" w:type="dxa"/>
                  <w:noWrap w:val="0"/>
                  <w:vAlign w:val="top"/>
                </w:tcPr>
                <w:p w14:paraId="3130C363">
                  <w:pPr>
                    <w:spacing w:line="280" w:lineRule="exact"/>
                    <w:rPr>
                      <w:rFonts w:hint="eastAsia" w:ascii="宋体" w:hAnsi="宋体" w:eastAsia="宋体" w:cs="宋体"/>
                      <w:color w:val="auto"/>
                      <w:highlight w:val="none"/>
                    </w:rPr>
                  </w:pPr>
                </w:p>
              </w:tc>
            </w:tr>
            <w:tr w14:paraId="5B8E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98E0E2A">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340" w:type="dxa"/>
                  <w:noWrap w:val="0"/>
                  <w:vAlign w:val="top"/>
                </w:tcPr>
                <w:p w14:paraId="09648455">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其中：安全文明施工费</w:t>
                  </w:r>
                </w:p>
              </w:tc>
              <w:tc>
                <w:tcPr>
                  <w:tcW w:w="1764" w:type="dxa"/>
                  <w:noWrap w:val="0"/>
                  <w:vAlign w:val="top"/>
                </w:tcPr>
                <w:p w14:paraId="3DDD495C">
                  <w:pPr>
                    <w:spacing w:line="280" w:lineRule="exact"/>
                    <w:rPr>
                      <w:rFonts w:hint="eastAsia" w:ascii="宋体" w:hAnsi="宋体" w:eastAsia="宋体" w:cs="宋体"/>
                      <w:color w:val="auto"/>
                      <w:highlight w:val="none"/>
                    </w:rPr>
                  </w:pPr>
                </w:p>
              </w:tc>
              <w:tc>
                <w:tcPr>
                  <w:tcW w:w="2240" w:type="dxa"/>
                  <w:noWrap w:val="0"/>
                  <w:vAlign w:val="top"/>
                </w:tcPr>
                <w:p w14:paraId="13EBA1F7">
                  <w:pPr>
                    <w:spacing w:line="280" w:lineRule="exact"/>
                    <w:rPr>
                      <w:rFonts w:hint="eastAsia" w:ascii="宋体" w:hAnsi="宋体" w:eastAsia="宋体" w:cs="宋体"/>
                      <w:color w:val="auto"/>
                      <w:highlight w:val="none"/>
                    </w:rPr>
                  </w:pPr>
                </w:p>
              </w:tc>
              <w:tc>
                <w:tcPr>
                  <w:tcW w:w="1080" w:type="dxa"/>
                  <w:noWrap w:val="0"/>
                  <w:vAlign w:val="top"/>
                </w:tcPr>
                <w:p w14:paraId="54379133">
                  <w:pPr>
                    <w:spacing w:line="280" w:lineRule="exact"/>
                    <w:rPr>
                      <w:rFonts w:hint="eastAsia" w:ascii="宋体" w:hAnsi="宋体" w:eastAsia="宋体" w:cs="宋体"/>
                      <w:color w:val="auto"/>
                      <w:highlight w:val="none"/>
                    </w:rPr>
                  </w:pPr>
                </w:p>
              </w:tc>
            </w:tr>
            <w:tr w14:paraId="3CE9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23E48E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340" w:type="dxa"/>
                  <w:noWrap w:val="0"/>
                  <w:vAlign w:val="top"/>
                </w:tcPr>
                <w:p w14:paraId="30BC82A7">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应支付的预付款</w:t>
                  </w:r>
                </w:p>
              </w:tc>
              <w:tc>
                <w:tcPr>
                  <w:tcW w:w="1764" w:type="dxa"/>
                  <w:noWrap w:val="0"/>
                  <w:vAlign w:val="top"/>
                </w:tcPr>
                <w:p w14:paraId="5508F76D">
                  <w:pPr>
                    <w:spacing w:line="280" w:lineRule="exact"/>
                    <w:rPr>
                      <w:rFonts w:hint="eastAsia" w:ascii="宋体" w:hAnsi="宋体" w:eastAsia="宋体" w:cs="宋体"/>
                      <w:color w:val="auto"/>
                      <w:highlight w:val="none"/>
                    </w:rPr>
                  </w:pPr>
                </w:p>
              </w:tc>
              <w:tc>
                <w:tcPr>
                  <w:tcW w:w="2240" w:type="dxa"/>
                  <w:noWrap w:val="0"/>
                  <w:vAlign w:val="top"/>
                </w:tcPr>
                <w:p w14:paraId="0ECE5A2A">
                  <w:pPr>
                    <w:spacing w:line="280" w:lineRule="exact"/>
                    <w:rPr>
                      <w:rFonts w:hint="eastAsia" w:ascii="宋体" w:hAnsi="宋体" w:eastAsia="宋体" w:cs="宋体"/>
                      <w:color w:val="auto"/>
                      <w:highlight w:val="none"/>
                    </w:rPr>
                  </w:pPr>
                </w:p>
              </w:tc>
              <w:tc>
                <w:tcPr>
                  <w:tcW w:w="1080" w:type="dxa"/>
                  <w:noWrap w:val="0"/>
                  <w:vAlign w:val="top"/>
                </w:tcPr>
                <w:p w14:paraId="4C5E5704">
                  <w:pPr>
                    <w:spacing w:line="280" w:lineRule="exact"/>
                    <w:rPr>
                      <w:rFonts w:hint="eastAsia" w:ascii="宋体" w:hAnsi="宋体" w:eastAsia="宋体" w:cs="宋体"/>
                      <w:color w:val="auto"/>
                      <w:highlight w:val="none"/>
                    </w:rPr>
                  </w:pPr>
                </w:p>
              </w:tc>
            </w:tr>
            <w:tr w14:paraId="3F11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F017CB4">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340" w:type="dxa"/>
                  <w:noWrap w:val="0"/>
                  <w:vAlign w:val="top"/>
                </w:tcPr>
                <w:p w14:paraId="0CB4B053">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应支付的安全文明施工费预付款</w:t>
                  </w:r>
                </w:p>
              </w:tc>
              <w:tc>
                <w:tcPr>
                  <w:tcW w:w="1764" w:type="dxa"/>
                  <w:noWrap w:val="0"/>
                  <w:vAlign w:val="top"/>
                </w:tcPr>
                <w:p w14:paraId="33DDD6D1">
                  <w:pPr>
                    <w:spacing w:line="280" w:lineRule="exact"/>
                    <w:rPr>
                      <w:rFonts w:hint="eastAsia" w:ascii="宋体" w:hAnsi="宋体" w:eastAsia="宋体" w:cs="宋体"/>
                      <w:color w:val="auto"/>
                      <w:highlight w:val="none"/>
                    </w:rPr>
                  </w:pPr>
                </w:p>
              </w:tc>
              <w:tc>
                <w:tcPr>
                  <w:tcW w:w="2240" w:type="dxa"/>
                  <w:noWrap w:val="0"/>
                  <w:vAlign w:val="top"/>
                </w:tcPr>
                <w:p w14:paraId="017FEE4C">
                  <w:pPr>
                    <w:spacing w:line="280" w:lineRule="exact"/>
                    <w:rPr>
                      <w:rFonts w:hint="eastAsia" w:ascii="宋体" w:hAnsi="宋体" w:eastAsia="宋体" w:cs="宋体"/>
                      <w:color w:val="auto"/>
                      <w:highlight w:val="none"/>
                    </w:rPr>
                  </w:pPr>
                </w:p>
              </w:tc>
              <w:tc>
                <w:tcPr>
                  <w:tcW w:w="1080" w:type="dxa"/>
                  <w:noWrap w:val="0"/>
                  <w:vAlign w:val="top"/>
                </w:tcPr>
                <w:p w14:paraId="4ADB551E">
                  <w:pPr>
                    <w:spacing w:line="280" w:lineRule="exact"/>
                    <w:rPr>
                      <w:rFonts w:hint="eastAsia" w:ascii="宋体" w:hAnsi="宋体" w:eastAsia="宋体" w:cs="宋体"/>
                      <w:color w:val="auto"/>
                      <w:highlight w:val="none"/>
                    </w:rPr>
                  </w:pPr>
                </w:p>
              </w:tc>
            </w:tr>
            <w:tr w14:paraId="4A29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66B4164">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340" w:type="dxa"/>
                  <w:noWrap w:val="0"/>
                  <w:vAlign w:val="top"/>
                </w:tcPr>
                <w:p w14:paraId="1CD63AD3">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合计应支付的预付款</w:t>
                  </w:r>
                </w:p>
              </w:tc>
              <w:tc>
                <w:tcPr>
                  <w:tcW w:w="1764" w:type="dxa"/>
                  <w:noWrap w:val="0"/>
                  <w:vAlign w:val="top"/>
                </w:tcPr>
                <w:p w14:paraId="57ACEFDB">
                  <w:pPr>
                    <w:spacing w:line="280" w:lineRule="exact"/>
                    <w:rPr>
                      <w:rFonts w:hint="eastAsia" w:ascii="宋体" w:hAnsi="宋体" w:eastAsia="宋体" w:cs="宋体"/>
                      <w:color w:val="auto"/>
                      <w:highlight w:val="none"/>
                    </w:rPr>
                  </w:pPr>
                </w:p>
              </w:tc>
              <w:tc>
                <w:tcPr>
                  <w:tcW w:w="2240" w:type="dxa"/>
                  <w:noWrap w:val="0"/>
                  <w:vAlign w:val="top"/>
                </w:tcPr>
                <w:p w14:paraId="495C3EB6">
                  <w:pPr>
                    <w:spacing w:line="280" w:lineRule="exact"/>
                    <w:rPr>
                      <w:rFonts w:hint="eastAsia" w:ascii="宋体" w:hAnsi="宋体" w:eastAsia="宋体" w:cs="宋体"/>
                      <w:color w:val="auto"/>
                      <w:highlight w:val="none"/>
                    </w:rPr>
                  </w:pPr>
                </w:p>
              </w:tc>
              <w:tc>
                <w:tcPr>
                  <w:tcW w:w="1080" w:type="dxa"/>
                  <w:noWrap w:val="0"/>
                  <w:vAlign w:val="top"/>
                </w:tcPr>
                <w:p w14:paraId="21FA36AE">
                  <w:pPr>
                    <w:spacing w:line="280" w:lineRule="exact"/>
                    <w:rPr>
                      <w:rFonts w:hint="eastAsia" w:ascii="宋体" w:hAnsi="宋体" w:eastAsia="宋体" w:cs="宋体"/>
                      <w:color w:val="auto"/>
                      <w:highlight w:val="none"/>
                    </w:rPr>
                  </w:pPr>
                </w:p>
              </w:tc>
            </w:tr>
            <w:tr w14:paraId="44BB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D706A7F">
                  <w:pPr>
                    <w:spacing w:line="280" w:lineRule="exact"/>
                    <w:jc w:val="center"/>
                    <w:rPr>
                      <w:rFonts w:hint="eastAsia" w:ascii="宋体" w:hAnsi="宋体" w:eastAsia="宋体" w:cs="宋体"/>
                      <w:color w:val="auto"/>
                      <w:highlight w:val="none"/>
                    </w:rPr>
                  </w:pPr>
                </w:p>
              </w:tc>
              <w:tc>
                <w:tcPr>
                  <w:tcW w:w="3340" w:type="dxa"/>
                  <w:noWrap w:val="0"/>
                  <w:vAlign w:val="top"/>
                </w:tcPr>
                <w:p w14:paraId="27AE8A1D">
                  <w:pPr>
                    <w:spacing w:line="280" w:lineRule="exact"/>
                    <w:rPr>
                      <w:rFonts w:hint="eastAsia" w:ascii="宋体" w:hAnsi="宋体" w:eastAsia="宋体" w:cs="宋体"/>
                      <w:color w:val="auto"/>
                      <w:highlight w:val="none"/>
                    </w:rPr>
                  </w:pPr>
                </w:p>
              </w:tc>
              <w:tc>
                <w:tcPr>
                  <w:tcW w:w="1764" w:type="dxa"/>
                  <w:noWrap w:val="0"/>
                  <w:vAlign w:val="top"/>
                </w:tcPr>
                <w:p w14:paraId="28FB1C0C">
                  <w:pPr>
                    <w:spacing w:line="280" w:lineRule="exact"/>
                    <w:rPr>
                      <w:rFonts w:hint="eastAsia" w:ascii="宋体" w:hAnsi="宋体" w:eastAsia="宋体" w:cs="宋体"/>
                      <w:color w:val="auto"/>
                      <w:highlight w:val="none"/>
                    </w:rPr>
                  </w:pPr>
                </w:p>
              </w:tc>
              <w:tc>
                <w:tcPr>
                  <w:tcW w:w="2240" w:type="dxa"/>
                  <w:noWrap w:val="0"/>
                  <w:vAlign w:val="top"/>
                </w:tcPr>
                <w:p w14:paraId="0B81991A">
                  <w:pPr>
                    <w:spacing w:line="280" w:lineRule="exact"/>
                    <w:rPr>
                      <w:rFonts w:hint="eastAsia" w:ascii="宋体" w:hAnsi="宋体" w:eastAsia="宋体" w:cs="宋体"/>
                      <w:color w:val="auto"/>
                      <w:highlight w:val="none"/>
                    </w:rPr>
                  </w:pPr>
                </w:p>
              </w:tc>
              <w:tc>
                <w:tcPr>
                  <w:tcW w:w="1080" w:type="dxa"/>
                  <w:noWrap w:val="0"/>
                  <w:vAlign w:val="top"/>
                </w:tcPr>
                <w:p w14:paraId="79A4F975">
                  <w:pPr>
                    <w:spacing w:line="280" w:lineRule="exact"/>
                    <w:rPr>
                      <w:rFonts w:hint="eastAsia" w:ascii="宋体" w:hAnsi="宋体" w:eastAsia="宋体" w:cs="宋体"/>
                      <w:color w:val="auto"/>
                      <w:highlight w:val="none"/>
                    </w:rPr>
                  </w:pPr>
                </w:p>
              </w:tc>
            </w:tr>
          </w:tbl>
          <w:p w14:paraId="71A67C8C">
            <w:pPr>
              <w:wordWrap w:val="0"/>
              <w:spacing w:line="400" w:lineRule="exact"/>
              <w:ind w:right="420"/>
              <w:rPr>
                <w:rFonts w:hint="eastAsia" w:ascii="宋体" w:hAnsi="宋体" w:eastAsia="宋体" w:cs="宋体"/>
                <w:color w:val="auto"/>
                <w:highlight w:val="none"/>
              </w:rPr>
            </w:pPr>
          </w:p>
          <w:p w14:paraId="32109D3A">
            <w:pPr>
              <w:wordWrap w:val="0"/>
              <w:spacing w:line="400" w:lineRule="exact"/>
              <w:ind w:right="420"/>
              <w:rPr>
                <w:rFonts w:hint="eastAsia" w:ascii="宋体" w:hAnsi="宋体" w:eastAsia="宋体" w:cs="宋体"/>
                <w:color w:val="auto"/>
                <w:highlight w:val="none"/>
              </w:rPr>
            </w:pPr>
            <w:r>
              <w:rPr>
                <w:rFonts w:hint="eastAsia" w:ascii="宋体" w:hAnsi="宋体" w:eastAsia="宋体" w:cs="宋体"/>
                <w:color w:val="auto"/>
                <w:highlight w:val="none"/>
              </w:rPr>
              <w:t xml:space="preserve">                                            承包人（章）             </w:t>
            </w:r>
          </w:p>
          <w:p w14:paraId="124FECC8">
            <w:pPr>
              <w:spacing w:line="400" w:lineRule="exact"/>
              <w:ind w:right="420" w:firstLine="435"/>
              <w:rPr>
                <w:rFonts w:hint="eastAsia" w:ascii="宋体" w:hAnsi="宋体" w:eastAsia="宋体" w:cs="宋体"/>
                <w:color w:val="auto"/>
                <w:highlight w:val="none"/>
              </w:rPr>
            </w:pPr>
            <w:r>
              <w:rPr>
                <w:rFonts w:hint="eastAsia" w:ascii="宋体" w:hAnsi="宋体" w:eastAsia="宋体" w:cs="宋体"/>
                <w:color w:val="auto"/>
                <w:highlight w:val="none"/>
              </w:rPr>
              <w:t>造价人员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tc>
      </w:tr>
      <w:tr w14:paraId="6162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59E65413">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复核意见：</w:t>
            </w:r>
          </w:p>
          <w:p w14:paraId="6E1C46F8">
            <w:pPr>
              <w:spacing w:line="360" w:lineRule="exact"/>
              <w:ind w:firstLine="312"/>
              <w:rPr>
                <w:rFonts w:hint="eastAsia" w:ascii="宋体" w:hAnsi="宋体" w:eastAsia="宋体" w:cs="宋体"/>
                <w:color w:val="auto"/>
                <w:highlight w:val="none"/>
              </w:rPr>
            </w:pPr>
            <w:r>
              <w:rPr>
                <w:rFonts w:hint="eastAsia" w:ascii="宋体" w:hAnsi="宋体" w:eastAsia="宋体" w:cs="宋体"/>
                <w:color w:val="auto"/>
                <w:highlight w:val="none"/>
              </w:rPr>
              <w:t>□与合同约定不相符，修改意见见附件。</w:t>
            </w:r>
          </w:p>
          <w:p w14:paraId="16E5D27A">
            <w:pPr>
              <w:spacing w:line="360" w:lineRule="exact"/>
              <w:ind w:firstLine="312"/>
              <w:rPr>
                <w:rFonts w:hint="eastAsia" w:ascii="宋体" w:hAnsi="宋体" w:eastAsia="宋体" w:cs="宋体"/>
                <w:color w:val="auto"/>
                <w:highlight w:val="none"/>
              </w:rPr>
            </w:pPr>
            <w:r>
              <w:rPr>
                <w:rFonts w:hint="eastAsia" w:ascii="宋体" w:hAnsi="宋体" w:eastAsia="宋体" w:cs="宋体"/>
                <w:color w:val="auto"/>
                <w:highlight w:val="none"/>
              </w:rPr>
              <w:t>□与合同约定相符，具体金额由造价工程师复核。</w:t>
            </w:r>
          </w:p>
          <w:p w14:paraId="60FFED0A">
            <w:pPr>
              <w:spacing w:line="360" w:lineRule="exact"/>
              <w:ind w:firstLine="435"/>
              <w:jc w:val="right"/>
              <w:rPr>
                <w:rFonts w:hint="eastAsia" w:ascii="宋体" w:hAnsi="宋体" w:eastAsia="宋体" w:cs="宋体"/>
                <w:color w:val="auto"/>
                <w:highlight w:val="none"/>
              </w:rPr>
            </w:pPr>
          </w:p>
          <w:p w14:paraId="65639B6B">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监理工程师</w:t>
            </w:r>
            <w:r>
              <w:rPr>
                <w:rFonts w:hint="eastAsia" w:ascii="宋体" w:hAnsi="宋体" w:eastAsia="宋体" w:cs="宋体"/>
                <w:color w:val="auto"/>
                <w:highlight w:val="none"/>
                <w:u w:val="single"/>
              </w:rPr>
              <w:t xml:space="preserve">           </w:t>
            </w:r>
          </w:p>
          <w:p w14:paraId="768A0401">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tc>
        <w:tc>
          <w:tcPr>
            <w:tcW w:w="4552" w:type="dxa"/>
            <w:noWrap w:val="0"/>
            <w:vAlign w:val="top"/>
          </w:tcPr>
          <w:p w14:paraId="337063D4">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复核意见：</w:t>
            </w:r>
          </w:p>
          <w:p w14:paraId="1D5D051D">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你方提出的支付申请经复核，应支付预付款金额为(大写)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元，（小写）</w:t>
            </w:r>
          </w:p>
          <w:p w14:paraId="34E7B5B0">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元。</w:t>
            </w:r>
          </w:p>
          <w:p w14:paraId="0FCA40B7">
            <w:pPr>
              <w:spacing w:line="360" w:lineRule="exact"/>
              <w:rPr>
                <w:rFonts w:hint="eastAsia" w:ascii="宋体" w:hAnsi="宋体" w:eastAsia="宋体" w:cs="宋体"/>
                <w:color w:val="auto"/>
                <w:highlight w:val="none"/>
                <w:u w:val="single"/>
              </w:rPr>
            </w:pPr>
          </w:p>
          <w:p w14:paraId="70E1DD8C">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造价工程师</w:t>
            </w:r>
            <w:r>
              <w:rPr>
                <w:rFonts w:hint="eastAsia" w:ascii="宋体" w:hAnsi="宋体" w:eastAsia="宋体" w:cs="宋体"/>
                <w:color w:val="auto"/>
                <w:highlight w:val="none"/>
                <w:u w:val="single"/>
              </w:rPr>
              <w:t xml:space="preserve">           </w:t>
            </w:r>
          </w:p>
          <w:p w14:paraId="399327DD">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tc>
      </w:tr>
      <w:tr w14:paraId="6C74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032B8EB0">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审核意见：</w:t>
            </w:r>
          </w:p>
          <w:p w14:paraId="1A728D1B">
            <w:pPr>
              <w:spacing w:line="40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□不同意。</w:t>
            </w:r>
          </w:p>
          <w:p w14:paraId="3A2634CA">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□同意，支付时间为本表签发后的15天内。</w:t>
            </w:r>
          </w:p>
          <w:p w14:paraId="69F9E89C">
            <w:pPr>
              <w:wordWrap w:val="0"/>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发包人（章）           </w:t>
            </w:r>
          </w:p>
          <w:p w14:paraId="03894A69">
            <w:pPr>
              <w:wordWrap w:val="0"/>
              <w:spacing w:line="400" w:lineRule="exact"/>
              <w:ind w:firstLine="420" w:firstLineChars="200"/>
              <w:jc w:val="right"/>
              <w:rPr>
                <w:rFonts w:hint="eastAsia" w:ascii="宋体" w:hAnsi="宋体" w:eastAsia="宋体" w:cs="宋体"/>
                <w:color w:val="auto"/>
                <w:highlight w:val="none"/>
                <w:u w:val="single"/>
              </w:rPr>
            </w:pPr>
            <w:r>
              <w:rPr>
                <w:rFonts w:hint="eastAsia" w:ascii="宋体" w:hAnsi="宋体" w:eastAsia="宋体" w:cs="宋体"/>
                <w:color w:val="auto"/>
                <w:highlight w:val="none"/>
              </w:rPr>
              <w:t>发包人代表</w:t>
            </w:r>
            <w:r>
              <w:rPr>
                <w:rFonts w:hint="eastAsia" w:ascii="宋体" w:hAnsi="宋体" w:eastAsia="宋体" w:cs="宋体"/>
                <w:color w:val="auto"/>
                <w:highlight w:val="none"/>
                <w:u w:val="single"/>
              </w:rPr>
              <w:t xml:space="preserve">             </w:t>
            </w:r>
          </w:p>
          <w:p w14:paraId="0D4D0924">
            <w:pPr>
              <w:wordWrap w:val="0"/>
              <w:spacing w:line="400" w:lineRule="exact"/>
              <w:ind w:firstLine="420" w:firstLineChars="200"/>
              <w:jc w:val="righ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tc>
      </w:tr>
    </w:tbl>
    <w:p w14:paraId="1F9D9E5A">
      <w:pPr>
        <w:spacing w:before="120" w:beforeLines="50"/>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注：1.在选择栏中的“□”内作标识“√”。 </w:t>
      </w:r>
    </w:p>
    <w:p w14:paraId="4E082F22">
      <w:pPr>
        <w:spacing w:before="120" w:beforeLines="50"/>
        <w:ind w:left="720" w:hanging="720" w:hangingChars="4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2.本表一式四份，由承包人填报，发包人、监理人、造价咨询人、承包人各存一份。</w:t>
      </w:r>
    </w:p>
    <w:p w14:paraId="21238115">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3AB3CFD2">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附件11：</w:t>
      </w:r>
    </w:p>
    <w:p w14:paraId="7601002B">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进度款支付申请（核准）表</w:t>
      </w:r>
    </w:p>
    <w:p w14:paraId="76B3F0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                                             编号：</w:t>
      </w:r>
    </w:p>
    <w:tbl>
      <w:tblPr>
        <w:tblStyle w:val="5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58E3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14E10DCC">
            <w:pPr>
              <w:spacing w:line="480" w:lineRule="exact"/>
              <w:ind w:left="525" w:leftChars="149" w:hanging="212" w:hangingChars="101"/>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（发包人全称）</w:t>
            </w:r>
          </w:p>
          <w:p w14:paraId="52742860">
            <w:pPr>
              <w:spacing w:line="400" w:lineRule="exact"/>
              <w:ind w:left="-4" w:leftChars="-2"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我方于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期间已完成了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工作，根据施工合同的约定，现申请支付本期的合同款额为(大写)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元，请予核准。</w:t>
            </w:r>
          </w:p>
          <w:tbl>
            <w:tblPr>
              <w:tblStyle w:val="5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6690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2DD1E222">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340" w:type="dxa"/>
                  <w:noWrap w:val="0"/>
                  <w:vAlign w:val="center"/>
                </w:tcPr>
                <w:p w14:paraId="1744250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名      称</w:t>
                  </w:r>
                </w:p>
              </w:tc>
              <w:tc>
                <w:tcPr>
                  <w:tcW w:w="1340" w:type="dxa"/>
                  <w:noWrap w:val="0"/>
                  <w:vAlign w:val="center"/>
                </w:tcPr>
                <w:p w14:paraId="5E772441">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实际金额（元）</w:t>
                  </w:r>
                </w:p>
              </w:tc>
              <w:tc>
                <w:tcPr>
                  <w:tcW w:w="1440" w:type="dxa"/>
                  <w:noWrap w:val="0"/>
                  <w:vAlign w:val="center"/>
                </w:tcPr>
                <w:p w14:paraId="28B9AA49">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申请金额（元）</w:t>
                  </w:r>
                </w:p>
              </w:tc>
              <w:tc>
                <w:tcPr>
                  <w:tcW w:w="1260" w:type="dxa"/>
                  <w:noWrap w:val="0"/>
                  <w:vAlign w:val="center"/>
                </w:tcPr>
                <w:p w14:paraId="50F8E2A6">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复核金额（元）</w:t>
                  </w:r>
                </w:p>
              </w:tc>
              <w:tc>
                <w:tcPr>
                  <w:tcW w:w="931" w:type="dxa"/>
                  <w:noWrap w:val="0"/>
                  <w:vAlign w:val="center"/>
                </w:tcPr>
                <w:p w14:paraId="0DE5D551">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3EB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908188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340" w:type="dxa"/>
                  <w:noWrap w:val="0"/>
                  <w:vAlign w:val="top"/>
                </w:tcPr>
                <w:p w14:paraId="4500F323">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累计已完成的工程价款</w:t>
                  </w:r>
                </w:p>
              </w:tc>
              <w:tc>
                <w:tcPr>
                  <w:tcW w:w="1340" w:type="dxa"/>
                  <w:noWrap w:val="0"/>
                  <w:vAlign w:val="top"/>
                </w:tcPr>
                <w:p w14:paraId="679B4A3F">
                  <w:pPr>
                    <w:spacing w:line="280" w:lineRule="exact"/>
                    <w:rPr>
                      <w:rFonts w:hint="eastAsia" w:ascii="宋体" w:hAnsi="宋体" w:eastAsia="宋体" w:cs="宋体"/>
                      <w:color w:val="auto"/>
                      <w:highlight w:val="none"/>
                    </w:rPr>
                  </w:pPr>
                </w:p>
              </w:tc>
              <w:tc>
                <w:tcPr>
                  <w:tcW w:w="1440" w:type="dxa"/>
                  <w:noWrap w:val="0"/>
                  <w:vAlign w:val="top"/>
                </w:tcPr>
                <w:p w14:paraId="12E95691">
                  <w:pPr>
                    <w:spacing w:line="280" w:lineRule="exact"/>
                    <w:rPr>
                      <w:rFonts w:hint="eastAsia" w:ascii="宋体" w:hAnsi="宋体" w:eastAsia="宋体" w:cs="宋体"/>
                      <w:color w:val="auto"/>
                      <w:highlight w:val="none"/>
                    </w:rPr>
                  </w:pPr>
                </w:p>
              </w:tc>
              <w:tc>
                <w:tcPr>
                  <w:tcW w:w="1260" w:type="dxa"/>
                  <w:noWrap w:val="0"/>
                  <w:vAlign w:val="top"/>
                </w:tcPr>
                <w:p w14:paraId="05AFBFE3">
                  <w:pPr>
                    <w:spacing w:line="280" w:lineRule="exact"/>
                    <w:rPr>
                      <w:rFonts w:hint="eastAsia" w:ascii="宋体" w:hAnsi="宋体" w:eastAsia="宋体" w:cs="宋体"/>
                      <w:color w:val="auto"/>
                      <w:highlight w:val="none"/>
                    </w:rPr>
                  </w:pPr>
                </w:p>
              </w:tc>
              <w:tc>
                <w:tcPr>
                  <w:tcW w:w="931" w:type="dxa"/>
                  <w:noWrap w:val="0"/>
                  <w:vAlign w:val="top"/>
                </w:tcPr>
                <w:p w14:paraId="6F72C1F1">
                  <w:pPr>
                    <w:spacing w:line="280" w:lineRule="exact"/>
                    <w:rPr>
                      <w:rFonts w:hint="eastAsia" w:ascii="宋体" w:hAnsi="宋体" w:eastAsia="宋体" w:cs="宋体"/>
                      <w:color w:val="auto"/>
                      <w:highlight w:val="none"/>
                    </w:rPr>
                  </w:pPr>
                </w:p>
              </w:tc>
            </w:tr>
            <w:tr w14:paraId="02E6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0D80AF6">
                  <w:pPr>
                    <w:spacing w:line="280" w:lineRule="exact"/>
                    <w:jc w:val="center"/>
                    <w:rPr>
                      <w:rFonts w:hint="eastAsia" w:ascii="宋体" w:hAnsi="宋体" w:eastAsia="宋体" w:cs="宋体"/>
                      <w:color w:val="auto"/>
                      <w:highlight w:val="none"/>
                    </w:rPr>
                  </w:pPr>
                </w:p>
              </w:tc>
              <w:tc>
                <w:tcPr>
                  <w:tcW w:w="3340" w:type="dxa"/>
                  <w:noWrap w:val="0"/>
                  <w:vAlign w:val="top"/>
                </w:tcPr>
                <w:p w14:paraId="1B2A6988">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其中：人工费</w:t>
                  </w:r>
                </w:p>
              </w:tc>
              <w:tc>
                <w:tcPr>
                  <w:tcW w:w="1340" w:type="dxa"/>
                  <w:noWrap w:val="0"/>
                  <w:vAlign w:val="top"/>
                </w:tcPr>
                <w:p w14:paraId="3A3B23E6">
                  <w:pPr>
                    <w:spacing w:line="280" w:lineRule="exact"/>
                    <w:rPr>
                      <w:rFonts w:hint="eastAsia" w:ascii="宋体" w:hAnsi="宋体" w:eastAsia="宋体" w:cs="宋体"/>
                      <w:color w:val="auto"/>
                      <w:highlight w:val="none"/>
                    </w:rPr>
                  </w:pPr>
                </w:p>
              </w:tc>
              <w:tc>
                <w:tcPr>
                  <w:tcW w:w="1440" w:type="dxa"/>
                  <w:noWrap w:val="0"/>
                  <w:vAlign w:val="top"/>
                </w:tcPr>
                <w:p w14:paraId="0DF64590">
                  <w:pPr>
                    <w:spacing w:line="280" w:lineRule="exact"/>
                    <w:rPr>
                      <w:rFonts w:hint="eastAsia" w:ascii="宋体" w:hAnsi="宋体" w:eastAsia="宋体" w:cs="宋体"/>
                      <w:color w:val="auto"/>
                      <w:highlight w:val="none"/>
                    </w:rPr>
                  </w:pPr>
                </w:p>
              </w:tc>
              <w:tc>
                <w:tcPr>
                  <w:tcW w:w="1260" w:type="dxa"/>
                  <w:noWrap w:val="0"/>
                  <w:vAlign w:val="top"/>
                </w:tcPr>
                <w:p w14:paraId="5BB563B9">
                  <w:pPr>
                    <w:spacing w:line="280" w:lineRule="exact"/>
                    <w:rPr>
                      <w:rFonts w:hint="eastAsia" w:ascii="宋体" w:hAnsi="宋体" w:eastAsia="宋体" w:cs="宋体"/>
                      <w:color w:val="auto"/>
                      <w:highlight w:val="none"/>
                    </w:rPr>
                  </w:pPr>
                </w:p>
              </w:tc>
              <w:tc>
                <w:tcPr>
                  <w:tcW w:w="931" w:type="dxa"/>
                  <w:noWrap w:val="0"/>
                  <w:vAlign w:val="top"/>
                </w:tcPr>
                <w:p w14:paraId="0F8BA66A">
                  <w:pPr>
                    <w:spacing w:line="280" w:lineRule="exact"/>
                    <w:rPr>
                      <w:rFonts w:hint="eastAsia" w:ascii="宋体" w:hAnsi="宋体" w:eastAsia="宋体" w:cs="宋体"/>
                      <w:color w:val="auto"/>
                      <w:highlight w:val="none"/>
                    </w:rPr>
                  </w:pPr>
                </w:p>
              </w:tc>
            </w:tr>
            <w:tr w14:paraId="22C5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6A57D31">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340" w:type="dxa"/>
                  <w:noWrap w:val="0"/>
                  <w:vAlign w:val="top"/>
                </w:tcPr>
                <w:p w14:paraId="04E653FA">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累计已实际支付的工程价款</w:t>
                  </w:r>
                </w:p>
              </w:tc>
              <w:tc>
                <w:tcPr>
                  <w:tcW w:w="1340" w:type="dxa"/>
                  <w:noWrap w:val="0"/>
                  <w:vAlign w:val="top"/>
                </w:tcPr>
                <w:p w14:paraId="3E5D55A4">
                  <w:pPr>
                    <w:spacing w:line="280" w:lineRule="exact"/>
                    <w:rPr>
                      <w:rFonts w:hint="eastAsia" w:ascii="宋体" w:hAnsi="宋体" w:eastAsia="宋体" w:cs="宋体"/>
                      <w:color w:val="auto"/>
                      <w:highlight w:val="none"/>
                    </w:rPr>
                  </w:pPr>
                </w:p>
              </w:tc>
              <w:tc>
                <w:tcPr>
                  <w:tcW w:w="1440" w:type="dxa"/>
                  <w:noWrap w:val="0"/>
                  <w:vAlign w:val="top"/>
                </w:tcPr>
                <w:p w14:paraId="638266AB">
                  <w:pPr>
                    <w:spacing w:line="280" w:lineRule="exact"/>
                    <w:rPr>
                      <w:rFonts w:hint="eastAsia" w:ascii="宋体" w:hAnsi="宋体" w:eastAsia="宋体" w:cs="宋体"/>
                      <w:color w:val="auto"/>
                      <w:highlight w:val="none"/>
                    </w:rPr>
                  </w:pPr>
                </w:p>
              </w:tc>
              <w:tc>
                <w:tcPr>
                  <w:tcW w:w="1260" w:type="dxa"/>
                  <w:noWrap w:val="0"/>
                  <w:vAlign w:val="top"/>
                </w:tcPr>
                <w:p w14:paraId="40C11F68">
                  <w:pPr>
                    <w:spacing w:line="280" w:lineRule="exact"/>
                    <w:rPr>
                      <w:rFonts w:hint="eastAsia" w:ascii="宋体" w:hAnsi="宋体" w:eastAsia="宋体" w:cs="宋体"/>
                      <w:color w:val="auto"/>
                      <w:highlight w:val="none"/>
                    </w:rPr>
                  </w:pPr>
                </w:p>
              </w:tc>
              <w:tc>
                <w:tcPr>
                  <w:tcW w:w="931" w:type="dxa"/>
                  <w:noWrap w:val="0"/>
                  <w:vAlign w:val="top"/>
                </w:tcPr>
                <w:p w14:paraId="10C9943B">
                  <w:pPr>
                    <w:spacing w:line="280" w:lineRule="exact"/>
                    <w:rPr>
                      <w:rFonts w:hint="eastAsia" w:ascii="宋体" w:hAnsi="宋体" w:eastAsia="宋体" w:cs="宋体"/>
                      <w:color w:val="auto"/>
                      <w:highlight w:val="none"/>
                    </w:rPr>
                  </w:pPr>
                </w:p>
              </w:tc>
            </w:tr>
            <w:tr w14:paraId="3760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C241CA6">
                  <w:pPr>
                    <w:spacing w:line="280" w:lineRule="exact"/>
                    <w:jc w:val="center"/>
                    <w:rPr>
                      <w:rFonts w:hint="eastAsia" w:ascii="宋体" w:hAnsi="宋体" w:eastAsia="宋体" w:cs="宋体"/>
                      <w:color w:val="auto"/>
                      <w:highlight w:val="none"/>
                    </w:rPr>
                  </w:pPr>
                </w:p>
              </w:tc>
              <w:tc>
                <w:tcPr>
                  <w:tcW w:w="3340" w:type="dxa"/>
                  <w:noWrap w:val="0"/>
                  <w:vAlign w:val="top"/>
                </w:tcPr>
                <w:p w14:paraId="0D847359">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其中：人工费</w:t>
                  </w:r>
                </w:p>
              </w:tc>
              <w:tc>
                <w:tcPr>
                  <w:tcW w:w="1340" w:type="dxa"/>
                  <w:noWrap w:val="0"/>
                  <w:vAlign w:val="top"/>
                </w:tcPr>
                <w:p w14:paraId="1207358C">
                  <w:pPr>
                    <w:spacing w:line="280" w:lineRule="exact"/>
                    <w:rPr>
                      <w:rFonts w:hint="eastAsia" w:ascii="宋体" w:hAnsi="宋体" w:eastAsia="宋体" w:cs="宋体"/>
                      <w:color w:val="auto"/>
                      <w:highlight w:val="none"/>
                    </w:rPr>
                  </w:pPr>
                </w:p>
              </w:tc>
              <w:tc>
                <w:tcPr>
                  <w:tcW w:w="1440" w:type="dxa"/>
                  <w:noWrap w:val="0"/>
                  <w:vAlign w:val="top"/>
                </w:tcPr>
                <w:p w14:paraId="4D8A0794">
                  <w:pPr>
                    <w:spacing w:line="280" w:lineRule="exact"/>
                    <w:rPr>
                      <w:rFonts w:hint="eastAsia" w:ascii="宋体" w:hAnsi="宋体" w:eastAsia="宋体" w:cs="宋体"/>
                      <w:color w:val="auto"/>
                      <w:highlight w:val="none"/>
                    </w:rPr>
                  </w:pPr>
                </w:p>
              </w:tc>
              <w:tc>
                <w:tcPr>
                  <w:tcW w:w="1260" w:type="dxa"/>
                  <w:noWrap w:val="0"/>
                  <w:vAlign w:val="top"/>
                </w:tcPr>
                <w:p w14:paraId="5A8A13AF">
                  <w:pPr>
                    <w:spacing w:line="280" w:lineRule="exact"/>
                    <w:rPr>
                      <w:rFonts w:hint="eastAsia" w:ascii="宋体" w:hAnsi="宋体" w:eastAsia="宋体" w:cs="宋体"/>
                      <w:color w:val="auto"/>
                      <w:highlight w:val="none"/>
                    </w:rPr>
                  </w:pPr>
                </w:p>
              </w:tc>
              <w:tc>
                <w:tcPr>
                  <w:tcW w:w="931" w:type="dxa"/>
                  <w:noWrap w:val="0"/>
                  <w:vAlign w:val="top"/>
                </w:tcPr>
                <w:p w14:paraId="0D63745D">
                  <w:pPr>
                    <w:spacing w:line="280" w:lineRule="exact"/>
                    <w:rPr>
                      <w:rFonts w:hint="eastAsia" w:ascii="宋体" w:hAnsi="宋体" w:eastAsia="宋体" w:cs="宋体"/>
                      <w:color w:val="auto"/>
                      <w:highlight w:val="none"/>
                    </w:rPr>
                  </w:pPr>
                </w:p>
              </w:tc>
            </w:tr>
            <w:tr w14:paraId="6AAC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3904A4C">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340" w:type="dxa"/>
                  <w:noWrap w:val="0"/>
                  <w:vAlign w:val="top"/>
                </w:tcPr>
                <w:p w14:paraId="59996A29">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本周期已完成的工程价款</w:t>
                  </w:r>
                </w:p>
              </w:tc>
              <w:tc>
                <w:tcPr>
                  <w:tcW w:w="1340" w:type="dxa"/>
                  <w:noWrap w:val="0"/>
                  <w:vAlign w:val="top"/>
                </w:tcPr>
                <w:p w14:paraId="50553A9C">
                  <w:pPr>
                    <w:spacing w:line="280" w:lineRule="exact"/>
                    <w:rPr>
                      <w:rFonts w:hint="eastAsia" w:ascii="宋体" w:hAnsi="宋体" w:eastAsia="宋体" w:cs="宋体"/>
                      <w:color w:val="auto"/>
                      <w:highlight w:val="none"/>
                    </w:rPr>
                  </w:pPr>
                </w:p>
              </w:tc>
              <w:tc>
                <w:tcPr>
                  <w:tcW w:w="1440" w:type="dxa"/>
                  <w:noWrap w:val="0"/>
                  <w:vAlign w:val="top"/>
                </w:tcPr>
                <w:p w14:paraId="0CFDD9EC">
                  <w:pPr>
                    <w:spacing w:line="280" w:lineRule="exact"/>
                    <w:rPr>
                      <w:rFonts w:hint="eastAsia" w:ascii="宋体" w:hAnsi="宋体" w:eastAsia="宋体" w:cs="宋体"/>
                      <w:color w:val="auto"/>
                      <w:highlight w:val="none"/>
                    </w:rPr>
                  </w:pPr>
                </w:p>
              </w:tc>
              <w:tc>
                <w:tcPr>
                  <w:tcW w:w="1260" w:type="dxa"/>
                  <w:noWrap w:val="0"/>
                  <w:vAlign w:val="top"/>
                </w:tcPr>
                <w:p w14:paraId="4AE01510">
                  <w:pPr>
                    <w:spacing w:line="280" w:lineRule="exact"/>
                    <w:rPr>
                      <w:rFonts w:hint="eastAsia" w:ascii="宋体" w:hAnsi="宋体" w:eastAsia="宋体" w:cs="宋体"/>
                      <w:color w:val="auto"/>
                      <w:highlight w:val="none"/>
                    </w:rPr>
                  </w:pPr>
                </w:p>
              </w:tc>
              <w:tc>
                <w:tcPr>
                  <w:tcW w:w="931" w:type="dxa"/>
                  <w:noWrap w:val="0"/>
                  <w:vAlign w:val="top"/>
                </w:tcPr>
                <w:p w14:paraId="6DBC4CB4">
                  <w:pPr>
                    <w:spacing w:line="280" w:lineRule="exact"/>
                    <w:rPr>
                      <w:rFonts w:hint="eastAsia" w:ascii="宋体" w:hAnsi="宋体" w:eastAsia="宋体" w:cs="宋体"/>
                      <w:color w:val="auto"/>
                      <w:highlight w:val="none"/>
                    </w:rPr>
                  </w:pPr>
                </w:p>
              </w:tc>
            </w:tr>
            <w:tr w14:paraId="33A3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6D022FA">
                  <w:pPr>
                    <w:spacing w:line="280" w:lineRule="exact"/>
                    <w:jc w:val="center"/>
                    <w:rPr>
                      <w:rFonts w:hint="eastAsia" w:ascii="宋体" w:hAnsi="宋体" w:eastAsia="宋体" w:cs="宋体"/>
                      <w:color w:val="auto"/>
                      <w:highlight w:val="none"/>
                    </w:rPr>
                  </w:pPr>
                </w:p>
              </w:tc>
              <w:tc>
                <w:tcPr>
                  <w:tcW w:w="3340" w:type="dxa"/>
                  <w:noWrap w:val="0"/>
                  <w:vAlign w:val="top"/>
                </w:tcPr>
                <w:p w14:paraId="648D59F8">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其中：人工费</w:t>
                  </w:r>
                </w:p>
              </w:tc>
              <w:tc>
                <w:tcPr>
                  <w:tcW w:w="1340" w:type="dxa"/>
                  <w:noWrap w:val="0"/>
                  <w:vAlign w:val="top"/>
                </w:tcPr>
                <w:p w14:paraId="72968233">
                  <w:pPr>
                    <w:spacing w:line="280" w:lineRule="exact"/>
                    <w:rPr>
                      <w:rFonts w:hint="eastAsia" w:ascii="宋体" w:hAnsi="宋体" w:eastAsia="宋体" w:cs="宋体"/>
                      <w:color w:val="auto"/>
                      <w:highlight w:val="none"/>
                    </w:rPr>
                  </w:pPr>
                </w:p>
              </w:tc>
              <w:tc>
                <w:tcPr>
                  <w:tcW w:w="1440" w:type="dxa"/>
                  <w:noWrap w:val="0"/>
                  <w:vAlign w:val="top"/>
                </w:tcPr>
                <w:p w14:paraId="5B8285D7">
                  <w:pPr>
                    <w:spacing w:line="280" w:lineRule="exact"/>
                    <w:rPr>
                      <w:rFonts w:hint="eastAsia" w:ascii="宋体" w:hAnsi="宋体" w:eastAsia="宋体" w:cs="宋体"/>
                      <w:color w:val="auto"/>
                      <w:highlight w:val="none"/>
                    </w:rPr>
                  </w:pPr>
                </w:p>
              </w:tc>
              <w:tc>
                <w:tcPr>
                  <w:tcW w:w="1260" w:type="dxa"/>
                  <w:noWrap w:val="0"/>
                  <w:vAlign w:val="top"/>
                </w:tcPr>
                <w:p w14:paraId="63B567D0">
                  <w:pPr>
                    <w:spacing w:line="280" w:lineRule="exact"/>
                    <w:rPr>
                      <w:rFonts w:hint="eastAsia" w:ascii="宋体" w:hAnsi="宋体" w:eastAsia="宋体" w:cs="宋体"/>
                      <w:color w:val="auto"/>
                      <w:highlight w:val="none"/>
                    </w:rPr>
                  </w:pPr>
                </w:p>
              </w:tc>
              <w:tc>
                <w:tcPr>
                  <w:tcW w:w="931" w:type="dxa"/>
                  <w:noWrap w:val="0"/>
                  <w:vAlign w:val="top"/>
                </w:tcPr>
                <w:p w14:paraId="1E6BD8D2">
                  <w:pPr>
                    <w:spacing w:line="280" w:lineRule="exact"/>
                    <w:rPr>
                      <w:rFonts w:hint="eastAsia" w:ascii="宋体" w:hAnsi="宋体" w:eastAsia="宋体" w:cs="宋体"/>
                      <w:color w:val="auto"/>
                      <w:highlight w:val="none"/>
                    </w:rPr>
                  </w:pPr>
                </w:p>
              </w:tc>
            </w:tr>
            <w:tr w14:paraId="4E9B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F2BE0A5">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340" w:type="dxa"/>
                  <w:noWrap w:val="0"/>
                  <w:vAlign w:val="top"/>
                </w:tcPr>
                <w:p w14:paraId="7DCA060E">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本周期应扣减的金额</w:t>
                  </w:r>
                </w:p>
              </w:tc>
              <w:tc>
                <w:tcPr>
                  <w:tcW w:w="1340" w:type="dxa"/>
                  <w:noWrap w:val="0"/>
                  <w:vAlign w:val="top"/>
                </w:tcPr>
                <w:p w14:paraId="3205B2B7">
                  <w:pPr>
                    <w:spacing w:line="280" w:lineRule="exact"/>
                    <w:rPr>
                      <w:rFonts w:hint="eastAsia" w:ascii="宋体" w:hAnsi="宋体" w:eastAsia="宋体" w:cs="宋体"/>
                      <w:color w:val="auto"/>
                      <w:highlight w:val="none"/>
                    </w:rPr>
                  </w:pPr>
                </w:p>
              </w:tc>
              <w:tc>
                <w:tcPr>
                  <w:tcW w:w="1440" w:type="dxa"/>
                  <w:noWrap w:val="0"/>
                  <w:vAlign w:val="top"/>
                </w:tcPr>
                <w:p w14:paraId="3BCDDECB">
                  <w:pPr>
                    <w:spacing w:line="280" w:lineRule="exact"/>
                    <w:rPr>
                      <w:rFonts w:hint="eastAsia" w:ascii="宋体" w:hAnsi="宋体" w:eastAsia="宋体" w:cs="宋体"/>
                      <w:color w:val="auto"/>
                      <w:highlight w:val="none"/>
                    </w:rPr>
                  </w:pPr>
                </w:p>
              </w:tc>
              <w:tc>
                <w:tcPr>
                  <w:tcW w:w="1260" w:type="dxa"/>
                  <w:noWrap w:val="0"/>
                  <w:vAlign w:val="top"/>
                </w:tcPr>
                <w:p w14:paraId="6B3BCA55">
                  <w:pPr>
                    <w:spacing w:line="280" w:lineRule="exact"/>
                    <w:rPr>
                      <w:rFonts w:hint="eastAsia" w:ascii="宋体" w:hAnsi="宋体" w:eastAsia="宋体" w:cs="宋体"/>
                      <w:color w:val="auto"/>
                      <w:highlight w:val="none"/>
                    </w:rPr>
                  </w:pPr>
                </w:p>
              </w:tc>
              <w:tc>
                <w:tcPr>
                  <w:tcW w:w="931" w:type="dxa"/>
                  <w:noWrap w:val="0"/>
                  <w:vAlign w:val="top"/>
                </w:tcPr>
                <w:p w14:paraId="5A7D30F6">
                  <w:pPr>
                    <w:spacing w:line="280" w:lineRule="exact"/>
                    <w:rPr>
                      <w:rFonts w:hint="eastAsia" w:ascii="宋体" w:hAnsi="宋体" w:eastAsia="宋体" w:cs="宋体"/>
                      <w:color w:val="auto"/>
                      <w:highlight w:val="none"/>
                    </w:rPr>
                  </w:pPr>
                </w:p>
              </w:tc>
            </w:tr>
            <w:tr w14:paraId="71EC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E93D42A">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3340" w:type="dxa"/>
                  <w:noWrap w:val="0"/>
                  <w:vAlign w:val="top"/>
                </w:tcPr>
                <w:p w14:paraId="48D343E5">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本周期实际应抵扣的预付款</w:t>
                  </w:r>
                </w:p>
              </w:tc>
              <w:tc>
                <w:tcPr>
                  <w:tcW w:w="1340" w:type="dxa"/>
                  <w:noWrap w:val="0"/>
                  <w:vAlign w:val="top"/>
                </w:tcPr>
                <w:p w14:paraId="70F9BB67">
                  <w:pPr>
                    <w:spacing w:line="280" w:lineRule="exact"/>
                    <w:rPr>
                      <w:rFonts w:hint="eastAsia" w:ascii="宋体" w:hAnsi="宋体" w:eastAsia="宋体" w:cs="宋体"/>
                      <w:color w:val="auto"/>
                      <w:highlight w:val="none"/>
                    </w:rPr>
                  </w:pPr>
                </w:p>
              </w:tc>
              <w:tc>
                <w:tcPr>
                  <w:tcW w:w="1440" w:type="dxa"/>
                  <w:noWrap w:val="0"/>
                  <w:vAlign w:val="top"/>
                </w:tcPr>
                <w:p w14:paraId="4B3393D5">
                  <w:pPr>
                    <w:spacing w:line="280" w:lineRule="exact"/>
                    <w:rPr>
                      <w:rFonts w:hint="eastAsia" w:ascii="宋体" w:hAnsi="宋体" w:eastAsia="宋体" w:cs="宋体"/>
                      <w:color w:val="auto"/>
                      <w:highlight w:val="none"/>
                    </w:rPr>
                  </w:pPr>
                </w:p>
              </w:tc>
              <w:tc>
                <w:tcPr>
                  <w:tcW w:w="1260" w:type="dxa"/>
                  <w:noWrap w:val="0"/>
                  <w:vAlign w:val="top"/>
                </w:tcPr>
                <w:p w14:paraId="76720634">
                  <w:pPr>
                    <w:spacing w:line="280" w:lineRule="exact"/>
                    <w:rPr>
                      <w:rFonts w:hint="eastAsia" w:ascii="宋体" w:hAnsi="宋体" w:eastAsia="宋体" w:cs="宋体"/>
                      <w:color w:val="auto"/>
                      <w:highlight w:val="none"/>
                    </w:rPr>
                  </w:pPr>
                </w:p>
              </w:tc>
              <w:tc>
                <w:tcPr>
                  <w:tcW w:w="931" w:type="dxa"/>
                  <w:noWrap w:val="0"/>
                  <w:vAlign w:val="top"/>
                </w:tcPr>
                <w:p w14:paraId="226FF9A8">
                  <w:pPr>
                    <w:spacing w:line="280" w:lineRule="exact"/>
                    <w:rPr>
                      <w:rFonts w:hint="eastAsia" w:ascii="宋体" w:hAnsi="宋体" w:eastAsia="宋体" w:cs="宋体"/>
                      <w:color w:val="auto"/>
                      <w:highlight w:val="none"/>
                    </w:rPr>
                  </w:pPr>
                </w:p>
              </w:tc>
            </w:tr>
            <w:tr w14:paraId="4966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67C6099">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4.2</w:t>
                  </w:r>
                </w:p>
              </w:tc>
              <w:tc>
                <w:tcPr>
                  <w:tcW w:w="3340" w:type="dxa"/>
                  <w:noWrap w:val="0"/>
                  <w:vAlign w:val="top"/>
                </w:tcPr>
                <w:p w14:paraId="58C0B6E0">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本周期应扣减的金额</w:t>
                  </w:r>
                </w:p>
              </w:tc>
              <w:tc>
                <w:tcPr>
                  <w:tcW w:w="1340" w:type="dxa"/>
                  <w:noWrap w:val="0"/>
                  <w:vAlign w:val="top"/>
                </w:tcPr>
                <w:p w14:paraId="649FF309">
                  <w:pPr>
                    <w:spacing w:line="280" w:lineRule="exact"/>
                    <w:rPr>
                      <w:rFonts w:hint="eastAsia" w:ascii="宋体" w:hAnsi="宋体" w:eastAsia="宋体" w:cs="宋体"/>
                      <w:color w:val="auto"/>
                      <w:highlight w:val="none"/>
                    </w:rPr>
                  </w:pPr>
                </w:p>
              </w:tc>
              <w:tc>
                <w:tcPr>
                  <w:tcW w:w="1440" w:type="dxa"/>
                  <w:noWrap w:val="0"/>
                  <w:vAlign w:val="top"/>
                </w:tcPr>
                <w:p w14:paraId="248D468D">
                  <w:pPr>
                    <w:spacing w:line="280" w:lineRule="exact"/>
                    <w:rPr>
                      <w:rFonts w:hint="eastAsia" w:ascii="宋体" w:hAnsi="宋体" w:eastAsia="宋体" w:cs="宋体"/>
                      <w:color w:val="auto"/>
                      <w:highlight w:val="none"/>
                    </w:rPr>
                  </w:pPr>
                </w:p>
              </w:tc>
              <w:tc>
                <w:tcPr>
                  <w:tcW w:w="1260" w:type="dxa"/>
                  <w:noWrap w:val="0"/>
                  <w:vAlign w:val="top"/>
                </w:tcPr>
                <w:p w14:paraId="73EFB283">
                  <w:pPr>
                    <w:spacing w:line="280" w:lineRule="exact"/>
                    <w:rPr>
                      <w:rFonts w:hint="eastAsia" w:ascii="宋体" w:hAnsi="宋体" w:eastAsia="宋体" w:cs="宋体"/>
                      <w:color w:val="auto"/>
                      <w:highlight w:val="none"/>
                    </w:rPr>
                  </w:pPr>
                </w:p>
              </w:tc>
              <w:tc>
                <w:tcPr>
                  <w:tcW w:w="931" w:type="dxa"/>
                  <w:noWrap w:val="0"/>
                  <w:vAlign w:val="top"/>
                </w:tcPr>
                <w:p w14:paraId="238939B4">
                  <w:pPr>
                    <w:spacing w:line="280" w:lineRule="exact"/>
                    <w:rPr>
                      <w:rFonts w:hint="eastAsia" w:ascii="宋体" w:hAnsi="宋体" w:eastAsia="宋体" w:cs="宋体"/>
                      <w:color w:val="auto"/>
                      <w:highlight w:val="none"/>
                    </w:rPr>
                  </w:pPr>
                </w:p>
              </w:tc>
            </w:tr>
            <w:tr w14:paraId="2E35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A6C37F9">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340" w:type="dxa"/>
                  <w:noWrap w:val="0"/>
                  <w:vAlign w:val="top"/>
                </w:tcPr>
                <w:p w14:paraId="455B5FCD">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本周期应支付的合同价款</w:t>
                  </w:r>
                </w:p>
              </w:tc>
              <w:tc>
                <w:tcPr>
                  <w:tcW w:w="1340" w:type="dxa"/>
                  <w:noWrap w:val="0"/>
                  <w:vAlign w:val="top"/>
                </w:tcPr>
                <w:p w14:paraId="6ECA8E8D">
                  <w:pPr>
                    <w:spacing w:line="280" w:lineRule="exact"/>
                    <w:rPr>
                      <w:rFonts w:hint="eastAsia" w:ascii="宋体" w:hAnsi="宋体" w:eastAsia="宋体" w:cs="宋体"/>
                      <w:color w:val="auto"/>
                      <w:highlight w:val="none"/>
                    </w:rPr>
                  </w:pPr>
                </w:p>
              </w:tc>
              <w:tc>
                <w:tcPr>
                  <w:tcW w:w="1440" w:type="dxa"/>
                  <w:noWrap w:val="0"/>
                  <w:vAlign w:val="top"/>
                </w:tcPr>
                <w:p w14:paraId="6BA4376A">
                  <w:pPr>
                    <w:spacing w:line="280" w:lineRule="exact"/>
                    <w:rPr>
                      <w:rFonts w:hint="eastAsia" w:ascii="宋体" w:hAnsi="宋体" w:eastAsia="宋体" w:cs="宋体"/>
                      <w:color w:val="auto"/>
                      <w:highlight w:val="none"/>
                    </w:rPr>
                  </w:pPr>
                </w:p>
              </w:tc>
              <w:tc>
                <w:tcPr>
                  <w:tcW w:w="1260" w:type="dxa"/>
                  <w:noWrap w:val="0"/>
                  <w:vAlign w:val="top"/>
                </w:tcPr>
                <w:p w14:paraId="52DC9B99">
                  <w:pPr>
                    <w:spacing w:line="280" w:lineRule="exact"/>
                    <w:rPr>
                      <w:rFonts w:hint="eastAsia" w:ascii="宋体" w:hAnsi="宋体" w:eastAsia="宋体" w:cs="宋体"/>
                      <w:color w:val="auto"/>
                      <w:highlight w:val="none"/>
                    </w:rPr>
                  </w:pPr>
                </w:p>
              </w:tc>
              <w:tc>
                <w:tcPr>
                  <w:tcW w:w="931" w:type="dxa"/>
                  <w:noWrap w:val="0"/>
                  <w:vAlign w:val="top"/>
                </w:tcPr>
                <w:p w14:paraId="522A6B68">
                  <w:pPr>
                    <w:spacing w:line="280" w:lineRule="exact"/>
                    <w:rPr>
                      <w:rFonts w:hint="eastAsia" w:ascii="宋体" w:hAnsi="宋体" w:eastAsia="宋体" w:cs="宋体"/>
                      <w:color w:val="auto"/>
                      <w:highlight w:val="none"/>
                    </w:rPr>
                  </w:pPr>
                </w:p>
              </w:tc>
            </w:tr>
            <w:tr w14:paraId="4F90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DBBB1D3">
                  <w:pPr>
                    <w:spacing w:line="280" w:lineRule="exact"/>
                    <w:jc w:val="center"/>
                    <w:rPr>
                      <w:rFonts w:hint="eastAsia" w:ascii="宋体" w:hAnsi="宋体" w:eastAsia="宋体" w:cs="宋体"/>
                      <w:color w:val="auto"/>
                      <w:highlight w:val="none"/>
                    </w:rPr>
                  </w:pPr>
                </w:p>
              </w:tc>
              <w:tc>
                <w:tcPr>
                  <w:tcW w:w="3340" w:type="dxa"/>
                  <w:noWrap w:val="0"/>
                  <w:vAlign w:val="top"/>
                </w:tcPr>
                <w:p w14:paraId="7609DF96">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其中：人工费</w:t>
                  </w:r>
                </w:p>
              </w:tc>
              <w:tc>
                <w:tcPr>
                  <w:tcW w:w="1340" w:type="dxa"/>
                  <w:noWrap w:val="0"/>
                  <w:vAlign w:val="top"/>
                </w:tcPr>
                <w:p w14:paraId="4DD5F6EC">
                  <w:pPr>
                    <w:spacing w:line="280" w:lineRule="exact"/>
                    <w:rPr>
                      <w:rFonts w:hint="eastAsia" w:ascii="宋体" w:hAnsi="宋体" w:eastAsia="宋体" w:cs="宋体"/>
                      <w:color w:val="auto"/>
                      <w:highlight w:val="none"/>
                    </w:rPr>
                  </w:pPr>
                </w:p>
              </w:tc>
              <w:tc>
                <w:tcPr>
                  <w:tcW w:w="1440" w:type="dxa"/>
                  <w:noWrap w:val="0"/>
                  <w:vAlign w:val="top"/>
                </w:tcPr>
                <w:p w14:paraId="358AEB13">
                  <w:pPr>
                    <w:spacing w:line="280" w:lineRule="exact"/>
                    <w:rPr>
                      <w:rFonts w:hint="eastAsia" w:ascii="宋体" w:hAnsi="宋体" w:eastAsia="宋体" w:cs="宋体"/>
                      <w:color w:val="auto"/>
                      <w:highlight w:val="none"/>
                    </w:rPr>
                  </w:pPr>
                </w:p>
              </w:tc>
              <w:tc>
                <w:tcPr>
                  <w:tcW w:w="1260" w:type="dxa"/>
                  <w:noWrap w:val="0"/>
                  <w:vAlign w:val="top"/>
                </w:tcPr>
                <w:p w14:paraId="1C6E6C81">
                  <w:pPr>
                    <w:spacing w:line="280" w:lineRule="exact"/>
                    <w:rPr>
                      <w:rFonts w:hint="eastAsia" w:ascii="宋体" w:hAnsi="宋体" w:eastAsia="宋体" w:cs="宋体"/>
                      <w:color w:val="auto"/>
                      <w:highlight w:val="none"/>
                    </w:rPr>
                  </w:pPr>
                </w:p>
              </w:tc>
              <w:tc>
                <w:tcPr>
                  <w:tcW w:w="931" w:type="dxa"/>
                  <w:noWrap w:val="0"/>
                  <w:vAlign w:val="top"/>
                </w:tcPr>
                <w:p w14:paraId="1CEA3061">
                  <w:pPr>
                    <w:spacing w:line="280" w:lineRule="exact"/>
                    <w:rPr>
                      <w:rFonts w:hint="eastAsia" w:ascii="宋体" w:hAnsi="宋体" w:eastAsia="宋体" w:cs="宋体"/>
                      <w:color w:val="auto"/>
                      <w:highlight w:val="none"/>
                    </w:rPr>
                  </w:pPr>
                </w:p>
              </w:tc>
            </w:tr>
          </w:tbl>
          <w:p w14:paraId="2398E3D9">
            <w:pPr>
              <w:wordWrap w:val="0"/>
              <w:spacing w:line="400" w:lineRule="exact"/>
              <w:ind w:right="420"/>
              <w:rPr>
                <w:rFonts w:hint="eastAsia" w:ascii="宋体" w:hAnsi="宋体" w:eastAsia="宋体" w:cs="宋体"/>
                <w:color w:val="auto"/>
                <w:highlight w:val="none"/>
              </w:rPr>
            </w:pPr>
            <w:r>
              <w:rPr>
                <w:rFonts w:hint="eastAsia" w:ascii="宋体" w:hAnsi="宋体" w:eastAsia="宋体" w:cs="宋体"/>
                <w:color w:val="auto"/>
                <w:highlight w:val="none"/>
              </w:rPr>
              <w:t>附：上述3、4详见附件清单。</w:t>
            </w:r>
          </w:p>
          <w:p w14:paraId="6536A827">
            <w:pPr>
              <w:wordWrap w:val="0"/>
              <w:spacing w:line="400" w:lineRule="exact"/>
              <w:ind w:right="420"/>
              <w:rPr>
                <w:rFonts w:hint="eastAsia" w:ascii="宋体" w:hAnsi="宋体" w:eastAsia="宋体" w:cs="宋体"/>
                <w:color w:val="auto"/>
                <w:highlight w:val="none"/>
              </w:rPr>
            </w:pPr>
            <w:r>
              <w:rPr>
                <w:rFonts w:hint="eastAsia" w:ascii="宋体" w:hAnsi="宋体" w:eastAsia="宋体" w:cs="宋体"/>
                <w:color w:val="auto"/>
                <w:highlight w:val="none"/>
              </w:rPr>
              <w:t xml:space="preserve">                                            承包人（章）             </w:t>
            </w:r>
          </w:p>
          <w:p w14:paraId="0BCA56F9">
            <w:pPr>
              <w:spacing w:line="400" w:lineRule="exact"/>
              <w:ind w:right="420" w:firstLine="435"/>
              <w:rPr>
                <w:rFonts w:hint="eastAsia" w:ascii="宋体" w:hAnsi="宋体" w:eastAsia="宋体" w:cs="宋体"/>
                <w:color w:val="auto"/>
                <w:highlight w:val="none"/>
              </w:rPr>
            </w:pPr>
            <w:r>
              <w:rPr>
                <w:rFonts w:hint="eastAsia" w:ascii="宋体" w:hAnsi="宋体" w:eastAsia="宋体" w:cs="宋体"/>
                <w:color w:val="auto"/>
                <w:highlight w:val="none"/>
              </w:rPr>
              <w:t>造价人员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tc>
      </w:tr>
      <w:tr w14:paraId="6174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5F7F8DFB">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复核意见：</w:t>
            </w:r>
          </w:p>
          <w:p w14:paraId="040C11FC">
            <w:pPr>
              <w:spacing w:line="360" w:lineRule="exact"/>
              <w:ind w:firstLine="312"/>
              <w:rPr>
                <w:rFonts w:hint="eastAsia" w:ascii="宋体" w:hAnsi="宋体" w:eastAsia="宋体" w:cs="宋体"/>
                <w:color w:val="auto"/>
                <w:highlight w:val="none"/>
              </w:rPr>
            </w:pPr>
            <w:r>
              <w:rPr>
                <w:rFonts w:hint="eastAsia" w:ascii="宋体" w:hAnsi="宋体" w:eastAsia="宋体" w:cs="宋体"/>
                <w:color w:val="auto"/>
                <w:highlight w:val="none"/>
              </w:rPr>
              <w:t>□与实际施工情况不相符，修改意见见附件。</w:t>
            </w:r>
          </w:p>
          <w:p w14:paraId="4DC598C9">
            <w:pPr>
              <w:spacing w:line="360" w:lineRule="exact"/>
              <w:ind w:firstLine="312"/>
              <w:rPr>
                <w:rFonts w:hint="eastAsia" w:ascii="宋体" w:hAnsi="宋体" w:eastAsia="宋体" w:cs="宋体"/>
                <w:color w:val="auto"/>
                <w:highlight w:val="none"/>
              </w:rPr>
            </w:pPr>
            <w:r>
              <w:rPr>
                <w:rFonts w:hint="eastAsia" w:ascii="宋体" w:hAnsi="宋体" w:eastAsia="宋体" w:cs="宋体"/>
                <w:color w:val="auto"/>
                <w:highlight w:val="none"/>
              </w:rPr>
              <w:t>□与实际施工情况相符，具体金额由造价工程师复核。</w:t>
            </w:r>
          </w:p>
          <w:p w14:paraId="548F3183">
            <w:pPr>
              <w:spacing w:line="360" w:lineRule="exact"/>
              <w:ind w:firstLine="435"/>
              <w:jc w:val="right"/>
              <w:rPr>
                <w:rFonts w:hint="eastAsia" w:ascii="宋体" w:hAnsi="宋体" w:eastAsia="宋体" w:cs="宋体"/>
                <w:color w:val="auto"/>
                <w:highlight w:val="none"/>
              </w:rPr>
            </w:pPr>
          </w:p>
          <w:p w14:paraId="5A9C434C">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监理工程师</w:t>
            </w:r>
            <w:r>
              <w:rPr>
                <w:rFonts w:hint="eastAsia" w:ascii="宋体" w:hAnsi="宋体" w:eastAsia="宋体" w:cs="宋体"/>
                <w:color w:val="auto"/>
                <w:highlight w:val="none"/>
                <w:u w:val="single"/>
              </w:rPr>
              <w:t xml:space="preserve">           </w:t>
            </w:r>
          </w:p>
          <w:p w14:paraId="76A43685">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tc>
        <w:tc>
          <w:tcPr>
            <w:tcW w:w="4552" w:type="dxa"/>
            <w:noWrap w:val="0"/>
            <w:vAlign w:val="top"/>
          </w:tcPr>
          <w:p w14:paraId="5F26D6A0">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复核意见：</w:t>
            </w:r>
          </w:p>
          <w:p w14:paraId="56BCAB15">
            <w:pPr>
              <w:spacing w:line="36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你方提出的支付申请经复核，本周期已完成工程价款为(大写)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元，（小写）</w:t>
            </w:r>
          </w:p>
          <w:p w14:paraId="1FF7EF35">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元，本期间应支付金额为（大写）</w:t>
            </w:r>
          </w:p>
          <w:p w14:paraId="2B3CFEB6">
            <w:pPr>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1DFD1761">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造价工程师</w:t>
            </w:r>
            <w:r>
              <w:rPr>
                <w:rFonts w:hint="eastAsia" w:ascii="宋体" w:hAnsi="宋体" w:eastAsia="宋体" w:cs="宋体"/>
                <w:color w:val="auto"/>
                <w:highlight w:val="none"/>
                <w:u w:val="single"/>
              </w:rPr>
              <w:t xml:space="preserve">           </w:t>
            </w:r>
          </w:p>
          <w:p w14:paraId="2D41A994">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tc>
      </w:tr>
      <w:tr w14:paraId="0922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666EA03C">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审核意见：</w:t>
            </w:r>
          </w:p>
          <w:p w14:paraId="283E531F">
            <w:pPr>
              <w:spacing w:line="40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□不同意。</w:t>
            </w:r>
          </w:p>
          <w:p w14:paraId="69E179D4">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□同意，支付时间为本表签发后的15天内。</w:t>
            </w:r>
          </w:p>
          <w:p w14:paraId="0453ADD2">
            <w:pPr>
              <w:wordWrap w:val="0"/>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发包人（章）           </w:t>
            </w:r>
          </w:p>
          <w:p w14:paraId="7940E40C">
            <w:pPr>
              <w:wordWrap w:val="0"/>
              <w:spacing w:line="400" w:lineRule="exact"/>
              <w:ind w:firstLine="420" w:firstLineChars="200"/>
              <w:jc w:val="right"/>
              <w:rPr>
                <w:rFonts w:hint="eastAsia" w:ascii="宋体" w:hAnsi="宋体" w:eastAsia="宋体" w:cs="宋体"/>
                <w:color w:val="auto"/>
                <w:highlight w:val="none"/>
                <w:u w:val="single"/>
              </w:rPr>
            </w:pPr>
            <w:r>
              <w:rPr>
                <w:rFonts w:hint="eastAsia" w:ascii="宋体" w:hAnsi="宋体" w:eastAsia="宋体" w:cs="宋体"/>
                <w:color w:val="auto"/>
                <w:highlight w:val="none"/>
              </w:rPr>
              <w:t>发包人代表</w:t>
            </w:r>
            <w:r>
              <w:rPr>
                <w:rFonts w:hint="eastAsia" w:ascii="宋体" w:hAnsi="宋体" w:eastAsia="宋体" w:cs="宋体"/>
                <w:color w:val="auto"/>
                <w:highlight w:val="none"/>
                <w:u w:val="single"/>
              </w:rPr>
              <w:t xml:space="preserve">             </w:t>
            </w:r>
          </w:p>
          <w:p w14:paraId="3D2987E2">
            <w:pPr>
              <w:wordWrap w:val="0"/>
              <w:spacing w:line="400" w:lineRule="exact"/>
              <w:ind w:firstLine="420" w:firstLineChars="200"/>
              <w:jc w:val="righ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tc>
      </w:tr>
    </w:tbl>
    <w:p w14:paraId="2289F66D">
      <w:pPr>
        <w:spacing w:before="120" w:beforeLines="50"/>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注：1.在选择栏中的“□”内作标识“√”。 </w:t>
      </w:r>
    </w:p>
    <w:p w14:paraId="1EA43C78">
      <w:pPr>
        <w:spacing w:before="120" w:beforeLines="50"/>
        <w:ind w:left="720" w:hanging="720" w:hangingChars="400"/>
        <w:rPr>
          <w:rFonts w:hint="eastAsia" w:ascii="宋体" w:hAnsi="宋体" w:eastAsia="宋体" w:cs="宋体"/>
          <w:color w:val="auto"/>
          <w:highlight w:val="none"/>
        </w:rPr>
      </w:pPr>
      <w:r>
        <w:rPr>
          <w:rFonts w:hint="eastAsia" w:ascii="宋体" w:hAnsi="宋体" w:eastAsia="宋体" w:cs="宋体"/>
          <w:color w:val="auto"/>
          <w:sz w:val="18"/>
          <w:szCs w:val="18"/>
          <w:highlight w:val="none"/>
        </w:rPr>
        <w:t xml:space="preserve">        2.本表一式四份，由承包人填报，发包人、监理人、造价咨询人、承包人各存一份。</w:t>
      </w:r>
    </w:p>
    <w:p w14:paraId="5C488E95">
      <w:pPr>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附件12</w:t>
      </w:r>
    </w:p>
    <w:p w14:paraId="2C322327">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竣工结算款支付申请（核准）表</w:t>
      </w:r>
    </w:p>
    <w:p w14:paraId="46EB752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                                              编号：</w:t>
      </w:r>
    </w:p>
    <w:tbl>
      <w:tblPr>
        <w:tblStyle w:val="5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42E6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noWrap w:val="0"/>
            <w:vAlign w:val="top"/>
          </w:tcPr>
          <w:p w14:paraId="045CB135">
            <w:pPr>
              <w:spacing w:line="480" w:lineRule="exact"/>
              <w:ind w:left="525" w:leftChars="149" w:hanging="212" w:hangingChars="101"/>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（发包人全称）</w:t>
            </w:r>
          </w:p>
          <w:p w14:paraId="18CC0279">
            <w:pPr>
              <w:spacing w:line="400" w:lineRule="exact"/>
              <w:ind w:left="-4" w:leftChars="-2"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我方于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期间已完成了合同约定的工作，根据施工合同的约定，现申请支付竣工结算的工程款额为(大写)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元，请予核准。</w:t>
            </w:r>
          </w:p>
          <w:tbl>
            <w:tblPr>
              <w:tblStyle w:val="5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163F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25BCF573">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420" w:type="dxa"/>
                  <w:noWrap w:val="0"/>
                  <w:vAlign w:val="center"/>
                </w:tcPr>
                <w:p w14:paraId="28235925">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名      称</w:t>
                  </w:r>
                </w:p>
              </w:tc>
              <w:tc>
                <w:tcPr>
                  <w:tcW w:w="1620" w:type="dxa"/>
                  <w:noWrap w:val="0"/>
                  <w:vAlign w:val="center"/>
                </w:tcPr>
                <w:p w14:paraId="7395D8CC">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申请金额（元）</w:t>
                  </w:r>
                </w:p>
              </w:tc>
              <w:tc>
                <w:tcPr>
                  <w:tcW w:w="1620" w:type="dxa"/>
                  <w:noWrap w:val="0"/>
                  <w:vAlign w:val="center"/>
                </w:tcPr>
                <w:p w14:paraId="65767CE5">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复核金额（元）</w:t>
                  </w:r>
                </w:p>
              </w:tc>
              <w:tc>
                <w:tcPr>
                  <w:tcW w:w="1651" w:type="dxa"/>
                  <w:noWrap w:val="0"/>
                  <w:vAlign w:val="center"/>
                </w:tcPr>
                <w:p w14:paraId="633675B7">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7D12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CB957B5">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420" w:type="dxa"/>
                  <w:noWrap w:val="0"/>
                  <w:vAlign w:val="top"/>
                </w:tcPr>
                <w:p w14:paraId="2DB05322">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竣工结算合同价款总额</w:t>
                  </w:r>
                </w:p>
              </w:tc>
              <w:tc>
                <w:tcPr>
                  <w:tcW w:w="1620" w:type="dxa"/>
                  <w:noWrap w:val="0"/>
                  <w:vAlign w:val="top"/>
                </w:tcPr>
                <w:p w14:paraId="05E19A82">
                  <w:pPr>
                    <w:spacing w:line="280" w:lineRule="exact"/>
                    <w:rPr>
                      <w:rFonts w:hint="eastAsia" w:ascii="宋体" w:hAnsi="宋体" w:eastAsia="宋体" w:cs="宋体"/>
                      <w:color w:val="auto"/>
                      <w:highlight w:val="none"/>
                    </w:rPr>
                  </w:pPr>
                </w:p>
              </w:tc>
              <w:tc>
                <w:tcPr>
                  <w:tcW w:w="1620" w:type="dxa"/>
                  <w:noWrap w:val="0"/>
                  <w:vAlign w:val="top"/>
                </w:tcPr>
                <w:p w14:paraId="2BEF7F5A">
                  <w:pPr>
                    <w:spacing w:line="280" w:lineRule="exact"/>
                    <w:rPr>
                      <w:rFonts w:hint="eastAsia" w:ascii="宋体" w:hAnsi="宋体" w:eastAsia="宋体" w:cs="宋体"/>
                      <w:color w:val="auto"/>
                      <w:highlight w:val="none"/>
                    </w:rPr>
                  </w:pPr>
                </w:p>
              </w:tc>
              <w:tc>
                <w:tcPr>
                  <w:tcW w:w="1651" w:type="dxa"/>
                  <w:noWrap w:val="0"/>
                  <w:vAlign w:val="top"/>
                </w:tcPr>
                <w:p w14:paraId="23EC4F1D">
                  <w:pPr>
                    <w:spacing w:line="280" w:lineRule="exact"/>
                    <w:rPr>
                      <w:rFonts w:hint="eastAsia" w:ascii="宋体" w:hAnsi="宋体" w:eastAsia="宋体" w:cs="宋体"/>
                      <w:color w:val="auto"/>
                      <w:highlight w:val="none"/>
                    </w:rPr>
                  </w:pPr>
                </w:p>
              </w:tc>
            </w:tr>
            <w:tr w14:paraId="2F29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6B00C42">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420" w:type="dxa"/>
                  <w:noWrap w:val="0"/>
                  <w:vAlign w:val="top"/>
                </w:tcPr>
                <w:p w14:paraId="3661D932">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累计已实际支付的合同价款</w:t>
                  </w:r>
                </w:p>
              </w:tc>
              <w:tc>
                <w:tcPr>
                  <w:tcW w:w="1620" w:type="dxa"/>
                  <w:noWrap w:val="0"/>
                  <w:vAlign w:val="top"/>
                </w:tcPr>
                <w:p w14:paraId="44FDAAA9">
                  <w:pPr>
                    <w:spacing w:line="280" w:lineRule="exact"/>
                    <w:rPr>
                      <w:rFonts w:hint="eastAsia" w:ascii="宋体" w:hAnsi="宋体" w:eastAsia="宋体" w:cs="宋体"/>
                      <w:color w:val="auto"/>
                      <w:highlight w:val="none"/>
                    </w:rPr>
                  </w:pPr>
                </w:p>
              </w:tc>
              <w:tc>
                <w:tcPr>
                  <w:tcW w:w="1620" w:type="dxa"/>
                  <w:noWrap w:val="0"/>
                  <w:vAlign w:val="top"/>
                </w:tcPr>
                <w:p w14:paraId="23C80EC7">
                  <w:pPr>
                    <w:spacing w:line="280" w:lineRule="exact"/>
                    <w:rPr>
                      <w:rFonts w:hint="eastAsia" w:ascii="宋体" w:hAnsi="宋体" w:eastAsia="宋体" w:cs="宋体"/>
                      <w:color w:val="auto"/>
                      <w:highlight w:val="none"/>
                    </w:rPr>
                  </w:pPr>
                </w:p>
              </w:tc>
              <w:tc>
                <w:tcPr>
                  <w:tcW w:w="1651" w:type="dxa"/>
                  <w:noWrap w:val="0"/>
                  <w:vAlign w:val="top"/>
                </w:tcPr>
                <w:p w14:paraId="41B9D72E">
                  <w:pPr>
                    <w:spacing w:line="280" w:lineRule="exact"/>
                    <w:rPr>
                      <w:rFonts w:hint="eastAsia" w:ascii="宋体" w:hAnsi="宋体" w:eastAsia="宋体" w:cs="宋体"/>
                      <w:color w:val="auto"/>
                      <w:highlight w:val="none"/>
                    </w:rPr>
                  </w:pPr>
                </w:p>
              </w:tc>
            </w:tr>
            <w:tr w14:paraId="176A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D5165E1">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420" w:type="dxa"/>
                  <w:noWrap w:val="0"/>
                  <w:vAlign w:val="top"/>
                </w:tcPr>
                <w:p w14:paraId="72960D4C">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应预留的质量保证金</w:t>
                  </w:r>
                </w:p>
              </w:tc>
              <w:tc>
                <w:tcPr>
                  <w:tcW w:w="1620" w:type="dxa"/>
                  <w:noWrap w:val="0"/>
                  <w:vAlign w:val="top"/>
                </w:tcPr>
                <w:p w14:paraId="33501A20">
                  <w:pPr>
                    <w:spacing w:line="280" w:lineRule="exact"/>
                    <w:rPr>
                      <w:rFonts w:hint="eastAsia" w:ascii="宋体" w:hAnsi="宋体" w:eastAsia="宋体" w:cs="宋体"/>
                      <w:color w:val="auto"/>
                      <w:highlight w:val="none"/>
                    </w:rPr>
                  </w:pPr>
                </w:p>
              </w:tc>
              <w:tc>
                <w:tcPr>
                  <w:tcW w:w="1620" w:type="dxa"/>
                  <w:noWrap w:val="0"/>
                  <w:vAlign w:val="top"/>
                </w:tcPr>
                <w:p w14:paraId="6A478D8A">
                  <w:pPr>
                    <w:spacing w:line="280" w:lineRule="exact"/>
                    <w:rPr>
                      <w:rFonts w:hint="eastAsia" w:ascii="宋体" w:hAnsi="宋体" w:eastAsia="宋体" w:cs="宋体"/>
                      <w:color w:val="auto"/>
                      <w:highlight w:val="none"/>
                    </w:rPr>
                  </w:pPr>
                </w:p>
              </w:tc>
              <w:tc>
                <w:tcPr>
                  <w:tcW w:w="1651" w:type="dxa"/>
                  <w:noWrap w:val="0"/>
                  <w:vAlign w:val="top"/>
                </w:tcPr>
                <w:p w14:paraId="4B4F7260">
                  <w:pPr>
                    <w:spacing w:line="280" w:lineRule="exact"/>
                    <w:rPr>
                      <w:rFonts w:hint="eastAsia" w:ascii="宋体" w:hAnsi="宋体" w:eastAsia="宋体" w:cs="宋体"/>
                      <w:color w:val="auto"/>
                      <w:highlight w:val="none"/>
                    </w:rPr>
                  </w:pPr>
                </w:p>
              </w:tc>
            </w:tr>
            <w:tr w14:paraId="41EF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E614BE7">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420" w:type="dxa"/>
                  <w:noWrap w:val="0"/>
                  <w:vAlign w:val="top"/>
                </w:tcPr>
                <w:p w14:paraId="2FFAD7BB">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应支付的竣工结算款金额</w:t>
                  </w:r>
                </w:p>
              </w:tc>
              <w:tc>
                <w:tcPr>
                  <w:tcW w:w="1620" w:type="dxa"/>
                  <w:noWrap w:val="0"/>
                  <w:vAlign w:val="top"/>
                </w:tcPr>
                <w:p w14:paraId="10AE7B92">
                  <w:pPr>
                    <w:spacing w:line="280" w:lineRule="exact"/>
                    <w:rPr>
                      <w:rFonts w:hint="eastAsia" w:ascii="宋体" w:hAnsi="宋体" w:eastAsia="宋体" w:cs="宋体"/>
                      <w:color w:val="auto"/>
                      <w:highlight w:val="none"/>
                    </w:rPr>
                  </w:pPr>
                </w:p>
              </w:tc>
              <w:tc>
                <w:tcPr>
                  <w:tcW w:w="1620" w:type="dxa"/>
                  <w:noWrap w:val="0"/>
                  <w:vAlign w:val="top"/>
                </w:tcPr>
                <w:p w14:paraId="11E036CB">
                  <w:pPr>
                    <w:spacing w:line="280" w:lineRule="exact"/>
                    <w:rPr>
                      <w:rFonts w:hint="eastAsia" w:ascii="宋体" w:hAnsi="宋体" w:eastAsia="宋体" w:cs="宋体"/>
                      <w:color w:val="auto"/>
                      <w:highlight w:val="none"/>
                    </w:rPr>
                  </w:pPr>
                </w:p>
              </w:tc>
              <w:tc>
                <w:tcPr>
                  <w:tcW w:w="1651" w:type="dxa"/>
                  <w:noWrap w:val="0"/>
                  <w:vAlign w:val="top"/>
                </w:tcPr>
                <w:p w14:paraId="2B26D6B6">
                  <w:pPr>
                    <w:spacing w:line="280" w:lineRule="exact"/>
                    <w:rPr>
                      <w:rFonts w:hint="eastAsia" w:ascii="宋体" w:hAnsi="宋体" w:eastAsia="宋体" w:cs="宋体"/>
                      <w:color w:val="auto"/>
                      <w:highlight w:val="none"/>
                    </w:rPr>
                  </w:pPr>
                </w:p>
              </w:tc>
            </w:tr>
            <w:tr w14:paraId="34E2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7466E2F">
                  <w:pPr>
                    <w:spacing w:line="280" w:lineRule="exact"/>
                    <w:jc w:val="center"/>
                    <w:rPr>
                      <w:rFonts w:hint="eastAsia" w:ascii="宋体" w:hAnsi="宋体" w:eastAsia="宋体" w:cs="宋体"/>
                      <w:color w:val="auto"/>
                      <w:highlight w:val="none"/>
                    </w:rPr>
                  </w:pPr>
                </w:p>
              </w:tc>
              <w:tc>
                <w:tcPr>
                  <w:tcW w:w="3420" w:type="dxa"/>
                  <w:noWrap w:val="0"/>
                  <w:vAlign w:val="top"/>
                </w:tcPr>
                <w:p w14:paraId="75A8B76F">
                  <w:pPr>
                    <w:spacing w:line="280" w:lineRule="exact"/>
                    <w:rPr>
                      <w:rFonts w:hint="eastAsia" w:ascii="宋体" w:hAnsi="宋体" w:eastAsia="宋体" w:cs="宋体"/>
                      <w:color w:val="auto"/>
                      <w:highlight w:val="none"/>
                    </w:rPr>
                  </w:pPr>
                </w:p>
              </w:tc>
              <w:tc>
                <w:tcPr>
                  <w:tcW w:w="1620" w:type="dxa"/>
                  <w:noWrap w:val="0"/>
                  <w:vAlign w:val="top"/>
                </w:tcPr>
                <w:p w14:paraId="623B7317">
                  <w:pPr>
                    <w:spacing w:line="280" w:lineRule="exact"/>
                    <w:rPr>
                      <w:rFonts w:hint="eastAsia" w:ascii="宋体" w:hAnsi="宋体" w:eastAsia="宋体" w:cs="宋体"/>
                      <w:color w:val="auto"/>
                      <w:highlight w:val="none"/>
                    </w:rPr>
                  </w:pPr>
                </w:p>
              </w:tc>
              <w:tc>
                <w:tcPr>
                  <w:tcW w:w="1620" w:type="dxa"/>
                  <w:noWrap w:val="0"/>
                  <w:vAlign w:val="top"/>
                </w:tcPr>
                <w:p w14:paraId="50F31956">
                  <w:pPr>
                    <w:spacing w:line="280" w:lineRule="exact"/>
                    <w:rPr>
                      <w:rFonts w:hint="eastAsia" w:ascii="宋体" w:hAnsi="宋体" w:eastAsia="宋体" w:cs="宋体"/>
                      <w:color w:val="auto"/>
                      <w:highlight w:val="none"/>
                    </w:rPr>
                  </w:pPr>
                </w:p>
              </w:tc>
              <w:tc>
                <w:tcPr>
                  <w:tcW w:w="1651" w:type="dxa"/>
                  <w:noWrap w:val="0"/>
                  <w:vAlign w:val="top"/>
                </w:tcPr>
                <w:p w14:paraId="7D68C5F4">
                  <w:pPr>
                    <w:spacing w:line="280" w:lineRule="exact"/>
                    <w:rPr>
                      <w:rFonts w:hint="eastAsia" w:ascii="宋体" w:hAnsi="宋体" w:eastAsia="宋体" w:cs="宋体"/>
                      <w:color w:val="auto"/>
                      <w:highlight w:val="none"/>
                    </w:rPr>
                  </w:pPr>
                </w:p>
              </w:tc>
            </w:tr>
            <w:tr w14:paraId="148B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8D536F7">
                  <w:pPr>
                    <w:spacing w:line="280" w:lineRule="exact"/>
                    <w:jc w:val="center"/>
                    <w:rPr>
                      <w:rFonts w:hint="eastAsia" w:ascii="宋体" w:hAnsi="宋体" w:eastAsia="宋体" w:cs="宋体"/>
                      <w:color w:val="auto"/>
                      <w:highlight w:val="none"/>
                    </w:rPr>
                  </w:pPr>
                </w:p>
              </w:tc>
              <w:tc>
                <w:tcPr>
                  <w:tcW w:w="3420" w:type="dxa"/>
                  <w:noWrap w:val="0"/>
                  <w:vAlign w:val="top"/>
                </w:tcPr>
                <w:p w14:paraId="6D30DEA8">
                  <w:pPr>
                    <w:spacing w:line="280" w:lineRule="exact"/>
                    <w:rPr>
                      <w:rFonts w:hint="eastAsia" w:ascii="宋体" w:hAnsi="宋体" w:eastAsia="宋体" w:cs="宋体"/>
                      <w:color w:val="auto"/>
                      <w:highlight w:val="none"/>
                    </w:rPr>
                  </w:pPr>
                </w:p>
              </w:tc>
              <w:tc>
                <w:tcPr>
                  <w:tcW w:w="1620" w:type="dxa"/>
                  <w:noWrap w:val="0"/>
                  <w:vAlign w:val="top"/>
                </w:tcPr>
                <w:p w14:paraId="13123359">
                  <w:pPr>
                    <w:spacing w:line="280" w:lineRule="exact"/>
                    <w:rPr>
                      <w:rFonts w:hint="eastAsia" w:ascii="宋体" w:hAnsi="宋体" w:eastAsia="宋体" w:cs="宋体"/>
                      <w:color w:val="auto"/>
                      <w:highlight w:val="none"/>
                    </w:rPr>
                  </w:pPr>
                </w:p>
              </w:tc>
              <w:tc>
                <w:tcPr>
                  <w:tcW w:w="1620" w:type="dxa"/>
                  <w:noWrap w:val="0"/>
                  <w:vAlign w:val="top"/>
                </w:tcPr>
                <w:p w14:paraId="125265F4">
                  <w:pPr>
                    <w:spacing w:line="280" w:lineRule="exact"/>
                    <w:rPr>
                      <w:rFonts w:hint="eastAsia" w:ascii="宋体" w:hAnsi="宋体" w:eastAsia="宋体" w:cs="宋体"/>
                      <w:color w:val="auto"/>
                      <w:highlight w:val="none"/>
                    </w:rPr>
                  </w:pPr>
                </w:p>
              </w:tc>
              <w:tc>
                <w:tcPr>
                  <w:tcW w:w="1651" w:type="dxa"/>
                  <w:noWrap w:val="0"/>
                  <w:vAlign w:val="top"/>
                </w:tcPr>
                <w:p w14:paraId="17707AC8">
                  <w:pPr>
                    <w:spacing w:line="280" w:lineRule="exact"/>
                    <w:rPr>
                      <w:rFonts w:hint="eastAsia" w:ascii="宋体" w:hAnsi="宋体" w:eastAsia="宋体" w:cs="宋体"/>
                      <w:color w:val="auto"/>
                      <w:highlight w:val="none"/>
                    </w:rPr>
                  </w:pPr>
                </w:p>
              </w:tc>
            </w:tr>
            <w:tr w14:paraId="31E0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4256DBC">
                  <w:pPr>
                    <w:spacing w:line="280" w:lineRule="exact"/>
                    <w:jc w:val="center"/>
                    <w:rPr>
                      <w:rFonts w:hint="eastAsia" w:ascii="宋体" w:hAnsi="宋体" w:eastAsia="宋体" w:cs="宋体"/>
                      <w:color w:val="auto"/>
                      <w:highlight w:val="none"/>
                    </w:rPr>
                  </w:pPr>
                </w:p>
              </w:tc>
              <w:tc>
                <w:tcPr>
                  <w:tcW w:w="3420" w:type="dxa"/>
                  <w:noWrap w:val="0"/>
                  <w:vAlign w:val="top"/>
                </w:tcPr>
                <w:p w14:paraId="4B81F8E9">
                  <w:pPr>
                    <w:spacing w:line="280" w:lineRule="exact"/>
                    <w:rPr>
                      <w:rFonts w:hint="eastAsia" w:ascii="宋体" w:hAnsi="宋体" w:eastAsia="宋体" w:cs="宋体"/>
                      <w:color w:val="auto"/>
                      <w:highlight w:val="none"/>
                    </w:rPr>
                  </w:pPr>
                </w:p>
              </w:tc>
              <w:tc>
                <w:tcPr>
                  <w:tcW w:w="1620" w:type="dxa"/>
                  <w:noWrap w:val="0"/>
                  <w:vAlign w:val="top"/>
                </w:tcPr>
                <w:p w14:paraId="00858E35">
                  <w:pPr>
                    <w:spacing w:line="280" w:lineRule="exact"/>
                    <w:rPr>
                      <w:rFonts w:hint="eastAsia" w:ascii="宋体" w:hAnsi="宋体" w:eastAsia="宋体" w:cs="宋体"/>
                      <w:color w:val="auto"/>
                      <w:highlight w:val="none"/>
                    </w:rPr>
                  </w:pPr>
                </w:p>
              </w:tc>
              <w:tc>
                <w:tcPr>
                  <w:tcW w:w="1620" w:type="dxa"/>
                  <w:noWrap w:val="0"/>
                  <w:vAlign w:val="top"/>
                </w:tcPr>
                <w:p w14:paraId="5DDA486A">
                  <w:pPr>
                    <w:spacing w:line="280" w:lineRule="exact"/>
                    <w:rPr>
                      <w:rFonts w:hint="eastAsia" w:ascii="宋体" w:hAnsi="宋体" w:eastAsia="宋体" w:cs="宋体"/>
                      <w:color w:val="auto"/>
                      <w:highlight w:val="none"/>
                    </w:rPr>
                  </w:pPr>
                </w:p>
              </w:tc>
              <w:tc>
                <w:tcPr>
                  <w:tcW w:w="1651" w:type="dxa"/>
                  <w:noWrap w:val="0"/>
                  <w:vAlign w:val="top"/>
                </w:tcPr>
                <w:p w14:paraId="707F7A32">
                  <w:pPr>
                    <w:spacing w:line="280" w:lineRule="exact"/>
                    <w:rPr>
                      <w:rFonts w:hint="eastAsia" w:ascii="宋体" w:hAnsi="宋体" w:eastAsia="宋体" w:cs="宋体"/>
                      <w:color w:val="auto"/>
                      <w:highlight w:val="none"/>
                    </w:rPr>
                  </w:pPr>
                </w:p>
              </w:tc>
            </w:tr>
            <w:tr w14:paraId="0D4D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E956869">
                  <w:pPr>
                    <w:spacing w:line="280" w:lineRule="exact"/>
                    <w:jc w:val="center"/>
                    <w:rPr>
                      <w:rFonts w:hint="eastAsia" w:ascii="宋体" w:hAnsi="宋体" w:eastAsia="宋体" w:cs="宋体"/>
                      <w:color w:val="auto"/>
                      <w:highlight w:val="none"/>
                    </w:rPr>
                  </w:pPr>
                </w:p>
              </w:tc>
              <w:tc>
                <w:tcPr>
                  <w:tcW w:w="3420" w:type="dxa"/>
                  <w:noWrap w:val="0"/>
                  <w:vAlign w:val="top"/>
                </w:tcPr>
                <w:p w14:paraId="0812DFB8">
                  <w:pPr>
                    <w:spacing w:line="280" w:lineRule="exact"/>
                    <w:rPr>
                      <w:rFonts w:hint="eastAsia" w:ascii="宋体" w:hAnsi="宋体" w:eastAsia="宋体" w:cs="宋体"/>
                      <w:color w:val="auto"/>
                      <w:highlight w:val="none"/>
                    </w:rPr>
                  </w:pPr>
                </w:p>
              </w:tc>
              <w:tc>
                <w:tcPr>
                  <w:tcW w:w="1620" w:type="dxa"/>
                  <w:noWrap w:val="0"/>
                  <w:vAlign w:val="top"/>
                </w:tcPr>
                <w:p w14:paraId="1E7F66B9">
                  <w:pPr>
                    <w:spacing w:line="280" w:lineRule="exact"/>
                    <w:rPr>
                      <w:rFonts w:hint="eastAsia" w:ascii="宋体" w:hAnsi="宋体" w:eastAsia="宋体" w:cs="宋体"/>
                      <w:color w:val="auto"/>
                      <w:highlight w:val="none"/>
                    </w:rPr>
                  </w:pPr>
                </w:p>
              </w:tc>
              <w:tc>
                <w:tcPr>
                  <w:tcW w:w="1620" w:type="dxa"/>
                  <w:noWrap w:val="0"/>
                  <w:vAlign w:val="top"/>
                </w:tcPr>
                <w:p w14:paraId="498F2B2C">
                  <w:pPr>
                    <w:spacing w:line="280" w:lineRule="exact"/>
                    <w:rPr>
                      <w:rFonts w:hint="eastAsia" w:ascii="宋体" w:hAnsi="宋体" w:eastAsia="宋体" w:cs="宋体"/>
                      <w:color w:val="auto"/>
                      <w:highlight w:val="none"/>
                    </w:rPr>
                  </w:pPr>
                </w:p>
              </w:tc>
              <w:tc>
                <w:tcPr>
                  <w:tcW w:w="1651" w:type="dxa"/>
                  <w:noWrap w:val="0"/>
                  <w:vAlign w:val="top"/>
                </w:tcPr>
                <w:p w14:paraId="18875052">
                  <w:pPr>
                    <w:spacing w:line="280" w:lineRule="exact"/>
                    <w:rPr>
                      <w:rFonts w:hint="eastAsia" w:ascii="宋体" w:hAnsi="宋体" w:eastAsia="宋体" w:cs="宋体"/>
                      <w:color w:val="auto"/>
                      <w:highlight w:val="none"/>
                    </w:rPr>
                  </w:pPr>
                </w:p>
              </w:tc>
            </w:tr>
            <w:tr w14:paraId="4A2B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6003A23">
                  <w:pPr>
                    <w:spacing w:line="280" w:lineRule="exact"/>
                    <w:jc w:val="center"/>
                    <w:rPr>
                      <w:rFonts w:hint="eastAsia" w:ascii="宋体" w:hAnsi="宋体" w:eastAsia="宋体" w:cs="宋体"/>
                      <w:color w:val="auto"/>
                      <w:highlight w:val="none"/>
                    </w:rPr>
                  </w:pPr>
                </w:p>
              </w:tc>
              <w:tc>
                <w:tcPr>
                  <w:tcW w:w="3420" w:type="dxa"/>
                  <w:noWrap w:val="0"/>
                  <w:vAlign w:val="top"/>
                </w:tcPr>
                <w:p w14:paraId="6C861B55">
                  <w:pPr>
                    <w:spacing w:line="280" w:lineRule="exact"/>
                    <w:rPr>
                      <w:rFonts w:hint="eastAsia" w:ascii="宋体" w:hAnsi="宋体" w:eastAsia="宋体" w:cs="宋体"/>
                      <w:color w:val="auto"/>
                      <w:highlight w:val="none"/>
                    </w:rPr>
                  </w:pPr>
                </w:p>
              </w:tc>
              <w:tc>
                <w:tcPr>
                  <w:tcW w:w="1620" w:type="dxa"/>
                  <w:noWrap w:val="0"/>
                  <w:vAlign w:val="top"/>
                </w:tcPr>
                <w:p w14:paraId="0B1792EA">
                  <w:pPr>
                    <w:spacing w:line="280" w:lineRule="exact"/>
                    <w:rPr>
                      <w:rFonts w:hint="eastAsia" w:ascii="宋体" w:hAnsi="宋体" w:eastAsia="宋体" w:cs="宋体"/>
                      <w:color w:val="auto"/>
                      <w:highlight w:val="none"/>
                    </w:rPr>
                  </w:pPr>
                </w:p>
              </w:tc>
              <w:tc>
                <w:tcPr>
                  <w:tcW w:w="1620" w:type="dxa"/>
                  <w:noWrap w:val="0"/>
                  <w:vAlign w:val="top"/>
                </w:tcPr>
                <w:p w14:paraId="64222639">
                  <w:pPr>
                    <w:spacing w:line="280" w:lineRule="exact"/>
                    <w:rPr>
                      <w:rFonts w:hint="eastAsia" w:ascii="宋体" w:hAnsi="宋体" w:eastAsia="宋体" w:cs="宋体"/>
                      <w:color w:val="auto"/>
                      <w:highlight w:val="none"/>
                    </w:rPr>
                  </w:pPr>
                </w:p>
              </w:tc>
              <w:tc>
                <w:tcPr>
                  <w:tcW w:w="1651" w:type="dxa"/>
                  <w:noWrap w:val="0"/>
                  <w:vAlign w:val="top"/>
                </w:tcPr>
                <w:p w14:paraId="7A491C79">
                  <w:pPr>
                    <w:spacing w:line="280" w:lineRule="exact"/>
                    <w:rPr>
                      <w:rFonts w:hint="eastAsia" w:ascii="宋体" w:hAnsi="宋体" w:eastAsia="宋体" w:cs="宋体"/>
                      <w:color w:val="auto"/>
                      <w:highlight w:val="none"/>
                    </w:rPr>
                  </w:pPr>
                </w:p>
              </w:tc>
            </w:tr>
          </w:tbl>
          <w:p w14:paraId="2B8CD7B7">
            <w:pPr>
              <w:spacing w:line="400" w:lineRule="exact"/>
              <w:ind w:right="420" w:firstLine="435"/>
              <w:jc w:val="center"/>
              <w:rPr>
                <w:rFonts w:hint="eastAsia" w:ascii="宋体" w:hAnsi="宋体" w:eastAsia="宋体" w:cs="宋体"/>
                <w:color w:val="auto"/>
                <w:highlight w:val="none"/>
              </w:rPr>
            </w:pPr>
          </w:p>
          <w:p w14:paraId="314F1770">
            <w:pPr>
              <w:spacing w:line="400" w:lineRule="exact"/>
              <w:ind w:right="420" w:firstLine="435"/>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承包人（章）             </w:t>
            </w:r>
          </w:p>
          <w:p w14:paraId="5B964E3F">
            <w:pPr>
              <w:spacing w:line="400" w:lineRule="exact"/>
              <w:ind w:right="420" w:firstLine="435"/>
              <w:rPr>
                <w:rFonts w:hint="eastAsia" w:ascii="宋体" w:hAnsi="宋体" w:eastAsia="宋体" w:cs="宋体"/>
                <w:color w:val="auto"/>
                <w:highlight w:val="none"/>
              </w:rPr>
            </w:pPr>
            <w:r>
              <w:rPr>
                <w:rFonts w:hint="eastAsia" w:ascii="宋体" w:hAnsi="宋体" w:eastAsia="宋体" w:cs="宋体"/>
                <w:color w:val="auto"/>
                <w:highlight w:val="none"/>
              </w:rPr>
              <w:t>造价人员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tc>
      </w:tr>
      <w:tr w14:paraId="3C4B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noWrap w:val="0"/>
            <w:vAlign w:val="top"/>
          </w:tcPr>
          <w:p w14:paraId="738E9B32">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复核意见：</w:t>
            </w:r>
          </w:p>
          <w:p w14:paraId="3BDDCCB1">
            <w:pPr>
              <w:spacing w:line="360" w:lineRule="exact"/>
              <w:ind w:firstLine="312"/>
              <w:rPr>
                <w:rFonts w:hint="eastAsia" w:ascii="宋体" w:hAnsi="宋体" w:eastAsia="宋体" w:cs="宋体"/>
                <w:color w:val="auto"/>
                <w:highlight w:val="none"/>
              </w:rPr>
            </w:pPr>
            <w:r>
              <w:rPr>
                <w:rFonts w:hint="eastAsia" w:ascii="宋体" w:hAnsi="宋体" w:eastAsia="宋体" w:cs="宋体"/>
                <w:color w:val="auto"/>
                <w:highlight w:val="none"/>
              </w:rPr>
              <w:t>□与实际施工情况不相符，修改意见见附件。</w:t>
            </w:r>
          </w:p>
          <w:p w14:paraId="5C76E583">
            <w:pPr>
              <w:spacing w:line="360" w:lineRule="exact"/>
              <w:ind w:firstLine="312"/>
              <w:rPr>
                <w:rFonts w:hint="eastAsia" w:ascii="宋体" w:hAnsi="宋体" w:eastAsia="宋体" w:cs="宋体"/>
                <w:color w:val="auto"/>
                <w:highlight w:val="none"/>
              </w:rPr>
            </w:pPr>
            <w:r>
              <w:rPr>
                <w:rFonts w:hint="eastAsia" w:ascii="宋体" w:hAnsi="宋体" w:eastAsia="宋体" w:cs="宋体"/>
                <w:color w:val="auto"/>
                <w:highlight w:val="none"/>
              </w:rPr>
              <w:t>□与实际施工情况相符，具体金额由造价工程师复核。</w:t>
            </w:r>
          </w:p>
          <w:p w14:paraId="2BFD4FE9">
            <w:pPr>
              <w:spacing w:line="360" w:lineRule="exact"/>
              <w:ind w:firstLine="435"/>
              <w:jc w:val="right"/>
              <w:rPr>
                <w:rFonts w:hint="eastAsia" w:ascii="宋体" w:hAnsi="宋体" w:eastAsia="宋体" w:cs="宋体"/>
                <w:color w:val="auto"/>
                <w:highlight w:val="none"/>
              </w:rPr>
            </w:pPr>
          </w:p>
          <w:p w14:paraId="07517446">
            <w:pPr>
              <w:spacing w:line="360" w:lineRule="exact"/>
              <w:ind w:firstLine="435"/>
              <w:jc w:val="right"/>
              <w:rPr>
                <w:rFonts w:hint="eastAsia" w:ascii="宋体" w:hAnsi="宋体" w:eastAsia="宋体" w:cs="宋体"/>
                <w:color w:val="auto"/>
                <w:highlight w:val="none"/>
              </w:rPr>
            </w:pPr>
          </w:p>
          <w:p w14:paraId="51016EC2">
            <w:pPr>
              <w:spacing w:line="360" w:lineRule="exact"/>
              <w:ind w:firstLine="435"/>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2182EAF">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监理工程师</w:t>
            </w:r>
            <w:r>
              <w:rPr>
                <w:rFonts w:hint="eastAsia" w:ascii="宋体" w:hAnsi="宋体" w:eastAsia="宋体" w:cs="宋体"/>
                <w:color w:val="auto"/>
                <w:highlight w:val="none"/>
                <w:u w:val="single"/>
              </w:rPr>
              <w:t xml:space="preserve">           </w:t>
            </w:r>
          </w:p>
          <w:p w14:paraId="57E97C52">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tc>
        <w:tc>
          <w:tcPr>
            <w:tcW w:w="4620" w:type="dxa"/>
            <w:noWrap w:val="0"/>
            <w:vAlign w:val="top"/>
          </w:tcPr>
          <w:p w14:paraId="04F962CC">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复核意见：</w:t>
            </w:r>
          </w:p>
          <w:p w14:paraId="3919DA41">
            <w:pPr>
              <w:spacing w:line="360" w:lineRule="exact"/>
              <w:ind w:firstLine="435"/>
              <w:rPr>
                <w:rFonts w:hint="eastAsia" w:ascii="宋体" w:hAnsi="宋体" w:eastAsia="宋体" w:cs="宋体"/>
                <w:color w:val="auto"/>
                <w:highlight w:val="none"/>
                <w:u w:val="single"/>
              </w:rPr>
            </w:pPr>
            <w:r>
              <w:rPr>
                <w:rFonts w:hint="eastAsia" w:ascii="宋体" w:hAnsi="宋体" w:eastAsia="宋体" w:cs="宋体"/>
                <w:color w:val="auto"/>
                <w:highlight w:val="none"/>
              </w:rPr>
              <w:t>你方提出的竣工结算支付申请经复核，竣工结算款总额为(大写)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元，扣除前期支付以及质量保证金后应支付金额为（大写）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2392E766">
            <w:pPr>
              <w:spacing w:line="360" w:lineRule="exact"/>
              <w:ind w:firstLine="435"/>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FB6E4FB">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造价工程师</w:t>
            </w:r>
            <w:r>
              <w:rPr>
                <w:rFonts w:hint="eastAsia" w:ascii="宋体" w:hAnsi="宋体" w:eastAsia="宋体" w:cs="宋体"/>
                <w:color w:val="auto"/>
                <w:highlight w:val="none"/>
                <w:u w:val="single"/>
              </w:rPr>
              <w:t xml:space="preserve">           </w:t>
            </w:r>
          </w:p>
          <w:p w14:paraId="74B73257">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tc>
      </w:tr>
      <w:tr w14:paraId="64AC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noWrap w:val="0"/>
            <w:vAlign w:val="top"/>
          </w:tcPr>
          <w:p w14:paraId="633EED52">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审核意见：</w:t>
            </w:r>
          </w:p>
          <w:p w14:paraId="3B9694DF">
            <w:pPr>
              <w:spacing w:line="40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□不同意。</w:t>
            </w:r>
          </w:p>
          <w:p w14:paraId="2E914516">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□同意，支付时间为本表签发后的15天内。</w:t>
            </w:r>
          </w:p>
          <w:p w14:paraId="64E15FCF">
            <w:pPr>
              <w:wordWrap w:val="0"/>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发包人（章）           </w:t>
            </w:r>
          </w:p>
          <w:p w14:paraId="0DC4DBF6">
            <w:pPr>
              <w:wordWrap w:val="0"/>
              <w:spacing w:line="400" w:lineRule="exact"/>
              <w:ind w:firstLine="420" w:firstLineChars="200"/>
              <w:jc w:val="right"/>
              <w:rPr>
                <w:rFonts w:hint="eastAsia" w:ascii="宋体" w:hAnsi="宋体" w:eastAsia="宋体" w:cs="宋体"/>
                <w:color w:val="auto"/>
                <w:highlight w:val="none"/>
                <w:u w:val="single"/>
              </w:rPr>
            </w:pPr>
            <w:r>
              <w:rPr>
                <w:rFonts w:hint="eastAsia" w:ascii="宋体" w:hAnsi="宋体" w:eastAsia="宋体" w:cs="宋体"/>
                <w:color w:val="auto"/>
                <w:highlight w:val="none"/>
              </w:rPr>
              <w:t>发包人代表</w:t>
            </w:r>
            <w:r>
              <w:rPr>
                <w:rFonts w:hint="eastAsia" w:ascii="宋体" w:hAnsi="宋体" w:eastAsia="宋体" w:cs="宋体"/>
                <w:color w:val="auto"/>
                <w:highlight w:val="none"/>
                <w:u w:val="single"/>
              </w:rPr>
              <w:t xml:space="preserve">             </w:t>
            </w:r>
          </w:p>
          <w:p w14:paraId="3F6D316E">
            <w:pPr>
              <w:wordWrap w:val="0"/>
              <w:spacing w:line="400" w:lineRule="exact"/>
              <w:ind w:firstLine="420" w:firstLineChars="200"/>
              <w:jc w:val="righ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tc>
      </w:tr>
    </w:tbl>
    <w:p w14:paraId="74F4A325">
      <w:pPr>
        <w:spacing w:before="120" w:beforeLines="50"/>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注：1.在选择栏中的“□”内作标识“√”。 </w:t>
      </w:r>
    </w:p>
    <w:p w14:paraId="6B2C37CE">
      <w:pPr>
        <w:spacing w:before="120" w:beforeLines="50"/>
        <w:ind w:left="720" w:hanging="720" w:hangingChars="400"/>
        <w:rPr>
          <w:rFonts w:hint="eastAsia" w:ascii="宋体" w:hAnsi="宋体" w:eastAsia="宋体" w:cs="宋体"/>
          <w:color w:val="auto"/>
          <w:sz w:val="18"/>
          <w:szCs w:val="18"/>
          <w:highlight w:val="none"/>
          <w:lang w:eastAsia="zh-CN"/>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color w:val="auto"/>
          <w:sz w:val="18"/>
          <w:szCs w:val="18"/>
          <w:highlight w:val="none"/>
        </w:rPr>
        <w:t xml:space="preserve">        2.本表一式四份，由承包人填报，发包人、监理人、造价咨询人、承包人各存一份</w:t>
      </w:r>
      <w:r>
        <w:rPr>
          <w:rFonts w:hint="eastAsia" w:ascii="宋体" w:hAnsi="宋体" w:eastAsia="宋体" w:cs="宋体"/>
          <w:color w:val="auto"/>
          <w:sz w:val="18"/>
          <w:szCs w:val="18"/>
          <w:highlight w:val="none"/>
          <w:lang w:eastAsia="zh-CN"/>
        </w:rPr>
        <w:t>。</w:t>
      </w:r>
    </w:p>
    <w:p w14:paraId="0FFFBDF8">
      <w:pPr>
        <w:spacing w:before="120" w:beforeLines="50"/>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rPr>
        <w:t>附件13：</w:t>
      </w:r>
    </w:p>
    <w:p w14:paraId="1EFB3FA5">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最终结算款支付申请（核准）表</w:t>
      </w:r>
    </w:p>
    <w:p w14:paraId="3998B19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                                             编号：</w:t>
      </w:r>
    </w:p>
    <w:tbl>
      <w:tblPr>
        <w:tblStyle w:val="5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66A7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noWrap w:val="0"/>
            <w:vAlign w:val="top"/>
          </w:tcPr>
          <w:p w14:paraId="68E67B9E">
            <w:pPr>
              <w:spacing w:line="480" w:lineRule="exact"/>
              <w:ind w:left="525" w:leftChars="149" w:hanging="212" w:hangingChars="101"/>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（发包人全称）</w:t>
            </w:r>
          </w:p>
          <w:p w14:paraId="18CC1A81">
            <w:pPr>
              <w:spacing w:line="400" w:lineRule="exact"/>
              <w:ind w:left="-4" w:leftChars="-2"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我方于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期间已完成了缺陷修复工作，根据施工合同的约定，现申请支付最终结清合同款额为(大写)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元，请予核准。</w:t>
            </w:r>
          </w:p>
          <w:tbl>
            <w:tblPr>
              <w:tblStyle w:val="57"/>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57D9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0847CC68">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420" w:type="dxa"/>
                  <w:noWrap w:val="0"/>
                  <w:vAlign w:val="center"/>
                </w:tcPr>
                <w:p w14:paraId="32A80CE2">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名      称</w:t>
                  </w:r>
                </w:p>
              </w:tc>
              <w:tc>
                <w:tcPr>
                  <w:tcW w:w="1620" w:type="dxa"/>
                  <w:noWrap w:val="0"/>
                  <w:vAlign w:val="center"/>
                </w:tcPr>
                <w:p w14:paraId="238EFF74">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申请金额（元）</w:t>
                  </w:r>
                </w:p>
              </w:tc>
              <w:tc>
                <w:tcPr>
                  <w:tcW w:w="1620" w:type="dxa"/>
                  <w:noWrap w:val="0"/>
                  <w:vAlign w:val="center"/>
                </w:tcPr>
                <w:p w14:paraId="5E8EA11F">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复核金额（元）</w:t>
                  </w:r>
                </w:p>
              </w:tc>
              <w:tc>
                <w:tcPr>
                  <w:tcW w:w="1651" w:type="dxa"/>
                  <w:noWrap w:val="0"/>
                  <w:vAlign w:val="center"/>
                </w:tcPr>
                <w:p w14:paraId="0143F7DA">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75EE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C9981F0">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420" w:type="dxa"/>
                  <w:noWrap w:val="0"/>
                  <w:vAlign w:val="top"/>
                </w:tcPr>
                <w:p w14:paraId="098F91C4">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已预留的质量保证金</w:t>
                  </w:r>
                </w:p>
              </w:tc>
              <w:tc>
                <w:tcPr>
                  <w:tcW w:w="1620" w:type="dxa"/>
                  <w:noWrap w:val="0"/>
                  <w:vAlign w:val="top"/>
                </w:tcPr>
                <w:p w14:paraId="330D4418">
                  <w:pPr>
                    <w:spacing w:line="280" w:lineRule="exact"/>
                    <w:rPr>
                      <w:rFonts w:hint="eastAsia" w:ascii="宋体" w:hAnsi="宋体" w:eastAsia="宋体" w:cs="宋体"/>
                      <w:color w:val="auto"/>
                      <w:highlight w:val="none"/>
                    </w:rPr>
                  </w:pPr>
                </w:p>
              </w:tc>
              <w:tc>
                <w:tcPr>
                  <w:tcW w:w="1620" w:type="dxa"/>
                  <w:noWrap w:val="0"/>
                  <w:vAlign w:val="top"/>
                </w:tcPr>
                <w:p w14:paraId="1070DA1B">
                  <w:pPr>
                    <w:spacing w:line="280" w:lineRule="exact"/>
                    <w:rPr>
                      <w:rFonts w:hint="eastAsia" w:ascii="宋体" w:hAnsi="宋体" w:eastAsia="宋体" w:cs="宋体"/>
                      <w:color w:val="auto"/>
                      <w:highlight w:val="none"/>
                    </w:rPr>
                  </w:pPr>
                </w:p>
              </w:tc>
              <w:tc>
                <w:tcPr>
                  <w:tcW w:w="1651" w:type="dxa"/>
                  <w:noWrap w:val="0"/>
                  <w:vAlign w:val="top"/>
                </w:tcPr>
                <w:p w14:paraId="3873230D">
                  <w:pPr>
                    <w:spacing w:line="280" w:lineRule="exact"/>
                    <w:rPr>
                      <w:rFonts w:hint="eastAsia" w:ascii="宋体" w:hAnsi="宋体" w:eastAsia="宋体" w:cs="宋体"/>
                      <w:color w:val="auto"/>
                      <w:highlight w:val="none"/>
                    </w:rPr>
                  </w:pPr>
                </w:p>
              </w:tc>
            </w:tr>
            <w:tr w14:paraId="3BE7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7944A8F">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420" w:type="dxa"/>
                  <w:noWrap w:val="0"/>
                  <w:vAlign w:val="top"/>
                </w:tcPr>
                <w:p w14:paraId="216531B1">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应增加因发包人原因造成缺陷的修复金额</w:t>
                  </w:r>
                </w:p>
              </w:tc>
              <w:tc>
                <w:tcPr>
                  <w:tcW w:w="1620" w:type="dxa"/>
                  <w:noWrap w:val="0"/>
                  <w:vAlign w:val="top"/>
                </w:tcPr>
                <w:p w14:paraId="77AAE49A">
                  <w:pPr>
                    <w:spacing w:line="280" w:lineRule="exact"/>
                    <w:rPr>
                      <w:rFonts w:hint="eastAsia" w:ascii="宋体" w:hAnsi="宋体" w:eastAsia="宋体" w:cs="宋体"/>
                      <w:color w:val="auto"/>
                      <w:highlight w:val="none"/>
                    </w:rPr>
                  </w:pPr>
                </w:p>
              </w:tc>
              <w:tc>
                <w:tcPr>
                  <w:tcW w:w="1620" w:type="dxa"/>
                  <w:noWrap w:val="0"/>
                  <w:vAlign w:val="top"/>
                </w:tcPr>
                <w:p w14:paraId="2B14A7B6">
                  <w:pPr>
                    <w:spacing w:line="280" w:lineRule="exact"/>
                    <w:rPr>
                      <w:rFonts w:hint="eastAsia" w:ascii="宋体" w:hAnsi="宋体" w:eastAsia="宋体" w:cs="宋体"/>
                      <w:color w:val="auto"/>
                      <w:highlight w:val="none"/>
                    </w:rPr>
                  </w:pPr>
                </w:p>
              </w:tc>
              <w:tc>
                <w:tcPr>
                  <w:tcW w:w="1651" w:type="dxa"/>
                  <w:noWrap w:val="0"/>
                  <w:vAlign w:val="top"/>
                </w:tcPr>
                <w:p w14:paraId="7685794A">
                  <w:pPr>
                    <w:spacing w:line="280" w:lineRule="exact"/>
                    <w:rPr>
                      <w:rFonts w:hint="eastAsia" w:ascii="宋体" w:hAnsi="宋体" w:eastAsia="宋体" w:cs="宋体"/>
                      <w:color w:val="auto"/>
                      <w:highlight w:val="none"/>
                    </w:rPr>
                  </w:pPr>
                </w:p>
              </w:tc>
            </w:tr>
            <w:tr w14:paraId="0863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E182EBB">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420" w:type="dxa"/>
                  <w:noWrap w:val="0"/>
                  <w:vAlign w:val="top"/>
                </w:tcPr>
                <w:p w14:paraId="457174BE">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应扣减承包人不修复缺陷、发包人组织修复的金额</w:t>
                  </w:r>
                </w:p>
              </w:tc>
              <w:tc>
                <w:tcPr>
                  <w:tcW w:w="1620" w:type="dxa"/>
                  <w:noWrap w:val="0"/>
                  <w:vAlign w:val="top"/>
                </w:tcPr>
                <w:p w14:paraId="6466D2C2">
                  <w:pPr>
                    <w:spacing w:line="280" w:lineRule="exact"/>
                    <w:rPr>
                      <w:rFonts w:hint="eastAsia" w:ascii="宋体" w:hAnsi="宋体" w:eastAsia="宋体" w:cs="宋体"/>
                      <w:color w:val="auto"/>
                      <w:highlight w:val="none"/>
                    </w:rPr>
                  </w:pPr>
                </w:p>
              </w:tc>
              <w:tc>
                <w:tcPr>
                  <w:tcW w:w="1620" w:type="dxa"/>
                  <w:noWrap w:val="0"/>
                  <w:vAlign w:val="top"/>
                </w:tcPr>
                <w:p w14:paraId="35822D5F">
                  <w:pPr>
                    <w:spacing w:line="280" w:lineRule="exact"/>
                    <w:rPr>
                      <w:rFonts w:hint="eastAsia" w:ascii="宋体" w:hAnsi="宋体" w:eastAsia="宋体" w:cs="宋体"/>
                      <w:color w:val="auto"/>
                      <w:highlight w:val="none"/>
                    </w:rPr>
                  </w:pPr>
                </w:p>
              </w:tc>
              <w:tc>
                <w:tcPr>
                  <w:tcW w:w="1651" w:type="dxa"/>
                  <w:noWrap w:val="0"/>
                  <w:vAlign w:val="top"/>
                </w:tcPr>
                <w:p w14:paraId="1930C399">
                  <w:pPr>
                    <w:spacing w:line="280" w:lineRule="exact"/>
                    <w:rPr>
                      <w:rFonts w:hint="eastAsia" w:ascii="宋体" w:hAnsi="宋体" w:eastAsia="宋体" w:cs="宋体"/>
                      <w:color w:val="auto"/>
                      <w:highlight w:val="none"/>
                    </w:rPr>
                  </w:pPr>
                </w:p>
              </w:tc>
            </w:tr>
            <w:tr w14:paraId="59DF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39D82A5">
                  <w:pPr>
                    <w:spacing w:line="2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420" w:type="dxa"/>
                  <w:noWrap w:val="0"/>
                  <w:vAlign w:val="top"/>
                </w:tcPr>
                <w:p w14:paraId="4D3B07E3">
                  <w:pPr>
                    <w:spacing w:line="280" w:lineRule="exact"/>
                    <w:rPr>
                      <w:rFonts w:hint="eastAsia" w:ascii="宋体" w:hAnsi="宋体" w:eastAsia="宋体" w:cs="宋体"/>
                      <w:color w:val="auto"/>
                      <w:highlight w:val="none"/>
                    </w:rPr>
                  </w:pPr>
                  <w:r>
                    <w:rPr>
                      <w:rFonts w:hint="eastAsia" w:ascii="宋体" w:hAnsi="宋体" w:eastAsia="宋体" w:cs="宋体"/>
                      <w:color w:val="auto"/>
                      <w:highlight w:val="none"/>
                    </w:rPr>
                    <w:t>最终应支付的合同价款</w:t>
                  </w:r>
                </w:p>
              </w:tc>
              <w:tc>
                <w:tcPr>
                  <w:tcW w:w="1620" w:type="dxa"/>
                  <w:noWrap w:val="0"/>
                  <w:vAlign w:val="top"/>
                </w:tcPr>
                <w:p w14:paraId="3233F216">
                  <w:pPr>
                    <w:spacing w:line="280" w:lineRule="exact"/>
                    <w:rPr>
                      <w:rFonts w:hint="eastAsia" w:ascii="宋体" w:hAnsi="宋体" w:eastAsia="宋体" w:cs="宋体"/>
                      <w:color w:val="auto"/>
                      <w:highlight w:val="none"/>
                    </w:rPr>
                  </w:pPr>
                </w:p>
              </w:tc>
              <w:tc>
                <w:tcPr>
                  <w:tcW w:w="1620" w:type="dxa"/>
                  <w:noWrap w:val="0"/>
                  <w:vAlign w:val="top"/>
                </w:tcPr>
                <w:p w14:paraId="6BF4CFD3">
                  <w:pPr>
                    <w:spacing w:line="280" w:lineRule="exact"/>
                    <w:rPr>
                      <w:rFonts w:hint="eastAsia" w:ascii="宋体" w:hAnsi="宋体" w:eastAsia="宋体" w:cs="宋体"/>
                      <w:color w:val="auto"/>
                      <w:highlight w:val="none"/>
                    </w:rPr>
                  </w:pPr>
                </w:p>
              </w:tc>
              <w:tc>
                <w:tcPr>
                  <w:tcW w:w="1651" w:type="dxa"/>
                  <w:noWrap w:val="0"/>
                  <w:vAlign w:val="top"/>
                </w:tcPr>
                <w:p w14:paraId="070207F0">
                  <w:pPr>
                    <w:spacing w:line="280" w:lineRule="exact"/>
                    <w:rPr>
                      <w:rFonts w:hint="eastAsia" w:ascii="宋体" w:hAnsi="宋体" w:eastAsia="宋体" w:cs="宋体"/>
                      <w:color w:val="auto"/>
                      <w:highlight w:val="none"/>
                    </w:rPr>
                  </w:pPr>
                </w:p>
              </w:tc>
            </w:tr>
            <w:tr w14:paraId="2E69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8694A76">
                  <w:pPr>
                    <w:spacing w:line="280" w:lineRule="exact"/>
                    <w:jc w:val="center"/>
                    <w:rPr>
                      <w:rFonts w:hint="eastAsia" w:ascii="宋体" w:hAnsi="宋体" w:eastAsia="宋体" w:cs="宋体"/>
                      <w:color w:val="auto"/>
                      <w:highlight w:val="none"/>
                    </w:rPr>
                  </w:pPr>
                </w:p>
              </w:tc>
              <w:tc>
                <w:tcPr>
                  <w:tcW w:w="3420" w:type="dxa"/>
                  <w:noWrap w:val="0"/>
                  <w:vAlign w:val="top"/>
                </w:tcPr>
                <w:p w14:paraId="4A2BE2CE">
                  <w:pPr>
                    <w:spacing w:line="280" w:lineRule="exact"/>
                    <w:rPr>
                      <w:rFonts w:hint="eastAsia" w:ascii="宋体" w:hAnsi="宋体" w:eastAsia="宋体" w:cs="宋体"/>
                      <w:color w:val="auto"/>
                      <w:highlight w:val="none"/>
                    </w:rPr>
                  </w:pPr>
                </w:p>
              </w:tc>
              <w:tc>
                <w:tcPr>
                  <w:tcW w:w="1620" w:type="dxa"/>
                  <w:noWrap w:val="0"/>
                  <w:vAlign w:val="top"/>
                </w:tcPr>
                <w:p w14:paraId="41408D3A">
                  <w:pPr>
                    <w:spacing w:line="280" w:lineRule="exact"/>
                    <w:rPr>
                      <w:rFonts w:hint="eastAsia" w:ascii="宋体" w:hAnsi="宋体" w:eastAsia="宋体" w:cs="宋体"/>
                      <w:color w:val="auto"/>
                      <w:highlight w:val="none"/>
                    </w:rPr>
                  </w:pPr>
                </w:p>
              </w:tc>
              <w:tc>
                <w:tcPr>
                  <w:tcW w:w="1620" w:type="dxa"/>
                  <w:noWrap w:val="0"/>
                  <w:vAlign w:val="top"/>
                </w:tcPr>
                <w:p w14:paraId="1DB1E6E6">
                  <w:pPr>
                    <w:spacing w:line="280" w:lineRule="exact"/>
                    <w:rPr>
                      <w:rFonts w:hint="eastAsia" w:ascii="宋体" w:hAnsi="宋体" w:eastAsia="宋体" w:cs="宋体"/>
                      <w:color w:val="auto"/>
                      <w:highlight w:val="none"/>
                    </w:rPr>
                  </w:pPr>
                </w:p>
              </w:tc>
              <w:tc>
                <w:tcPr>
                  <w:tcW w:w="1651" w:type="dxa"/>
                  <w:noWrap w:val="0"/>
                  <w:vAlign w:val="top"/>
                </w:tcPr>
                <w:p w14:paraId="2D267554">
                  <w:pPr>
                    <w:spacing w:line="280" w:lineRule="exact"/>
                    <w:rPr>
                      <w:rFonts w:hint="eastAsia" w:ascii="宋体" w:hAnsi="宋体" w:eastAsia="宋体" w:cs="宋体"/>
                      <w:color w:val="auto"/>
                      <w:highlight w:val="none"/>
                    </w:rPr>
                  </w:pPr>
                </w:p>
              </w:tc>
            </w:tr>
            <w:tr w14:paraId="3F25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16975EC">
                  <w:pPr>
                    <w:spacing w:line="280" w:lineRule="exact"/>
                    <w:jc w:val="center"/>
                    <w:rPr>
                      <w:rFonts w:hint="eastAsia" w:ascii="宋体" w:hAnsi="宋体" w:eastAsia="宋体" w:cs="宋体"/>
                      <w:color w:val="auto"/>
                      <w:highlight w:val="none"/>
                    </w:rPr>
                  </w:pPr>
                </w:p>
              </w:tc>
              <w:tc>
                <w:tcPr>
                  <w:tcW w:w="3420" w:type="dxa"/>
                  <w:noWrap w:val="0"/>
                  <w:vAlign w:val="top"/>
                </w:tcPr>
                <w:p w14:paraId="3E74C143">
                  <w:pPr>
                    <w:spacing w:line="280" w:lineRule="exact"/>
                    <w:rPr>
                      <w:rFonts w:hint="eastAsia" w:ascii="宋体" w:hAnsi="宋体" w:eastAsia="宋体" w:cs="宋体"/>
                      <w:color w:val="auto"/>
                      <w:highlight w:val="none"/>
                    </w:rPr>
                  </w:pPr>
                </w:p>
              </w:tc>
              <w:tc>
                <w:tcPr>
                  <w:tcW w:w="1620" w:type="dxa"/>
                  <w:noWrap w:val="0"/>
                  <w:vAlign w:val="top"/>
                </w:tcPr>
                <w:p w14:paraId="663851CB">
                  <w:pPr>
                    <w:spacing w:line="280" w:lineRule="exact"/>
                    <w:rPr>
                      <w:rFonts w:hint="eastAsia" w:ascii="宋体" w:hAnsi="宋体" w:eastAsia="宋体" w:cs="宋体"/>
                      <w:color w:val="auto"/>
                      <w:highlight w:val="none"/>
                    </w:rPr>
                  </w:pPr>
                </w:p>
              </w:tc>
              <w:tc>
                <w:tcPr>
                  <w:tcW w:w="1620" w:type="dxa"/>
                  <w:noWrap w:val="0"/>
                  <w:vAlign w:val="top"/>
                </w:tcPr>
                <w:p w14:paraId="1726FAA3">
                  <w:pPr>
                    <w:spacing w:line="280" w:lineRule="exact"/>
                    <w:rPr>
                      <w:rFonts w:hint="eastAsia" w:ascii="宋体" w:hAnsi="宋体" w:eastAsia="宋体" w:cs="宋体"/>
                      <w:color w:val="auto"/>
                      <w:highlight w:val="none"/>
                    </w:rPr>
                  </w:pPr>
                </w:p>
              </w:tc>
              <w:tc>
                <w:tcPr>
                  <w:tcW w:w="1651" w:type="dxa"/>
                  <w:noWrap w:val="0"/>
                  <w:vAlign w:val="top"/>
                </w:tcPr>
                <w:p w14:paraId="373DFF16">
                  <w:pPr>
                    <w:spacing w:line="280" w:lineRule="exact"/>
                    <w:rPr>
                      <w:rFonts w:hint="eastAsia" w:ascii="宋体" w:hAnsi="宋体" w:eastAsia="宋体" w:cs="宋体"/>
                      <w:color w:val="auto"/>
                      <w:highlight w:val="none"/>
                    </w:rPr>
                  </w:pPr>
                </w:p>
              </w:tc>
            </w:tr>
            <w:tr w14:paraId="506E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84EC1B8">
                  <w:pPr>
                    <w:spacing w:line="280" w:lineRule="exact"/>
                    <w:jc w:val="center"/>
                    <w:rPr>
                      <w:rFonts w:hint="eastAsia" w:ascii="宋体" w:hAnsi="宋体" w:eastAsia="宋体" w:cs="宋体"/>
                      <w:color w:val="auto"/>
                      <w:highlight w:val="none"/>
                    </w:rPr>
                  </w:pPr>
                </w:p>
              </w:tc>
              <w:tc>
                <w:tcPr>
                  <w:tcW w:w="3420" w:type="dxa"/>
                  <w:noWrap w:val="0"/>
                  <w:vAlign w:val="top"/>
                </w:tcPr>
                <w:p w14:paraId="57868921">
                  <w:pPr>
                    <w:spacing w:line="280" w:lineRule="exact"/>
                    <w:rPr>
                      <w:rFonts w:hint="eastAsia" w:ascii="宋体" w:hAnsi="宋体" w:eastAsia="宋体" w:cs="宋体"/>
                      <w:color w:val="auto"/>
                      <w:highlight w:val="none"/>
                    </w:rPr>
                  </w:pPr>
                </w:p>
              </w:tc>
              <w:tc>
                <w:tcPr>
                  <w:tcW w:w="1620" w:type="dxa"/>
                  <w:noWrap w:val="0"/>
                  <w:vAlign w:val="top"/>
                </w:tcPr>
                <w:p w14:paraId="311C4936">
                  <w:pPr>
                    <w:spacing w:line="280" w:lineRule="exact"/>
                    <w:rPr>
                      <w:rFonts w:hint="eastAsia" w:ascii="宋体" w:hAnsi="宋体" w:eastAsia="宋体" w:cs="宋体"/>
                      <w:color w:val="auto"/>
                      <w:highlight w:val="none"/>
                    </w:rPr>
                  </w:pPr>
                </w:p>
              </w:tc>
              <w:tc>
                <w:tcPr>
                  <w:tcW w:w="1620" w:type="dxa"/>
                  <w:noWrap w:val="0"/>
                  <w:vAlign w:val="top"/>
                </w:tcPr>
                <w:p w14:paraId="6EC2E9FE">
                  <w:pPr>
                    <w:spacing w:line="280" w:lineRule="exact"/>
                    <w:rPr>
                      <w:rFonts w:hint="eastAsia" w:ascii="宋体" w:hAnsi="宋体" w:eastAsia="宋体" w:cs="宋体"/>
                      <w:color w:val="auto"/>
                      <w:highlight w:val="none"/>
                    </w:rPr>
                  </w:pPr>
                </w:p>
              </w:tc>
              <w:tc>
                <w:tcPr>
                  <w:tcW w:w="1651" w:type="dxa"/>
                  <w:noWrap w:val="0"/>
                  <w:vAlign w:val="top"/>
                </w:tcPr>
                <w:p w14:paraId="65DEBDDB">
                  <w:pPr>
                    <w:spacing w:line="280" w:lineRule="exact"/>
                    <w:rPr>
                      <w:rFonts w:hint="eastAsia" w:ascii="宋体" w:hAnsi="宋体" w:eastAsia="宋体" w:cs="宋体"/>
                      <w:color w:val="auto"/>
                      <w:highlight w:val="none"/>
                    </w:rPr>
                  </w:pPr>
                </w:p>
              </w:tc>
            </w:tr>
            <w:tr w14:paraId="2FFF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C87AD69">
                  <w:pPr>
                    <w:spacing w:line="280" w:lineRule="exact"/>
                    <w:jc w:val="center"/>
                    <w:rPr>
                      <w:rFonts w:hint="eastAsia" w:ascii="宋体" w:hAnsi="宋体" w:eastAsia="宋体" w:cs="宋体"/>
                      <w:color w:val="auto"/>
                      <w:highlight w:val="none"/>
                    </w:rPr>
                  </w:pPr>
                </w:p>
              </w:tc>
              <w:tc>
                <w:tcPr>
                  <w:tcW w:w="3420" w:type="dxa"/>
                  <w:noWrap w:val="0"/>
                  <w:vAlign w:val="top"/>
                </w:tcPr>
                <w:p w14:paraId="2AE9FCD1">
                  <w:pPr>
                    <w:spacing w:line="280" w:lineRule="exact"/>
                    <w:rPr>
                      <w:rFonts w:hint="eastAsia" w:ascii="宋体" w:hAnsi="宋体" w:eastAsia="宋体" w:cs="宋体"/>
                      <w:color w:val="auto"/>
                      <w:highlight w:val="none"/>
                    </w:rPr>
                  </w:pPr>
                </w:p>
              </w:tc>
              <w:tc>
                <w:tcPr>
                  <w:tcW w:w="1620" w:type="dxa"/>
                  <w:noWrap w:val="0"/>
                  <w:vAlign w:val="top"/>
                </w:tcPr>
                <w:p w14:paraId="292743DE">
                  <w:pPr>
                    <w:spacing w:line="280" w:lineRule="exact"/>
                    <w:rPr>
                      <w:rFonts w:hint="eastAsia" w:ascii="宋体" w:hAnsi="宋体" w:eastAsia="宋体" w:cs="宋体"/>
                      <w:color w:val="auto"/>
                      <w:highlight w:val="none"/>
                    </w:rPr>
                  </w:pPr>
                </w:p>
              </w:tc>
              <w:tc>
                <w:tcPr>
                  <w:tcW w:w="1620" w:type="dxa"/>
                  <w:noWrap w:val="0"/>
                  <w:vAlign w:val="top"/>
                </w:tcPr>
                <w:p w14:paraId="592FAB5C">
                  <w:pPr>
                    <w:spacing w:line="280" w:lineRule="exact"/>
                    <w:rPr>
                      <w:rFonts w:hint="eastAsia" w:ascii="宋体" w:hAnsi="宋体" w:eastAsia="宋体" w:cs="宋体"/>
                      <w:color w:val="auto"/>
                      <w:highlight w:val="none"/>
                    </w:rPr>
                  </w:pPr>
                </w:p>
              </w:tc>
              <w:tc>
                <w:tcPr>
                  <w:tcW w:w="1651" w:type="dxa"/>
                  <w:noWrap w:val="0"/>
                  <w:vAlign w:val="top"/>
                </w:tcPr>
                <w:p w14:paraId="76D0FC12">
                  <w:pPr>
                    <w:spacing w:line="280" w:lineRule="exact"/>
                    <w:rPr>
                      <w:rFonts w:hint="eastAsia" w:ascii="宋体" w:hAnsi="宋体" w:eastAsia="宋体" w:cs="宋体"/>
                      <w:color w:val="auto"/>
                      <w:highlight w:val="none"/>
                    </w:rPr>
                  </w:pPr>
                </w:p>
              </w:tc>
            </w:tr>
          </w:tbl>
          <w:p w14:paraId="2E5EC9D0">
            <w:pPr>
              <w:spacing w:line="400" w:lineRule="exact"/>
              <w:ind w:right="420" w:firstLine="435"/>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承包人（章）             </w:t>
            </w:r>
          </w:p>
          <w:p w14:paraId="6B6BD5AF">
            <w:pPr>
              <w:spacing w:line="400" w:lineRule="exact"/>
              <w:ind w:right="420" w:firstLine="435"/>
              <w:rPr>
                <w:rFonts w:hint="eastAsia" w:ascii="宋体" w:hAnsi="宋体" w:eastAsia="宋体" w:cs="宋体"/>
                <w:color w:val="auto"/>
                <w:highlight w:val="none"/>
              </w:rPr>
            </w:pPr>
            <w:r>
              <w:rPr>
                <w:rFonts w:hint="eastAsia" w:ascii="宋体" w:hAnsi="宋体" w:eastAsia="宋体" w:cs="宋体"/>
                <w:color w:val="auto"/>
                <w:highlight w:val="none"/>
              </w:rPr>
              <w:t>造价人员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tc>
      </w:tr>
      <w:tr w14:paraId="1111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noWrap w:val="0"/>
            <w:vAlign w:val="top"/>
          </w:tcPr>
          <w:p w14:paraId="4FE1C82C">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复核意见：</w:t>
            </w:r>
          </w:p>
          <w:p w14:paraId="4DF41E12">
            <w:pPr>
              <w:spacing w:line="360" w:lineRule="exact"/>
              <w:ind w:firstLine="312"/>
              <w:rPr>
                <w:rFonts w:hint="eastAsia" w:ascii="宋体" w:hAnsi="宋体" w:eastAsia="宋体" w:cs="宋体"/>
                <w:color w:val="auto"/>
                <w:highlight w:val="none"/>
              </w:rPr>
            </w:pPr>
            <w:r>
              <w:rPr>
                <w:rFonts w:hint="eastAsia" w:ascii="宋体" w:hAnsi="宋体" w:eastAsia="宋体" w:cs="宋体"/>
                <w:color w:val="auto"/>
                <w:highlight w:val="none"/>
              </w:rPr>
              <w:t>□与实际施工情况不相符，修改意见见附件。</w:t>
            </w:r>
          </w:p>
          <w:p w14:paraId="5BCF6B3C">
            <w:pPr>
              <w:spacing w:line="360" w:lineRule="exact"/>
              <w:ind w:firstLine="312"/>
              <w:rPr>
                <w:rFonts w:hint="eastAsia" w:ascii="宋体" w:hAnsi="宋体" w:eastAsia="宋体" w:cs="宋体"/>
                <w:color w:val="auto"/>
                <w:highlight w:val="none"/>
              </w:rPr>
            </w:pPr>
            <w:r>
              <w:rPr>
                <w:rFonts w:hint="eastAsia" w:ascii="宋体" w:hAnsi="宋体" w:eastAsia="宋体" w:cs="宋体"/>
                <w:color w:val="auto"/>
                <w:highlight w:val="none"/>
              </w:rPr>
              <w:t>□与实际施工情况相符，具体金额由造价工程师复核。</w:t>
            </w:r>
          </w:p>
          <w:p w14:paraId="74C23C65">
            <w:pPr>
              <w:spacing w:line="360" w:lineRule="exact"/>
              <w:jc w:val="both"/>
              <w:rPr>
                <w:rFonts w:hint="eastAsia" w:ascii="宋体" w:hAnsi="宋体" w:eastAsia="宋体" w:cs="宋体"/>
                <w:color w:val="auto"/>
                <w:highlight w:val="none"/>
              </w:rPr>
            </w:pPr>
          </w:p>
          <w:p w14:paraId="01636B94">
            <w:pPr>
              <w:spacing w:line="360" w:lineRule="exact"/>
              <w:ind w:firstLine="435"/>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A802C07">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监理工程师</w:t>
            </w:r>
            <w:r>
              <w:rPr>
                <w:rFonts w:hint="eastAsia" w:ascii="宋体" w:hAnsi="宋体" w:eastAsia="宋体" w:cs="宋体"/>
                <w:color w:val="auto"/>
                <w:highlight w:val="none"/>
                <w:u w:val="single"/>
              </w:rPr>
              <w:t xml:space="preserve">           </w:t>
            </w:r>
          </w:p>
          <w:p w14:paraId="3E70664D">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tc>
        <w:tc>
          <w:tcPr>
            <w:tcW w:w="4620" w:type="dxa"/>
            <w:noWrap w:val="0"/>
            <w:vAlign w:val="top"/>
          </w:tcPr>
          <w:p w14:paraId="505CEC57">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复核意见：</w:t>
            </w:r>
          </w:p>
          <w:p w14:paraId="421D7F72">
            <w:pPr>
              <w:spacing w:line="360" w:lineRule="exact"/>
              <w:ind w:firstLine="435"/>
              <w:rPr>
                <w:rFonts w:hint="eastAsia" w:ascii="宋体" w:hAnsi="宋体" w:eastAsia="宋体" w:cs="宋体"/>
                <w:color w:val="auto"/>
                <w:highlight w:val="none"/>
                <w:u w:val="single"/>
              </w:rPr>
            </w:pPr>
            <w:r>
              <w:rPr>
                <w:rFonts w:hint="eastAsia" w:ascii="宋体" w:hAnsi="宋体" w:eastAsia="宋体" w:cs="宋体"/>
                <w:color w:val="auto"/>
                <w:highlight w:val="none"/>
              </w:rPr>
              <w:t>你方提出的支付申请经复核，最终应支付金额为（大写）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元，（小写）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5BF49F51">
            <w:pPr>
              <w:spacing w:line="360" w:lineRule="exact"/>
              <w:ind w:firstLine="435"/>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1AC051C">
            <w:pPr>
              <w:spacing w:line="360" w:lineRule="exact"/>
              <w:jc w:val="both"/>
              <w:rPr>
                <w:rFonts w:hint="eastAsia" w:ascii="宋体" w:hAnsi="宋体" w:eastAsia="宋体" w:cs="宋体"/>
                <w:color w:val="auto"/>
                <w:highlight w:val="none"/>
              </w:rPr>
            </w:pPr>
          </w:p>
          <w:p w14:paraId="103536BB">
            <w:pPr>
              <w:spacing w:line="360" w:lineRule="exact"/>
              <w:ind w:firstLine="435"/>
              <w:jc w:val="center"/>
              <w:rPr>
                <w:rFonts w:hint="eastAsia" w:ascii="宋体" w:hAnsi="宋体" w:eastAsia="宋体" w:cs="宋体"/>
                <w:color w:val="auto"/>
                <w:highlight w:val="none"/>
              </w:rPr>
            </w:pPr>
          </w:p>
          <w:p w14:paraId="2D14EF5D">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造价工程师</w:t>
            </w:r>
            <w:r>
              <w:rPr>
                <w:rFonts w:hint="eastAsia" w:ascii="宋体" w:hAnsi="宋体" w:eastAsia="宋体" w:cs="宋体"/>
                <w:color w:val="auto"/>
                <w:highlight w:val="none"/>
                <w:u w:val="single"/>
              </w:rPr>
              <w:t xml:space="preserve">           </w:t>
            </w:r>
          </w:p>
          <w:p w14:paraId="358592C0">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tc>
      </w:tr>
      <w:tr w14:paraId="35EC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noWrap w:val="0"/>
            <w:vAlign w:val="top"/>
          </w:tcPr>
          <w:p w14:paraId="242B443D">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审核意见：</w:t>
            </w:r>
          </w:p>
          <w:p w14:paraId="4EBC7B61">
            <w:pPr>
              <w:spacing w:line="400" w:lineRule="exact"/>
              <w:ind w:firstLine="435"/>
              <w:rPr>
                <w:rFonts w:hint="eastAsia" w:ascii="宋体" w:hAnsi="宋体" w:eastAsia="宋体" w:cs="宋体"/>
                <w:color w:val="auto"/>
                <w:highlight w:val="none"/>
              </w:rPr>
            </w:pPr>
            <w:r>
              <w:rPr>
                <w:rFonts w:hint="eastAsia" w:ascii="宋体" w:hAnsi="宋体" w:eastAsia="宋体" w:cs="宋体"/>
                <w:color w:val="auto"/>
                <w:highlight w:val="none"/>
              </w:rPr>
              <w:t>□不同意。</w:t>
            </w:r>
          </w:p>
          <w:p w14:paraId="4A88405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□同意，支付时间为本表签发后的15天内。</w:t>
            </w:r>
          </w:p>
          <w:p w14:paraId="750189A6">
            <w:pPr>
              <w:wordWrap w:val="0"/>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发包人（章）           </w:t>
            </w:r>
          </w:p>
          <w:p w14:paraId="16CC3733">
            <w:pPr>
              <w:wordWrap w:val="0"/>
              <w:spacing w:line="400" w:lineRule="exact"/>
              <w:ind w:firstLine="420" w:firstLineChars="200"/>
              <w:jc w:val="right"/>
              <w:rPr>
                <w:rFonts w:hint="eastAsia" w:ascii="宋体" w:hAnsi="宋体" w:eastAsia="宋体" w:cs="宋体"/>
                <w:color w:val="auto"/>
                <w:highlight w:val="none"/>
                <w:u w:val="single"/>
              </w:rPr>
            </w:pPr>
            <w:r>
              <w:rPr>
                <w:rFonts w:hint="eastAsia" w:ascii="宋体" w:hAnsi="宋体" w:eastAsia="宋体" w:cs="宋体"/>
                <w:color w:val="auto"/>
                <w:highlight w:val="none"/>
              </w:rPr>
              <w:t>发包人代表</w:t>
            </w:r>
            <w:r>
              <w:rPr>
                <w:rFonts w:hint="eastAsia" w:ascii="宋体" w:hAnsi="宋体" w:eastAsia="宋体" w:cs="宋体"/>
                <w:color w:val="auto"/>
                <w:highlight w:val="none"/>
                <w:u w:val="single"/>
              </w:rPr>
              <w:t xml:space="preserve">             </w:t>
            </w:r>
          </w:p>
          <w:p w14:paraId="21AECCD8">
            <w:pPr>
              <w:wordWrap w:val="0"/>
              <w:spacing w:line="400" w:lineRule="exact"/>
              <w:ind w:firstLine="420" w:firstLineChars="200"/>
              <w:jc w:val="righ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tc>
      </w:tr>
    </w:tbl>
    <w:p w14:paraId="596A4EED">
      <w:pPr>
        <w:spacing w:before="120" w:beforeLines="50"/>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注：1.在选择栏中的“□”内作标识“√”。 如监理人已退场，监理工程师栏可空缺。</w:t>
      </w:r>
    </w:p>
    <w:p w14:paraId="08F46483">
      <w:pPr>
        <w:spacing w:before="120" w:beforeLines="50"/>
        <w:ind w:left="720" w:hanging="720" w:hangingChars="400"/>
        <w:rPr>
          <w:rFonts w:hint="eastAsia" w:ascii="宋体" w:hAnsi="宋体" w:eastAsia="宋体" w:cs="宋体"/>
          <w:color w:val="auto"/>
          <w:sz w:val="30"/>
          <w:szCs w:val="30"/>
          <w:highlight w:val="none"/>
        </w:rPr>
      </w:pPr>
      <w:r>
        <w:rPr>
          <w:rFonts w:hint="eastAsia" w:ascii="宋体" w:hAnsi="宋体" w:eastAsia="宋体" w:cs="宋体"/>
          <w:color w:val="auto"/>
          <w:sz w:val="18"/>
          <w:szCs w:val="18"/>
          <w:highlight w:val="none"/>
        </w:rPr>
        <w:t xml:space="preserve">        2.本表一式四份，由承包人填报，发包人、监理人、造价咨询人、承包人各存一份。</w:t>
      </w:r>
    </w:p>
    <w:p w14:paraId="233858D5">
      <w:pPr>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附件14：</w:t>
      </w:r>
    </w:p>
    <w:p w14:paraId="6D495676">
      <w:pPr>
        <w:spacing w:line="360" w:lineRule="auto"/>
        <w:ind w:firstLine="720" w:firstLineChars="20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总价合同进度款支付分解表</w:t>
      </w:r>
    </w:p>
    <w:p w14:paraId="02A9EDEB">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工程名称：</w:t>
      </w:r>
    </w:p>
    <w:tbl>
      <w:tblPr>
        <w:tblStyle w:val="5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119"/>
        <w:gridCol w:w="675"/>
        <w:gridCol w:w="2268"/>
        <w:gridCol w:w="1276"/>
      </w:tblGrid>
      <w:tr w14:paraId="1FBE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top"/>
          </w:tcPr>
          <w:p w14:paraId="71E3F9B2">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进度款期次</w:t>
            </w:r>
          </w:p>
        </w:tc>
        <w:tc>
          <w:tcPr>
            <w:tcW w:w="3794" w:type="dxa"/>
            <w:gridSpan w:val="2"/>
            <w:noWrap w:val="0"/>
            <w:vAlign w:val="top"/>
          </w:tcPr>
          <w:p w14:paraId="037A5758">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形象进度</w:t>
            </w:r>
          </w:p>
        </w:tc>
        <w:tc>
          <w:tcPr>
            <w:tcW w:w="2268" w:type="dxa"/>
            <w:noWrap w:val="0"/>
            <w:vAlign w:val="top"/>
          </w:tcPr>
          <w:p w14:paraId="3BF95078">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进度款付款金额（元）</w:t>
            </w:r>
          </w:p>
        </w:tc>
        <w:tc>
          <w:tcPr>
            <w:tcW w:w="1276" w:type="dxa"/>
            <w:noWrap w:val="0"/>
            <w:vAlign w:val="top"/>
          </w:tcPr>
          <w:p w14:paraId="69BC63C5">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备注</w:t>
            </w:r>
          </w:p>
        </w:tc>
      </w:tr>
      <w:tr w14:paraId="5910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top"/>
          </w:tcPr>
          <w:p w14:paraId="55DEFFB6">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第一期</w:t>
            </w:r>
          </w:p>
        </w:tc>
        <w:tc>
          <w:tcPr>
            <w:tcW w:w="3794" w:type="dxa"/>
            <w:gridSpan w:val="2"/>
            <w:noWrap w:val="0"/>
            <w:vAlign w:val="top"/>
          </w:tcPr>
          <w:p w14:paraId="10EF314C">
            <w:pPr>
              <w:spacing w:line="360" w:lineRule="auto"/>
              <w:jc w:val="center"/>
              <w:rPr>
                <w:rFonts w:hint="eastAsia" w:ascii="宋体" w:hAnsi="宋体" w:eastAsia="宋体" w:cs="宋体"/>
                <w:color w:val="auto"/>
                <w:kern w:val="0"/>
                <w:highlight w:val="none"/>
              </w:rPr>
            </w:pPr>
          </w:p>
        </w:tc>
        <w:tc>
          <w:tcPr>
            <w:tcW w:w="2268" w:type="dxa"/>
            <w:noWrap w:val="0"/>
            <w:vAlign w:val="top"/>
          </w:tcPr>
          <w:p w14:paraId="75B6E47B">
            <w:pPr>
              <w:spacing w:line="360" w:lineRule="auto"/>
              <w:jc w:val="center"/>
              <w:rPr>
                <w:rFonts w:hint="eastAsia" w:ascii="宋体" w:hAnsi="宋体" w:eastAsia="宋体" w:cs="宋体"/>
                <w:color w:val="auto"/>
                <w:kern w:val="0"/>
                <w:highlight w:val="none"/>
              </w:rPr>
            </w:pPr>
          </w:p>
        </w:tc>
        <w:tc>
          <w:tcPr>
            <w:tcW w:w="1276" w:type="dxa"/>
            <w:noWrap w:val="0"/>
            <w:vAlign w:val="top"/>
          </w:tcPr>
          <w:p w14:paraId="6A8F5F28">
            <w:pPr>
              <w:spacing w:line="360" w:lineRule="auto"/>
              <w:jc w:val="center"/>
              <w:rPr>
                <w:rFonts w:hint="eastAsia" w:ascii="宋体" w:hAnsi="宋体" w:eastAsia="宋体" w:cs="宋体"/>
                <w:color w:val="auto"/>
                <w:kern w:val="0"/>
                <w:highlight w:val="none"/>
              </w:rPr>
            </w:pPr>
          </w:p>
        </w:tc>
      </w:tr>
      <w:tr w14:paraId="3183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top"/>
          </w:tcPr>
          <w:p w14:paraId="3C6E6D4E">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第二期</w:t>
            </w:r>
          </w:p>
        </w:tc>
        <w:tc>
          <w:tcPr>
            <w:tcW w:w="3794" w:type="dxa"/>
            <w:gridSpan w:val="2"/>
            <w:noWrap w:val="0"/>
            <w:vAlign w:val="top"/>
          </w:tcPr>
          <w:p w14:paraId="70C62707">
            <w:pPr>
              <w:spacing w:line="360" w:lineRule="auto"/>
              <w:jc w:val="center"/>
              <w:rPr>
                <w:rFonts w:hint="eastAsia" w:ascii="宋体" w:hAnsi="宋体" w:eastAsia="宋体" w:cs="宋体"/>
                <w:color w:val="auto"/>
                <w:kern w:val="0"/>
                <w:highlight w:val="none"/>
              </w:rPr>
            </w:pPr>
          </w:p>
        </w:tc>
        <w:tc>
          <w:tcPr>
            <w:tcW w:w="2268" w:type="dxa"/>
            <w:noWrap w:val="0"/>
            <w:vAlign w:val="top"/>
          </w:tcPr>
          <w:p w14:paraId="71A6C5F5">
            <w:pPr>
              <w:spacing w:line="360" w:lineRule="auto"/>
              <w:jc w:val="center"/>
              <w:rPr>
                <w:rFonts w:hint="eastAsia" w:ascii="宋体" w:hAnsi="宋体" w:eastAsia="宋体" w:cs="宋体"/>
                <w:color w:val="auto"/>
                <w:kern w:val="0"/>
                <w:highlight w:val="none"/>
              </w:rPr>
            </w:pPr>
          </w:p>
        </w:tc>
        <w:tc>
          <w:tcPr>
            <w:tcW w:w="1276" w:type="dxa"/>
            <w:noWrap w:val="0"/>
            <w:vAlign w:val="top"/>
          </w:tcPr>
          <w:p w14:paraId="221C6233">
            <w:pPr>
              <w:spacing w:line="360" w:lineRule="auto"/>
              <w:jc w:val="center"/>
              <w:rPr>
                <w:rFonts w:hint="eastAsia" w:ascii="宋体" w:hAnsi="宋体" w:eastAsia="宋体" w:cs="宋体"/>
                <w:color w:val="auto"/>
                <w:kern w:val="0"/>
                <w:highlight w:val="none"/>
              </w:rPr>
            </w:pPr>
          </w:p>
        </w:tc>
      </w:tr>
      <w:tr w14:paraId="3823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top"/>
          </w:tcPr>
          <w:p w14:paraId="729D58D7">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第三期</w:t>
            </w:r>
          </w:p>
        </w:tc>
        <w:tc>
          <w:tcPr>
            <w:tcW w:w="3794" w:type="dxa"/>
            <w:gridSpan w:val="2"/>
            <w:noWrap w:val="0"/>
            <w:vAlign w:val="top"/>
          </w:tcPr>
          <w:p w14:paraId="3BEC0A78">
            <w:pPr>
              <w:spacing w:line="360" w:lineRule="auto"/>
              <w:jc w:val="center"/>
              <w:rPr>
                <w:rFonts w:hint="eastAsia" w:ascii="宋体" w:hAnsi="宋体" w:eastAsia="宋体" w:cs="宋体"/>
                <w:color w:val="auto"/>
                <w:kern w:val="0"/>
                <w:highlight w:val="none"/>
              </w:rPr>
            </w:pPr>
          </w:p>
        </w:tc>
        <w:tc>
          <w:tcPr>
            <w:tcW w:w="2268" w:type="dxa"/>
            <w:noWrap w:val="0"/>
            <w:vAlign w:val="top"/>
          </w:tcPr>
          <w:p w14:paraId="3E32CE6D">
            <w:pPr>
              <w:spacing w:line="360" w:lineRule="auto"/>
              <w:jc w:val="center"/>
              <w:rPr>
                <w:rFonts w:hint="eastAsia" w:ascii="宋体" w:hAnsi="宋体" w:eastAsia="宋体" w:cs="宋体"/>
                <w:color w:val="auto"/>
                <w:kern w:val="0"/>
                <w:highlight w:val="none"/>
              </w:rPr>
            </w:pPr>
          </w:p>
        </w:tc>
        <w:tc>
          <w:tcPr>
            <w:tcW w:w="1276" w:type="dxa"/>
            <w:noWrap w:val="0"/>
            <w:vAlign w:val="top"/>
          </w:tcPr>
          <w:p w14:paraId="4F13EAE2">
            <w:pPr>
              <w:spacing w:line="360" w:lineRule="auto"/>
              <w:jc w:val="center"/>
              <w:rPr>
                <w:rFonts w:hint="eastAsia" w:ascii="宋体" w:hAnsi="宋体" w:eastAsia="宋体" w:cs="宋体"/>
                <w:color w:val="auto"/>
                <w:kern w:val="0"/>
                <w:highlight w:val="none"/>
              </w:rPr>
            </w:pPr>
          </w:p>
        </w:tc>
      </w:tr>
      <w:tr w14:paraId="6C73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top"/>
          </w:tcPr>
          <w:p w14:paraId="7ABD37B5">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3794" w:type="dxa"/>
            <w:gridSpan w:val="2"/>
            <w:noWrap w:val="0"/>
            <w:vAlign w:val="top"/>
          </w:tcPr>
          <w:p w14:paraId="5AC5EEAE">
            <w:pPr>
              <w:spacing w:line="360" w:lineRule="auto"/>
              <w:jc w:val="center"/>
              <w:rPr>
                <w:rFonts w:hint="eastAsia" w:ascii="宋体" w:hAnsi="宋体" w:eastAsia="宋体" w:cs="宋体"/>
                <w:color w:val="auto"/>
                <w:kern w:val="0"/>
                <w:highlight w:val="none"/>
              </w:rPr>
            </w:pPr>
          </w:p>
        </w:tc>
        <w:tc>
          <w:tcPr>
            <w:tcW w:w="2268" w:type="dxa"/>
            <w:noWrap w:val="0"/>
            <w:vAlign w:val="top"/>
          </w:tcPr>
          <w:p w14:paraId="66FD6BC5">
            <w:pPr>
              <w:spacing w:line="360" w:lineRule="auto"/>
              <w:jc w:val="center"/>
              <w:rPr>
                <w:rFonts w:hint="eastAsia" w:ascii="宋体" w:hAnsi="宋体" w:eastAsia="宋体" w:cs="宋体"/>
                <w:color w:val="auto"/>
                <w:kern w:val="0"/>
                <w:highlight w:val="none"/>
              </w:rPr>
            </w:pPr>
          </w:p>
        </w:tc>
        <w:tc>
          <w:tcPr>
            <w:tcW w:w="1276" w:type="dxa"/>
            <w:noWrap w:val="0"/>
            <w:vAlign w:val="top"/>
          </w:tcPr>
          <w:p w14:paraId="3940EDCB">
            <w:pPr>
              <w:spacing w:line="360" w:lineRule="auto"/>
              <w:jc w:val="center"/>
              <w:rPr>
                <w:rFonts w:hint="eastAsia" w:ascii="宋体" w:hAnsi="宋体" w:eastAsia="宋体" w:cs="宋体"/>
                <w:color w:val="auto"/>
                <w:kern w:val="0"/>
                <w:highlight w:val="none"/>
              </w:rPr>
            </w:pPr>
          </w:p>
        </w:tc>
      </w:tr>
      <w:tr w14:paraId="07F2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6" w:type="dxa"/>
            <w:gridSpan w:val="2"/>
            <w:noWrap w:val="0"/>
            <w:vAlign w:val="top"/>
          </w:tcPr>
          <w:p w14:paraId="288D1C81">
            <w:pPr>
              <w:spacing w:line="360" w:lineRule="exact"/>
              <w:ind w:firstLine="435"/>
              <w:jc w:val="right"/>
              <w:rPr>
                <w:rFonts w:hint="eastAsia" w:ascii="宋体" w:hAnsi="宋体" w:eastAsia="宋体" w:cs="宋体"/>
                <w:color w:val="auto"/>
                <w:highlight w:val="none"/>
              </w:rPr>
            </w:pPr>
          </w:p>
          <w:p w14:paraId="2EF54D9C">
            <w:pPr>
              <w:spacing w:line="360" w:lineRule="exact"/>
              <w:ind w:firstLine="435"/>
              <w:jc w:val="center"/>
              <w:rPr>
                <w:rFonts w:hint="eastAsia" w:ascii="宋体" w:hAnsi="宋体" w:eastAsia="宋体" w:cs="宋体"/>
                <w:color w:val="auto"/>
                <w:highlight w:val="none"/>
              </w:rPr>
            </w:pPr>
          </w:p>
          <w:p w14:paraId="31FE0370">
            <w:pPr>
              <w:spacing w:line="360" w:lineRule="exact"/>
              <w:ind w:firstLine="435"/>
              <w:jc w:val="center"/>
              <w:rPr>
                <w:rFonts w:hint="eastAsia" w:ascii="宋体" w:hAnsi="宋体" w:eastAsia="宋体" w:cs="宋体"/>
                <w:color w:val="auto"/>
                <w:highlight w:val="none"/>
              </w:rPr>
            </w:pPr>
            <w:r>
              <w:rPr>
                <w:rFonts w:hint="eastAsia" w:ascii="宋体" w:hAnsi="宋体" w:eastAsia="宋体" w:cs="宋体"/>
                <w:color w:val="auto"/>
                <w:highlight w:val="none"/>
              </w:rPr>
              <w:t>发包人代表签字：</w:t>
            </w:r>
          </w:p>
          <w:p w14:paraId="5B66E3C5">
            <w:pPr>
              <w:spacing w:line="360" w:lineRule="exact"/>
              <w:ind w:firstLine="435"/>
              <w:jc w:val="center"/>
              <w:rPr>
                <w:rFonts w:hint="eastAsia" w:ascii="宋体" w:hAnsi="宋体" w:eastAsia="宋体" w:cs="宋体"/>
                <w:color w:val="auto"/>
                <w:highlight w:val="none"/>
              </w:rPr>
            </w:pPr>
          </w:p>
          <w:p w14:paraId="5C5F42BD">
            <w:pPr>
              <w:spacing w:line="360" w:lineRule="exact"/>
              <w:ind w:firstLine="435"/>
              <w:jc w:val="center"/>
              <w:rPr>
                <w:rFonts w:hint="eastAsia" w:ascii="宋体" w:hAnsi="宋体" w:eastAsia="宋体" w:cs="宋体"/>
                <w:color w:val="auto"/>
                <w:highlight w:val="none"/>
              </w:rPr>
            </w:pPr>
            <w:r>
              <w:rPr>
                <w:rFonts w:hint="eastAsia" w:ascii="宋体" w:hAnsi="宋体" w:eastAsia="宋体" w:cs="宋体"/>
                <w:color w:val="auto"/>
                <w:highlight w:val="none"/>
              </w:rPr>
              <w:t>发包人（盖公章）</w:t>
            </w:r>
          </w:p>
          <w:p w14:paraId="5FF676B9">
            <w:pPr>
              <w:spacing w:line="360" w:lineRule="exact"/>
              <w:ind w:firstLine="435"/>
              <w:jc w:val="center"/>
              <w:rPr>
                <w:rFonts w:hint="eastAsia" w:ascii="宋体" w:hAnsi="宋体" w:eastAsia="宋体" w:cs="宋体"/>
                <w:color w:val="auto"/>
                <w:highlight w:val="none"/>
              </w:rPr>
            </w:pPr>
          </w:p>
          <w:p w14:paraId="4F064093">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tc>
        <w:tc>
          <w:tcPr>
            <w:tcW w:w="4219" w:type="dxa"/>
            <w:gridSpan w:val="3"/>
            <w:noWrap w:val="0"/>
            <w:vAlign w:val="top"/>
          </w:tcPr>
          <w:p w14:paraId="5C8838F4">
            <w:pPr>
              <w:spacing w:line="360" w:lineRule="exact"/>
              <w:ind w:firstLine="435"/>
              <w:jc w:val="center"/>
              <w:rPr>
                <w:rFonts w:hint="eastAsia" w:ascii="宋体" w:hAnsi="宋体" w:eastAsia="宋体" w:cs="宋体"/>
                <w:color w:val="auto"/>
                <w:highlight w:val="none"/>
              </w:rPr>
            </w:pPr>
          </w:p>
          <w:p w14:paraId="5918D518">
            <w:pPr>
              <w:spacing w:line="360" w:lineRule="exact"/>
              <w:ind w:firstLine="435"/>
              <w:jc w:val="center"/>
              <w:rPr>
                <w:rFonts w:hint="eastAsia" w:ascii="宋体" w:hAnsi="宋体" w:eastAsia="宋体" w:cs="宋体"/>
                <w:color w:val="auto"/>
                <w:highlight w:val="none"/>
                <w:u w:val="single"/>
              </w:rPr>
            </w:pPr>
          </w:p>
          <w:p w14:paraId="26A0C46B">
            <w:pPr>
              <w:spacing w:line="360" w:lineRule="exact"/>
              <w:ind w:firstLine="435"/>
              <w:jc w:val="center"/>
              <w:rPr>
                <w:rFonts w:hint="eastAsia" w:ascii="宋体" w:hAnsi="宋体" w:eastAsia="宋体" w:cs="宋体"/>
                <w:color w:val="auto"/>
                <w:highlight w:val="none"/>
              </w:rPr>
            </w:pPr>
            <w:r>
              <w:rPr>
                <w:rFonts w:hint="eastAsia" w:ascii="宋体" w:hAnsi="宋体" w:eastAsia="宋体" w:cs="宋体"/>
                <w:color w:val="auto"/>
                <w:highlight w:val="none"/>
              </w:rPr>
              <w:t>承包人代表签字：</w:t>
            </w:r>
          </w:p>
          <w:p w14:paraId="0E5BA369">
            <w:pPr>
              <w:spacing w:line="360" w:lineRule="exact"/>
              <w:ind w:firstLine="435"/>
              <w:jc w:val="center"/>
              <w:rPr>
                <w:rFonts w:hint="eastAsia" w:ascii="宋体" w:hAnsi="宋体" w:eastAsia="宋体" w:cs="宋体"/>
                <w:color w:val="auto"/>
                <w:highlight w:val="none"/>
              </w:rPr>
            </w:pPr>
          </w:p>
          <w:p w14:paraId="3991BB7E">
            <w:pPr>
              <w:spacing w:line="360" w:lineRule="exact"/>
              <w:ind w:firstLine="435"/>
              <w:jc w:val="center"/>
              <w:rPr>
                <w:rFonts w:hint="eastAsia" w:ascii="宋体" w:hAnsi="宋体" w:eastAsia="宋体" w:cs="宋体"/>
                <w:color w:val="auto"/>
                <w:highlight w:val="none"/>
              </w:rPr>
            </w:pPr>
            <w:r>
              <w:rPr>
                <w:rFonts w:hint="eastAsia" w:ascii="宋体" w:hAnsi="宋体" w:eastAsia="宋体" w:cs="宋体"/>
                <w:color w:val="auto"/>
                <w:highlight w:val="none"/>
              </w:rPr>
              <w:t>承包人（盖公章）</w:t>
            </w:r>
          </w:p>
          <w:p w14:paraId="6B1BBC3C">
            <w:pPr>
              <w:spacing w:line="360" w:lineRule="exact"/>
              <w:ind w:firstLine="435"/>
              <w:jc w:val="center"/>
              <w:rPr>
                <w:rFonts w:hint="eastAsia" w:ascii="宋体" w:hAnsi="宋体" w:eastAsia="宋体" w:cs="宋体"/>
                <w:color w:val="auto"/>
                <w:highlight w:val="none"/>
              </w:rPr>
            </w:pPr>
          </w:p>
          <w:p w14:paraId="6A8555ED">
            <w:pPr>
              <w:spacing w:line="360" w:lineRule="exact"/>
              <w:ind w:firstLine="435"/>
              <w:jc w:val="cente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tc>
      </w:tr>
    </w:tbl>
    <w:p w14:paraId="635E077B">
      <w:pPr>
        <w:spacing w:line="360" w:lineRule="auto"/>
        <w:rPr>
          <w:rFonts w:hint="eastAsia" w:ascii="宋体" w:hAnsi="宋体" w:eastAsia="宋体" w:cs="宋体"/>
          <w:color w:val="auto"/>
          <w:highlight w:val="none"/>
        </w:rPr>
      </w:pPr>
    </w:p>
    <w:p w14:paraId="5EA06550">
      <w:pPr>
        <w:spacing w:line="360" w:lineRule="auto"/>
        <w:rPr>
          <w:rFonts w:hint="eastAsia" w:ascii="宋体" w:hAnsi="宋体" w:eastAsia="宋体" w:cs="宋体"/>
          <w:color w:val="auto"/>
          <w:highlight w:val="none"/>
        </w:rPr>
      </w:pPr>
    </w:p>
    <w:p w14:paraId="7B4E681E">
      <w:pPr>
        <w:tabs>
          <w:tab w:val="left" w:pos="-1980"/>
        </w:tabs>
        <w:spacing w:line="560" w:lineRule="exact"/>
        <w:ind w:firstLine="1920" w:firstLineChars="800"/>
        <w:rPr>
          <w:rFonts w:hint="eastAsia" w:ascii="宋体" w:hAnsi="宋体" w:eastAsia="宋体" w:cs="宋体"/>
          <w:color w:val="auto"/>
          <w:sz w:val="24"/>
          <w:szCs w:val="24"/>
          <w:highlight w:val="none"/>
        </w:rPr>
      </w:pPr>
    </w:p>
    <w:p w14:paraId="140500F8">
      <w:pPr>
        <w:rPr>
          <w:rFonts w:hint="eastAsia" w:ascii="宋体" w:hAnsi="宋体" w:eastAsia="宋体" w:cs="宋体"/>
          <w:color w:val="auto"/>
          <w:szCs w:val="24"/>
          <w:highlight w:val="none"/>
        </w:rPr>
      </w:pPr>
    </w:p>
    <w:p w14:paraId="3C020E15">
      <w:pPr>
        <w:rPr>
          <w:rFonts w:hint="eastAsia" w:ascii="宋体" w:hAnsi="宋体" w:eastAsia="宋体" w:cs="宋体"/>
          <w:bCs/>
          <w:color w:val="auto"/>
          <w:sz w:val="24"/>
          <w:szCs w:val="24"/>
          <w:highlight w:val="none"/>
        </w:rPr>
      </w:pPr>
    </w:p>
    <w:p w14:paraId="7D91CF59">
      <w:pPr>
        <w:rPr>
          <w:rFonts w:hint="eastAsia" w:ascii="宋体" w:hAnsi="宋体" w:eastAsia="宋体" w:cs="宋体"/>
          <w:b/>
          <w:color w:val="auto"/>
          <w:sz w:val="48"/>
          <w:szCs w:val="48"/>
          <w:highlight w:val="none"/>
        </w:rPr>
      </w:pPr>
    </w:p>
    <w:p w14:paraId="2BD838A3">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bookmarkEnd w:id="74"/>
      <w:bookmarkEnd w:id="75"/>
      <w:bookmarkEnd w:id="76"/>
    </w:p>
    <w:p w14:paraId="38BAF9AF">
      <w:pPr>
        <w:rPr>
          <w:rFonts w:hint="eastAsia" w:ascii="宋体" w:hAnsi="宋体" w:eastAsia="宋体" w:cs="宋体"/>
          <w:color w:val="auto"/>
          <w:szCs w:val="24"/>
          <w:highlight w:val="none"/>
        </w:rPr>
        <w:sectPr>
          <w:pgSz w:w="11906" w:h="16838"/>
          <w:pgMar w:top="1134" w:right="1134" w:bottom="1134" w:left="1134" w:header="851" w:footer="992" w:gutter="0"/>
          <w:cols w:space="425" w:num="1"/>
          <w:docGrid w:type="lines" w:linePitch="312" w:charSpace="0"/>
        </w:sectPr>
      </w:pPr>
    </w:p>
    <w:p w14:paraId="61775512">
      <w:pPr>
        <w:pStyle w:val="4"/>
        <w:jc w:val="center"/>
        <w:rPr>
          <w:rStyle w:val="210"/>
          <w:rFonts w:hint="eastAsia" w:ascii="宋体" w:hAnsi="宋体" w:eastAsia="宋体" w:cs="宋体"/>
          <w:b/>
          <w:bCs/>
          <w:color w:val="auto"/>
          <w:highlight w:val="none"/>
        </w:rPr>
      </w:pPr>
      <w:bookmarkStart w:id="1277" w:name="_Toc38295187"/>
      <w:bookmarkStart w:id="1278" w:name="_Toc162340984"/>
      <w:r>
        <w:rPr>
          <w:rStyle w:val="210"/>
          <w:rFonts w:hint="eastAsia" w:ascii="宋体" w:hAnsi="宋体" w:eastAsia="宋体" w:cs="宋体"/>
          <w:b/>
          <w:bCs/>
          <w:color w:val="auto"/>
          <w:highlight w:val="none"/>
        </w:rPr>
        <w:t>第五章</w:t>
      </w:r>
      <w:bookmarkEnd w:id="1277"/>
      <w:r>
        <w:rPr>
          <w:rStyle w:val="210"/>
          <w:rFonts w:hint="eastAsia" w:ascii="宋体" w:hAnsi="宋体" w:eastAsia="宋体" w:cs="宋体"/>
          <w:b/>
          <w:bCs/>
          <w:color w:val="auto"/>
          <w:highlight w:val="none"/>
        </w:rPr>
        <w:t xml:space="preserve"> 图纸及工程量清单</w:t>
      </w:r>
      <w:bookmarkEnd w:id="1278"/>
    </w:p>
    <w:p w14:paraId="54549300">
      <w:pPr>
        <w:widowControl/>
        <w:spacing w:line="36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图纸及工程量清单另册发放。供应商可自行在广西政府采购云平台（https:// www.gcy.zfcg.gxzf.gov.cn）自行随竞争性磋商文件文件一同下载。</w:t>
      </w:r>
      <w:bookmarkStart w:id="1279" w:name="_Toc39866688"/>
      <w:bookmarkStart w:id="1280" w:name="_Toc256000041"/>
    </w:p>
    <w:bookmarkEnd w:id="1279"/>
    <w:bookmarkEnd w:id="1280"/>
    <w:p w14:paraId="5988F7F7">
      <w:pPr>
        <w:rPr>
          <w:rFonts w:hint="eastAsia" w:ascii="宋体" w:hAnsi="宋体" w:eastAsia="宋体" w:cs="宋体"/>
          <w:b/>
          <w:color w:val="auto"/>
          <w:sz w:val="44"/>
          <w:szCs w:val="44"/>
          <w:highlight w:val="none"/>
        </w:rPr>
      </w:pPr>
      <w:bookmarkStart w:id="1281" w:name="_Toc162340985"/>
      <w:r>
        <w:rPr>
          <w:rFonts w:hint="eastAsia" w:ascii="宋体" w:hAnsi="宋体" w:eastAsia="宋体" w:cs="宋体"/>
          <w:b/>
          <w:color w:val="auto"/>
          <w:sz w:val="44"/>
          <w:szCs w:val="44"/>
          <w:highlight w:val="none"/>
        </w:rPr>
        <w:br w:type="page"/>
      </w:r>
    </w:p>
    <w:p w14:paraId="446C4CA4">
      <w:pPr>
        <w:spacing w:line="360" w:lineRule="auto"/>
        <w:jc w:val="center"/>
        <w:outlineLvl w:val="0"/>
        <w:rPr>
          <w:rFonts w:hint="eastAsia" w:ascii="宋体" w:hAnsi="宋体" w:eastAsia="宋体" w:cs="宋体"/>
          <w:b/>
          <w:bCs/>
          <w:color w:val="auto"/>
          <w:sz w:val="48"/>
          <w:szCs w:val="48"/>
          <w:highlight w:val="none"/>
        </w:rPr>
      </w:pPr>
      <w:r>
        <w:rPr>
          <w:rFonts w:hint="eastAsia" w:ascii="宋体" w:hAnsi="宋体" w:eastAsia="宋体" w:cs="宋体"/>
          <w:b/>
          <w:color w:val="auto"/>
          <w:sz w:val="44"/>
          <w:szCs w:val="44"/>
          <w:highlight w:val="none"/>
        </w:rPr>
        <w:t xml:space="preserve">第六章 </w:t>
      </w:r>
      <w:r>
        <w:rPr>
          <w:rFonts w:hint="eastAsia" w:ascii="宋体" w:hAnsi="宋体" w:eastAsia="宋体" w:cs="宋体"/>
          <w:b/>
          <w:bCs/>
          <w:color w:val="auto"/>
          <w:sz w:val="48"/>
          <w:szCs w:val="48"/>
          <w:highlight w:val="none"/>
        </w:rPr>
        <w:t>技术规范</w:t>
      </w:r>
      <w:bookmarkEnd w:id="1281"/>
    </w:p>
    <w:p w14:paraId="4837C8EB">
      <w:pPr>
        <w:spacing w:after="156" w:afterLines="50" w:line="360" w:lineRule="auto"/>
        <w:rPr>
          <w:rFonts w:hint="eastAsia" w:ascii="宋体" w:hAnsi="宋体" w:eastAsia="宋体" w:cs="宋体"/>
          <w:color w:val="auto"/>
          <w:sz w:val="32"/>
          <w:szCs w:val="32"/>
          <w:highlight w:val="none"/>
        </w:rPr>
      </w:pPr>
    </w:p>
    <w:p w14:paraId="75BFFC0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一、现场自然条件</w:t>
      </w:r>
    </w:p>
    <w:p w14:paraId="74FD17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满足施工要求</w:t>
      </w:r>
    </w:p>
    <w:p w14:paraId="38016D7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二、现场施工条件</w:t>
      </w:r>
    </w:p>
    <w:p w14:paraId="591928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已完成</w:t>
      </w:r>
    </w:p>
    <w:p w14:paraId="46B71DE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三、本工程采用的技术规范</w:t>
      </w:r>
    </w:p>
    <w:p w14:paraId="2B4599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本工程执行国家现行的有关工程建设标准、技术规范及强制性标准条文、以及施工图纸载明的其他有关规范标准。</w:t>
      </w:r>
    </w:p>
    <w:p w14:paraId="40021F49">
      <w:pPr>
        <w:bidi w:val="0"/>
        <w:rPr>
          <w:rFonts w:hint="eastAsia"/>
          <w:color w:val="auto"/>
        </w:rPr>
      </w:pPr>
      <w:r>
        <w:rPr>
          <w:rFonts w:hint="eastAsia"/>
          <w:color w:val="auto"/>
        </w:rPr>
        <w:br w:type="page"/>
      </w:r>
    </w:p>
    <w:p w14:paraId="65F0F28E">
      <w:pPr>
        <w:autoSpaceDE w:val="0"/>
        <w:autoSpaceDN w:val="0"/>
        <w:adjustRightInd w:val="0"/>
        <w:spacing w:line="480" w:lineRule="auto"/>
        <w:jc w:val="center"/>
        <w:outlineLvl w:val="0"/>
        <w:rPr>
          <w:rFonts w:hint="eastAsia" w:ascii="宋体" w:hAnsi="宋体" w:eastAsia="宋体" w:cs="宋体"/>
          <w:b/>
          <w:color w:val="auto"/>
          <w:sz w:val="44"/>
          <w:szCs w:val="44"/>
          <w:highlight w:val="none"/>
        </w:rPr>
      </w:pPr>
      <w:bookmarkStart w:id="1282" w:name="_Toc162340986"/>
      <w:r>
        <w:rPr>
          <w:rFonts w:hint="eastAsia" w:ascii="宋体" w:hAnsi="宋体" w:eastAsia="宋体" w:cs="宋体"/>
          <w:b/>
          <w:color w:val="auto"/>
          <w:sz w:val="44"/>
          <w:szCs w:val="44"/>
          <w:highlight w:val="none"/>
        </w:rPr>
        <w:t>第七章 竞争性磋商响应文件格式</w:t>
      </w:r>
      <w:bookmarkEnd w:id="1282"/>
    </w:p>
    <w:p w14:paraId="26E31F7F">
      <w:pPr>
        <w:widowControl/>
        <w:ind w:firstLine="482" w:firstLineChars="200"/>
        <w:jc w:val="left"/>
        <w:rPr>
          <w:rFonts w:hint="eastAsia" w:ascii="宋体" w:hAnsi="宋体" w:eastAsia="宋体" w:cs="宋体"/>
          <w:b/>
          <w:color w:val="auto"/>
          <w:sz w:val="24"/>
          <w:szCs w:val="24"/>
          <w:highlight w:val="none"/>
        </w:rPr>
      </w:pPr>
    </w:p>
    <w:p w14:paraId="6DF128AC">
      <w:pPr>
        <w:widowControl/>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与电子标的供应商必须为广西政府采购云平台的正式供应商且申领CA证书，各供应商应在开标前及时完成平台注册、CA证书申领、CA证书绑定、下载广西政府采购云平台客户端，熟悉并掌握广西政府采购云平台电子标系统操作。</w:t>
      </w:r>
    </w:p>
    <w:p w14:paraId="480D343B">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一、供应商应保证全部声明和问题的回答是真实的和准确的。</w:t>
      </w:r>
    </w:p>
    <w:p w14:paraId="54129C56">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二、磋商小组将应用供应商递交的资料作出自己的判断。</w:t>
      </w:r>
    </w:p>
    <w:p w14:paraId="5DC9328C">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三、供应商递交的材料将在一定期限内被保密保存，不予退还。</w:t>
      </w:r>
    </w:p>
    <w:p w14:paraId="4F8B174F">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四、电子响应文件编制格式及规范要求：</w:t>
      </w:r>
    </w:p>
    <w:p w14:paraId="32C3E0A4">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（一）响应文件应使用广西政府采购云平台客户端软件，并按照本竞争性磋商文件和广西政府采购云平台要求编制并加密响应文件。未按规定加密的响应文件，广西政府采购云平台将拒收。</w:t>
      </w:r>
    </w:p>
    <w:p w14:paraId="1B5B87F2">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（二）响应文件制作并加密完成后应在广西政府采购云平台上传完成。</w:t>
      </w:r>
    </w:p>
    <w:p w14:paraId="684F87A0">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（三）响应文件应使用CA证书进行电子签章。在签章时，供应商应注意CA电子签章的位置，如因CA电子签章遮挡重要、关键信息导致评标委员会作出对供应商不利评审的，后果由供应商负责。</w:t>
      </w:r>
    </w:p>
    <w:p w14:paraId="5D24AD3E">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（四）供应商应准确设置评审关联点。未设置或设置错误导致响应文件被误读、漏读或者查找不到相关内容的，是供应商的责任。</w:t>
      </w:r>
    </w:p>
    <w:p w14:paraId="4458A447">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（五）响应文件所提供的相关材料的尺寸和清晰度应该能够在电脑上被阅读、识别和判断。</w:t>
      </w:r>
    </w:p>
    <w:p w14:paraId="636583EA">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（六）响应文件内容无法阅读、识别和判断的，视为未提供。</w:t>
      </w:r>
    </w:p>
    <w:p w14:paraId="1142F682">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（七）响应文件的容量大小须符合广西政府采购云平台规定。</w:t>
      </w:r>
    </w:p>
    <w:p w14:paraId="77C48317">
      <w:pPr>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五、供应商在使用广西政府采购云平台进行投标过程中遇到涉及平台使用的任何问题，可致电平台技术支持热线咨询，联系方式：95763。</w:t>
      </w:r>
    </w:p>
    <w:p w14:paraId="332A3F45">
      <w:p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六、特别说明</w:t>
      </w:r>
    </w:p>
    <w:p w14:paraId="094FEDD9">
      <w:pPr>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（一）响应文件中须加盖公章部分均采用供应商CA电子签章，否则视为响应无效</w:t>
      </w:r>
      <w:r>
        <w:rPr>
          <w:rFonts w:hint="eastAsia" w:ascii="宋体" w:hAnsi="宋体" w:eastAsia="宋体" w:cs="宋体"/>
          <w:b/>
          <w:bCs/>
          <w:color w:val="auto"/>
          <w:sz w:val="24"/>
          <w:szCs w:val="24"/>
          <w:highlight w:val="none"/>
        </w:rPr>
        <w:t>（如不属于磋商文件中规定必须提交的资料，则视为未提供该资料）</w:t>
      </w:r>
      <w:r>
        <w:rPr>
          <w:rFonts w:hint="eastAsia" w:ascii="宋体" w:hAnsi="宋体" w:eastAsia="宋体" w:cs="宋体"/>
          <w:b/>
          <w:color w:val="auto"/>
          <w:sz w:val="24"/>
          <w:szCs w:val="24"/>
          <w:highlight w:val="none"/>
        </w:rPr>
        <w:t>。</w:t>
      </w:r>
    </w:p>
    <w:p w14:paraId="7D979434">
      <w:pPr>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（二）竞争性磋商文件要求由法定代表人（负责人、自然人）或委托代理人签字的材料，</w:t>
      </w:r>
      <w:r>
        <w:rPr>
          <w:rFonts w:hint="eastAsia" w:ascii="宋体" w:hAnsi="宋体" w:eastAsia="宋体" w:cs="宋体"/>
          <w:b/>
          <w:bCs/>
          <w:color w:val="auto"/>
          <w:sz w:val="24"/>
          <w:szCs w:val="24"/>
          <w:highlight w:val="none"/>
        </w:rPr>
        <w:t>若广西政府采购云平台客户端的CA证书无法实现法定代表人（负责人、自然人）或授权委托代理人线上亲笔签字，供应商应在线下完成亲笔签字，</w:t>
      </w:r>
      <w:r>
        <w:rPr>
          <w:rFonts w:hint="eastAsia" w:ascii="宋体" w:hAnsi="宋体" w:eastAsia="宋体" w:cs="宋体"/>
          <w:b/>
          <w:color w:val="auto"/>
          <w:sz w:val="24"/>
          <w:szCs w:val="24"/>
          <w:highlight w:val="none"/>
        </w:rPr>
        <w:t>否则视为响应无效</w:t>
      </w:r>
      <w:r>
        <w:rPr>
          <w:rFonts w:hint="eastAsia" w:ascii="宋体" w:hAnsi="宋体" w:eastAsia="宋体" w:cs="宋体"/>
          <w:b/>
          <w:bCs/>
          <w:color w:val="auto"/>
          <w:sz w:val="24"/>
          <w:szCs w:val="24"/>
          <w:highlight w:val="none"/>
        </w:rPr>
        <w:t>（如不属于磋商文件中规定必须提交的资料，则视为未提供该资料）</w:t>
      </w:r>
      <w:r>
        <w:rPr>
          <w:rFonts w:hint="eastAsia" w:ascii="宋体" w:hAnsi="宋体" w:eastAsia="宋体" w:cs="宋体"/>
          <w:b/>
          <w:color w:val="auto"/>
          <w:sz w:val="24"/>
          <w:szCs w:val="24"/>
          <w:highlight w:val="none"/>
        </w:rPr>
        <w:t>。</w:t>
      </w:r>
    </w:p>
    <w:p w14:paraId="26AE6866">
      <w:pPr>
        <w:snapToGrid w:val="0"/>
        <w:spacing w:before="50" w:after="50" w:line="360" w:lineRule="auto"/>
        <w:ind w:right="-178" w:rightChars="-85"/>
        <w:rPr>
          <w:rFonts w:hint="eastAsia" w:ascii="宋体" w:hAnsi="宋体" w:eastAsia="宋体" w:cs="宋体"/>
          <w:b/>
          <w:bCs/>
          <w:color w:val="auto"/>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Cs w:val="21"/>
          <w:highlight w:val="none"/>
        </w:rPr>
        <w:t>响应文件目录：</w:t>
      </w:r>
    </w:p>
    <w:p w14:paraId="2D6E5904">
      <w:pPr>
        <w:tabs>
          <w:tab w:val="left" w:pos="3870"/>
          <w:tab w:val="left" w:pos="4085"/>
        </w:tabs>
        <w:snapToGrid w:val="0"/>
        <w:spacing w:line="360" w:lineRule="auto"/>
        <w:ind w:right="-178" w:rightChars="-85"/>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73A1B0E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（格式自拟，按供应商须知8.4“竞争性磋商响应文件的组成”顺序）</w:t>
      </w:r>
    </w:p>
    <w:p w14:paraId="087F03E9">
      <w:pPr>
        <w:spacing w:line="360" w:lineRule="auto"/>
        <w:jc w:val="center"/>
        <w:rPr>
          <w:rFonts w:hint="eastAsia" w:ascii="宋体" w:hAnsi="宋体" w:eastAsia="宋体" w:cs="宋体"/>
          <w:b/>
          <w:color w:val="auto"/>
          <w:sz w:val="24"/>
          <w:szCs w:val="24"/>
          <w:highlight w:val="none"/>
        </w:rPr>
      </w:pPr>
    </w:p>
    <w:p w14:paraId="1CF4E66A">
      <w:pPr>
        <w:spacing w:line="360" w:lineRule="auto"/>
        <w:jc w:val="center"/>
        <w:rPr>
          <w:rFonts w:hint="eastAsia" w:ascii="宋体" w:hAnsi="宋体" w:eastAsia="宋体" w:cs="宋体"/>
          <w:color w:val="auto"/>
          <w:sz w:val="24"/>
          <w:szCs w:val="24"/>
          <w:highlight w:val="none"/>
        </w:rPr>
      </w:pPr>
    </w:p>
    <w:p w14:paraId="289CF5A9">
      <w:pPr>
        <w:spacing w:line="360" w:lineRule="auto"/>
        <w:jc w:val="center"/>
        <w:rPr>
          <w:rFonts w:hint="eastAsia" w:ascii="宋体" w:hAnsi="宋体" w:eastAsia="宋体" w:cs="宋体"/>
          <w:color w:val="auto"/>
          <w:sz w:val="24"/>
          <w:szCs w:val="24"/>
          <w:highlight w:val="none"/>
        </w:rPr>
      </w:pPr>
    </w:p>
    <w:p w14:paraId="7C2B1DB0">
      <w:pPr>
        <w:spacing w:line="360" w:lineRule="auto"/>
        <w:jc w:val="center"/>
        <w:rPr>
          <w:rFonts w:hint="eastAsia" w:ascii="宋体" w:hAnsi="宋体" w:eastAsia="宋体" w:cs="宋体"/>
          <w:color w:val="auto"/>
          <w:sz w:val="24"/>
          <w:szCs w:val="24"/>
          <w:highlight w:val="none"/>
        </w:rPr>
      </w:pPr>
    </w:p>
    <w:p w14:paraId="74F45426">
      <w:pPr>
        <w:spacing w:line="360" w:lineRule="auto"/>
        <w:jc w:val="center"/>
        <w:rPr>
          <w:rFonts w:hint="eastAsia" w:ascii="宋体" w:hAnsi="宋体" w:eastAsia="宋体" w:cs="宋体"/>
          <w:color w:val="auto"/>
          <w:sz w:val="24"/>
          <w:szCs w:val="24"/>
          <w:highlight w:val="none"/>
        </w:rPr>
      </w:pPr>
    </w:p>
    <w:p w14:paraId="7088B02F">
      <w:pPr>
        <w:spacing w:line="360" w:lineRule="auto"/>
        <w:jc w:val="center"/>
        <w:rPr>
          <w:rFonts w:hint="eastAsia" w:ascii="宋体" w:hAnsi="宋体" w:eastAsia="宋体" w:cs="宋体"/>
          <w:color w:val="auto"/>
          <w:sz w:val="24"/>
          <w:szCs w:val="24"/>
          <w:highlight w:val="none"/>
        </w:rPr>
      </w:pPr>
    </w:p>
    <w:p w14:paraId="6BA696FC">
      <w:pPr>
        <w:spacing w:line="360" w:lineRule="auto"/>
        <w:jc w:val="center"/>
        <w:rPr>
          <w:rFonts w:hint="eastAsia" w:ascii="宋体" w:hAnsi="宋体" w:eastAsia="宋体" w:cs="宋体"/>
          <w:color w:val="auto"/>
          <w:sz w:val="24"/>
          <w:szCs w:val="24"/>
          <w:highlight w:val="none"/>
        </w:rPr>
      </w:pPr>
    </w:p>
    <w:p w14:paraId="542061DD">
      <w:pPr>
        <w:spacing w:line="360" w:lineRule="auto"/>
        <w:jc w:val="center"/>
        <w:rPr>
          <w:rFonts w:hint="eastAsia" w:ascii="宋体" w:hAnsi="宋体" w:eastAsia="宋体" w:cs="宋体"/>
          <w:color w:val="auto"/>
          <w:sz w:val="24"/>
          <w:szCs w:val="24"/>
          <w:highlight w:val="none"/>
        </w:rPr>
      </w:pPr>
    </w:p>
    <w:p w14:paraId="434C8268">
      <w:pPr>
        <w:spacing w:line="360" w:lineRule="auto"/>
        <w:jc w:val="center"/>
        <w:rPr>
          <w:rFonts w:hint="eastAsia" w:ascii="宋体" w:hAnsi="宋体" w:eastAsia="宋体" w:cs="宋体"/>
          <w:color w:val="auto"/>
          <w:sz w:val="24"/>
          <w:szCs w:val="24"/>
          <w:highlight w:val="none"/>
        </w:rPr>
      </w:pPr>
    </w:p>
    <w:p w14:paraId="301CB34D">
      <w:pPr>
        <w:spacing w:line="360" w:lineRule="auto"/>
        <w:jc w:val="center"/>
        <w:rPr>
          <w:rFonts w:hint="eastAsia" w:ascii="宋体" w:hAnsi="宋体" w:eastAsia="宋体" w:cs="宋体"/>
          <w:color w:val="auto"/>
          <w:sz w:val="24"/>
          <w:szCs w:val="24"/>
          <w:highlight w:val="none"/>
        </w:rPr>
      </w:pPr>
    </w:p>
    <w:p w14:paraId="76040972">
      <w:pPr>
        <w:spacing w:line="360" w:lineRule="auto"/>
        <w:jc w:val="center"/>
        <w:rPr>
          <w:rFonts w:hint="eastAsia" w:ascii="宋体" w:hAnsi="宋体" w:eastAsia="宋体" w:cs="宋体"/>
          <w:color w:val="auto"/>
          <w:sz w:val="24"/>
          <w:szCs w:val="24"/>
          <w:highlight w:val="none"/>
        </w:rPr>
      </w:pPr>
    </w:p>
    <w:p w14:paraId="2DC1FBBC">
      <w:pPr>
        <w:spacing w:line="360" w:lineRule="auto"/>
        <w:jc w:val="center"/>
        <w:rPr>
          <w:rFonts w:hint="eastAsia" w:ascii="宋体" w:hAnsi="宋体" w:eastAsia="宋体" w:cs="宋体"/>
          <w:color w:val="auto"/>
          <w:sz w:val="24"/>
          <w:szCs w:val="24"/>
          <w:highlight w:val="none"/>
        </w:rPr>
      </w:pPr>
    </w:p>
    <w:p w14:paraId="16C4EF3C">
      <w:pPr>
        <w:spacing w:line="360" w:lineRule="auto"/>
        <w:jc w:val="center"/>
        <w:rPr>
          <w:rFonts w:hint="eastAsia" w:ascii="宋体" w:hAnsi="宋体" w:eastAsia="宋体" w:cs="宋体"/>
          <w:color w:val="auto"/>
          <w:sz w:val="24"/>
          <w:szCs w:val="24"/>
          <w:highlight w:val="none"/>
        </w:rPr>
      </w:pPr>
    </w:p>
    <w:p w14:paraId="520E286C">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14:paraId="39ACF5E5">
      <w:pPr>
        <w:spacing w:line="360" w:lineRule="auto"/>
        <w:jc w:val="center"/>
        <w:rPr>
          <w:rFonts w:hint="eastAsia" w:ascii="宋体" w:hAnsi="宋体" w:eastAsia="宋体" w:cs="宋体"/>
          <w:b/>
          <w:bCs/>
          <w:color w:val="auto"/>
          <w:sz w:val="44"/>
          <w:szCs w:val="44"/>
          <w:highlight w:val="none"/>
        </w:rPr>
      </w:pPr>
    </w:p>
    <w:p w14:paraId="4EB6287C">
      <w:pPr>
        <w:spacing w:line="360" w:lineRule="auto"/>
        <w:jc w:val="center"/>
        <w:rPr>
          <w:rFonts w:hint="eastAsia" w:ascii="宋体" w:hAnsi="宋体" w:eastAsia="宋体" w:cs="宋体"/>
          <w:b/>
          <w:bCs/>
          <w:color w:val="auto"/>
          <w:sz w:val="44"/>
          <w:szCs w:val="44"/>
          <w:highlight w:val="none"/>
        </w:rPr>
      </w:pPr>
    </w:p>
    <w:p w14:paraId="5C53AAA5">
      <w:pPr>
        <w:spacing w:line="360" w:lineRule="auto"/>
        <w:jc w:val="center"/>
        <w:rPr>
          <w:rFonts w:hint="eastAsia" w:ascii="宋体" w:hAnsi="宋体" w:eastAsia="宋体" w:cs="宋体"/>
          <w:b/>
          <w:bCs/>
          <w:color w:val="auto"/>
          <w:sz w:val="44"/>
          <w:szCs w:val="44"/>
          <w:highlight w:val="none"/>
        </w:rPr>
      </w:pPr>
    </w:p>
    <w:p w14:paraId="73AC3CBE">
      <w:pPr>
        <w:spacing w:line="360" w:lineRule="auto"/>
        <w:jc w:val="center"/>
        <w:rPr>
          <w:rFonts w:hint="eastAsia" w:ascii="宋体" w:hAnsi="宋体" w:eastAsia="宋体" w:cs="宋体"/>
          <w:b/>
          <w:bCs/>
          <w:color w:val="auto"/>
          <w:sz w:val="44"/>
          <w:szCs w:val="44"/>
          <w:highlight w:val="none"/>
        </w:rPr>
      </w:pPr>
    </w:p>
    <w:p w14:paraId="59FEC2BC">
      <w:pPr>
        <w:spacing w:line="360" w:lineRule="auto"/>
        <w:jc w:val="center"/>
        <w:rPr>
          <w:rFonts w:hint="eastAsia" w:ascii="宋体" w:hAnsi="宋体" w:eastAsia="宋体" w:cs="宋体"/>
          <w:b/>
          <w:bCs/>
          <w:color w:val="auto"/>
          <w:sz w:val="44"/>
          <w:szCs w:val="44"/>
          <w:highlight w:val="none"/>
        </w:rPr>
      </w:pPr>
    </w:p>
    <w:p w14:paraId="149F604F">
      <w:pPr>
        <w:spacing w:line="360" w:lineRule="auto"/>
        <w:jc w:val="center"/>
        <w:rPr>
          <w:rFonts w:hint="eastAsia" w:ascii="宋体" w:hAnsi="宋体" w:eastAsia="宋体" w:cs="宋体"/>
          <w:b/>
          <w:bCs/>
          <w:color w:val="auto"/>
          <w:sz w:val="44"/>
          <w:szCs w:val="44"/>
          <w:highlight w:val="none"/>
        </w:rPr>
      </w:pPr>
    </w:p>
    <w:p w14:paraId="3646C7E2">
      <w:pPr>
        <w:spacing w:line="360" w:lineRule="auto"/>
        <w:jc w:val="center"/>
        <w:rPr>
          <w:rFonts w:hint="eastAsia" w:ascii="宋体" w:hAnsi="宋体" w:eastAsia="宋体" w:cs="宋体"/>
          <w:b/>
          <w:bCs/>
          <w:color w:val="auto"/>
          <w:sz w:val="44"/>
          <w:szCs w:val="44"/>
          <w:highlight w:val="none"/>
        </w:rPr>
      </w:pPr>
    </w:p>
    <w:p w14:paraId="12D48D09">
      <w:pPr>
        <w:spacing w:line="360" w:lineRule="auto"/>
        <w:jc w:val="center"/>
        <w:rPr>
          <w:rFonts w:hint="eastAsia" w:ascii="宋体" w:hAnsi="宋体" w:eastAsia="宋体" w:cs="宋体"/>
          <w:b/>
          <w:bCs/>
          <w:color w:val="auto"/>
          <w:sz w:val="44"/>
          <w:szCs w:val="44"/>
          <w:highlight w:val="none"/>
        </w:rPr>
      </w:pPr>
    </w:p>
    <w:p w14:paraId="310091E3">
      <w:pPr>
        <w:spacing w:line="360" w:lineRule="auto"/>
        <w:jc w:val="center"/>
        <w:rPr>
          <w:rFonts w:hint="eastAsia" w:ascii="宋体" w:hAnsi="宋体" w:eastAsia="宋体" w:cs="宋体"/>
          <w:b/>
          <w:bCs/>
          <w:color w:val="auto"/>
          <w:sz w:val="44"/>
          <w:szCs w:val="44"/>
          <w:highlight w:val="none"/>
        </w:rPr>
      </w:pPr>
    </w:p>
    <w:p w14:paraId="1BACC4D4">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一</w:t>
      </w:r>
      <w:r>
        <w:rPr>
          <w:rFonts w:hint="eastAsia" w:ascii="宋体" w:hAnsi="宋体" w:eastAsia="宋体" w:cs="宋体"/>
          <w:b/>
          <w:bCs/>
          <w:color w:val="auto"/>
          <w:sz w:val="44"/>
          <w:szCs w:val="44"/>
          <w:highlight w:val="none"/>
          <w:lang w:val="en-US" w:eastAsia="zh-CN"/>
        </w:rPr>
        <w:t>.</w:t>
      </w:r>
      <w:r>
        <w:rPr>
          <w:rFonts w:hint="eastAsia" w:ascii="宋体" w:hAnsi="宋体" w:eastAsia="宋体" w:cs="宋体"/>
          <w:b/>
          <w:color w:val="auto"/>
          <w:sz w:val="44"/>
          <w:szCs w:val="44"/>
          <w:highlight w:val="none"/>
        </w:rPr>
        <w:t>资格证明文件</w:t>
      </w:r>
    </w:p>
    <w:p w14:paraId="0211C5DB">
      <w:pPr>
        <w:spacing w:line="360"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磋商供应商有效的主体资格证明（如营业执照、事业单位法人证书、执业许可证等）扫描件。</w:t>
      </w:r>
    </w:p>
    <w:p w14:paraId="54BE8CE1">
      <w:pPr>
        <w:spacing w:line="360" w:lineRule="auto"/>
        <w:jc w:val="left"/>
        <w:rPr>
          <w:rFonts w:hint="eastAsia" w:ascii="宋体" w:hAnsi="宋体" w:eastAsia="宋体" w:cs="宋体"/>
          <w:b/>
          <w:bCs/>
          <w:color w:val="auto"/>
          <w:sz w:val="32"/>
          <w:szCs w:val="32"/>
          <w:highlight w:val="none"/>
        </w:rPr>
      </w:pPr>
    </w:p>
    <w:p w14:paraId="321420F5">
      <w:pPr>
        <w:spacing w:line="360" w:lineRule="auto"/>
        <w:rPr>
          <w:rFonts w:hint="eastAsia" w:ascii="宋体" w:hAnsi="宋体" w:eastAsia="宋体" w:cs="宋体"/>
          <w:b/>
          <w:color w:val="auto"/>
          <w:sz w:val="24"/>
          <w:szCs w:val="21"/>
          <w:highlight w:val="none"/>
        </w:rPr>
      </w:pPr>
    </w:p>
    <w:p w14:paraId="0782AFB9">
      <w:pPr>
        <w:spacing w:line="360" w:lineRule="auto"/>
        <w:rPr>
          <w:rFonts w:hint="eastAsia" w:ascii="宋体" w:hAnsi="宋体" w:eastAsia="宋体" w:cs="宋体"/>
          <w:b/>
          <w:color w:val="auto"/>
          <w:sz w:val="24"/>
          <w:szCs w:val="21"/>
          <w:highlight w:val="none"/>
        </w:rPr>
      </w:pPr>
    </w:p>
    <w:p w14:paraId="7352C61F">
      <w:pPr>
        <w:spacing w:line="360" w:lineRule="auto"/>
        <w:rPr>
          <w:rFonts w:hint="eastAsia" w:ascii="宋体" w:hAnsi="宋体" w:eastAsia="宋体" w:cs="宋体"/>
          <w:b/>
          <w:color w:val="auto"/>
          <w:sz w:val="24"/>
          <w:szCs w:val="21"/>
          <w:highlight w:val="none"/>
        </w:rPr>
      </w:pPr>
    </w:p>
    <w:p w14:paraId="70FCA220">
      <w:pPr>
        <w:spacing w:line="360" w:lineRule="auto"/>
        <w:rPr>
          <w:rFonts w:hint="eastAsia" w:ascii="宋体" w:hAnsi="宋体" w:eastAsia="宋体" w:cs="宋体"/>
          <w:b/>
          <w:color w:val="auto"/>
          <w:sz w:val="24"/>
          <w:szCs w:val="21"/>
          <w:highlight w:val="none"/>
        </w:rPr>
      </w:pPr>
    </w:p>
    <w:p w14:paraId="2841CBD5">
      <w:pPr>
        <w:spacing w:line="360" w:lineRule="auto"/>
        <w:rPr>
          <w:rFonts w:hint="eastAsia" w:ascii="宋体" w:hAnsi="宋体" w:eastAsia="宋体" w:cs="宋体"/>
          <w:b/>
          <w:color w:val="auto"/>
          <w:sz w:val="24"/>
          <w:szCs w:val="21"/>
          <w:highlight w:val="none"/>
        </w:rPr>
      </w:pPr>
    </w:p>
    <w:p w14:paraId="089067CC">
      <w:pPr>
        <w:spacing w:line="360" w:lineRule="auto"/>
        <w:rPr>
          <w:rFonts w:hint="eastAsia" w:ascii="宋体" w:hAnsi="宋体" w:eastAsia="宋体" w:cs="宋体"/>
          <w:b/>
          <w:color w:val="auto"/>
          <w:sz w:val="24"/>
          <w:szCs w:val="21"/>
          <w:highlight w:val="none"/>
        </w:rPr>
      </w:pPr>
    </w:p>
    <w:p w14:paraId="74400AE1">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 w:val="24"/>
          <w:szCs w:val="21"/>
          <w:highlight w:val="none"/>
        </w:rPr>
        <w:t>注：此项材料必须</w:t>
      </w:r>
      <w:r>
        <w:rPr>
          <w:rFonts w:hint="eastAsia" w:ascii="宋体" w:hAnsi="宋体" w:eastAsia="宋体" w:cs="宋体"/>
          <w:b/>
          <w:bCs/>
          <w:color w:val="auto"/>
          <w:sz w:val="24"/>
          <w:szCs w:val="21"/>
          <w:highlight w:val="none"/>
        </w:rPr>
        <w:t>以PDF格式上传，并加盖CA电子签章。</w:t>
      </w:r>
    </w:p>
    <w:p w14:paraId="4ABF662F">
      <w:pPr>
        <w:adjustRightInd w:val="0"/>
        <w:snapToGrid w:val="0"/>
        <w:spacing w:line="360" w:lineRule="auto"/>
        <w:ind w:left="-88" w:leftChars="-42"/>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24"/>
          <w:highlight w:val="none"/>
        </w:rPr>
        <w:br w:type="page"/>
      </w:r>
    </w:p>
    <w:p w14:paraId="509EF5C4">
      <w:pPr>
        <w:autoSpaceDE w:val="0"/>
        <w:autoSpaceDN w:val="0"/>
        <w:adjustRightIn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政府采购供应商资格信用承诺函</w:t>
      </w:r>
    </w:p>
    <w:p w14:paraId="29877D21">
      <w:pPr>
        <w:autoSpaceDE w:val="0"/>
        <w:autoSpaceDN w:val="0"/>
        <w:adjustRightInd w:val="0"/>
        <w:spacing w:line="360" w:lineRule="auto"/>
        <w:rPr>
          <w:rFonts w:hint="eastAsia" w:ascii="宋体" w:hAnsi="宋体" w:eastAsia="宋体" w:cs="宋体"/>
          <w:color w:val="auto"/>
          <w:spacing w:val="6"/>
          <w:sz w:val="24"/>
          <w:szCs w:val="24"/>
          <w:highlight w:val="none"/>
        </w:rPr>
      </w:pPr>
    </w:p>
    <w:p w14:paraId="5672624F">
      <w:pPr>
        <w:autoSpaceDE w:val="0"/>
        <w:autoSpaceDN w:val="0"/>
        <w:adjustRightIn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致：</w:t>
      </w:r>
      <w:r>
        <w:rPr>
          <w:rFonts w:hint="eastAsia" w:ascii="宋体" w:hAnsi="宋体" w:eastAsia="宋体" w:cs="宋体"/>
          <w:color w:val="auto"/>
          <w:spacing w:val="6"/>
          <w:sz w:val="24"/>
          <w:szCs w:val="24"/>
          <w:highlight w:val="none"/>
          <w:u w:val="single"/>
        </w:rPr>
        <w:t>（采购人名称）、（代理机构名称）</w:t>
      </w:r>
      <w:r>
        <w:rPr>
          <w:rFonts w:hint="eastAsia" w:ascii="宋体" w:hAnsi="宋体" w:eastAsia="宋体" w:cs="宋体"/>
          <w:color w:val="auto"/>
          <w:spacing w:val="6"/>
          <w:sz w:val="24"/>
          <w:szCs w:val="24"/>
          <w:highlight w:val="none"/>
        </w:rPr>
        <w:t>：</w:t>
      </w:r>
    </w:p>
    <w:p w14:paraId="72D88A05">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我方自愿参加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）的政府采购活动，并郑重承诺我方符合《中华人民共和国政府采购法》第二十二条规定的条件： </w:t>
      </w:r>
    </w:p>
    <w:p w14:paraId="70A1C739">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（一）具有独立承担民事责任的能力； </w:t>
      </w:r>
    </w:p>
    <w:p w14:paraId="1A14C8BF">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（二）具有良好的商业信誉和健全的财务会计制度； </w:t>
      </w:r>
    </w:p>
    <w:p w14:paraId="3DD3347F">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（三）具有履行合同所必需的设备和专业技术能力； </w:t>
      </w:r>
    </w:p>
    <w:p w14:paraId="31672EA6">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（四）有依法缴纳税收和社会保障资金的良好记录； </w:t>
      </w:r>
    </w:p>
    <w:p w14:paraId="1F9896A0">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（五）参加政府采购活动前三年内，在经营活动中没有重大违法记录； </w:t>
      </w:r>
    </w:p>
    <w:p w14:paraId="7C9C4D2F">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（六）法律、行政法规规定的其他条件。 </w:t>
      </w:r>
    </w:p>
    <w:p w14:paraId="0A118397">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我方保证上述承诺事项的真实性，如有弄虚作假或其他违法违规行为，愿意承担一切法律责任，并承担因此所造成的一切损失。 </w:t>
      </w:r>
    </w:p>
    <w:p w14:paraId="7680D034">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b/>
          <w:bCs/>
          <w:color w:val="auto"/>
          <w:spacing w:val="6"/>
          <w:sz w:val="24"/>
          <w:szCs w:val="24"/>
          <w:highlight w:val="none"/>
        </w:rPr>
        <w:t>特此声明！</w:t>
      </w:r>
      <w:r>
        <w:rPr>
          <w:rFonts w:hint="eastAsia" w:ascii="宋体" w:hAnsi="宋体" w:eastAsia="宋体" w:cs="宋体"/>
          <w:color w:val="auto"/>
          <w:spacing w:val="6"/>
          <w:sz w:val="24"/>
          <w:szCs w:val="24"/>
          <w:highlight w:val="none"/>
        </w:rPr>
        <w:t xml:space="preserve"> </w:t>
      </w:r>
    </w:p>
    <w:p w14:paraId="3DDE99B9">
      <w:pPr>
        <w:tabs>
          <w:tab w:val="left" w:pos="0"/>
        </w:tabs>
        <w:spacing w:line="360" w:lineRule="auto"/>
        <w:ind w:firstLine="504" w:firstLineChars="200"/>
        <w:rPr>
          <w:rFonts w:hint="eastAsia" w:ascii="宋体" w:hAnsi="宋体" w:eastAsia="宋体" w:cs="宋体"/>
          <w:color w:val="auto"/>
          <w:spacing w:val="6"/>
          <w:sz w:val="24"/>
          <w:szCs w:val="24"/>
          <w:highlight w:val="none"/>
        </w:rPr>
      </w:pPr>
    </w:p>
    <w:p w14:paraId="6449C6A8">
      <w:pPr>
        <w:spacing w:line="360" w:lineRule="auto"/>
        <w:ind w:firstLine="3600" w:firstLineChars="1500"/>
        <w:rPr>
          <w:rFonts w:hint="eastAsia" w:ascii="宋体" w:hAnsi="宋体" w:eastAsia="宋体" w:cs="宋体"/>
          <w:color w:val="auto"/>
          <w:sz w:val="24"/>
          <w:szCs w:val="24"/>
          <w:highlight w:val="none"/>
        </w:rPr>
      </w:pPr>
    </w:p>
    <w:p w14:paraId="6403336A">
      <w:pPr>
        <w:spacing w:line="360" w:lineRule="auto"/>
        <w:ind w:firstLine="3600" w:firstLineChars="1500"/>
        <w:rPr>
          <w:rFonts w:hint="eastAsia" w:ascii="宋体" w:hAnsi="宋体" w:eastAsia="宋体" w:cs="宋体"/>
          <w:color w:val="auto"/>
          <w:sz w:val="24"/>
          <w:szCs w:val="24"/>
          <w:highlight w:val="none"/>
        </w:rPr>
      </w:pPr>
    </w:p>
    <w:p w14:paraId="3585DAE9">
      <w:pPr>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供应商法定代表人或授权代表签字：</w:t>
      </w:r>
      <w:r>
        <w:rPr>
          <w:rFonts w:hint="eastAsia" w:ascii="宋体" w:hAnsi="宋体" w:eastAsia="宋体" w:cs="宋体"/>
          <w:color w:val="auto"/>
          <w:sz w:val="24"/>
          <w:szCs w:val="24"/>
          <w:highlight w:val="none"/>
          <w:u w:val="single"/>
        </w:rPr>
        <w:t xml:space="preserve">               </w:t>
      </w:r>
    </w:p>
    <w:p w14:paraId="48509748">
      <w:pPr>
        <w:spacing w:line="360" w:lineRule="auto"/>
        <w:ind w:firstLine="840"/>
        <w:rPr>
          <w:rFonts w:hint="eastAsia" w:ascii="宋体" w:hAnsi="宋体" w:eastAsia="宋体" w:cs="宋体"/>
          <w:color w:val="auto"/>
          <w:sz w:val="24"/>
          <w:szCs w:val="24"/>
          <w:highlight w:val="none"/>
        </w:rPr>
      </w:pPr>
    </w:p>
    <w:p w14:paraId="41979FB8">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B9A2C10">
      <w:pPr>
        <w:spacing w:line="360" w:lineRule="auto"/>
        <w:ind w:firstLine="3960" w:firstLineChars="1650"/>
        <w:rPr>
          <w:rFonts w:hint="eastAsia" w:ascii="宋体" w:hAnsi="宋体" w:eastAsia="宋体" w:cs="宋体"/>
          <w:color w:val="auto"/>
          <w:sz w:val="24"/>
          <w:szCs w:val="24"/>
          <w:highlight w:val="none"/>
        </w:rPr>
      </w:pPr>
    </w:p>
    <w:p w14:paraId="2B610493">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7B5F53A">
      <w:pPr>
        <w:spacing w:line="360" w:lineRule="auto"/>
        <w:rPr>
          <w:rFonts w:hint="eastAsia" w:ascii="宋体" w:hAnsi="宋体" w:eastAsia="宋体" w:cs="宋体"/>
          <w:color w:val="auto"/>
          <w:szCs w:val="24"/>
          <w:highlight w:val="none"/>
        </w:rPr>
      </w:pPr>
    </w:p>
    <w:p w14:paraId="4C3C23D4">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 w:val="24"/>
          <w:szCs w:val="21"/>
          <w:highlight w:val="none"/>
        </w:rPr>
        <w:t>注：此项材料必须</w:t>
      </w:r>
      <w:r>
        <w:rPr>
          <w:rFonts w:hint="eastAsia" w:ascii="宋体" w:hAnsi="宋体" w:eastAsia="宋体" w:cs="宋体"/>
          <w:b/>
          <w:bCs/>
          <w:color w:val="auto"/>
          <w:sz w:val="24"/>
          <w:szCs w:val="21"/>
          <w:highlight w:val="none"/>
        </w:rPr>
        <w:t>以PDF格式上传。</w:t>
      </w:r>
    </w:p>
    <w:p w14:paraId="72605725">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特别说明：供应商对信用承诺内容的真实性、合法性、有效性负责。如作出虚假信用承诺，视同为“提供虚假材料谋取中标、成交”的违法行为。经调查核实后，按照《中国人民共和国政府采购法》第七十七条规定及柳财采〔2022〕9号文规定处理。</w:t>
      </w:r>
    </w:p>
    <w:p w14:paraId="71B01CDA">
      <w:pPr>
        <w:widowControl/>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518D697C">
      <w:pPr>
        <w:widowControl/>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3.供应商</w:t>
      </w:r>
      <w:r>
        <w:rPr>
          <w:rFonts w:hint="eastAsia" w:ascii="宋体" w:hAnsi="宋体" w:eastAsia="宋体" w:cs="宋体"/>
          <w:b/>
          <w:color w:val="auto"/>
          <w:sz w:val="32"/>
          <w:szCs w:val="32"/>
          <w:highlight w:val="none"/>
        </w:rPr>
        <w:t>直接控股、管理关系信息表</w:t>
      </w:r>
    </w:p>
    <w:p w14:paraId="3CC477DF">
      <w:pPr>
        <w:keepNext w:val="0"/>
        <w:keepLines w:val="0"/>
        <w:pageBreakBefore w:val="0"/>
        <w:widowControl w:val="0"/>
        <w:kinsoku/>
        <w:wordWrap/>
        <w:overflowPunct/>
        <w:topLinePunct/>
        <w:autoSpaceDE/>
        <w:autoSpaceDN/>
        <w:bidi w:val="0"/>
        <w:adjustRightInd/>
        <w:snapToGrid w:val="0"/>
        <w:spacing w:line="360" w:lineRule="auto"/>
        <w:jc w:val="center"/>
        <w:textAlignment w:val="auto"/>
        <w:rPr>
          <w:rFonts w:hint="eastAsia" w:ascii="宋体" w:hAnsi="宋体" w:eastAsia="宋体" w:cs="宋体"/>
          <w:b/>
          <w:color w:val="auto"/>
          <w:sz w:val="28"/>
          <w:szCs w:val="28"/>
          <w:highlight w:val="none"/>
        </w:rPr>
      </w:pPr>
    </w:p>
    <w:p w14:paraId="0753A880">
      <w:pPr>
        <w:keepNext w:val="0"/>
        <w:keepLines w:val="0"/>
        <w:pageBreakBefore w:val="0"/>
        <w:widowControl w:val="0"/>
        <w:kinsoku/>
        <w:wordWrap/>
        <w:overflowPunct/>
        <w:topLinePunct/>
        <w:autoSpaceDE/>
        <w:autoSpaceDN/>
        <w:bidi w:val="0"/>
        <w:adjustRightInd/>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直接控股股东信息表</w:t>
      </w:r>
    </w:p>
    <w:tbl>
      <w:tblPr>
        <w:tblStyle w:val="57"/>
        <w:tblW w:w="0" w:type="auto"/>
        <w:jc w:val="center"/>
        <w:shd w:val="clear" w:color="auto" w:fill="FBFBFB"/>
        <w:tblLayout w:type="fixed"/>
        <w:tblCellMar>
          <w:top w:w="0" w:type="dxa"/>
          <w:left w:w="0" w:type="dxa"/>
          <w:bottom w:w="0" w:type="dxa"/>
          <w:right w:w="0" w:type="dxa"/>
        </w:tblCellMar>
      </w:tblPr>
      <w:tblGrid>
        <w:gridCol w:w="828"/>
        <w:gridCol w:w="2269"/>
        <w:gridCol w:w="1239"/>
        <w:gridCol w:w="3900"/>
        <w:gridCol w:w="1240"/>
      </w:tblGrid>
      <w:tr w14:paraId="6E759BB2">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091D0A8">
            <w:pPr>
              <w:pageBreakBefore w:val="0"/>
              <w:kinsoku/>
              <w:overflowPunct/>
              <w:topLinePunct/>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A0CC043">
            <w:pPr>
              <w:pageBreakBefore w:val="0"/>
              <w:kinsoku/>
              <w:overflowPunct/>
              <w:topLinePunct/>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DF1B653">
            <w:pPr>
              <w:pageBreakBefore w:val="0"/>
              <w:kinsoku/>
              <w:overflowPunct/>
              <w:topLinePunct/>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39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F30E249">
            <w:pPr>
              <w:pageBreakBefore w:val="0"/>
              <w:kinsoku/>
              <w:overflowPunct/>
              <w:topLinePunct/>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124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29A9D7E">
            <w:pPr>
              <w:pageBreakBefore w:val="0"/>
              <w:kinsoku/>
              <w:overflowPunct/>
              <w:topLinePunct/>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705B61BB">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159286">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06FAE1">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E23A2D">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39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9B190C">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D4DE97">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r>
      <w:tr w14:paraId="6A1D1458">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35958B">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6A2759">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A4DFD8">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39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852101">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B8A327">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r>
      <w:tr w14:paraId="78F99867">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B8A892">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C22D56">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9503BC">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39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31B9F1">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AB198B">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r>
      <w:tr w14:paraId="2024A521">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5A2A4A">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1FB30A">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0519C8">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39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F00131">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CF65B7">
            <w:pPr>
              <w:pageBreakBefore w:val="0"/>
              <w:kinsoku/>
              <w:overflowPunct/>
              <w:topLinePunct/>
              <w:bidi w:val="0"/>
              <w:spacing w:line="360" w:lineRule="auto"/>
              <w:jc w:val="center"/>
              <w:rPr>
                <w:rFonts w:hint="eastAsia" w:ascii="宋体" w:hAnsi="宋体" w:eastAsia="宋体" w:cs="宋体"/>
                <w:color w:val="auto"/>
                <w:kern w:val="0"/>
                <w:sz w:val="21"/>
                <w:szCs w:val="21"/>
                <w:highlight w:val="none"/>
              </w:rPr>
            </w:pPr>
          </w:p>
        </w:tc>
      </w:tr>
    </w:tbl>
    <w:p w14:paraId="0E690CB0">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w:t>
      </w:r>
    </w:p>
    <w:p w14:paraId="74C39FAB">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1554CB5">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2.本表所指的控股关系仅限于直接控股关系，不包括间接的控股关系。公司实际控制人与公司之间的关系不属于本表所指的直接控股关系。</w:t>
      </w:r>
    </w:p>
    <w:p w14:paraId="03D973E3">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3.供应商不存在直接控股股东的，则填“无”。</w:t>
      </w:r>
    </w:p>
    <w:p w14:paraId="69DA2DE0">
      <w:pPr>
        <w:pageBreakBefore w:val="0"/>
        <w:kinsoku/>
        <w:overflowPunct/>
        <w:topLinePunct/>
        <w:bidi w:val="0"/>
        <w:snapToGrid w:val="0"/>
        <w:spacing w:line="360" w:lineRule="auto"/>
        <w:jc w:val="left"/>
        <w:rPr>
          <w:rFonts w:hint="eastAsia" w:ascii="宋体" w:hAnsi="宋体" w:eastAsia="宋体" w:cs="宋体"/>
          <w:color w:val="auto"/>
          <w:sz w:val="21"/>
          <w:szCs w:val="21"/>
          <w:highlight w:val="none"/>
        </w:rPr>
      </w:pPr>
    </w:p>
    <w:p w14:paraId="54B909B2">
      <w:pPr>
        <w:pageBreakBefore w:val="0"/>
        <w:kinsoku/>
        <w:overflowPunct/>
        <w:topLinePunct/>
        <w:bidi w:val="0"/>
        <w:snapToGrid w:val="0"/>
        <w:spacing w:line="360" w:lineRule="auto"/>
        <w:jc w:val="left"/>
        <w:rPr>
          <w:rFonts w:hint="eastAsia" w:ascii="宋体" w:hAnsi="宋体" w:eastAsia="宋体" w:cs="宋体"/>
          <w:color w:val="auto"/>
          <w:sz w:val="21"/>
          <w:szCs w:val="21"/>
          <w:highlight w:val="none"/>
        </w:rPr>
      </w:pPr>
    </w:p>
    <w:p w14:paraId="61A013EC">
      <w:pPr>
        <w:pageBreakBefore w:val="0"/>
        <w:kinsoku/>
        <w:overflowPunct/>
        <w:topLinePunct/>
        <w:bidi w:val="0"/>
        <w:snapToGrid w:val="0"/>
        <w:spacing w:line="360" w:lineRule="auto"/>
        <w:jc w:val="left"/>
        <w:rPr>
          <w:rFonts w:hint="eastAsia" w:ascii="宋体" w:hAnsi="宋体" w:eastAsia="宋体" w:cs="宋体"/>
          <w:color w:val="auto"/>
          <w:sz w:val="21"/>
          <w:szCs w:val="21"/>
          <w:highlight w:val="none"/>
        </w:rPr>
      </w:pPr>
    </w:p>
    <w:p w14:paraId="0F0D2A4F">
      <w:pPr>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9237FBE">
      <w:pPr>
        <w:ind w:firstLine="3960" w:firstLineChars="1650"/>
        <w:rPr>
          <w:rFonts w:hint="eastAsia" w:ascii="宋体" w:hAnsi="宋体" w:eastAsia="宋体" w:cs="宋体"/>
          <w:color w:val="auto"/>
          <w:sz w:val="24"/>
          <w:szCs w:val="24"/>
          <w:highlight w:val="none"/>
        </w:rPr>
      </w:pPr>
    </w:p>
    <w:p w14:paraId="56FBDCA4">
      <w:pPr>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8FF2F8B">
      <w:pPr>
        <w:keepNext w:val="0"/>
        <w:keepLines w:val="0"/>
        <w:pageBreakBefore w:val="0"/>
        <w:widowControl w:val="0"/>
        <w:kinsoku/>
        <w:overflowPunct/>
        <w:topLinePunct/>
        <w:autoSpaceDE/>
        <w:autoSpaceDN/>
        <w:bidi w:val="0"/>
        <w:adjustRightInd/>
        <w:snapToGrid w:val="0"/>
        <w:spacing w:line="360" w:lineRule="auto"/>
        <w:jc w:val="righ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br w:type="page"/>
      </w:r>
    </w:p>
    <w:p w14:paraId="68A86CB2">
      <w:pPr>
        <w:pageBreakBefore w:val="0"/>
        <w:kinsoku/>
        <w:overflowPunct/>
        <w:topLinePunct/>
        <w:bidi w:val="0"/>
        <w:snapToGrid w:val="0"/>
        <w:spacing w:line="360" w:lineRule="auto"/>
        <w:jc w:val="center"/>
        <w:rPr>
          <w:rFonts w:hint="eastAsia" w:ascii="宋体" w:hAnsi="宋体" w:eastAsia="宋体" w:cs="宋体"/>
          <w:b/>
          <w:color w:val="auto"/>
          <w:sz w:val="24"/>
          <w:szCs w:val="24"/>
          <w:highlight w:val="none"/>
        </w:rPr>
      </w:pPr>
    </w:p>
    <w:p w14:paraId="51A52D1C">
      <w:pPr>
        <w:pageBreakBefore w:val="0"/>
        <w:kinsoku/>
        <w:overflowPunct/>
        <w:topLinePunct/>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供应商直接管理关系信息表</w:t>
      </w:r>
    </w:p>
    <w:tbl>
      <w:tblPr>
        <w:tblStyle w:val="57"/>
        <w:tblW w:w="0" w:type="auto"/>
        <w:jc w:val="center"/>
        <w:shd w:val="clear" w:color="auto" w:fill="FBFBFB"/>
        <w:tblLayout w:type="fixed"/>
        <w:tblCellMar>
          <w:top w:w="0" w:type="dxa"/>
          <w:left w:w="0" w:type="dxa"/>
          <w:bottom w:w="0" w:type="dxa"/>
          <w:right w:w="0" w:type="dxa"/>
        </w:tblCellMar>
      </w:tblPr>
      <w:tblGrid>
        <w:gridCol w:w="1005"/>
        <w:gridCol w:w="2659"/>
        <w:gridCol w:w="3924"/>
        <w:gridCol w:w="2064"/>
      </w:tblGrid>
      <w:tr w14:paraId="21BEE08A">
        <w:tblPrEx>
          <w:shd w:val="clear" w:color="auto" w:fill="FBFBFB"/>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6D0B97">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D3B03C">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9ED6173">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3863FF0">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1883DD0C">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C5B0A1">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656CCD">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23A18D">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D33D38">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34F5673F">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EB93CC">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30974D">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B393C6">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0B5CDE">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1F41B026">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2E17FA">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C399D8">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44F8CE">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37181A">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r w14:paraId="6DBCE1FB">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BAEB5A">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BE3F27">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F47C9C">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A53412">
            <w:pPr>
              <w:keepNext w:val="0"/>
              <w:keepLines w:val="0"/>
              <w:pageBreakBefore w:val="0"/>
              <w:widowControl w:val="0"/>
              <w:kinsoku/>
              <w:overflowPunct/>
              <w:topLinePunct/>
              <w:autoSpaceDE/>
              <w:autoSpaceDN/>
              <w:bidi w:val="0"/>
              <w:adjustRightInd/>
              <w:spacing w:line="360" w:lineRule="auto"/>
              <w:jc w:val="center"/>
              <w:textAlignment w:val="auto"/>
              <w:rPr>
                <w:rFonts w:hint="eastAsia" w:ascii="宋体" w:hAnsi="宋体" w:eastAsia="宋体" w:cs="宋体"/>
                <w:color w:val="auto"/>
                <w:kern w:val="0"/>
                <w:sz w:val="21"/>
                <w:szCs w:val="21"/>
                <w:highlight w:val="none"/>
              </w:rPr>
            </w:pPr>
          </w:p>
        </w:tc>
      </w:tr>
    </w:tbl>
    <w:p w14:paraId="35A8D110">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w:t>
      </w:r>
    </w:p>
    <w:p w14:paraId="3AE5D575">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1.管理关系：是指不具有出资持股关系的其他单位之间存在的管理与被管理关系，如一些上下级关系的事业单位和团体组织。</w:t>
      </w:r>
    </w:p>
    <w:p w14:paraId="50164451">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2.本表所指的管理关系仅限于直接管理关系，不包括间接的管理关系。</w:t>
      </w:r>
    </w:p>
    <w:p w14:paraId="4EF940AF">
      <w:pPr>
        <w:autoSpaceDE w:val="0"/>
        <w:autoSpaceDN w:val="0"/>
        <w:adjustRightInd w:val="0"/>
        <w:spacing w:line="360" w:lineRule="auto"/>
        <w:ind w:firstLine="64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3.供应商不存在直接管理关系的，则填“无”。</w:t>
      </w:r>
    </w:p>
    <w:p w14:paraId="6D3DBDB2">
      <w:pPr>
        <w:keepNext w:val="0"/>
        <w:keepLines w:val="0"/>
        <w:pageBreakBefore w:val="0"/>
        <w:widowControl w:val="0"/>
        <w:kinsoku/>
        <w:overflowPunct/>
        <w:topLinePunct/>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14:paraId="6F8A8FFA">
      <w:pPr>
        <w:keepNext w:val="0"/>
        <w:keepLines w:val="0"/>
        <w:pageBreakBefore w:val="0"/>
        <w:widowControl w:val="0"/>
        <w:kinsoku/>
        <w:overflowPunct/>
        <w:topLinePunct/>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p>
    <w:p w14:paraId="0BA0B218">
      <w:pPr>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A907ED0">
      <w:pPr>
        <w:ind w:firstLine="3960" w:firstLineChars="1650"/>
        <w:rPr>
          <w:rFonts w:hint="eastAsia" w:ascii="宋体" w:hAnsi="宋体" w:eastAsia="宋体" w:cs="宋体"/>
          <w:color w:val="auto"/>
          <w:sz w:val="24"/>
          <w:szCs w:val="24"/>
          <w:highlight w:val="none"/>
        </w:rPr>
      </w:pPr>
    </w:p>
    <w:p w14:paraId="432E9BEA">
      <w:pPr>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39B54F3">
      <w:pPr>
        <w:widowControl/>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pacing w:val="0"/>
          <w:w w:val="100"/>
          <w:position w:val="0"/>
          <w:sz w:val="24"/>
          <w:szCs w:val="24"/>
          <w:highlight w:val="none"/>
        </w:rPr>
        <w:br w:type="page"/>
      </w:r>
    </w:p>
    <w:p w14:paraId="23F2E1B9">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磋商供应商为中小企业的政策功能证明文件</w:t>
      </w:r>
    </w:p>
    <w:p w14:paraId="2F93CB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“中小企业声明函”格式附后。</w:t>
      </w:r>
    </w:p>
    <w:p w14:paraId="23BAEE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另：根据《关于政府采购支持监狱企业发展有关问题的通知》（财库[2014]68号、桂财采[2015]25号）规定，监狱企业</w:t>
      </w:r>
      <w:r>
        <w:rPr>
          <w:rFonts w:hint="eastAsia" w:ascii="宋体" w:hAnsi="宋体" w:eastAsia="宋体" w:cs="宋体"/>
          <w:b/>
          <w:bCs/>
          <w:color w:val="auto"/>
          <w:sz w:val="24"/>
          <w:szCs w:val="24"/>
          <w:highlight w:val="none"/>
        </w:rPr>
        <w:t>视同</w:t>
      </w:r>
      <w:r>
        <w:rPr>
          <w:rFonts w:hint="eastAsia" w:ascii="宋体" w:hAnsi="宋体" w:eastAsia="宋体" w:cs="宋体"/>
          <w:color w:val="auto"/>
          <w:sz w:val="24"/>
          <w:szCs w:val="24"/>
          <w:highlight w:val="none"/>
        </w:rPr>
        <w:t>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14:paraId="6F5007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根据《关于促进残疾人就业政府采购政策的通知》（财库【2017】141号）规定，残疾人福利性单位</w:t>
      </w:r>
      <w:r>
        <w:rPr>
          <w:rFonts w:hint="eastAsia" w:ascii="宋体" w:hAnsi="宋体" w:eastAsia="宋体" w:cs="宋体"/>
          <w:b/>
          <w:bCs/>
          <w:color w:val="auto"/>
          <w:sz w:val="24"/>
          <w:szCs w:val="24"/>
          <w:highlight w:val="none"/>
        </w:rPr>
        <w:t>视同</w:t>
      </w:r>
      <w:r>
        <w:rPr>
          <w:rFonts w:hint="eastAsia" w:ascii="宋体" w:hAnsi="宋体" w:eastAsia="宋体" w:cs="宋体"/>
          <w:color w:val="auto"/>
          <w:sz w:val="24"/>
          <w:szCs w:val="24"/>
          <w:highlight w:val="none"/>
        </w:rPr>
        <w:t>小型、微型企业。符合条件的残疾人福利性单位在参加政府采购活动时，应当提供本通知规定的《残疾人福利性单位声明函》（见附件），并对声明的真实性负责。中标为残疾人福利性单位的，招标代理机构将随中标、成交结果同时公告其《残疾人福利性单位声明函》，接受社会监督。</w:t>
      </w:r>
    </w:p>
    <w:p w14:paraId="2D947919">
      <w:pPr>
        <w:autoSpaceDE w:val="0"/>
        <w:autoSpaceDN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中小企业声明函（工程格式）</w:t>
      </w:r>
    </w:p>
    <w:p w14:paraId="11089CB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i/>
          <w:iCs/>
          <w:color w:val="auto"/>
          <w:kern w:val="0"/>
          <w:sz w:val="24"/>
          <w:szCs w:val="24"/>
          <w:highlight w:val="none"/>
          <w:u w:val="single"/>
        </w:rPr>
        <w:t xml:space="preserve">   （单位名称）</w:t>
      </w:r>
      <w:r>
        <w:rPr>
          <w:rFonts w:hint="eastAsia" w:ascii="宋体" w:hAnsi="宋体" w:eastAsia="宋体" w:cs="宋体"/>
          <w:color w:val="auto"/>
          <w:kern w:val="0"/>
          <w:sz w:val="24"/>
          <w:szCs w:val="24"/>
          <w:highlight w:val="none"/>
        </w:rPr>
        <w:t>的</w:t>
      </w:r>
      <w:r>
        <w:rPr>
          <w:rFonts w:hint="eastAsia" w:ascii="宋体" w:hAnsi="宋体" w:eastAsia="宋体" w:cs="宋体"/>
          <w:i/>
          <w:iCs/>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rPr>
        <w:t>采购活动，工程的施工单位全部为符合政策要求的中小企业。相关企业（含联合体中的中小企业、签订分包意向协议的中小企业）的具体情况如下：</w:t>
      </w:r>
    </w:p>
    <w:p w14:paraId="5747A99E">
      <w:pPr>
        <w:spacing w:line="360" w:lineRule="auto"/>
        <w:ind w:firstLine="5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 xml:space="preserve">            （采购文件中明确的所属行业）</w:t>
      </w:r>
      <w:r>
        <w:rPr>
          <w:rFonts w:hint="eastAsia" w:ascii="宋体" w:hAnsi="宋体" w:eastAsia="宋体" w:cs="宋体"/>
          <w:color w:val="auto"/>
          <w:sz w:val="24"/>
          <w:szCs w:val="24"/>
          <w:highlight w:val="none"/>
        </w:rPr>
        <w:t>行业；承接企业为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w:t>
      </w:r>
    </w:p>
    <w:p w14:paraId="15C075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 </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 xml:space="preserve">            （采购文件中明确的所属行业）</w:t>
      </w:r>
      <w:r>
        <w:rPr>
          <w:rFonts w:hint="eastAsia" w:ascii="宋体" w:hAnsi="宋体" w:eastAsia="宋体" w:cs="宋体"/>
          <w:color w:val="auto"/>
          <w:sz w:val="24"/>
          <w:szCs w:val="24"/>
          <w:highlight w:val="none"/>
        </w:rPr>
        <w:t>行业；承接企业为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w:t>
      </w:r>
    </w:p>
    <w:p w14:paraId="7A499633">
      <w:pPr>
        <w:spacing w:after="80" w:line="360" w:lineRule="auto"/>
        <w:ind w:firstLine="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 </w:t>
      </w:r>
    </w:p>
    <w:p w14:paraId="7DD23D5C">
      <w:pPr>
        <w:spacing w:line="360" w:lineRule="auto"/>
        <w:ind w:firstLine="5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BF711D8">
      <w:pPr>
        <w:spacing w:line="360" w:lineRule="auto"/>
        <w:ind w:firstLine="5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C6850FA">
      <w:pPr>
        <w:spacing w:line="360" w:lineRule="auto"/>
        <w:ind w:firstLine="35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6A4F80D5">
      <w:pPr>
        <w:autoSpaceDE w:val="0"/>
        <w:autoSpaceDN w:val="0"/>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FE6ECB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C6A10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1、从业人员、营业收入、资产总额填报上一年度数据，无上一年度数据的新成立企业可不填报</w:t>
      </w:r>
      <w:r>
        <w:rPr>
          <w:rFonts w:hint="eastAsia" w:ascii="宋体" w:hAnsi="宋体" w:eastAsia="宋体" w:cs="宋体"/>
          <w:color w:val="auto"/>
          <w:sz w:val="24"/>
          <w:szCs w:val="24"/>
          <w:highlight w:val="none"/>
        </w:rPr>
        <w:t>。</w:t>
      </w:r>
    </w:p>
    <w:p w14:paraId="7C77B52E">
      <w:pPr>
        <w:spacing w:line="360" w:lineRule="auto"/>
        <w:rPr>
          <w:rFonts w:hint="eastAsia" w:ascii="宋体" w:hAnsi="宋体" w:eastAsia="宋体" w:cs="宋体"/>
          <w:b/>
          <w:color w:val="auto"/>
          <w:sz w:val="24"/>
          <w:szCs w:val="21"/>
          <w:highlight w:val="none"/>
        </w:rPr>
      </w:pPr>
      <w:r>
        <w:rPr>
          <w:rFonts w:hint="eastAsia" w:ascii="宋体" w:hAnsi="宋体" w:eastAsia="宋体" w:cs="宋体"/>
          <w:color w:val="auto"/>
          <w:sz w:val="24"/>
          <w:szCs w:val="24"/>
          <w:highlight w:val="none"/>
        </w:rPr>
        <w:t>备注：请根据真实情况出具《中小企业声明函》。依法享受中小企业优惠政策的，采购人或采购代理机构在公告中标结果时，同时公告其《中小企业声明函》，接受社会监督。</w:t>
      </w:r>
    </w:p>
    <w:p w14:paraId="1F2FCAE7">
      <w:pPr>
        <w:overflowPunct w:val="0"/>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kern w:val="0"/>
          <w:sz w:val="24"/>
          <w:szCs w:val="24"/>
          <w:highlight w:val="none"/>
        </w:rPr>
        <w:t>1、本格式为《政府采购促进中小企业发展管理办法》（财库〔2020〕46号）提供的标准格式，仅用于证明供应商的企业类型。格式中的“联合体”、“分包</w:t>
      </w:r>
      <w:r>
        <w:rPr>
          <w:rFonts w:hint="eastAsia" w:ascii="宋体" w:hAnsi="宋体" w:eastAsia="宋体" w:cs="宋体"/>
          <w:color w:val="auto"/>
          <w:sz w:val="24"/>
          <w:szCs w:val="24"/>
          <w:highlight w:val="none"/>
        </w:rPr>
        <w:t>意向协议</w:t>
      </w:r>
      <w:r>
        <w:rPr>
          <w:rFonts w:hint="eastAsia" w:ascii="宋体" w:hAnsi="宋体" w:eastAsia="宋体" w:cs="宋体"/>
          <w:color w:val="auto"/>
          <w:kern w:val="0"/>
          <w:sz w:val="24"/>
          <w:szCs w:val="24"/>
          <w:highlight w:val="none"/>
        </w:rPr>
        <w:t>”等文字不作为本项目供应商为联合体或分包项目的证明。对于接受联合体或分包的项目，如供应商为联合体或分包项目的，须在响应文件中另行提供相关资料。</w:t>
      </w:r>
    </w:p>
    <w:p w14:paraId="6734950F">
      <w:pPr>
        <w:overflowPunct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2、格式中的“中型企业、小型企业、微型企业”，每个承接工程的企业只能够根据实际情况填写一个类型。“采购文件中明确的所属行业”为“建筑业”。</w:t>
      </w:r>
    </w:p>
    <w:p w14:paraId="6EE1C530">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 w:val="24"/>
          <w:szCs w:val="21"/>
          <w:highlight w:val="none"/>
        </w:rPr>
        <w:t xml:space="preserve">   此项材料如有应</w:t>
      </w:r>
      <w:r>
        <w:rPr>
          <w:rFonts w:hint="eastAsia" w:ascii="宋体" w:hAnsi="宋体" w:eastAsia="宋体" w:cs="宋体"/>
          <w:b/>
          <w:bCs/>
          <w:color w:val="auto"/>
          <w:sz w:val="24"/>
          <w:szCs w:val="21"/>
          <w:highlight w:val="none"/>
        </w:rPr>
        <w:t>以PDF格式上传，并加盖CA电子签章。</w:t>
      </w:r>
    </w:p>
    <w:p w14:paraId="7BF7AC1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属监狱企业的，请提供由省级以上监狱管理局、戒毒管理局（含新疆生产建设兵团）出具的</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属于监狱企业的证明文件（非监狱企业无需提供）</w:t>
      </w:r>
    </w:p>
    <w:p w14:paraId="54BBA4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
          <w:bCs/>
          <w:color w:val="auto"/>
          <w:sz w:val="24"/>
          <w:szCs w:val="24"/>
          <w:highlight w:val="none"/>
        </w:rPr>
        <w:t>残疾人福利性单位须提供《残疾人福利性单位声明函》（非残疾人福利性单位无需提供；如提供，则须按格式提供）</w:t>
      </w:r>
    </w:p>
    <w:p w14:paraId="08A599F8">
      <w:pPr>
        <w:spacing w:line="360" w:lineRule="auto"/>
        <w:ind w:firstLine="482" w:firstLineChars="200"/>
        <w:jc w:val="center"/>
        <w:rPr>
          <w:rFonts w:hint="eastAsia" w:ascii="宋体" w:hAnsi="宋体" w:eastAsia="宋体" w:cs="宋体"/>
          <w:b/>
          <w:color w:val="auto"/>
          <w:sz w:val="24"/>
          <w:szCs w:val="24"/>
          <w:highlight w:val="none"/>
        </w:rPr>
      </w:pPr>
    </w:p>
    <w:p w14:paraId="158D6567">
      <w:pPr>
        <w:autoSpaceDE w:val="0"/>
        <w:autoSpaceDN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6DBE84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66FE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6F4CCFB">
      <w:pPr>
        <w:spacing w:line="360" w:lineRule="auto"/>
        <w:ind w:firstLine="480" w:firstLineChars="200"/>
        <w:rPr>
          <w:rFonts w:hint="eastAsia" w:ascii="宋体" w:hAnsi="宋体" w:eastAsia="宋体" w:cs="宋体"/>
          <w:color w:val="auto"/>
          <w:sz w:val="24"/>
          <w:szCs w:val="24"/>
          <w:highlight w:val="none"/>
        </w:rPr>
      </w:pPr>
    </w:p>
    <w:p w14:paraId="17F9062E">
      <w:pPr>
        <w:spacing w:line="360" w:lineRule="auto"/>
        <w:ind w:firstLine="480" w:firstLineChars="200"/>
        <w:rPr>
          <w:rFonts w:hint="eastAsia" w:ascii="宋体" w:hAnsi="宋体" w:eastAsia="宋体" w:cs="宋体"/>
          <w:color w:val="auto"/>
          <w:sz w:val="24"/>
          <w:szCs w:val="24"/>
          <w:highlight w:val="none"/>
        </w:rPr>
      </w:pPr>
    </w:p>
    <w:p w14:paraId="22C211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27B86B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2CEFF651">
      <w:pPr>
        <w:spacing w:line="360" w:lineRule="auto"/>
        <w:ind w:firstLine="482" w:firstLineChars="200"/>
        <w:rPr>
          <w:rFonts w:hint="eastAsia" w:ascii="宋体" w:hAnsi="宋体" w:eastAsia="宋体" w:cs="宋体"/>
          <w:b/>
          <w:bCs/>
          <w:color w:val="auto"/>
          <w:sz w:val="24"/>
          <w:szCs w:val="24"/>
          <w:highlight w:val="none"/>
        </w:rPr>
      </w:pPr>
    </w:p>
    <w:p w14:paraId="4310F10C">
      <w:pPr>
        <w:spacing w:line="360" w:lineRule="auto"/>
        <w:ind w:firstLine="482" w:firstLineChars="200"/>
        <w:rPr>
          <w:rFonts w:hint="eastAsia" w:ascii="宋体" w:hAnsi="宋体" w:eastAsia="宋体" w:cs="宋体"/>
          <w:b/>
          <w:bCs/>
          <w:color w:val="auto"/>
          <w:sz w:val="24"/>
          <w:szCs w:val="24"/>
          <w:highlight w:val="none"/>
        </w:rPr>
      </w:pPr>
    </w:p>
    <w:p w14:paraId="2BF3E5D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w:t>
      </w:r>
      <w:r>
        <w:rPr>
          <w:rFonts w:hint="eastAsia" w:ascii="宋体" w:hAnsi="宋体" w:eastAsia="宋体" w:cs="宋体"/>
          <w:b/>
          <w:color w:val="auto"/>
          <w:sz w:val="24"/>
          <w:szCs w:val="24"/>
          <w:highlight w:val="none"/>
          <w:u w:val="single"/>
        </w:rPr>
        <w:t>成交供应商为残疾人福利性单位的，成交结果将同时公告其《残疾人福利性单位声明函》，接受社会监督</w:t>
      </w:r>
      <w:r>
        <w:rPr>
          <w:rFonts w:hint="eastAsia" w:ascii="宋体" w:hAnsi="宋体" w:eastAsia="宋体" w:cs="宋体"/>
          <w:b/>
          <w:color w:val="auto"/>
          <w:sz w:val="24"/>
          <w:szCs w:val="24"/>
          <w:highlight w:val="none"/>
        </w:rPr>
        <w:t>。</w:t>
      </w:r>
    </w:p>
    <w:p w14:paraId="239FDAD2">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u w:val="single"/>
        </w:rPr>
        <w:t>供应商提供的《残疾人福利性单位声明函》与事实不符的，依照《政府采购法》第七十七条第一款的规定追究法律责任</w:t>
      </w:r>
      <w:r>
        <w:rPr>
          <w:rFonts w:hint="eastAsia" w:ascii="宋体" w:hAnsi="宋体" w:eastAsia="宋体" w:cs="宋体"/>
          <w:b/>
          <w:color w:val="auto"/>
          <w:sz w:val="24"/>
          <w:szCs w:val="24"/>
          <w:highlight w:val="none"/>
        </w:rPr>
        <w:t>。</w:t>
      </w:r>
    </w:p>
    <w:p w14:paraId="66AB3BEE">
      <w:pPr>
        <w:spacing w:line="360" w:lineRule="auto"/>
        <w:rPr>
          <w:rFonts w:hint="eastAsia" w:ascii="宋体" w:hAnsi="宋体" w:eastAsia="宋体" w:cs="宋体"/>
          <w:b/>
          <w:color w:val="auto"/>
          <w:sz w:val="24"/>
          <w:szCs w:val="21"/>
          <w:highlight w:val="none"/>
        </w:rPr>
      </w:pPr>
    </w:p>
    <w:p w14:paraId="3FA7A6F7">
      <w:pPr>
        <w:spacing w:line="360" w:lineRule="auto"/>
        <w:rPr>
          <w:rFonts w:hint="eastAsia" w:ascii="宋体" w:hAnsi="宋体" w:eastAsia="宋体" w:cs="宋体"/>
          <w:b/>
          <w:color w:val="auto"/>
          <w:sz w:val="24"/>
          <w:szCs w:val="21"/>
          <w:highlight w:val="none"/>
        </w:rPr>
      </w:pPr>
    </w:p>
    <w:p w14:paraId="365210BF">
      <w:pPr>
        <w:spacing w:line="360" w:lineRule="auto"/>
        <w:rPr>
          <w:rFonts w:hint="eastAsia" w:ascii="宋体" w:hAnsi="宋体" w:eastAsia="宋体" w:cs="宋体"/>
          <w:b/>
          <w:color w:val="auto"/>
          <w:sz w:val="24"/>
          <w:szCs w:val="21"/>
          <w:highlight w:val="none"/>
        </w:rPr>
      </w:pPr>
    </w:p>
    <w:p w14:paraId="79B15C08">
      <w:pPr>
        <w:spacing w:line="360" w:lineRule="auto"/>
        <w:rPr>
          <w:rFonts w:hint="eastAsia" w:ascii="宋体" w:hAnsi="宋体" w:eastAsia="宋体" w:cs="宋体"/>
          <w:b/>
          <w:color w:val="auto"/>
          <w:sz w:val="24"/>
          <w:szCs w:val="21"/>
          <w:highlight w:val="none"/>
        </w:rPr>
      </w:pPr>
    </w:p>
    <w:p w14:paraId="27552BDC">
      <w:pPr>
        <w:spacing w:line="360" w:lineRule="auto"/>
        <w:rPr>
          <w:rFonts w:hint="eastAsia" w:ascii="宋体" w:hAnsi="宋体" w:eastAsia="宋体" w:cs="宋体"/>
          <w:b/>
          <w:bCs/>
          <w:color w:val="auto"/>
          <w:sz w:val="24"/>
          <w:szCs w:val="21"/>
          <w:highlight w:val="none"/>
        </w:rPr>
      </w:pPr>
      <w:r>
        <w:rPr>
          <w:rFonts w:hint="eastAsia" w:ascii="宋体" w:hAnsi="宋体" w:eastAsia="宋体" w:cs="宋体"/>
          <w:b/>
          <w:color w:val="auto"/>
          <w:sz w:val="24"/>
          <w:szCs w:val="21"/>
          <w:highlight w:val="none"/>
        </w:rPr>
        <w:t>注：此项材料如有应</w:t>
      </w:r>
      <w:r>
        <w:rPr>
          <w:rFonts w:hint="eastAsia" w:ascii="宋体" w:hAnsi="宋体" w:eastAsia="宋体" w:cs="宋体"/>
          <w:b/>
          <w:bCs/>
          <w:color w:val="auto"/>
          <w:sz w:val="24"/>
          <w:szCs w:val="21"/>
          <w:highlight w:val="none"/>
        </w:rPr>
        <w:t>以PDF格式上传，并加盖CA电子签章。</w:t>
      </w:r>
    </w:p>
    <w:p w14:paraId="6D437C14">
      <w:pPr>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br w:type="page"/>
      </w:r>
    </w:p>
    <w:p w14:paraId="5282963B">
      <w:pPr>
        <w:pStyle w:val="19"/>
        <w:spacing w:before="299" w:line="221" w:lineRule="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附件：</w:t>
      </w:r>
    </w:p>
    <w:p w14:paraId="58B52077">
      <w:pPr>
        <w:pStyle w:val="19"/>
        <w:spacing w:before="299" w:line="221" w:lineRule="auto"/>
        <w:jc w:val="center"/>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sz w:val="24"/>
          <w:szCs w:val="24"/>
          <w:highlight w:val="none"/>
        </w:rPr>
        <w:t>中小微企业划型标准</w:t>
      </w:r>
    </w:p>
    <w:tbl>
      <w:tblPr>
        <w:tblStyle w:val="392"/>
        <w:tblW w:w="91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1"/>
        <w:gridCol w:w="1682"/>
        <w:gridCol w:w="850"/>
        <w:gridCol w:w="1698"/>
        <w:gridCol w:w="1582"/>
        <w:gridCol w:w="1059"/>
      </w:tblGrid>
      <w:tr w14:paraId="21612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noWrap w:val="0"/>
            <w:vAlign w:val="center"/>
          </w:tcPr>
          <w:p w14:paraId="03A635F8">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3"/>
                <w:sz w:val="21"/>
                <w:szCs w:val="21"/>
                <w:highlight w:val="none"/>
              </w:rPr>
              <w:t>行业名称</w:t>
            </w:r>
          </w:p>
        </w:tc>
        <w:tc>
          <w:tcPr>
            <w:tcW w:w="1682" w:type="dxa"/>
            <w:noWrap w:val="0"/>
            <w:vAlign w:val="center"/>
          </w:tcPr>
          <w:p w14:paraId="06E28EBA">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3"/>
                <w:sz w:val="21"/>
                <w:szCs w:val="21"/>
                <w:highlight w:val="none"/>
              </w:rPr>
              <w:t>指标名称</w:t>
            </w:r>
          </w:p>
        </w:tc>
        <w:tc>
          <w:tcPr>
            <w:tcW w:w="850" w:type="dxa"/>
            <w:noWrap w:val="0"/>
            <w:vAlign w:val="center"/>
          </w:tcPr>
          <w:p w14:paraId="5856AAD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计量</w:t>
            </w:r>
          </w:p>
          <w:p w14:paraId="0EEE0F4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单位</w:t>
            </w:r>
          </w:p>
        </w:tc>
        <w:tc>
          <w:tcPr>
            <w:tcW w:w="1698" w:type="dxa"/>
            <w:noWrap w:val="0"/>
            <w:vAlign w:val="center"/>
          </w:tcPr>
          <w:p w14:paraId="1347DBA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16"/>
                <w:sz w:val="21"/>
                <w:szCs w:val="21"/>
                <w:highlight w:val="none"/>
              </w:rPr>
              <w:t>中型</w:t>
            </w:r>
          </w:p>
        </w:tc>
        <w:tc>
          <w:tcPr>
            <w:tcW w:w="1582" w:type="dxa"/>
            <w:noWrap w:val="0"/>
            <w:vAlign w:val="center"/>
          </w:tcPr>
          <w:p w14:paraId="505B7EE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8"/>
                <w:sz w:val="21"/>
                <w:szCs w:val="21"/>
                <w:highlight w:val="none"/>
              </w:rPr>
              <w:t>小型</w:t>
            </w:r>
          </w:p>
        </w:tc>
        <w:tc>
          <w:tcPr>
            <w:tcW w:w="1059" w:type="dxa"/>
            <w:noWrap w:val="0"/>
            <w:vAlign w:val="center"/>
          </w:tcPr>
          <w:p w14:paraId="7015F89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微型</w:t>
            </w:r>
          </w:p>
        </w:tc>
      </w:tr>
      <w:tr w14:paraId="3126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noWrap w:val="0"/>
            <w:vAlign w:val="center"/>
          </w:tcPr>
          <w:p w14:paraId="6D05A51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w:t>
            </w:r>
          </w:p>
        </w:tc>
        <w:tc>
          <w:tcPr>
            <w:tcW w:w="1682" w:type="dxa"/>
            <w:noWrap w:val="0"/>
            <w:vAlign w:val="center"/>
          </w:tcPr>
          <w:p w14:paraId="2271020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583CF85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0F3AD479">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582" w:type="dxa"/>
            <w:noWrap w:val="0"/>
            <w:vAlign w:val="center"/>
          </w:tcPr>
          <w:p w14:paraId="1987F43A">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50≤Y＜500</w:t>
            </w:r>
          </w:p>
        </w:tc>
        <w:tc>
          <w:tcPr>
            <w:tcW w:w="1059" w:type="dxa"/>
            <w:noWrap w:val="0"/>
            <w:vAlign w:val="center"/>
          </w:tcPr>
          <w:p w14:paraId="6DA3EBA9">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5106B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75954AE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工业</w:t>
            </w:r>
          </w:p>
        </w:tc>
        <w:tc>
          <w:tcPr>
            <w:tcW w:w="1682" w:type="dxa"/>
            <w:noWrap w:val="0"/>
            <w:vAlign w:val="center"/>
          </w:tcPr>
          <w:p w14:paraId="7514623A">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367B8D3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13D2763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582" w:type="dxa"/>
            <w:noWrap w:val="0"/>
            <w:vAlign w:val="center"/>
          </w:tcPr>
          <w:p w14:paraId="6BF2EB5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059" w:type="dxa"/>
            <w:noWrap w:val="0"/>
            <w:vAlign w:val="center"/>
          </w:tcPr>
          <w:p w14:paraId="3809D9D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41809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70D4E588">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14CE2C8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1D1D62E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369C4CA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2000≤Y＜40000</w:t>
            </w:r>
          </w:p>
        </w:tc>
        <w:tc>
          <w:tcPr>
            <w:tcW w:w="1582" w:type="dxa"/>
            <w:noWrap w:val="0"/>
            <w:vAlign w:val="center"/>
          </w:tcPr>
          <w:p w14:paraId="15628315">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300≤Y＜2000</w:t>
            </w:r>
          </w:p>
        </w:tc>
        <w:tc>
          <w:tcPr>
            <w:tcW w:w="1059" w:type="dxa"/>
            <w:noWrap w:val="0"/>
            <w:vAlign w:val="center"/>
          </w:tcPr>
          <w:p w14:paraId="4A91FC8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5CC36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0A25EE9B">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建筑业</w:t>
            </w:r>
          </w:p>
        </w:tc>
        <w:tc>
          <w:tcPr>
            <w:tcW w:w="1682" w:type="dxa"/>
            <w:noWrap w:val="0"/>
            <w:vAlign w:val="center"/>
          </w:tcPr>
          <w:p w14:paraId="7F44FC5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57ABB4C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1BBD3645">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6000≤Y＜80000</w:t>
            </w:r>
          </w:p>
        </w:tc>
        <w:tc>
          <w:tcPr>
            <w:tcW w:w="1582" w:type="dxa"/>
            <w:noWrap w:val="0"/>
            <w:vAlign w:val="center"/>
          </w:tcPr>
          <w:p w14:paraId="2CBC875B">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300≤Y＜6000</w:t>
            </w:r>
          </w:p>
        </w:tc>
        <w:tc>
          <w:tcPr>
            <w:tcW w:w="1059" w:type="dxa"/>
            <w:noWrap w:val="0"/>
            <w:vAlign w:val="center"/>
          </w:tcPr>
          <w:p w14:paraId="3D6A261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2F885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2D0DF82D">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0327351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850" w:type="dxa"/>
            <w:noWrap w:val="0"/>
            <w:vAlign w:val="center"/>
          </w:tcPr>
          <w:p w14:paraId="1993C44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2F83E72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5000≤Z＜80000</w:t>
            </w:r>
          </w:p>
        </w:tc>
        <w:tc>
          <w:tcPr>
            <w:tcW w:w="1582" w:type="dxa"/>
            <w:noWrap w:val="0"/>
            <w:vAlign w:val="center"/>
          </w:tcPr>
          <w:p w14:paraId="11BFC53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300≤Z＜5000</w:t>
            </w:r>
          </w:p>
        </w:tc>
        <w:tc>
          <w:tcPr>
            <w:tcW w:w="1059" w:type="dxa"/>
            <w:noWrap w:val="0"/>
            <w:vAlign w:val="center"/>
          </w:tcPr>
          <w:p w14:paraId="77614AF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Z＜300</w:t>
            </w:r>
          </w:p>
        </w:tc>
      </w:tr>
      <w:tr w14:paraId="34A29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2683496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批发业</w:t>
            </w:r>
          </w:p>
        </w:tc>
        <w:tc>
          <w:tcPr>
            <w:tcW w:w="1682" w:type="dxa"/>
            <w:noWrap w:val="0"/>
            <w:vAlign w:val="center"/>
          </w:tcPr>
          <w:p w14:paraId="7A7052A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60275AE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7FED369A">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20≤X＜200</w:t>
            </w:r>
          </w:p>
        </w:tc>
        <w:tc>
          <w:tcPr>
            <w:tcW w:w="1582" w:type="dxa"/>
            <w:noWrap w:val="0"/>
            <w:vAlign w:val="center"/>
          </w:tcPr>
          <w:p w14:paraId="11842D4D">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5≤X＜20</w:t>
            </w:r>
          </w:p>
        </w:tc>
        <w:tc>
          <w:tcPr>
            <w:tcW w:w="1059" w:type="dxa"/>
            <w:noWrap w:val="0"/>
            <w:vAlign w:val="center"/>
          </w:tcPr>
          <w:p w14:paraId="674965CD">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X＜5</w:t>
            </w:r>
          </w:p>
        </w:tc>
      </w:tr>
      <w:tr w14:paraId="58736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219F44B9">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40FDD31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4C61BB4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1978612B">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5000≤Y＜40000</w:t>
            </w:r>
          </w:p>
        </w:tc>
        <w:tc>
          <w:tcPr>
            <w:tcW w:w="1582" w:type="dxa"/>
            <w:noWrap w:val="0"/>
            <w:vAlign w:val="center"/>
          </w:tcPr>
          <w:p w14:paraId="4D3118C6">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059" w:type="dxa"/>
            <w:noWrap w:val="0"/>
            <w:vAlign w:val="center"/>
          </w:tcPr>
          <w:p w14:paraId="009C5A69">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Y＜1000</w:t>
            </w:r>
          </w:p>
        </w:tc>
      </w:tr>
      <w:tr w14:paraId="4F5FF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1D47BD40">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零售业</w:t>
            </w:r>
          </w:p>
        </w:tc>
        <w:tc>
          <w:tcPr>
            <w:tcW w:w="1682" w:type="dxa"/>
            <w:noWrap w:val="0"/>
            <w:vAlign w:val="center"/>
          </w:tcPr>
          <w:p w14:paraId="40823C1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2F724F06">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55969A80">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50≤X＜300</w:t>
            </w:r>
          </w:p>
        </w:tc>
        <w:tc>
          <w:tcPr>
            <w:tcW w:w="1582" w:type="dxa"/>
            <w:noWrap w:val="0"/>
            <w:vAlign w:val="center"/>
          </w:tcPr>
          <w:p w14:paraId="628B340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10≤X＜50</w:t>
            </w:r>
          </w:p>
        </w:tc>
        <w:tc>
          <w:tcPr>
            <w:tcW w:w="1059" w:type="dxa"/>
            <w:noWrap w:val="0"/>
            <w:vAlign w:val="center"/>
          </w:tcPr>
          <w:p w14:paraId="37D6AF9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3F1CD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2751C0B8">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64ADAED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6C03C1A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77C0BB6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582" w:type="dxa"/>
            <w:noWrap w:val="0"/>
            <w:vAlign w:val="center"/>
          </w:tcPr>
          <w:p w14:paraId="50861DC5">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100≤Y＜500</w:t>
            </w:r>
          </w:p>
        </w:tc>
        <w:tc>
          <w:tcPr>
            <w:tcW w:w="1059" w:type="dxa"/>
            <w:noWrap w:val="0"/>
            <w:vAlign w:val="center"/>
          </w:tcPr>
          <w:p w14:paraId="03453EB5">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07422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24475B0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交通运输业</w:t>
            </w:r>
          </w:p>
        </w:tc>
        <w:tc>
          <w:tcPr>
            <w:tcW w:w="1682" w:type="dxa"/>
            <w:noWrap w:val="0"/>
            <w:vAlign w:val="center"/>
          </w:tcPr>
          <w:p w14:paraId="580607E5">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636D3BA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646E810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582" w:type="dxa"/>
            <w:noWrap w:val="0"/>
            <w:vAlign w:val="center"/>
          </w:tcPr>
          <w:p w14:paraId="28BEC08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059" w:type="dxa"/>
            <w:noWrap w:val="0"/>
            <w:vAlign w:val="center"/>
          </w:tcPr>
          <w:p w14:paraId="10BB983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446E5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1500889D">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3C122186">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75989AB0">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6BA48F5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3000≤Y＜30000</w:t>
            </w:r>
          </w:p>
        </w:tc>
        <w:tc>
          <w:tcPr>
            <w:tcW w:w="1582" w:type="dxa"/>
            <w:noWrap w:val="0"/>
            <w:vAlign w:val="center"/>
          </w:tcPr>
          <w:p w14:paraId="519BDEA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200≤Y＜3000</w:t>
            </w:r>
          </w:p>
        </w:tc>
        <w:tc>
          <w:tcPr>
            <w:tcW w:w="1059" w:type="dxa"/>
            <w:noWrap w:val="0"/>
            <w:vAlign w:val="center"/>
          </w:tcPr>
          <w:p w14:paraId="1B889120">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w:t>
            </w:r>
          </w:p>
        </w:tc>
      </w:tr>
      <w:tr w14:paraId="7E32E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650B3F06">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仓储业</w:t>
            </w:r>
          </w:p>
        </w:tc>
        <w:tc>
          <w:tcPr>
            <w:tcW w:w="1682" w:type="dxa"/>
            <w:noWrap w:val="0"/>
            <w:vAlign w:val="center"/>
          </w:tcPr>
          <w:p w14:paraId="18E8F16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737D8CB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5972158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100≤X＜200</w:t>
            </w:r>
          </w:p>
        </w:tc>
        <w:tc>
          <w:tcPr>
            <w:tcW w:w="1582" w:type="dxa"/>
            <w:noWrap w:val="0"/>
            <w:vAlign w:val="center"/>
          </w:tcPr>
          <w:p w14:paraId="73C6E6F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20≤X＜100</w:t>
            </w:r>
          </w:p>
        </w:tc>
        <w:tc>
          <w:tcPr>
            <w:tcW w:w="1059" w:type="dxa"/>
            <w:noWrap w:val="0"/>
            <w:vAlign w:val="center"/>
          </w:tcPr>
          <w:p w14:paraId="3785727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0B967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749CF687">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18BD682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10BA32A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0003194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1000≤Y＜30000</w:t>
            </w:r>
          </w:p>
        </w:tc>
        <w:tc>
          <w:tcPr>
            <w:tcW w:w="1582" w:type="dxa"/>
            <w:noWrap w:val="0"/>
            <w:vAlign w:val="center"/>
          </w:tcPr>
          <w:p w14:paraId="1CF4BD08">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059" w:type="dxa"/>
            <w:noWrap w:val="0"/>
            <w:vAlign w:val="center"/>
          </w:tcPr>
          <w:p w14:paraId="6263231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16598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4C10A6B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邮政业</w:t>
            </w:r>
          </w:p>
        </w:tc>
        <w:tc>
          <w:tcPr>
            <w:tcW w:w="1682" w:type="dxa"/>
            <w:noWrap w:val="0"/>
            <w:vAlign w:val="center"/>
          </w:tcPr>
          <w:p w14:paraId="45221B9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4B5F1D65">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7DA0D65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582" w:type="dxa"/>
            <w:noWrap w:val="0"/>
            <w:vAlign w:val="center"/>
          </w:tcPr>
          <w:p w14:paraId="6D767B9B">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059" w:type="dxa"/>
            <w:noWrap w:val="0"/>
            <w:vAlign w:val="center"/>
          </w:tcPr>
          <w:p w14:paraId="6EBA734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7E8D2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7E38274D">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75AC735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7B5230D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0927875D">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2000≤Y＜30000</w:t>
            </w:r>
          </w:p>
        </w:tc>
        <w:tc>
          <w:tcPr>
            <w:tcW w:w="1582" w:type="dxa"/>
            <w:noWrap w:val="0"/>
            <w:vAlign w:val="center"/>
          </w:tcPr>
          <w:p w14:paraId="79B468B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059" w:type="dxa"/>
            <w:noWrap w:val="0"/>
            <w:vAlign w:val="center"/>
          </w:tcPr>
          <w:p w14:paraId="1C68D0D0">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3203B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501812F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住宿业</w:t>
            </w:r>
          </w:p>
        </w:tc>
        <w:tc>
          <w:tcPr>
            <w:tcW w:w="1682" w:type="dxa"/>
            <w:noWrap w:val="0"/>
            <w:vAlign w:val="center"/>
          </w:tcPr>
          <w:p w14:paraId="43DD253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5D85F04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11A3AC16">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582" w:type="dxa"/>
            <w:noWrap w:val="0"/>
            <w:vAlign w:val="center"/>
          </w:tcPr>
          <w:p w14:paraId="3404C9C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9" w:type="dxa"/>
            <w:noWrap w:val="0"/>
            <w:vAlign w:val="center"/>
          </w:tcPr>
          <w:p w14:paraId="45895265">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490B7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210458A1">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370EAE6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01F1B5D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3B68ABA6">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582" w:type="dxa"/>
            <w:noWrap w:val="0"/>
            <w:vAlign w:val="center"/>
          </w:tcPr>
          <w:p w14:paraId="30488A0A">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059" w:type="dxa"/>
            <w:noWrap w:val="0"/>
            <w:vAlign w:val="center"/>
          </w:tcPr>
          <w:p w14:paraId="4BEB145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6B388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4DA0EFFD">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餐饮业</w:t>
            </w:r>
          </w:p>
        </w:tc>
        <w:tc>
          <w:tcPr>
            <w:tcW w:w="1682" w:type="dxa"/>
            <w:noWrap w:val="0"/>
            <w:vAlign w:val="center"/>
          </w:tcPr>
          <w:p w14:paraId="22239EE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26DB49D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62AFCD8B">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582" w:type="dxa"/>
            <w:noWrap w:val="0"/>
            <w:vAlign w:val="center"/>
          </w:tcPr>
          <w:p w14:paraId="7575C46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9" w:type="dxa"/>
            <w:noWrap w:val="0"/>
            <w:vAlign w:val="center"/>
          </w:tcPr>
          <w:p w14:paraId="1C0A6C3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5DB6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5E7C5EB3">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0AA4BE3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25FFDFB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41D8BB80">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582" w:type="dxa"/>
            <w:noWrap w:val="0"/>
            <w:vAlign w:val="center"/>
          </w:tcPr>
          <w:p w14:paraId="2807800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059" w:type="dxa"/>
            <w:noWrap w:val="0"/>
            <w:vAlign w:val="center"/>
          </w:tcPr>
          <w:p w14:paraId="357C07A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71DFB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6206D3D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信息传输业</w:t>
            </w:r>
          </w:p>
        </w:tc>
        <w:tc>
          <w:tcPr>
            <w:tcW w:w="1682" w:type="dxa"/>
            <w:noWrap w:val="0"/>
            <w:vAlign w:val="center"/>
          </w:tcPr>
          <w:p w14:paraId="5F367C86">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74730998">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12AC1BD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100≤X＜2000</w:t>
            </w:r>
          </w:p>
        </w:tc>
        <w:tc>
          <w:tcPr>
            <w:tcW w:w="1582" w:type="dxa"/>
            <w:noWrap w:val="0"/>
            <w:vAlign w:val="center"/>
          </w:tcPr>
          <w:p w14:paraId="7949DC9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9" w:type="dxa"/>
            <w:noWrap w:val="0"/>
            <w:vAlign w:val="center"/>
          </w:tcPr>
          <w:p w14:paraId="6C5E040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7194B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7835CB51">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0C929540">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6919FA6D">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3291EB4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1000≤Y＜100000</w:t>
            </w:r>
          </w:p>
        </w:tc>
        <w:tc>
          <w:tcPr>
            <w:tcW w:w="1582" w:type="dxa"/>
            <w:noWrap w:val="0"/>
            <w:vAlign w:val="center"/>
          </w:tcPr>
          <w:p w14:paraId="18A94B3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059" w:type="dxa"/>
            <w:noWrap w:val="0"/>
            <w:vAlign w:val="center"/>
          </w:tcPr>
          <w:p w14:paraId="0EA3AC99">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7061A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0FCE60F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软件和信息技术服务</w:t>
            </w:r>
            <w:r>
              <w:rPr>
                <w:rFonts w:hint="eastAsia" w:ascii="宋体" w:hAnsi="宋体" w:eastAsia="宋体" w:cs="宋体"/>
                <w:color w:val="auto"/>
                <w:sz w:val="21"/>
                <w:szCs w:val="21"/>
                <w:highlight w:val="none"/>
              </w:rPr>
              <w:t>业</w:t>
            </w:r>
          </w:p>
        </w:tc>
        <w:tc>
          <w:tcPr>
            <w:tcW w:w="1682" w:type="dxa"/>
            <w:noWrap w:val="0"/>
            <w:vAlign w:val="center"/>
          </w:tcPr>
          <w:p w14:paraId="574EFA1D">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7940595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641AA49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582" w:type="dxa"/>
            <w:noWrap w:val="0"/>
            <w:vAlign w:val="center"/>
          </w:tcPr>
          <w:p w14:paraId="5AD680D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9" w:type="dxa"/>
            <w:noWrap w:val="0"/>
            <w:vAlign w:val="center"/>
          </w:tcPr>
          <w:p w14:paraId="48A4552E">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4D16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420BBB9E">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7286CD2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50880222">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52131B0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w:t>
            </w:r>
          </w:p>
        </w:tc>
        <w:tc>
          <w:tcPr>
            <w:tcW w:w="1582" w:type="dxa"/>
            <w:noWrap w:val="0"/>
            <w:vAlign w:val="center"/>
          </w:tcPr>
          <w:p w14:paraId="21ED0EE6">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50≤Y＜1000</w:t>
            </w:r>
          </w:p>
        </w:tc>
        <w:tc>
          <w:tcPr>
            <w:tcW w:w="1059" w:type="dxa"/>
            <w:noWrap w:val="0"/>
            <w:vAlign w:val="center"/>
          </w:tcPr>
          <w:p w14:paraId="07566CF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02C4E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781A97CA">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房地产开发经营</w:t>
            </w:r>
          </w:p>
        </w:tc>
        <w:tc>
          <w:tcPr>
            <w:tcW w:w="1682" w:type="dxa"/>
            <w:noWrap w:val="0"/>
            <w:vAlign w:val="center"/>
          </w:tcPr>
          <w:p w14:paraId="3E0EB7E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02784CC8">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1445383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1000≤Y＜200000</w:t>
            </w:r>
          </w:p>
        </w:tc>
        <w:tc>
          <w:tcPr>
            <w:tcW w:w="1582" w:type="dxa"/>
            <w:noWrap w:val="0"/>
            <w:vAlign w:val="center"/>
          </w:tcPr>
          <w:p w14:paraId="3E8AB85A">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100≤X＜1000</w:t>
            </w:r>
          </w:p>
        </w:tc>
        <w:tc>
          <w:tcPr>
            <w:tcW w:w="1059" w:type="dxa"/>
            <w:noWrap w:val="0"/>
            <w:vAlign w:val="center"/>
          </w:tcPr>
          <w:p w14:paraId="3EC6202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w:t>
            </w:r>
          </w:p>
        </w:tc>
      </w:tr>
      <w:tr w14:paraId="05D7C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0D0D94AB">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6545F99A">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850" w:type="dxa"/>
            <w:noWrap w:val="0"/>
            <w:vAlign w:val="center"/>
          </w:tcPr>
          <w:p w14:paraId="7FA055B8">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25A52B2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5000≤Z＜10000</w:t>
            </w:r>
          </w:p>
        </w:tc>
        <w:tc>
          <w:tcPr>
            <w:tcW w:w="1582" w:type="dxa"/>
            <w:noWrap w:val="0"/>
            <w:vAlign w:val="center"/>
          </w:tcPr>
          <w:p w14:paraId="475AFE7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2000≤Y＜5000</w:t>
            </w:r>
          </w:p>
        </w:tc>
        <w:tc>
          <w:tcPr>
            <w:tcW w:w="1059" w:type="dxa"/>
            <w:noWrap w:val="0"/>
            <w:vAlign w:val="center"/>
          </w:tcPr>
          <w:p w14:paraId="4EA4C65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Y＜2000</w:t>
            </w:r>
          </w:p>
        </w:tc>
      </w:tr>
      <w:tr w14:paraId="52454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4CBFC61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物业管理</w:t>
            </w:r>
          </w:p>
        </w:tc>
        <w:tc>
          <w:tcPr>
            <w:tcW w:w="1682" w:type="dxa"/>
            <w:noWrap w:val="0"/>
            <w:vAlign w:val="center"/>
          </w:tcPr>
          <w:p w14:paraId="5A9C3F3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4BC3331B">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3B90B3D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582" w:type="dxa"/>
            <w:noWrap w:val="0"/>
            <w:vAlign w:val="center"/>
          </w:tcPr>
          <w:p w14:paraId="65A1C4BD">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059" w:type="dxa"/>
            <w:noWrap w:val="0"/>
            <w:vAlign w:val="center"/>
          </w:tcPr>
          <w:p w14:paraId="587964A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w:t>
            </w:r>
          </w:p>
        </w:tc>
      </w:tr>
      <w:tr w14:paraId="7871B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16E470D9">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005A738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850" w:type="dxa"/>
            <w:noWrap w:val="0"/>
            <w:vAlign w:val="center"/>
          </w:tcPr>
          <w:p w14:paraId="7A9433D5">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24F7CC6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582" w:type="dxa"/>
            <w:noWrap w:val="0"/>
            <w:vAlign w:val="center"/>
          </w:tcPr>
          <w:p w14:paraId="4B2F68E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500≤Y＜1000</w:t>
            </w:r>
          </w:p>
        </w:tc>
        <w:tc>
          <w:tcPr>
            <w:tcW w:w="1059" w:type="dxa"/>
            <w:noWrap w:val="0"/>
            <w:vAlign w:val="center"/>
          </w:tcPr>
          <w:p w14:paraId="66A2A2E0">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Y＜500</w:t>
            </w:r>
          </w:p>
        </w:tc>
      </w:tr>
      <w:tr w14:paraId="03CDB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restart"/>
            <w:tcBorders>
              <w:bottom w:val="nil"/>
            </w:tcBorders>
            <w:noWrap w:val="0"/>
            <w:vAlign w:val="center"/>
          </w:tcPr>
          <w:p w14:paraId="667639F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租赁和商务服务业</w:t>
            </w:r>
          </w:p>
        </w:tc>
        <w:tc>
          <w:tcPr>
            <w:tcW w:w="1682" w:type="dxa"/>
            <w:noWrap w:val="0"/>
            <w:vAlign w:val="center"/>
          </w:tcPr>
          <w:p w14:paraId="1DF32CC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40DF409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74FF3D9D">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582" w:type="dxa"/>
            <w:noWrap w:val="0"/>
            <w:vAlign w:val="center"/>
          </w:tcPr>
          <w:p w14:paraId="631442DC">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9" w:type="dxa"/>
            <w:noWrap w:val="0"/>
            <w:vAlign w:val="center"/>
          </w:tcPr>
          <w:p w14:paraId="7B8B3C14">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1C6EE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vMerge w:val="continue"/>
            <w:tcBorders>
              <w:top w:val="nil"/>
            </w:tcBorders>
            <w:noWrap w:val="0"/>
            <w:vAlign w:val="center"/>
          </w:tcPr>
          <w:p w14:paraId="57A83A23">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p>
        </w:tc>
        <w:tc>
          <w:tcPr>
            <w:tcW w:w="1682" w:type="dxa"/>
            <w:noWrap w:val="0"/>
            <w:vAlign w:val="center"/>
          </w:tcPr>
          <w:p w14:paraId="75BE38D6">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850" w:type="dxa"/>
            <w:noWrap w:val="0"/>
            <w:vAlign w:val="center"/>
          </w:tcPr>
          <w:p w14:paraId="048872E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698" w:type="dxa"/>
            <w:noWrap w:val="0"/>
            <w:vAlign w:val="center"/>
          </w:tcPr>
          <w:p w14:paraId="0ACE36F7">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8000≤Z＜120000</w:t>
            </w:r>
          </w:p>
        </w:tc>
        <w:tc>
          <w:tcPr>
            <w:tcW w:w="1582" w:type="dxa"/>
            <w:noWrap w:val="0"/>
            <w:vAlign w:val="center"/>
          </w:tcPr>
          <w:p w14:paraId="1AE4F766">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100≤Z＜8000</w:t>
            </w:r>
          </w:p>
        </w:tc>
        <w:tc>
          <w:tcPr>
            <w:tcW w:w="1059" w:type="dxa"/>
            <w:noWrap w:val="0"/>
            <w:vAlign w:val="center"/>
          </w:tcPr>
          <w:p w14:paraId="4B7E0EB3">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1C44F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91" w:type="dxa"/>
            <w:noWrap w:val="0"/>
            <w:vAlign w:val="center"/>
          </w:tcPr>
          <w:p w14:paraId="2E72E181">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其他未列明行业</w:t>
            </w:r>
          </w:p>
        </w:tc>
        <w:tc>
          <w:tcPr>
            <w:tcW w:w="1682" w:type="dxa"/>
            <w:noWrap w:val="0"/>
            <w:vAlign w:val="center"/>
          </w:tcPr>
          <w:p w14:paraId="237AA995">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850" w:type="dxa"/>
            <w:noWrap w:val="0"/>
            <w:vAlign w:val="center"/>
          </w:tcPr>
          <w:p w14:paraId="08BAFC2F">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698" w:type="dxa"/>
            <w:noWrap w:val="0"/>
            <w:vAlign w:val="center"/>
          </w:tcPr>
          <w:p w14:paraId="4460DD9A">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582" w:type="dxa"/>
            <w:noWrap w:val="0"/>
            <w:vAlign w:val="center"/>
          </w:tcPr>
          <w:p w14:paraId="72DCC0BD">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9" w:type="dxa"/>
            <w:noWrap w:val="0"/>
            <w:vAlign w:val="center"/>
          </w:tcPr>
          <w:p w14:paraId="29EF140D">
            <w:pPr>
              <w:pStyle w:val="536"/>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bl>
    <w:p w14:paraId="16F96BC0">
      <w:pPr>
        <w:pStyle w:val="6"/>
        <w:rPr>
          <w:rFonts w:hint="eastAsia"/>
          <w:color w:val="auto"/>
          <w:highlight w:val="none"/>
        </w:rPr>
      </w:pPr>
    </w:p>
    <w:p w14:paraId="5B473583">
      <w:pPr>
        <w:numPr>
          <w:ilvl w:val="0"/>
          <w:numId w:val="0"/>
        </w:numPr>
        <w:snapToGrid w:val="0"/>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Cs/>
          <w:color w:val="auto"/>
          <w:sz w:val="24"/>
          <w:szCs w:val="24"/>
          <w:highlight w:val="none"/>
        </w:rPr>
        <w:br w:type="page"/>
      </w:r>
      <w:bookmarkStart w:id="1283" w:name="OLE_LINK50"/>
      <w:bookmarkStart w:id="1284" w:name="OLE_LINK45"/>
      <w:r>
        <w:rPr>
          <w:rFonts w:hint="eastAsia" w:ascii="宋体" w:hAnsi="宋体" w:eastAsia="宋体" w:cs="宋体"/>
          <w:b/>
          <w:color w:val="auto"/>
          <w:sz w:val="32"/>
          <w:szCs w:val="32"/>
          <w:highlight w:val="none"/>
          <w:lang w:val="en-US" w:eastAsia="zh-CN"/>
        </w:rPr>
        <w:t>5.竞标声明</w:t>
      </w:r>
    </w:p>
    <w:p w14:paraId="370731D3">
      <w:pPr>
        <w:keepNext w:val="0"/>
        <w:keepLines w:val="0"/>
        <w:pageBreakBefore w:val="0"/>
        <w:widowControl w:val="0"/>
        <w:kinsoku/>
        <w:wordWrap/>
        <w:overflowPunct/>
        <w:topLinePunct/>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（采购人名称）：</w:t>
      </w:r>
    </w:p>
    <w:p w14:paraId="5BC3E7FF">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0B6B945">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项目的竞标，为便于贵方公正、择优地确定成交供应商及其竞标产品和服务，我方就本次竞标有关事项郑重声明如下：</w:t>
      </w:r>
    </w:p>
    <w:p w14:paraId="757FE674">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107D416C">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2.我方不是为本次采购项目提供整体设计、规范编制或者项目管理、监理、检测等服务的供应商。</w:t>
      </w:r>
    </w:p>
    <w:p w14:paraId="68A0BAEF">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14:paraId="6C9FFC41">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（1）将按磋商文件的约定履行合同责任和义务；</w:t>
      </w:r>
    </w:p>
    <w:p w14:paraId="074B1E19">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（2）已详细审查全部磋商文件，包括澄清或者更正公告（如有）；</w:t>
      </w:r>
    </w:p>
    <w:p w14:paraId="7AFF6198">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（3）同意提供按照贵方可能要求的与磋商有关的一切数据或者资料；</w:t>
      </w:r>
    </w:p>
    <w:p w14:paraId="23083167">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（4）响应磋商文件规定的竞标有效期。</w:t>
      </w:r>
    </w:p>
    <w:p w14:paraId="45B2B42B">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4.我方承诺符合《中华人民共和国政府采购法》第二十二条规定：</w:t>
      </w:r>
    </w:p>
    <w:p w14:paraId="1DC0A506">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0FC72161">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16215D53">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197C158D">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302482D">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2F1D7305">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E334389">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、政府采购严重违法失信行为记录名单，完全符合《中华人民共和国政府采购法》第二十二条规定的供应商资格条件，我方对此声明负全部法律责任。</w:t>
      </w:r>
    </w:p>
    <w:p w14:paraId="7763EF4A">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eastAsia="宋体" w:cs="宋体"/>
          <w:b/>
          <w:bCs/>
          <w:color w:val="auto"/>
          <w:sz w:val="24"/>
          <w:szCs w:val="24"/>
          <w:highlight w:val="none"/>
        </w:rPr>
        <w:t>两项内容中必须选择一项</w:t>
      </w:r>
      <w:r>
        <w:rPr>
          <w:rFonts w:hint="eastAsia" w:ascii="宋体" w:hAnsi="宋体" w:eastAsia="宋体" w:cs="宋体"/>
          <w:color w:val="auto"/>
          <w:sz w:val="24"/>
          <w:szCs w:val="24"/>
          <w:highlight w:val="none"/>
        </w:rPr>
        <w:t>）</w:t>
      </w:r>
    </w:p>
    <w:p w14:paraId="04865364">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14:paraId="7C61D111">
      <w:pPr>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67BE743">
      <w:pPr>
        <w:pStyle w:val="29"/>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7.与本磋商有关的一切正式往来信函请寄：</w:t>
      </w:r>
    </w:p>
    <w:p w14:paraId="439CF523">
      <w:pPr>
        <w:pStyle w:val="29"/>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邮政编号：</w:t>
      </w:r>
      <w:r>
        <w:rPr>
          <w:rFonts w:hint="eastAsia" w:ascii="宋体" w:hAnsi="宋体" w:eastAsia="宋体" w:cs="宋体"/>
          <w:color w:val="auto"/>
          <w:sz w:val="24"/>
          <w:szCs w:val="24"/>
          <w:highlight w:val="none"/>
          <w:u w:val="single"/>
        </w:rPr>
        <w:t xml:space="preserve">                      </w:t>
      </w:r>
    </w:p>
    <w:p w14:paraId="259F52C2">
      <w:pPr>
        <w:pStyle w:val="29"/>
        <w:keepNext w:val="0"/>
        <w:keepLines w:val="0"/>
        <w:pageBreakBefore w:val="0"/>
        <w:widowControl w:val="0"/>
        <w:kinsoku/>
        <w:wordWrap/>
        <w:overflowPunct/>
        <w:topLinePunct/>
        <w:autoSpaceDE/>
        <w:autoSpaceDN/>
        <w:bidi w:val="0"/>
        <w:adjustRightInd/>
        <w:snapToGrid/>
        <w:spacing w:line="360" w:lineRule="auto"/>
        <w:ind w:firstLine="480" w:firstLineChars="200"/>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p>
    <w:p w14:paraId="5AA30E0C">
      <w:pPr>
        <w:pStyle w:val="23"/>
        <w:keepNext w:val="0"/>
        <w:keepLines w:val="0"/>
        <w:pageBreakBefore w:val="0"/>
        <w:widowControl w:val="0"/>
        <w:tabs>
          <w:tab w:val="left" w:pos="939"/>
        </w:tabs>
        <w:kinsoku/>
        <w:wordWrap/>
        <w:overflowPunct/>
        <w:topLinePunct/>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w:t>
      </w:r>
      <w:r>
        <w:rPr>
          <w:rFonts w:hint="eastAsia" w:ascii="宋体" w:hAnsi="宋体" w:eastAsia="宋体" w:cs="宋体"/>
          <w:color w:val="auto"/>
          <w:sz w:val="24"/>
          <w:szCs w:val="24"/>
          <w:highlight w:val="none"/>
          <w:u w:val="single"/>
        </w:rPr>
        <w:t xml:space="preserve">                          </w:t>
      </w:r>
    </w:p>
    <w:p w14:paraId="54911578">
      <w:pPr>
        <w:pStyle w:val="23"/>
        <w:keepNext w:val="0"/>
        <w:keepLines w:val="0"/>
        <w:pageBreakBefore w:val="0"/>
        <w:widowControl w:val="0"/>
        <w:tabs>
          <w:tab w:val="left" w:pos="939"/>
        </w:tabs>
        <w:kinsoku/>
        <w:wordWrap/>
        <w:overflowPunct/>
        <w:topLinePunct/>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8.以上事项如有虚假或者隐瞒，我方愿意承担一切后果，并不再寻求任何旨在减轻或者免除法律责任的辩解。</w:t>
      </w:r>
    </w:p>
    <w:p w14:paraId="23F8DC14">
      <w:pPr>
        <w:pStyle w:val="23"/>
        <w:keepNext w:val="0"/>
        <w:keepLines w:val="0"/>
        <w:pageBreakBefore w:val="0"/>
        <w:widowControl w:val="0"/>
        <w:tabs>
          <w:tab w:val="left" w:pos="939"/>
        </w:tabs>
        <w:kinsoku/>
        <w:wordWrap/>
        <w:overflowPunct/>
        <w:topLinePunct/>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5A8BCBE">
      <w:pPr>
        <w:pStyle w:val="23"/>
        <w:keepNext w:val="0"/>
        <w:keepLines w:val="0"/>
        <w:pageBreakBefore w:val="0"/>
        <w:widowControl w:val="0"/>
        <w:tabs>
          <w:tab w:val="left" w:pos="939"/>
        </w:tabs>
        <w:kinsoku/>
        <w:wordWrap/>
        <w:overflowPunct/>
        <w:topLinePunct/>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p>
    <w:p w14:paraId="36DEFAEE">
      <w:pPr>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供应商法定代表人或授权代表签字：</w:t>
      </w:r>
      <w:r>
        <w:rPr>
          <w:rFonts w:hint="eastAsia" w:ascii="宋体" w:hAnsi="宋体" w:eastAsia="宋体" w:cs="宋体"/>
          <w:color w:val="auto"/>
          <w:sz w:val="24"/>
          <w:szCs w:val="24"/>
          <w:highlight w:val="none"/>
          <w:u w:val="single"/>
        </w:rPr>
        <w:t xml:space="preserve">               </w:t>
      </w:r>
    </w:p>
    <w:p w14:paraId="7103A4D3">
      <w:pPr>
        <w:spacing w:line="360" w:lineRule="auto"/>
        <w:ind w:firstLine="840"/>
        <w:rPr>
          <w:rFonts w:hint="eastAsia" w:ascii="宋体" w:hAnsi="宋体" w:eastAsia="宋体" w:cs="宋体"/>
          <w:color w:val="auto"/>
          <w:sz w:val="24"/>
          <w:szCs w:val="24"/>
          <w:highlight w:val="none"/>
        </w:rPr>
      </w:pPr>
    </w:p>
    <w:p w14:paraId="2D4B22DE">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8F9B10D">
      <w:pPr>
        <w:spacing w:line="360" w:lineRule="auto"/>
        <w:ind w:firstLine="3960" w:firstLineChars="1650"/>
        <w:rPr>
          <w:rFonts w:hint="eastAsia" w:ascii="宋体" w:hAnsi="宋体" w:eastAsia="宋体" w:cs="宋体"/>
          <w:color w:val="auto"/>
          <w:sz w:val="24"/>
          <w:szCs w:val="24"/>
          <w:highlight w:val="none"/>
        </w:rPr>
      </w:pPr>
    </w:p>
    <w:p w14:paraId="1AB70A2A">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355E75E">
      <w:pPr>
        <w:spacing w:line="360" w:lineRule="auto"/>
        <w:rPr>
          <w:rFonts w:hint="eastAsia" w:ascii="宋体" w:hAnsi="宋体" w:eastAsia="宋体" w:cs="宋体"/>
          <w:color w:val="auto"/>
          <w:szCs w:val="24"/>
          <w:highlight w:val="none"/>
        </w:rPr>
      </w:pPr>
    </w:p>
    <w:p w14:paraId="2CA3F425">
      <w:pPr>
        <w:pStyle w:val="6"/>
        <w:numPr>
          <w:ilvl w:val="0"/>
          <w:numId w:val="0"/>
        </w:numPr>
        <w:rPr>
          <w:rFonts w:hint="eastAsia"/>
          <w:color w:val="auto"/>
          <w:highlight w:val="none"/>
          <w:lang w:val="en-US" w:eastAsia="zh-CN"/>
        </w:rPr>
      </w:pPr>
    </w:p>
    <w:p w14:paraId="1790BF40">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248C2C7C">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磋商供应商有效的资质证书</w:t>
      </w:r>
      <w:bookmarkEnd w:id="1283"/>
      <w:bookmarkEnd w:id="1284"/>
    </w:p>
    <w:p w14:paraId="755A5D57">
      <w:pPr>
        <w:snapToGrid w:val="0"/>
        <w:spacing w:line="360" w:lineRule="auto"/>
        <w:jc w:val="center"/>
        <w:rPr>
          <w:rFonts w:hint="eastAsia" w:ascii="宋体" w:hAnsi="宋体" w:eastAsia="宋体" w:cs="宋体"/>
          <w:b/>
          <w:color w:val="auto"/>
          <w:sz w:val="32"/>
          <w:szCs w:val="32"/>
          <w:highlight w:val="none"/>
        </w:rPr>
      </w:pPr>
      <w:bookmarkStart w:id="1285" w:name="OLE_LINK63"/>
      <w:r>
        <w:rPr>
          <w:rFonts w:hint="eastAsia" w:ascii="宋体" w:hAnsi="宋体" w:eastAsia="宋体" w:cs="宋体"/>
          <w:bCs/>
          <w:color w:val="auto"/>
          <w:sz w:val="24"/>
          <w:szCs w:val="24"/>
          <w:highlight w:val="none"/>
        </w:rPr>
        <w:t>(证书中须包含有效的建筑工程施工总承包三级（含）以上或建筑装修装饰工程专业承包二级（含）以上</w:t>
      </w:r>
      <w:r>
        <w:rPr>
          <w:rFonts w:hint="eastAsia" w:ascii="宋体" w:hAnsi="宋体" w:eastAsia="宋体" w:cs="宋体"/>
          <w:bCs/>
          <w:color w:val="auto"/>
          <w:sz w:val="24"/>
          <w:szCs w:val="24"/>
          <w:highlight w:val="none"/>
          <w:lang w:val="en-US" w:eastAsia="zh-CN"/>
        </w:rPr>
        <w:t>资质</w:t>
      </w:r>
      <w:r>
        <w:rPr>
          <w:rFonts w:hint="eastAsia" w:ascii="宋体" w:hAnsi="宋体" w:eastAsia="宋体" w:cs="宋体"/>
          <w:bCs/>
          <w:color w:val="auto"/>
          <w:sz w:val="24"/>
          <w:szCs w:val="24"/>
          <w:highlight w:val="none"/>
        </w:rPr>
        <w:t>）</w:t>
      </w:r>
    </w:p>
    <w:bookmarkEnd w:id="1285"/>
    <w:p w14:paraId="00F93407">
      <w:pPr>
        <w:snapToGrid w:val="0"/>
        <w:spacing w:line="360" w:lineRule="auto"/>
        <w:jc w:val="left"/>
        <w:rPr>
          <w:rFonts w:hint="eastAsia" w:ascii="宋体" w:hAnsi="宋体" w:eastAsia="宋体" w:cs="宋体"/>
          <w:b/>
          <w:color w:val="auto"/>
          <w:sz w:val="24"/>
          <w:szCs w:val="24"/>
          <w:highlight w:val="none"/>
        </w:rPr>
      </w:pPr>
    </w:p>
    <w:p w14:paraId="0023E847">
      <w:pPr>
        <w:snapToGrid w:val="0"/>
        <w:spacing w:line="360" w:lineRule="auto"/>
        <w:jc w:val="left"/>
        <w:rPr>
          <w:rFonts w:hint="eastAsia" w:ascii="宋体" w:hAnsi="宋体" w:eastAsia="宋体" w:cs="宋体"/>
          <w:b/>
          <w:color w:val="auto"/>
          <w:sz w:val="24"/>
          <w:szCs w:val="24"/>
          <w:highlight w:val="none"/>
        </w:rPr>
      </w:pPr>
    </w:p>
    <w:p w14:paraId="12765740">
      <w:pPr>
        <w:snapToGrid w:val="0"/>
        <w:spacing w:line="360" w:lineRule="auto"/>
        <w:jc w:val="left"/>
        <w:rPr>
          <w:rFonts w:hint="eastAsia" w:ascii="宋体" w:hAnsi="宋体" w:eastAsia="宋体" w:cs="宋体"/>
          <w:b/>
          <w:color w:val="auto"/>
          <w:sz w:val="24"/>
          <w:szCs w:val="24"/>
          <w:highlight w:val="none"/>
        </w:rPr>
      </w:pPr>
    </w:p>
    <w:p w14:paraId="67910B4B">
      <w:pPr>
        <w:snapToGrid w:val="0"/>
        <w:spacing w:line="360" w:lineRule="auto"/>
        <w:jc w:val="left"/>
        <w:rPr>
          <w:rFonts w:hint="eastAsia" w:ascii="宋体" w:hAnsi="宋体" w:eastAsia="宋体" w:cs="宋体"/>
          <w:b/>
          <w:color w:val="auto"/>
          <w:sz w:val="24"/>
          <w:szCs w:val="24"/>
          <w:highlight w:val="none"/>
        </w:rPr>
      </w:pPr>
    </w:p>
    <w:p w14:paraId="0FF9C7F6">
      <w:pPr>
        <w:snapToGrid w:val="0"/>
        <w:spacing w:line="360" w:lineRule="auto"/>
        <w:jc w:val="left"/>
        <w:rPr>
          <w:rFonts w:hint="eastAsia" w:ascii="宋体" w:hAnsi="宋体" w:eastAsia="宋体" w:cs="宋体"/>
          <w:b/>
          <w:color w:val="auto"/>
          <w:sz w:val="24"/>
          <w:szCs w:val="24"/>
          <w:highlight w:val="none"/>
        </w:rPr>
      </w:pPr>
    </w:p>
    <w:p w14:paraId="43A74293">
      <w:pPr>
        <w:snapToGrid w:val="0"/>
        <w:spacing w:line="360" w:lineRule="auto"/>
        <w:jc w:val="left"/>
        <w:rPr>
          <w:rFonts w:hint="eastAsia" w:ascii="宋体" w:hAnsi="宋体" w:eastAsia="宋体" w:cs="宋体"/>
          <w:b/>
          <w:color w:val="auto"/>
          <w:sz w:val="24"/>
          <w:szCs w:val="24"/>
          <w:highlight w:val="none"/>
        </w:rPr>
      </w:pPr>
    </w:p>
    <w:p w14:paraId="6AFC5EB4">
      <w:pPr>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注：此项材料应</w:t>
      </w:r>
      <w:r>
        <w:rPr>
          <w:rFonts w:hint="eastAsia" w:ascii="宋体" w:hAnsi="宋体" w:eastAsia="宋体" w:cs="宋体"/>
          <w:b/>
          <w:bCs/>
          <w:color w:val="auto"/>
          <w:sz w:val="24"/>
          <w:szCs w:val="24"/>
          <w:highlight w:val="none"/>
        </w:rPr>
        <w:t>以PDF格式上传，并加盖CA电子签章。</w:t>
      </w:r>
    </w:p>
    <w:p w14:paraId="592C5465">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32"/>
          <w:szCs w:val="32"/>
          <w:highlight w:val="none"/>
        </w:rPr>
        <w:br w:type="page"/>
      </w:r>
      <w:bookmarkStart w:id="1286" w:name="OLE_LINK46"/>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磋商供应商有效的安全生产许可证</w:t>
      </w:r>
      <w:bookmarkEnd w:id="1286"/>
    </w:p>
    <w:p w14:paraId="06A1ECD1">
      <w:pPr>
        <w:spacing w:line="360" w:lineRule="auto"/>
        <w:ind w:firstLine="480" w:firstLineChars="200"/>
        <w:rPr>
          <w:rFonts w:hint="eastAsia" w:ascii="宋体" w:hAnsi="宋体" w:eastAsia="宋体" w:cs="宋体"/>
          <w:bCs/>
          <w:color w:val="auto"/>
          <w:sz w:val="24"/>
          <w:szCs w:val="24"/>
          <w:highlight w:val="none"/>
        </w:rPr>
      </w:pPr>
    </w:p>
    <w:p w14:paraId="38E8552D">
      <w:pPr>
        <w:spacing w:line="360" w:lineRule="auto"/>
        <w:ind w:firstLine="480" w:firstLineChars="200"/>
        <w:rPr>
          <w:rFonts w:hint="eastAsia" w:ascii="宋体" w:hAnsi="宋体" w:eastAsia="宋体" w:cs="宋体"/>
          <w:bCs/>
          <w:color w:val="auto"/>
          <w:sz w:val="24"/>
          <w:szCs w:val="24"/>
          <w:highlight w:val="none"/>
        </w:rPr>
      </w:pPr>
    </w:p>
    <w:p w14:paraId="2C92478C">
      <w:pPr>
        <w:spacing w:line="360" w:lineRule="auto"/>
        <w:ind w:firstLine="480" w:firstLineChars="200"/>
        <w:rPr>
          <w:rFonts w:hint="eastAsia" w:ascii="宋体" w:hAnsi="宋体" w:eastAsia="宋体" w:cs="宋体"/>
          <w:bCs/>
          <w:color w:val="auto"/>
          <w:sz w:val="24"/>
          <w:szCs w:val="24"/>
          <w:highlight w:val="none"/>
        </w:rPr>
      </w:pPr>
    </w:p>
    <w:p w14:paraId="40C334D9">
      <w:pPr>
        <w:spacing w:line="360" w:lineRule="auto"/>
        <w:ind w:firstLine="482" w:firstLineChars="200"/>
        <w:rPr>
          <w:rFonts w:hint="eastAsia" w:ascii="宋体" w:hAnsi="宋体" w:eastAsia="宋体" w:cs="宋体"/>
          <w:b/>
          <w:color w:val="auto"/>
          <w:sz w:val="24"/>
          <w:szCs w:val="24"/>
          <w:highlight w:val="none"/>
        </w:rPr>
      </w:pPr>
    </w:p>
    <w:p w14:paraId="750D90B4">
      <w:pPr>
        <w:spacing w:line="360" w:lineRule="auto"/>
        <w:ind w:firstLine="482" w:firstLineChars="200"/>
        <w:rPr>
          <w:rFonts w:hint="eastAsia" w:ascii="宋体" w:hAnsi="宋体" w:eastAsia="宋体" w:cs="宋体"/>
          <w:b/>
          <w:color w:val="auto"/>
          <w:sz w:val="24"/>
          <w:szCs w:val="24"/>
          <w:highlight w:val="none"/>
        </w:rPr>
      </w:pPr>
    </w:p>
    <w:p w14:paraId="3651F3F5">
      <w:pPr>
        <w:spacing w:line="360" w:lineRule="auto"/>
        <w:ind w:firstLine="482" w:firstLineChars="200"/>
        <w:rPr>
          <w:rFonts w:hint="eastAsia" w:ascii="宋体" w:hAnsi="宋体" w:eastAsia="宋体" w:cs="宋体"/>
          <w:b/>
          <w:color w:val="auto"/>
          <w:sz w:val="24"/>
          <w:szCs w:val="24"/>
          <w:highlight w:val="none"/>
        </w:rPr>
      </w:pPr>
    </w:p>
    <w:p w14:paraId="31536165">
      <w:pPr>
        <w:spacing w:line="360" w:lineRule="auto"/>
        <w:ind w:firstLine="482" w:firstLineChars="200"/>
        <w:rPr>
          <w:rFonts w:hint="eastAsia" w:ascii="宋体" w:hAnsi="宋体" w:eastAsia="宋体" w:cs="宋体"/>
          <w:b/>
          <w:color w:val="auto"/>
          <w:sz w:val="24"/>
          <w:szCs w:val="24"/>
          <w:highlight w:val="none"/>
        </w:rPr>
      </w:pPr>
    </w:p>
    <w:p w14:paraId="72F34454">
      <w:pPr>
        <w:spacing w:line="360" w:lineRule="auto"/>
        <w:ind w:firstLine="482" w:firstLineChars="200"/>
        <w:rPr>
          <w:rFonts w:hint="eastAsia" w:ascii="宋体" w:hAnsi="宋体" w:eastAsia="宋体" w:cs="宋体"/>
          <w:b/>
          <w:color w:val="auto"/>
          <w:sz w:val="24"/>
          <w:szCs w:val="24"/>
          <w:highlight w:val="none"/>
        </w:rPr>
      </w:pPr>
    </w:p>
    <w:p w14:paraId="073425A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注：此项材料应</w:t>
      </w:r>
      <w:r>
        <w:rPr>
          <w:rFonts w:hint="eastAsia" w:ascii="宋体" w:hAnsi="宋体" w:eastAsia="宋体" w:cs="宋体"/>
          <w:b/>
          <w:bCs/>
          <w:color w:val="auto"/>
          <w:sz w:val="24"/>
          <w:szCs w:val="24"/>
          <w:highlight w:val="none"/>
        </w:rPr>
        <w:t>以PDF格式上传，并加盖CA电子签章。</w:t>
      </w:r>
    </w:p>
    <w:p w14:paraId="6004E4D0">
      <w:pPr>
        <w:spacing w:line="360" w:lineRule="auto"/>
        <w:ind w:firstLine="482" w:firstLineChars="200"/>
        <w:rPr>
          <w:rFonts w:hint="eastAsia" w:ascii="宋体" w:hAnsi="宋体" w:eastAsia="宋体" w:cs="宋体"/>
          <w:b/>
          <w:color w:val="auto"/>
          <w:sz w:val="24"/>
          <w:szCs w:val="24"/>
          <w:highlight w:val="none"/>
        </w:rPr>
      </w:pPr>
    </w:p>
    <w:p w14:paraId="19D30AAE">
      <w:pPr>
        <w:spacing w:line="360" w:lineRule="auto"/>
        <w:ind w:firstLine="482" w:firstLineChars="200"/>
        <w:rPr>
          <w:rFonts w:hint="eastAsia" w:ascii="宋体" w:hAnsi="宋体" w:eastAsia="宋体" w:cs="宋体"/>
          <w:b/>
          <w:color w:val="auto"/>
          <w:sz w:val="24"/>
          <w:szCs w:val="24"/>
          <w:highlight w:val="none"/>
        </w:rPr>
      </w:pPr>
    </w:p>
    <w:p w14:paraId="376C474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287" w:name="OLE_LINK51"/>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拟派项目经理的注册建造师执业资格证书</w:t>
      </w:r>
      <w:bookmarkEnd w:id="1287"/>
    </w:p>
    <w:p w14:paraId="0DDDA95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（拟派项目经理须具备</w:t>
      </w:r>
      <w:r>
        <w:rPr>
          <w:rFonts w:hint="eastAsia" w:ascii="宋体" w:hAnsi="宋体" w:eastAsia="宋体" w:cs="宋体"/>
          <w:bCs/>
          <w:color w:val="auto"/>
          <w:sz w:val="24"/>
          <w:szCs w:val="24"/>
          <w:highlight w:val="none"/>
          <w:lang w:eastAsia="zh-CN"/>
        </w:rPr>
        <w:t>有效的建筑工程专业二级(含)以上注册建造师执业资格</w:t>
      </w:r>
      <w:r>
        <w:rPr>
          <w:rFonts w:hint="eastAsia" w:ascii="宋体" w:hAnsi="宋体" w:eastAsia="宋体" w:cs="宋体"/>
          <w:bCs/>
          <w:color w:val="auto"/>
          <w:sz w:val="24"/>
          <w:szCs w:val="24"/>
          <w:highlight w:val="none"/>
        </w:rPr>
        <w:t>）</w:t>
      </w:r>
    </w:p>
    <w:p w14:paraId="01E2C60D">
      <w:pPr>
        <w:snapToGrid w:val="0"/>
        <w:spacing w:line="360" w:lineRule="auto"/>
        <w:jc w:val="left"/>
        <w:rPr>
          <w:rFonts w:hint="eastAsia" w:ascii="宋体" w:hAnsi="宋体" w:eastAsia="宋体" w:cs="宋体"/>
          <w:b/>
          <w:color w:val="auto"/>
          <w:sz w:val="32"/>
          <w:szCs w:val="32"/>
          <w:highlight w:val="none"/>
        </w:rPr>
      </w:pPr>
    </w:p>
    <w:p w14:paraId="09D70F3F">
      <w:pPr>
        <w:pStyle w:val="8"/>
        <w:rPr>
          <w:rFonts w:hint="eastAsia"/>
          <w:color w:val="auto"/>
          <w:highlight w:val="none"/>
        </w:rPr>
      </w:pPr>
    </w:p>
    <w:p w14:paraId="1FE0D54C">
      <w:pPr>
        <w:snapToGrid w:val="0"/>
        <w:spacing w:line="360" w:lineRule="auto"/>
        <w:jc w:val="left"/>
        <w:rPr>
          <w:rFonts w:hint="eastAsia" w:ascii="宋体" w:hAnsi="宋体" w:eastAsia="宋体" w:cs="宋体"/>
          <w:b/>
          <w:color w:val="auto"/>
          <w:sz w:val="32"/>
          <w:szCs w:val="32"/>
          <w:highlight w:val="none"/>
        </w:rPr>
      </w:pPr>
    </w:p>
    <w:p w14:paraId="4B91F8AC">
      <w:pPr>
        <w:snapToGrid w:val="0"/>
        <w:spacing w:line="360" w:lineRule="auto"/>
        <w:jc w:val="left"/>
        <w:rPr>
          <w:rFonts w:hint="eastAsia" w:ascii="宋体" w:hAnsi="宋体" w:eastAsia="宋体" w:cs="宋体"/>
          <w:b/>
          <w:color w:val="auto"/>
          <w:sz w:val="32"/>
          <w:szCs w:val="32"/>
          <w:highlight w:val="none"/>
        </w:rPr>
      </w:pPr>
    </w:p>
    <w:p w14:paraId="1BA573D3">
      <w:pPr>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注：此项材料应</w:t>
      </w:r>
      <w:r>
        <w:rPr>
          <w:rFonts w:hint="eastAsia" w:ascii="宋体" w:hAnsi="宋体" w:eastAsia="宋体" w:cs="宋体"/>
          <w:b/>
          <w:bCs/>
          <w:color w:val="auto"/>
          <w:sz w:val="24"/>
          <w:szCs w:val="24"/>
          <w:highlight w:val="none"/>
        </w:rPr>
        <w:t>以PDF格式上传，并加盖CA电子签章。</w:t>
      </w:r>
    </w:p>
    <w:p w14:paraId="023111FD">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288" w:name="OLE_LINK52"/>
      <w:bookmarkStart w:id="1289" w:name="OLE_LINK62"/>
      <w:bookmarkStart w:id="1290" w:name="OLE_LINK64"/>
      <w:r>
        <w:rPr>
          <w:rFonts w:hint="eastAsia" w:ascii="宋体" w:hAnsi="宋体" w:eastAsia="宋体" w:cs="宋体"/>
          <w:b/>
          <w:color w:val="auto"/>
          <w:sz w:val="32"/>
          <w:szCs w:val="32"/>
          <w:highlight w:val="none"/>
          <w:lang w:val="en-US" w:eastAsia="zh-CN"/>
        </w:rPr>
        <w:t>9.</w:t>
      </w:r>
      <w:r>
        <w:rPr>
          <w:rFonts w:hint="eastAsia" w:ascii="宋体" w:hAnsi="宋体" w:eastAsia="宋体" w:cs="宋体"/>
          <w:b/>
          <w:color w:val="auto"/>
          <w:sz w:val="32"/>
          <w:szCs w:val="32"/>
          <w:highlight w:val="none"/>
        </w:rPr>
        <w:t>拟派项目经理有效的安全生产考核合格证书（B类）</w:t>
      </w:r>
      <w:bookmarkEnd w:id="1288"/>
      <w:bookmarkEnd w:id="1289"/>
      <w:bookmarkEnd w:id="1290"/>
    </w:p>
    <w:p w14:paraId="07FB7315">
      <w:pPr>
        <w:widowControl/>
        <w:spacing w:line="360" w:lineRule="auto"/>
        <w:ind w:firstLine="482" w:firstLineChars="200"/>
        <w:jc w:val="left"/>
        <w:rPr>
          <w:rFonts w:hint="eastAsia" w:ascii="宋体" w:hAnsi="宋体" w:eastAsia="宋体" w:cs="宋体"/>
          <w:b/>
          <w:color w:val="auto"/>
          <w:sz w:val="24"/>
          <w:szCs w:val="24"/>
          <w:highlight w:val="none"/>
        </w:rPr>
      </w:pPr>
    </w:p>
    <w:p w14:paraId="0D7A2FF8">
      <w:pPr>
        <w:widowControl/>
        <w:spacing w:line="360" w:lineRule="auto"/>
        <w:ind w:firstLine="482" w:firstLineChars="200"/>
        <w:jc w:val="left"/>
        <w:rPr>
          <w:rFonts w:hint="eastAsia" w:ascii="宋体" w:hAnsi="宋体" w:eastAsia="宋体" w:cs="宋体"/>
          <w:b/>
          <w:color w:val="auto"/>
          <w:sz w:val="24"/>
          <w:szCs w:val="24"/>
          <w:highlight w:val="none"/>
        </w:rPr>
      </w:pPr>
    </w:p>
    <w:p w14:paraId="15E65D3F">
      <w:pPr>
        <w:widowControl/>
        <w:spacing w:line="360" w:lineRule="auto"/>
        <w:ind w:firstLine="482" w:firstLineChars="200"/>
        <w:jc w:val="left"/>
        <w:rPr>
          <w:rFonts w:hint="eastAsia" w:ascii="宋体" w:hAnsi="宋体" w:eastAsia="宋体" w:cs="宋体"/>
          <w:b/>
          <w:color w:val="auto"/>
          <w:sz w:val="24"/>
          <w:szCs w:val="24"/>
          <w:highlight w:val="none"/>
        </w:rPr>
      </w:pPr>
    </w:p>
    <w:p w14:paraId="0DF837E5">
      <w:pPr>
        <w:widowControl/>
        <w:spacing w:line="360" w:lineRule="auto"/>
        <w:ind w:firstLine="482" w:firstLineChars="200"/>
        <w:jc w:val="left"/>
        <w:rPr>
          <w:rFonts w:hint="eastAsia" w:ascii="宋体" w:hAnsi="宋体" w:eastAsia="宋体" w:cs="宋体"/>
          <w:b/>
          <w:color w:val="auto"/>
          <w:sz w:val="24"/>
          <w:szCs w:val="24"/>
          <w:highlight w:val="none"/>
        </w:rPr>
      </w:pPr>
    </w:p>
    <w:p w14:paraId="07A9BBF3">
      <w:pPr>
        <w:widowControl/>
        <w:spacing w:line="360" w:lineRule="auto"/>
        <w:ind w:firstLine="482" w:firstLineChars="200"/>
        <w:jc w:val="left"/>
        <w:rPr>
          <w:rFonts w:hint="eastAsia" w:ascii="宋体" w:hAnsi="宋体" w:eastAsia="宋体" w:cs="宋体"/>
          <w:b/>
          <w:color w:val="auto"/>
          <w:sz w:val="24"/>
          <w:szCs w:val="24"/>
          <w:highlight w:val="none"/>
        </w:rPr>
      </w:pPr>
    </w:p>
    <w:p w14:paraId="7305F0DE">
      <w:pPr>
        <w:widowControl/>
        <w:spacing w:line="360" w:lineRule="auto"/>
        <w:jc w:val="left"/>
        <w:rPr>
          <w:rFonts w:hint="eastAsia" w:ascii="宋体" w:hAnsi="宋体" w:eastAsia="宋体" w:cs="宋体"/>
          <w:b/>
          <w:color w:val="auto"/>
          <w:sz w:val="24"/>
          <w:szCs w:val="24"/>
          <w:highlight w:val="none"/>
        </w:rPr>
      </w:pPr>
    </w:p>
    <w:p w14:paraId="1CCA4688">
      <w:pPr>
        <w:widowControl/>
        <w:spacing w:line="360" w:lineRule="auto"/>
        <w:ind w:firstLine="482" w:firstLineChars="200"/>
        <w:jc w:val="left"/>
        <w:rPr>
          <w:rFonts w:hint="eastAsia" w:ascii="宋体" w:hAnsi="宋体" w:eastAsia="宋体" w:cs="宋体"/>
          <w:b/>
          <w:color w:val="auto"/>
          <w:sz w:val="24"/>
          <w:szCs w:val="24"/>
          <w:highlight w:val="none"/>
        </w:rPr>
      </w:pPr>
    </w:p>
    <w:p w14:paraId="1A463FB0">
      <w:pPr>
        <w:widowControl/>
        <w:spacing w:line="360" w:lineRule="auto"/>
        <w:ind w:firstLine="482"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t>注：此项材料应</w:t>
      </w:r>
      <w:r>
        <w:rPr>
          <w:rFonts w:hint="eastAsia" w:ascii="宋体" w:hAnsi="宋体" w:eastAsia="宋体" w:cs="宋体"/>
          <w:b/>
          <w:bCs/>
          <w:color w:val="auto"/>
          <w:sz w:val="24"/>
          <w:szCs w:val="24"/>
          <w:highlight w:val="none"/>
        </w:rPr>
        <w:t>以PDF格式上传，并加盖CA电子签章。</w:t>
      </w:r>
      <w:r>
        <w:rPr>
          <w:rFonts w:hint="eastAsia" w:ascii="宋体" w:hAnsi="宋体" w:eastAsia="宋体" w:cs="宋体"/>
          <w:b/>
          <w:color w:val="auto"/>
          <w:sz w:val="24"/>
          <w:szCs w:val="24"/>
          <w:highlight w:val="none"/>
        </w:rPr>
        <w:br w:type="page"/>
      </w:r>
      <w:bookmarkStart w:id="1291" w:name="OLE_LINK53"/>
      <w:bookmarkStart w:id="1292" w:name="OLE_LINK54"/>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拟派项目经理无在建工程承诺书</w:t>
      </w:r>
      <w:bookmarkEnd w:id="1291"/>
      <w:bookmarkEnd w:id="1292"/>
    </w:p>
    <w:p w14:paraId="24228A7A">
      <w:pPr>
        <w:widowControl/>
        <w:spacing w:line="360" w:lineRule="auto"/>
        <w:ind w:firstLine="480" w:firstLineChars="200"/>
        <w:jc w:val="left"/>
        <w:rPr>
          <w:rFonts w:hint="eastAsia" w:ascii="宋体" w:hAnsi="宋体" w:eastAsia="宋体" w:cs="宋体"/>
          <w:bCs/>
          <w:color w:val="auto"/>
          <w:sz w:val="24"/>
          <w:szCs w:val="24"/>
          <w:highlight w:val="none"/>
        </w:rPr>
      </w:pPr>
      <w:bookmarkStart w:id="1293" w:name="OLE_LINK60"/>
      <w:r>
        <w:rPr>
          <w:rFonts w:hint="eastAsia" w:ascii="宋体" w:hAnsi="宋体" w:eastAsia="宋体" w:cs="宋体"/>
          <w:bCs/>
          <w:color w:val="auto"/>
          <w:sz w:val="24"/>
          <w:szCs w:val="24"/>
          <w:highlight w:val="none"/>
        </w:rPr>
        <w:t>由供应商根据实际情况自行进行编制。在建工程指以下任意一种情形：</w:t>
      </w:r>
      <w:r>
        <w:rPr>
          <w:rFonts w:hint="eastAsia" w:ascii="宋体" w:hAnsi="宋体" w:eastAsia="宋体" w:cs="宋体"/>
          <w:color w:val="auto"/>
          <w:kern w:val="0"/>
          <w:sz w:val="24"/>
          <w:szCs w:val="24"/>
          <w:highlight w:val="none"/>
        </w:rPr>
        <w:t>在建、已中标（成交）未开工或已列为其他项目成交候选人第一名的建造师</w:t>
      </w:r>
      <w:r>
        <w:rPr>
          <w:rFonts w:hint="eastAsia" w:ascii="宋体" w:hAnsi="宋体" w:eastAsia="宋体" w:cs="宋体"/>
          <w:bCs/>
          <w:color w:val="auto"/>
          <w:sz w:val="24"/>
          <w:szCs w:val="24"/>
          <w:highlight w:val="none"/>
        </w:rPr>
        <w:t>。</w:t>
      </w:r>
    </w:p>
    <w:p w14:paraId="5AC6A9FE">
      <w:pPr>
        <w:spacing w:line="360" w:lineRule="auto"/>
        <w:ind w:firstLine="3600" w:firstLineChars="1500"/>
        <w:rPr>
          <w:rFonts w:hint="eastAsia" w:ascii="宋体" w:hAnsi="宋体" w:eastAsia="宋体" w:cs="宋体"/>
          <w:color w:val="auto"/>
          <w:sz w:val="24"/>
          <w:szCs w:val="24"/>
          <w:highlight w:val="none"/>
        </w:rPr>
      </w:pPr>
    </w:p>
    <w:p w14:paraId="3D357008">
      <w:pPr>
        <w:spacing w:line="360" w:lineRule="auto"/>
        <w:ind w:firstLine="3600" w:firstLineChars="1500"/>
        <w:rPr>
          <w:rFonts w:hint="eastAsia" w:ascii="宋体" w:hAnsi="宋体" w:eastAsia="宋体" w:cs="宋体"/>
          <w:color w:val="auto"/>
          <w:sz w:val="24"/>
          <w:szCs w:val="24"/>
          <w:highlight w:val="none"/>
        </w:rPr>
      </w:pPr>
    </w:p>
    <w:p w14:paraId="0598AE19">
      <w:pPr>
        <w:spacing w:line="360" w:lineRule="auto"/>
        <w:ind w:firstLine="3600" w:firstLineChars="1500"/>
        <w:rPr>
          <w:rFonts w:hint="eastAsia" w:ascii="宋体" w:hAnsi="宋体" w:eastAsia="宋体" w:cs="宋体"/>
          <w:color w:val="auto"/>
          <w:sz w:val="24"/>
          <w:szCs w:val="24"/>
          <w:highlight w:val="none"/>
        </w:rPr>
      </w:pPr>
    </w:p>
    <w:p w14:paraId="3FC1EE1C">
      <w:pPr>
        <w:spacing w:line="360" w:lineRule="auto"/>
        <w:ind w:firstLine="3600" w:firstLineChars="1500"/>
        <w:rPr>
          <w:rFonts w:hint="eastAsia" w:ascii="宋体" w:hAnsi="宋体" w:eastAsia="宋体" w:cs="宋体"/>
          <w:color w:val="auto"/>
          <w:sz w:val="24"/>
          <w:szCs w:val="24"/>
          <w:highlight w:val="none"/>
        </w:rPr>
      </w:pPr>
    </w:p>
    <w:p w14:paraId="21E2C440">
      <w:pPr>
        <w:spacing w:line="360" w:lineRule="auto"/>
        <w:ind w:firstLine="3600" w:firstLineChars="1500"/>
        <w:rPr>
          <w:rFonts w:hint="eastAsia" w:ascii="宋体" w:hAnsi="宋体" w:eastAsia="宋体" w:cs="宋体"/>
          <w:color w:val="auto"/>
          <w:sz w:val="24"/>
          <w:szCs w:val="24"/>
          <w:highlight w:val="none"/>
        </w:rPr>
      </w:pPr>
    </w:p>
    <w:p w14:paraId="65883D47">
      <w:pPr>
        <w:spacing w:line="360" w:lineRule="auto"/>
        <w:ind w:firstLine="3600" w:firstLineChars="1500"/>
        <w:rPr>
          <w:rFonts w:hint="eastAsia" w:ascii="宋体" w:hAnsi="宋体" w:eastAsia="宋体" w:cs="宋体"/>
          <w:color w:val="auto"/>
          <w:sz w:val="24"/>
          <w:szCs w:val="24"/>
          <w:highlight w:val="none"/>
        </w:rPr>
      </w:pPr>
    </w:p>
    <w:p w14:paraId="5E1CAB17">
      <w:pPr>
        <w:spacing w:line="360" w:lineRule="auto"/>
        <w:ind w:firstLine="3600" w:firstLineChars="1500"/>
        <w:rPr>
          <w:rFonts w:hint="eastAsia" w:ascii="宋体" w:hAnsi="宋体" w:eastAsia="宋体" w:cs="宋体"/>
          <w:color w:val="auto"/>
          <w:sz w:val="24"/>
          <w:szCs w:val="24"/>
          <w:highlight w:val="none"/>
        </w:rPr>
      </w:pPr>
    </w:p>
    <w:p w14:paraId="6B50E413">
      <w:pPr>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64BE1DF">
      <w:pPr>
        <w:spacing w:line="360" w:lineRule="auto"/>
        <w:ind w:firstLine="840"/>
        <w:rPr>
          <w:rFonts w:hint="eastAsia" w:ascii="宋体" w:hAnsi="宋体" w:eastAsia="宋体" w:cs="宋体"/>
          <w:color w:val="auto"/>
          <w:sz w:val="24"/>
          <w:szCs w:val="24"/>
          <w:highlight w:val="none"/>
        </w:rPr>
      </w:pPr>
    </w:p>
    <w:p w14:paraId="06492358">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8940F55">
      <w:pPr>
        <w:spacing w:line="360" w:lineRule="auto"/>
        <w:ind w:firstLine="3960" w:firstLineChars="1650"/>
        <w:rPr>
          <w:rFonts w:hint="eastAsia" w:ascii="宋体" w:hAnsi="宋体" w:eastAsia="宋体" w:cs="宋体"/>
          <w:color w:val="auto"/>
          <w:sz w:val="24"/>
          <w:szCs w:val="24"/>
          <w:highlight w:val="none"/>
        </w:rPr>
      </w:pPr>
    </w:p>
    <w:p w14:paraId="5CAD7E62">
      <w:pPr>
        <w:spacing w:line="360" w:lineRule="auto"/>
        <w:ind w:firstLine="3960" w:firstLineChars="16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1293"/>
    </w:p>
    <w:p w14:paraId="4E1F4B9F">
      <w:pPr>
        <w:spacing w:line="360" w:lineRule="auto"/>
        <w:rPr>
          <w:rFonts w:hint="eastAsia" w:ascii="宋体" w:hAnsi="宋体" w:eastAsia="宋体" w:cs="宋体"/>
          <w:color w:val="auto"/>
          <w:szCs w:val="24"/>
          <w:highlight w:val="none"/>
        </w:rPr>
      </w:pPr>
    </w:p>
    <w:p w14:paraId="38B8B1DD">
      <w:pPr>
        <w:spacing w:line="360" w:lineRule="auto"/>
        <w:rPr>
          <w:rFonts w:hint="eastAsia" w:ascii="宋体" w:hAnsi="宋体" w:eastAsia="宋体" w:cs="宋体"/>
          <w:color w:val="auto"/>
          <w:szCs w:val="24"/>
          <w:highlight w:val="none"/>
        </w:rPr>
      </w:pPr>
    </w:p>
    <w:p w14:paraId="4D6F538F">
      <w:pPr>
        <w:spacing w:line="360" w:lineRule="auto"/>
        <w:rPr>
          <w:rFonts w:hint="eastAsia" w:ascii="宋体" w:hAnsi="宋体" w:eastAsia="宋体" w:cs="宋体"/>
          <w:color w:val="auto"/>
          <w:szCs w:val="24"/>
          <w:highlight w:val="none"/>
        </w:rPr>
      </w:pPr>
    </w:p>
    <w:p w14:paraId="68B4E0FB">
      <w:pPr>
        <w:spacing w:line="360" w:lineRule="auto"/>
        <w:rPr>
          <w:rFonts w:hint="eastAsia" w:ascii="宋体" w:hAnsi="宋体" w:eastAsia="宋体" w:cs="宋体"/>
          <w:color w:val="auto"/>
          <w:szCs w:val="21"/>
          <w:highlight w:val="none"/>
        </w:rPr>
      </w:pPr>
      <w:bookmarkStart w:id="1294" w:name="OLE_LINK61"/>
      <w:r>
        <w:rPr>
          <w:rFonts w:hint="eastAsia" w:ascii="宋体" w:hAnsi="宋体" w:eastAsia="宋体" w:cs="宋体"/>
          <w:b/>
          <w:color w:val="auto"/>
          <w:sz w:val="24"/>
          <w:szCs w:val="21"/>
          <w:highlight w:val="none"/>
        </w:rPr>
        <w:t>注：此项材料必须</w:t>
      </w:r>
      <w:r>
        <w:rPr>
          <w:rFonts w:hint="eastAsia" w:ascii="宋体" w:hAnsi="宋体" w:eastAsia="宋体" w:cs="宋体"/>
          <w:b/>
          <w:bCs/>
          <w:color w:val="auto"/>
          <w:sz w:val="24"/>
          <w:szCs w:val="21"/>
          <w:highlight w:val="none"/>
        </w:rPr>
        <w:t>以PDF格式上传。</w:t>
      </w:r>
    </w:p>
    <w:p w14:paraId="1142EE51">
      <w:pPr>
        <w:spacing w:line="360" w:lineRule="auto"/>
        <w:rPr>
          <w:rFonts w:hint="eastAsia" w:ascii="宋体" w:hAnsi="宋体" w:eastAsia="宋体" w:cs="宋体"/>
          <w:color w:val="auto"/>
          <w:szCs w:val="24"/>
          <w:highlight w:val="none"/>
        </w:rPr>
      </w:pPr>
    </w:p>
    <w:p w14:paraId="2A5DCA91">
      <w:pPr>
        <w:spacing w:line="360" w:lineRule="auto"/>
        <w:rPr>
          <w:rFonts w:hint="eastAsia" w:ascii="宋体" w:hAnsi="宋体" w:eastAsia="宋体" w:cs="宋体"/>
          <w:color w:val="auto"/>
          <w:sz w:val="24"/>
          <w:szCs w:val="24"/>
          <w:highlight w:val="none"/>
        </w:rPr>
      </w:pPr>
    </w:p>
    <w:p w14:paraId="7DE113AF">
      <w:pPr>
        <w:snapToGrid w:val="0"/>
        <w:spacing w:line="360" w:lineRule="auto"/>
        <w:jc w:val="left"/>
        <w:rPr>
          <w:rFonts w:hint="eastAsia" w:ascii="宋体" w:hAnsi="宋体" w:eastAsia="宋体" w:cs="宋体"/>
          <w:b/>
          <w:color w:val="auto"/>
          <w:sz w:val="24"/>
          <w:szCs w:val="24"/>
          <w:highlight w:val="none"/>
        </w:rPr>
      </w:pPr>
    </w:p>
    <w:p w14:paraId="2121D926">
      <w:pPr>
        <w:widowControl/>
        <w:jc w:val="center"/>
        <w:rPr>
          <w:rFonts w:hint="eastAsia" w:ascii="宋体" w:hAnsi="宋体" w:eastAsia="宋体" w:cs="宋体"/>
          <w:b/>
          <w:color w:val="auto"/>
          <w:sz w:val="32"/>
          <w:szCs w:val="32"/>
          <w:highlight w:val="none"/>
        </w:rPr>
      </w:pPr>
      <w:r>
        <w:rPr>
          <w:rFonts w:hint="eastAsia" w:ascii="宋体" w:hAnsi="宋体" w:eastAsia="宋体" w:cs="宋体"/>
          <w:b/>
          <w:color w:val="auto"/>
          <w:sz w:val="24"/>
          <w:szCs w:val="21"/>
          <w:highlight w:val="none"/>
        </w:rPr>
        <w:t>特别说明：供应商对承诺内容的真实性、合法性、有效性负责。如作出虚假信用承诺，视同为“提供虚假材料谋取中标、成交”的违法行为。经调查核实后，按照《中国人民共和国政府采购法》第七十七条规定处理。</w:t>
      </w:r>
      <w:r>
        <w:rPr>
          <w:rFonts w:hint="eastAsia" w:ascii="宋体" w:hAnsi="宋体" w:eastAsia="宋体" w:cs="宋体"/>
          <w:bCs/>
          <w:color w:val="auto"/>
          <w:sz w:val="24"/>
          <w:szCs w:val="21"/>
          <w:highlight w:val="none"/>
        </w:rPr>
        <w:br w:type="page"/>
      </w:r>
      <w:bookmarkEnd w:id="1294"/>
      <w:bookmarkStart w:id="1295" w:name="OLE_LINK65"/>
      <w:r>
        <w:rPr>
          <w:rFonts w:hint="eastAsia" w:ascii="宋体" w:hAnsi="宋体" w:eastAsia="宋体" w:cs="宋体"/>
          <w:b/>
          <w:color w:val="auto"/>
          <w:sz w:val="32"/>
          <w:szCs w:val="32"/>
          <w:highlight w:val="none"/>
          <w:lang w:val="en-US" w:eastAsia="zh-CN"/>
        </w:rPr>
        <w:t>11.</w:t>
      </w:r>
      <w:r>
        <w:rPr>
          <w:rFonts w:hint="eastAsia" w:ascii="宋体" w:hAnsi="宋体" w:eastAsia="宋体" w:cs="宋体"/>
          <w:b/>
          <w:color w:val="auto"/>
          <w:sz w:val="32"/>
          <w:szCs w:val="32"/>
          <w:highlight w:val="none"/>
        </w:rPr>
        <w:t>拟派专职安全员须有效的安全生产考核合格证书（C类）</w:t>
      </w:r>
      <w:bookmarkEnd w:id="1295"/>
    </w:p>
    <w:p w14:paraId="264DF6FB">
      <w:pPr>
        <w:spacing w:line="360" w:lineRule="auto"/>
        <w:ind w:firstLine="482" w:firstLineChars="200"/>
        <w:jc w:val="left"/>
        <w:rPr>
          <w:rFonts w:hint="eastAsia" w:ascii="宋体" w:hAnsi="宋体" w:eastAsia="宋体" w:cs="宋体"/>
          <w:b/>
          <w:color w:val="auto"/>
          <w:sz w:val="24"/>
          <w:szCs w:val="24"/>
          <w:highlight w:val="none"/>
        </w:rPr>
      </w:pPr>
    </w:p>
    <w:p w14:paraId="125A9ECE">
      <w:pPr>
        <w:spacing w:line="360" w:lineRule="auto"/>
        <w:ind w:firstLine="482" w:firstLineChars="200"/>
        <w:jc w:val="left"/>
        <w:rPr>
          <w:rFonts w:hint="eastAsia" w:ascii="宋体" w:hAnsi="宋体" w:eastAsia="宋体" w:cs="宋体"/>
          <w:b/>
          <w:color w:val="auto"/>
          <w:sz w:val="24"/>
          <w:szCs w:val="24"/>
          <w:highlight w:val="none"/>
        </w:rPr>
      </w:pPr>
    </w:p>
    <w:p w14:paraId="72BA4BE6">
      <w:pPr>
        <w:spacing w:line="360" w:lineRule="auto"/>
        <w:ind w:firstLine="482" w:firstLineChars="200"/>
        <w:jc w:val="left"/>
        <w:rPr>
          <w:rFonts w:hint="eastAsia" w:ascii="宋体" w:hAnsi="宋体" w:eastAsia="宋体" w:cs="宋体"/>
          <w:b/>
          <w:color w:val="auto"/>
          <w:sz w:val="24"/>
          <w:szCs w:val="24"/>
          <w:highlight w:val="none"/>
        </w:rPr>
      </w:pPr>
    </w:p>
    <w:p w14:paraId="091A248E">
      <w:pPr>
        <w:spacing w:line="360" w:lineRule="auto"/>
        <w:ind w:firstLine="482" w:firstLineChars="200"/>
        <w:jc w:val="left"/>
        <w:rPr>
          <w:rFonts w:hint="eastAsia" w:ascii="宋体" w:hAnsi="宋体" w:eastAsia="宋体" w:cs="宋体"/>
          <w:b/>
          <w:color w:val="auto"/>
          <w:sz w:val="24"/>
          <w:szCs w:val="24"/>
          <w:highlight w:val="none"/>
        </w:rPr>
      </w:pPr>
    </w:p>
    <w:p w14:paraId="33B96BE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   注：此项材料如有也应</w:t>
      </w:r>
      <w:r>
        <w:rPr>
          <w:rFonts w:hint="eastAsia" w:ascii="宋体" w:hAnsi="宋体" w:eastAsia="宋体" w:cs="宋体"/>
          <w:b/>
          <w:bCs/>
          <w:color w:val="auto"/>
          <w:sz w:val="24"/>
          <w:szCs w:val="24"/>
          <w:highlight w:val="none"/>
        </w:rPr>
        <w:t>以PDF格式上传，并加盖CA电子签章。</w:t>
      </w:r>
    </w:p>
    <w:p w14:paraId="67FA26A5">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D663CBF">
      <w:pPr>
        <w:widowControl/>
        <w:spacing w:line="360" w:lineRule="auto"/>
        <w:jc w:val="center"/>
        <w:rPr>
          <w:rFonts w:hint="eastAsia" w:ascii="宋体" w:hAnsi="宋体" w:eastAsia="宋体" w:cs="宋体"/>
          <w:b/>
          <w:color w:val="auto"/>
          <w:sz w:val="32"/>
          <w:szCs w:val="32"/>
          <w:highlight w:val="none"/>
        </w:rPr>
      </w:pPr>
      <w:bookmarkStart w:id="1296" w:name="OLE_LINK66"/>
      <w:r>
        <w:rPr>
          <w:rFonts w:hint="eastAsia" w:ascii="宋体" w:hAnsi="宋体" w:eastAsia="宋体" w:cs="宋体"/>
          <w:b/>
          <w:color w:val="auto"/>
          <w:sz w:val="32"/>
          <w:szCs w:val="32"/>
          <w:highlight w:val="none"/>
          <w:lang w:val="en-US" w:eastAsia="zh-CN"/>
        </w:rPr>
        <w:t>12.</w:t>
      </w:r>
      <w:r>
        <w:rPr>
          <w:rFonts w:hint="eastAsia" w:ascii="宋体" w:hAnsi="宋体" w:eastAsia="宋体" w:cs="宋体"/>
          <w:b/>
          <w:color w:val="auto"/>
          <w:sz w:val="32"/>
          <w:szCs w:val="32"/>
          <w:highlight w:val="none"/>
        </w:rPr>
        <w:t>拟派专职安全员无在建工程承诺书</w:t>
      </w:r>
      <w:bookmarkEnd w:id="1296"/>
    </w:p>
    <w:p w14:paraId="728A1576">
      <w:pPr>
        <w:widowControl/>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由供应商根据实际情况自行进行编制。在建工程指以下任意一种情形：</w:t>
      </w:r>
      <w:r>
        <w:rPr>
          <w:rFonts w:hint="eastAsia" w:ascii="宋体" w:hAnsi="宋体" w:eastAsia="宋体" w:cs="宋体"/>
          <w:color w:val="auto"/>
          <w:kern w:val="0"/>
          <w:sz w:val="24"/>
          <w:szCs w:val="24"/>
          <w:highlight w:val="none"/>
        </w:rPr>
        <w:t>在建、已中标（成交）未开工或已列为其他项目成交候选人第一名的专职安全员</w:t>
      </w:r>
      <w:r>
        <w:rPr>
          <w:rFonts w:hint="eastAsia" w:ascii="宋体" w:hAnsi="宋体" w:eastAsia="宋体" w:cs="宋体"/>
          <w:bCs/>
          <w:color w:val="auto"/>
          <w:sz w:val="24"/>
          <w:szCs w:val="24"/>
          <w:highlight w:val="none"/>
        </w:rPr>
        <w:t>。</w:t>
      </w:r>
    </w:p>
    <w:p w14:paraId="67619CF1">
      <w:pPr>
        <w:spacing w:line="360" w:lineRule="auto"/>
        <w:ind w:firstLine="3600" w:firstLineChars="1500"/>
        <w:rPr>
          <w:rFonts w:hint="eastAsia" w:ascii="宋体" w:hAnsi="宋体" w:eastAsia="宋体" w:cs="宋体"/>
          <w:color w:val="auto"/>
          <w:sz w:val="24"/>
          <w:szCs w:val="24"/>
          <w:highlight w:val="none"/>
        </w:rPr>
      </w:pPr>
    </w:p>
    <w:p w14:paraId="1B7B8BB9">
      <w:pPr>
        <w:spacing w:line="360" w:lineRule="auto"/>
        <w:ind w:firstLine="3600" w:firstLineChars="1500"/>
        <w:rPr>
          <w:rFonts w:hint="eastAsia" w:ascii="宋体" w:hAnsi="宋体" w:eastAsia="宋体" w:cs="宋体"/>
          <w:color w:val="auto"/>
          <w:sz w:val="24"/>
          <w:szCs w:val="24"/>
          <w:highlight w:val="none"/>
        </w:rPr>
      </w:pPr>
    </w:p>
    <w:p w14:paraId="33DCC259">
      <w:pPr>
        <w:spacing w:line="360" w:lineRule="auto"/>
        <w:ind w:firstLine="3600" w:firstLineChars="1500"/>
        <w:rPr>
          <w:rFonts w:hint="eastAsia" w:ascii="宋体" w:hAnsi="宋体" w:eastAsia="宋体" w:cs="宋体"/>
          <w:color w:val="auto"/>
          <w:sz w:val="24"/>
          <w:szCs w:val="24"/>
          <w:highlight w:val="none"/>
        </w:rPr>
      </w:pPr>
    </w:p>
    <w:p w14:paraId="186A710C">
      <w:pPr>
        <w:spacing w:line="360" w:lineRule="auto"/>
        <w:ind w:firstLine="3600" w:firstLineChars="1500"/>
        <w:rPr>
          <w:rFonts w:hint="eastAsia" w:ascii="宋体" w:hAnsi="宋体" w:eastAsia="宋体" w:cs="宋体"/>
          <w:color w:val="auto"/>
          <w:sz w:val="24"/>
          <w:szCs w:val="24"/>
          <w:highlight w:val="none"/>
        </w:rPr>
      </w:pPr>
    </w:p>
    <w:p w14:paraId="551632D8">
      <w:pPr>
        <w:spacing w:line="360" w:lineRule="auto"/>
        <w:ind w:firstLine="3600" w:firstLineChars="1500"/>
        <w:rPr>
          <w:rFonts w:hint="eastAsia" w:ascii="宋体" w:hAnsi="宋体" w:eastAsia="宋体" w:cs="宋体"/>
          <w:color w:val="auto"/>
          <w:sz w:val="24"/>
          <w:szCs w:val="24"/>
          <w:highlight w:val="none"/>
        </w:rPr>
      </w:pPr>
    </w:p>
    <w:p w14:paraId="2942F770">
      <w:pPr>
        <w:spacing w:line="360" w:lineRule="auto"/>
        <w:ind w:firstLine="3600" w:firstLineChars="1500"/>
        <w:rPr>
          <w:rFonts w:hint="eastAsia" w:ascii="宋体" w:hAnsi="宋体" w:eastAsia="宋体" w:cs="宋体"/>
          <w:color w:val="auto"/>
          <w:sz w:val="24"/>
          <w:szCs w:val="24"/>
          <w:highlight w:val="none"/>
        </w:rPr>
      </w:pPr>
    </w:p>
    <w:p w14:paraId="411D2C29">
      <w:pPr>
        <w:spacing w:line="360" w:lineRule="auto"/>
        <w:ind w:firstLine="3600" w:firstLineChars="1500"/>
        <w:rPr>
          <w:rFonts w:hint="eastAsia" w:ascii="宋体" w:hAnsi="宋体" w:eastAsia="宋体" w:cs="宋体"/>
          <w:color w:val="auto"/>
          <w:sz w:val="24"/>
          <w:szCs w:val="24"/>
          <w:highlight w:val="none"/>
        </w:rPr>
      </w:pPr>
    </w:p>
    <w:p w14:paraId="48195A73">
      <w:pPr>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377DBB7">
      <w:pPr>
        <w:spacing w:line="360" w:lineRule="auto"/>
        <w:ind w:firstLine="840"/>
        <w:rPr>
          <w:rFonts w:hint="eastAsia" w:ascii="宋体" w:hAnsi="宋体" w:eastAsia="宋体" w:cs="宋体"/>
          <w:color w:val="auto"/>
          <w:sz w:val="24"/>
          <w:szCs w:val="24"/>
          <w:highlight w:val="none"/>
        </w:rPr>
      </w:pPr>
    </w:p>
    <w:p w14:paraId="4CBBA054">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FF22E65">
      <w:pPr>
        <w:spacing w:line="360" w:lineRule="auto"/>
        <w:ind w:firstLine="3960" w:firstLineChars="1650"/>
        <w:rPr>
          <w:rFonts w:hint="eastAsia" w:ascii="宋体" w:hAnsi="宋体" w:eastAsia="宋体" w:cs="宋体"/>
          <w:color w:val="auto"/>
          <w:sz w:val="24"/>
          <w:szCs w:val="24"/>
          <w:highlight w:val="none"/>
        </w:rPr>
      </w:pPr>
    </w:p>
    <w:p w14:paraId="43D814C4">
      <w:pPr>
        <w:spacing w:line="360" w:lineRule="auto"/>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149465A">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 w:val="24"/>
          <w:szCs w:val="21"/>
          <w:highlight w:val="none"/>
        </w:rPr>
        <w:t>注：此项材料必须</w:t>
      </w:r>
      <w:r>
        <w:rPr>
          <w:rFonts w:hint="eastAsia" w:ascii="宋体" w:hAnsi="宋体" w:eastAsia="宋体" w:cs="宋体"/>
          <w:b/>
          <w:bCs/>
          <w:color w:val="auto"/>
          <w:sz w:val="24"/>
          <w:szCs w:val="21"/>
          <w:highlight w:val="none"/>
        </w:rPr>
        <w:t>以PDF格式上传。</w:t>
      </w:r>
    </w:p>
    <w:p w14:paraId="248CD500">
      <w:pPr>
        <w:spacing w:line="360" w:lineRule="auto"/>
        <w:rPr>
          <w:rFonts w:hint="eastAsia" w:ascii="宋体" w:hAnsi="宋体" w:eastAsia="宋体" w:cs="宋体"/>
          <w:color w:val="auto"/>
          <w:szCs w:val="24"/>
          <w:highlight w:val="none"/>
        </w:rPr>
      </w:pPr>
    </w:p>
    <w:p w14:paraId="2823EFD3">
      <w:pPr>
        <w:spacing w:line="360" w:lineRule="auto"/>
        <w:rPr>
          <w:rFonts w:hint="eastAsia" w:ascii="宋体" w:hAnsi="宋体" w:eastAsia="宋体" w:cs="宋体"/>
          <w:color w:val="auto"/>
          <w:sz w:val="24"/>
          <w:szCs w:val="24"/>
          <w:highlight w:val="none"/>
        </w:rPr>
      </w:pPr>
    </w:p>
    <w:p w14:paraId="6E280BAD">
      <w:pPr>
        <w:snapToGrid w:val="0"/>
        <w:spacing w:line="360" w:lineRule="auto"/>
        <w:jc w:val="left"/>
        <w:rPr>
          <w:rFonts w:hint="eastAsia" w:ascii="宋体" w:hAnsi="宋体" w:eastAsia="宋体" w:cs="宋体"/>
          <w:b/>
          <w:color w:val="auto"/>
          <w:sz w:val="24"/>
          <w:szCs w:val="24"/>
          <w:highlight w:val="none"/>
        </w:rPr>
      </w:pPr>
    </w:p>
    <w:p w14:paraId="7E28316C">
      <w:pPr>
        <w:widowControl/>
        <w:jc w:val="left"/>
        <w:rPr>
          <w:rFonts w:hint="eastAsia" w:ascii="宋体" w:hAnsi="宋体" w:eastAsia="宋体" w:cs="宋体"/>
          <w:bCs/>
          <w:color w:val="auto"/>
          <w:sz w:val="24"/>
          <w:szCs w:val="21"/>
          <w:highlight w:val="none"/>
        </w:rPr>
      </w:pPr>
      <w:r>
        <w:rPr>
          <w:rFonts w:hint="eastAsia" w:ascii="宋体" w:hAnsi="宋体" w:eastAsia="宋体" w:cs="宋体"/>
          <w:b/>
          <w:color w:val="auto"/>
          <w:sz w:val="24"/>
          <w:szCs w:val="21"/>
          <w:highlight w:val="none"/>
        </w:rPr>
        <w:t>特别说明：供应商对承诺内容的真实性、合法性、有效性负责。如作出虚假信用承诺，视同为“提供虚假材料谋取中标、成交”的违法行为。经调查核实后，按照《中国人民共和国政府采购法》第七十七条规定处理。</w:t>
      </w:r>
      <w:r>
        <w:rPr>
          <w:rFonts w:hint="eastAsia" w:ascii="宋体" w:hAnsi="宋体" w:eastAsia="宋体" w:cs="宋体"/>
          <w:bCs/>
          <w:color w:val="auto"/>
          <w:sz w:val="24"/>
          <w:szCs w:val="21"/>
          <w:highlight w:val="none"/>
        </w:rPr>
        <w:br w:type="page"/>
      </w:r>
    </w:p>
    <w:p w14:paraId="2D7F8F1E">
      <w:pPr>
        <w:spacing w:line="360" w:lineRule="auto"/>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供应商认为有必要提供的与资格审查相关的其他材料(如有)。</w:t>
      </w:r>
    </w:p>
    <w:p w14:paraId="47B52486">
      <w:pPr>
        <w:spacing w:line="360" w:lineRule="auto"/>
        <w:ind w:firstLine="482" w:firstLineChars="200"/>
        <w:jc w:val="left"/>
        <w:rPr>
          <w:rFonts w:hint="eastAsia" w:ascii="宋体" w:hAnsi="宋体" w:eastAsia="宋体" w:cs="宋体"/>
          <w:b/>
          <w:color w:val="auto"/>
          <w:sz w:val="24"/>
          <w:szCs w:val="24"/>
          <w:highlight w:val="none"/>
        </w:rPr>
      </w:pPr>
      <w:bookmarkStart w:id="1297" w:name="OLE_LINK55"/>
    </w:p>
    <w:p w14:paraId="457732CD">
      <w:pPr>
        <w:spacing w:line="360" w:lineRule="auto"/>
        <w:ind w:firstLine="482" w:firstLineChars="200"/>
        <w:jc w:val="left"/>
        <w:rPr>
          <w:rFonts w:hint="eastAsia" w:ascii="宋体" w:hAnsi="宋体" w:eastAsia="宋体" w:cs="宋体"/>
          <w:b/>
          <w:color w:val="auto"/>
          <w:sz w:val="24"/>
          <w:szCs w:val="24"/>
          <w:highlight w:val="none"/>
        </w:rPr>
      </w:pPr>
    </w:p>
    <w:p w14:paraId="1832CEBE">
      <w:pPr>
        <w:spacing w:line="360" w:lineRule="auto"/>
        <w:ind w:firstLine="482" w:firstLineChars="200"/>
        <w:jc w:val="left"/>
        <w:rPr>
          <w:rFonts w:hint="eastAsia" w:ascii="宋体" w:hAnsi="宋体" w:eastAsia="宋体" w:cs="宋体"/>
          <w:b/>
          <w:color w:val="auto"/>
          <w:sz w:val="24"/>
          <w:szCs w:val="24"/>
          <w:highlight w:val="none"/>
        </w:rPr>
      </w:pPr>
    </w:p>
    <w:p w14:paraId="55B7D21D">
      <w:pPr>
        <w:spacing w:line="360" w:lineRule="auto"/>
        <w:ind w:firstLine="482" w:firstLineChars="200"/>
        <w:jc w:val="left"/>
        <w:rPr>
          <w:rFonts w:hint="eastAsia" w:ascii="宋体" w:hAnsi="宋体" w:eastAsia="宋体" w:cs="宋体"/>
          <w:b/>
          <w:color w:val="auto"/>
          <w:sz w:val="24"/>
          <w:szCs w:val="24"/>
          <w:highlight w:val="none"/>
        </w:rPr>
      </w:pPr>
    </w:p>
    <w:p w14:paraId="0FB33B19">
      <w:pPr>
        <w:spacing w:line="360" w:lineRule="auto"/>
        <w:ind w:firstLine="482" w:firstLineChars="200"/>
        <w:jc w:val="left"/>
        <w:rPr>
          <w:rFonts w:hint="eastAsia" w:ascii="宋体" w:hAnsi="宋体" w:eastAsia="宋体" w:cs="宋体"/>
          <w:b/>
          <w:color w:val="auto"/>
          <w:sz w:val="24"/>
          <w:szCs w:val="24"/>
          <w:highlight w:val="none"/>
        </w:rPr>
      </w:pPr>
    </w:p>
    <w:p w14:paraId="6876B40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   注：此项材料如有也应</w:t>
      </w:r>
      <w:r>
        <w:rPr>
          <w:rFonts w:hint="eastAsia" w:ascii="宋体" w:hAnsi="宋体" w:eastAsia="宋体" w:cs="宋体"/>
          <w:b/>
          <w:bCs/>
          <w:color w:val="auto"/>
          <w:sz w:val="24"/>
          <w:szCs w:val="24"/>
          <w:highlight w:val="none"/>
        </w:rPr>
        <w:t>以PDF格式上传，并加盖CA电子签章。</w:t>
      </w:r>
    </w:p>
    <w:bookmarkEnd w:id="1297"/>
    <w:p w14:paraId="1A5A7A52">
      <w:pPr>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i/>
          <w:color w:val="auto"/>
          <w:szCs w:val="24"/>
          <w:highlight w:val="none"/>
        </w:rPr>
        <w:br w:type="page"/>
      </w:r>
    </w:p>
    <w:p w14:paraId="31D08E21">
      <w:pPr>
        <w:spacing w:line="360" w:lineRule="auto"/>
        <w:jc w:val="center"/>
        <w:rPr>
          <w:rFonts w:hint="eastAsia" w:ascii="宋体" w:hAnsi="宋体" w:eastAsia="宋体" w:cs="宋体"/>
          <w:color w:val="auto"/>
          <w:szCs w:val="24"/>
          <w:highlight w:val="none"/>
        </w:rPr>
      </w:pPr>
    </w:p>
    <w:p w14:paraId="21DCB4B4">
      <w:pPr>
        <w:spacing w:line="360" w:lineRule="auto"/>
        <w:jc w:val="center"/>
        <w:rPr>
          <w:rFonts w:hint="eastAsia" w:ascii="宋体" w:hAnsi="宋体" w:eastAsia="宋体" w:cs="宋体"/>
          <w:color w:val="auto"/>
          <w:szCs w:val="24"/>
          <w:highlight w:val="none"/>
        </w:rPr>
      </w:pPr>
    </w:p>
    <w:p w14:paraId="05CA9203">
      <w:pPr>
        <w:spacing w:line="360" w:lineRule="auto"/>
        <w:jc w:val="center"/>
        <w:rPr>
          <w:rFonts w:hint="eastAsia" w:ascii="宋体" w:hAnsi="宋体" w:eastAsia="宋体" w:cs="宋体"/>
          <w:color w:val="auto"/>
          <w:szCs w:val="24"/>
          <w:highlight w:val="none"/>
        </w:rPr>
      </w:pPr>
    </w:p>
    <w:p w14:paraId="4897923B">
      <w:pPr>
        <w:spacing w:line="360" w:lineRule="auto"/>
        <w:jc w:val="center"/>
        <w:rPr>
          <w:rFonts w:hint="eastAsia" w:ascii="宋体" w:hAnsi="宋体" w:eastAsia="宋体" w:cs="宋体"/>
          <w:color w:val="auto"/>
          <w:szCs w:val="24"/>
          <w:highlight w:val="none"/>
        </w:rPr>
      </w:pPr>
    </w:p>
    <w:p w14:paraId="3FA42235">
      <w:pPr>
        <w:spacing w:line="360" w:lineRule="auto"/>
        <w:jc w:val="center"/>
        <w:rPr>
          <w:rFonts w:hint="eastAsia" w:ascii="宋体" w:hAnsi="宋体" w:eastAsia="宋体" w:cs="宋体"/>
          <w:color w:val="auto"/>
          <w:szCs w:val="24"/>
          <w:highlight w:val="none"/>
        </w:rPr>
      </w:pPr>
    </w:p>
    <w:p w14:paraId="69356767">
      <w:pPr>
        <w:spacing w:line="360" w:lineRule="auto"/>
        <w:jc w:val="center"/>
        <w:rPr>
          <w:rFonts w:hint="eastAsia" w:ascii="宋体" w:hAnsi="宋体" w:eastAsia="宋体" w:cs="宋体"/>
          <w:color w:val="auto"/>
          <w:szCs w:val="24"/>
          <w:highlight w:val="none"/>
        </w:rPr>
      </w:pPr>
    </w:p>
    <w:p w14:paraId="68029C4F">
      <w:pPr>
        <w:spacing w:line="360" w:lineRule="auto"/>
        <w:jc w:val="center"/>
        <w:rPr>
          <w:rFonts w:hint="eastAsia" w:ascii="宋体" w:hAnsi="宋体" w:eastAsia="宋体" w:cs="宋体"/>
          <w:color w:val="auto"/>
          <w:szCs w:val="24"/>
          <w:highlight w:val="none"/>
        </w:rPr>
      </w:pPr>
    </w:p>
    <w:p w14:paraId="12358D62">
      <w:pPr>
        <w:spacing w:line="360" w:lineRule="auto"/>
        <w:jc w:val="center"/>
        <w:rPr>
          <w:rFonts w:hint="eastAsia" w:ascii="宋体" w:hAnsi="宋体" w:eastAsia="宋体" w:cs="宋体"/>
          <w:color w:val="auto"/>
          <w:szCs w:val="24"/>
          <w:highlight w:val="none"/>
        </w:rPr>
      </w:pPr>
    </w:p>
    <w:p w14:paraId="3B410EAA">
      <w:pPr>
        <w:spacing w:line="360" w:lineRule="auto"/>
        <w:jc w:val="center"/>
        <w:rPr>
          <w:rFonts w:hint="eastAsia" w:ascii="宋体" w:hAnsi="宋体" w:eastAsia="宋体" w:cs="宋体"/>
          <w:color w:val="auto"/>
          <w:szCs w:val="24"/>
          <w:highlight w:val="none"/>
        </w:rPr>
      </w:pPr>
    </w:p>
    <w:p w14:paraId="7582310D">
      <w:pPr>
        <w:spacing w:line="360" w:lineRule="auto"/>
        <w:jc w:val="center"/>
        <w:rPr>
          <w:rFonts w:hint="eastAsia" w:ascii="宋体" w:hAnsi="宋体" w:eastAsia="宋体" w:cs="宋体"/>
          <w:color w:val="auto"/>
          <w:szCs w:val="24"/>
          <w:highlight w:val="none"/>
        </w:rPr>
      </w:pPr>
    </w:p>
    <w:p w14:paraId="5DDFF51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44"/>
          <w:szCs w:val="44"/>
          <w:highlight w:val="none"/>
        </w:rPr>
        <w:t>二、报价文件</w:t>
      </w:r>
    </w:p>
    <w:p w14:paraId="37327818">
      <w:pPr>
        <w:rPr>
          <w:rFonts w:hint="eastAsia" w:ascii="宋体" w:hAnsi="宋体" w:eastAsia="宋体" w:cs="宋体"/>
          <w:color w:val="auto"/>
          <w:sz w:val="32"/>
          <w:szCs w:val="40"/>
          <w:highlight w:val="none"/>
        </w:rPr>
      </w:pPr>
      <w:r>
        <w:rPr>
          <w:rFonts w:hint="eastAsia" w:ascii="宋体" w:hAnsi="宋体" w:eastAsia="宋体" w:cs="宋体"/>
          <w:b/>
          <w:color w:val="auto"/>
          <w:sz w:val="24"/>
          <w:szCs w:val="24"/>
          <w:highlight w:val="none"/>
        </w:rPr>
        <w:br w:type="page"/>
      </w:r>
    </w:p>
    <w:p w14:paraId="2CB34E4F">
      <w:pPr>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t xml:space="preserve">报价文件封面格式 </w:t>
      </w:r>
    </w:p>
    <w:p w14:paraId="70AA9D76">
      <w:pPr>
        <w:snapToGrid w:val="0"/>
        <w:spacing w:before="156" w:beforeLines="50" w:after="50"/>
        <w:ind w:left="142"/>
        <w:jc w:val="center"/>
        <w:rPr>
          <w:rFonts w:hint="eastAsia" w:ascii="宋体" w:hAnsi="宋体" w:eastAsia="宋体" w:cs="宋体"/>
          <w:bCs/>
          <w:color w:val="auto"/>
          <w:sz w:val="48"/>
          <w:szCs w:val="48"/>
          <w:highlight w:val="none"/>
        </w:rPr>
      </w:pPr>
    </w:p>
    <w:p w14:paraId="68F7E13E">
      <w:pPr>
        <w:snapToGrid w:val="0"/>
        <w:spacing w:before="156" w:beforeLines="50" w:after="50"/>
        <w:ind w:left="142"/>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电子响应文件</w:t>
      </w:r>
    </w:p>
    <w:p w14:paraId="726339E3">
      <w:pPr>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 </w:t>
      </w:r>
    </w:p>
    <w:p w14:paraId="5D6C4EE6">
      <w:pPr>
        <w:rPr>
          <w:rFonts w:hint="eastAsia" w:ascii="宋体" w:hAnsi="宋体" w:eastAsia="宋体" w:cs="宋体"/>
          <w:color w:val="auto"/>
          <w:sz w:val="24"/>
          <w:szCs w:val="24"/>
          <w:highlight w:val="none"/>
        </w:rPr>
      </w:pPr>
    </w:p>
    <w:p w14:paraId="02DAF9F5">
      <w:pPr>
        <w:snapToGrid w:val="0"/>
        <w:spacing w:before="156" w:beforeLines="50" w:after="50" w:line="40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报价文件</w:t>
      </w:r>
    </w:p>
    <w:p w14:paraId="2D97C8FF">
      <w:pPr>
        <w:rPr>
          <w:rFonts w:hint="eastAsia" w:ascii="宋体" w:hAnsi="宋体" w:eastAsia="宋体" w:cs="宋体"/>
          <w:color w:val="auto"/>
          <w:szCs w:val="24"/>
          <w:highlight w:val="none"/>
        </w:rPr>
      </w:pPr>
    </w:p>
    <w:p w14:paraId="091BC7D1">
      <w:pPr>
        <w:rPr>
          <w:rFonts w:hint="eastAsia" w:ascii="宋体" w:hAnsi="宋体" w:eastAsia="宋体" w:cs="宋体"/>
          <w:color w:val="auto"/>
          <w:szCs w:val="24"/>
          <w:highlight w:val="none"/>
        </w:rPr>
      </w:pPr>
    </w:p>
    <w:p w14:paraId="49C82853">
      <w:pPr>
        <w:rPr>
          <w:rFonts w:hint="eastAsia" w:ascii="宋体" w:hAnsi="宋体" w:eastAsia="宋体" w:cs="宋体"/>
          <w:color w:val="auto"/>
          <w:szCs w:val="24"/>
          <w:highlight w:val="none"/>
        </w:rPr>
      </w:pPr>
    </w:p>
    <w:p w14:paraId="35A419B1">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7C006E20">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p>
    <w:p w14:paraId="03CAE36B">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29EC2F7E">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p>
    <w:p w14:paraId="2EFE326C">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所投分标：（若无划“/”）</w:t>
      </w:r>
    </w:p>
    <w:p w14:paraId="1D5A90FD">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p>
    <w:p w14:paraId="7E6CFF4D">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B1BA4E4">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p>
    <w:p w14:paraId="1E6AA85E">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供应商地址：</w:t>
      </w:r>
    </w:p>
    <w:p w14:paraId="2FBEC82F">
      <w:pPr>
        <w:snapToGrid w:val="0"/>
        <w:spacing w:before="50" w:after="50" w:line="400" w:lineRule="exact"/>
        <w:ind w:firstLine="1280" w:firstLineChars="400"/>
        <w:rPr>
          <w:rFonts w:hint="eastAsia" w:ascii="宋体" w:hAnsi="宋体" w:eastAsia="宋体" w:cs="宋体"/>
          <w:bCs/>
          <w:color w:val="auto"/>
          <w:sz w:val="32"/>
          <w:szCs w:val="32"/>
          <w:highlight w:val="none"/>
        </w:rPr>
      </w:pPr>
    </w:p>
    <w:p w14:paraId="79D095B1">
      <w:pPr>
        <w:snapToGrid w:val="0"/>
        <w:spacing w:before="156" w:beforeLines="50" w:after="50" w:line="400" w:lineRule="exact"/>
        <w:rPr>
          <w:rFonts w:hint="eastAsia" w:ascii="宋体" w:hAnsi="宋体" w:eastAsia="宋体" w:cs="宋体"/>
          <w:color w:val="auto"/>
          <w:sz w:val="36"/>
          <w:highlight w:val="none"/>
        </w:rPr>
      </w:pPr>
      <w:r>
        <w:rPr>
          <w:rFonts w:hint="eastAsia" w:ascii="宋体" w:hAnsi="宋体" w:eastAsia="宋体" w:cs="宋体"/>
          <w:color w:val="auto"/>
          <w:sz w:val="32"/>
          <w:szCs w:val="32"/>
          <w:highlight w:val="none"/>
        </w:rPr>
        <w:t xml:space="preserve">                                   年  月  日</w:t>
      </w:r>
    </w:p>
    <w:p w14:paraId="7725AC11">
      <w:pPr>
        <w:rPr>
          <w:rFonts w:hint="eastAsia" w:ascii="宋体" w:hAnsi="宋体" w:eastAsia="宋体" w:cs="宋体"/>
          <w:color w:val="auto"/>
          <w:sz w:val="32"/>
          <w:szCs w:val="40"/>
          <w:highlight w:val="none"/>
        </w:rPr>
      </w:pPr>
      <w:r>
        <w:rPr>
          <w:rFonts w:hint="eastAsia" w:ascii="宋体" w:hAnsi="宋体" w:eastAsia="宋体" w:cs="宋体"/>
          <w:color w:val="auto"/>
          <w:szCs w:val="24"/>
          <w:highlight w:val="none"/>
        </w:rPr>
        <w:br w:type="page"/>
      </w:r>
      <w:r>
        <w:rPr>
          <w:rFonts w:hint="eastAsia" w:ascii="宋体" w:hAnsi="宋体" w:eastAsia="宋体" w:cs="宋体"/>
          <w:color w:val="auto"/>
          <w:sz w:val="32"/>
          <w:szCs w:val="40"/>
          <w:highlight w:val="none"/>
        </w:rPr>
        <w:t>报价文件目录</w:t>
      </w:r>
    </w:p>
    <w:p w14:paraId="73C4908E">
      <w:pPr>
        <w:snapToGrid w:val="0"/>
        <w:ind w:firstLine="643" w:firstLineChars="200"/>
        <w:rPr>
          <w:rFonts w:hint="eastAsia" w:ascii="宋体" w:hAnsi="宋体" w:eastAsia="宋体" w:cs="宋体"/>
          <w:b/>
          <w:bCs/>
          <w:color w:val="auto"/>
          <w:sz w:val="32"/>
          <w:szCs w:val="32"/>
          <w:highlight w:val="none"/>
        </w:rPr>
      </w:pPr>
    </w:p>
    <w:p w14:paraId="696AFA7D">
      <w:pPr>
        <w:snapToGrid w:val="0"/>
        <w:ind w:firstLine="643" w:firstLineChars="200"/>
        <w:rPr>
          <w:rFonts w:hint="eastAsia" w:ascii="宋体" w:hAnsi="宋体" w:eastAsia="宋体" w:cs="宋体"/>
          <w:b/>
          <w:bCs/>
          <w:color w:val="auto"/>
          <w:sz w:val="32"/>
          <w:szCs w:val="32"/>
          <w:highlight w:val="none"/>
        </w:rPr>
      </w:pPr>
    </w:p>
    <w:p w14:paraId="08FEC2E4">
      <w:pPr>
        <w:snapToGrid w:val="0"/>
        <w:ind w:firstLine="643"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32"/>
          <w:szCs w:val="32"/>
          <w:highlight w:val="none"/>
        </w:rPr>
        <w:t>根据采购文件规定及供应商提供的材料自行编写目录。</w:t>
      </w:r>
    </w:p>
    <w:p w14:paraId="7AB35899">
      <w:pPr>
        <w:snapToGrid w:val="0"/>
        <w:spacing w:before="156" w:beforeLines="50" w:after="50"/>
        <w:rPr>
          <w:rFonts w:hint="eastAsia" w:ascii="宋体" w:hAnsi="宋体" w:eastAsia="宋体" w:cs="宋体"/>
          <w:b/>
          <w:color w:val="auto"/>
          <w:sz w:val="24"/>
          <w:szCs w:val="24"/>
          <w:highlight w:val="none"/>
        </w:rPr>
      </w:pPr>
    </w:p>
    <w:p w14:paraId="1E5C0C2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Cs w:val="24"/>
          <w:highlight w:val="none"/>
        </w:rPr>
        <w:br w:type="page"/>
      </w:r>
    </w:p>
    <w:p w14:paraId="4F9E25A6">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 xml:space="preserve">磋  商  </w:t>
      </w:r>
      <w:r>
        <w:rPr>
          <w:rFonts w:hint="eastAsia" w:ascii="宋体" w:hAnsi="宋体" w:eastAsia="宋体" w:cs="宋体"/>
          <w:b/>
          <w:color w:val="auto"/>
          <w:sz w:val="32"/>
          <w:szCs w:val="32"/>
          <w:highlight w:val="none"/>
          <w:lang w:val="en-US" w:eastAsia="zh-CN"/>
        </w:rPr>
        <w:t>函</w:t>
      </w:r>
    </w:p>
    <w:p w14:paraId="71DC1A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采购人名称、</w:t>
      </w: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79AE6CDE">
      <w:pPr>
        <w:tabs>
          <w:tab w:val="left" w:pos="75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根据你方项目采购编号为</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（工程项目名称）  </w:t>
      </w:r>
      <w:r>
        <w:rPr>
          <w:rFonts w:hint="eastAsia" w:ascii="宋体" w:hAnsi="宋体" w:eastAsia="宋体" w:cs="宋体"/>
          <w:color w:val="auto"/>
          <w:sz w:val="24"/>
          <w:szCs w:val="24"/>
          <w:highlight w:val="none"/>
        </w:rPr>
        <w:t>工程</w:t>
      </w:r>
      <w:r>
        <w:rPr>
          <w:rFonts w:hint="eastAsia" w:ascii="宋体" w:hAnsi="宋体" w:eastAsia="宋体" w:cs="宋体"/>
          <w:color w:val="auto"/>
          <w:kern w:val="0"/>
          <w:sz w:val="24"/>
          <w:szCs w:val="24"/>
          <w:highlight w:val="none"/>
        </w:rPr>
        <w:t>竞争性磋商采购</w:t>
      </w:r>
      <w:r>
        <w:rPr>
          <w:rFonts w:hint="eastAsia" w:ascii="宋体" w:hAnsi="宋体" w:eastAsia="宋体" w:cs="宋体"/>
          <w:color w:val="auto"/>
          <w:sz w:val="24"/>
          <w:szCs w:val="24"/>
          <w:highlight w:val="none"/>
        </w:rPr>
        <w:t>文件，遵照《中华人民共和国政府采购法》等有关规定，经踏勘项目现场和研究上述采购文件的磋商供应商须知、合同条款、图纸、工程建设标准和工程量清单及其他有关文件后，我方愿以人民币（大写）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元）的竞标总价并按上述图纸、合同条款、工程建设标准和工程量清单（如有时）的条件要求承包上述工程的施工、竣工，并承担任何质量缺陷保修责任。我方保证工程质量达到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等级。</w:t>
      </w:r>
    </w:p>
    <w:p w14:paraId="2CC8F385">
      <w:pPr>
        <w:tabs>
          <w:tab w:val="left" w:pos="75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2、我方已详细审核全部采购文件，包括修改文件（如有时）及有关附件。</w:t>
      </w:r>
    </w:p>
    <w:p w14:paraId="7D68A8D5">
      <w:pPr>
        <w:tabs>
          <w:tab w:val="left" w:pos="75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3、我方承认磋商书附录是我方磋商书的组成部分。</w:t>
      </w:r>
    </w:p>
    <w:p w14:paraId="7E2F3587">
      <w:pPr>
        <w:tabs>
          <w:tab w:val="left" w:pos="75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4、一旦我方成交，我方保证按合同书中规定的工期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日历天内完成并移交全部工程。</w:t>
      </w:r>
    </w:p>
    <w:p w14:paraId="6A7E954C">
      <w:pPr>
        <w:tabs>
          <w:tab w:val="left" w:pos="75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5、如果我方成交，我方将按照采购文件规定提交履约保证金作为履约担保（如有要求）。</w:t>
      </w:r>
    </w:p>
    <w:p w14:paraId="2BB6ED03">
      <w:pPr>
        <w:tabs>
          <w:tab w:val="left" w:pos="75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6、我方同意所提交的响应文件在采购文件的“磋商供应商须知”中规定的磋商有效期内有效，在此期间内如果成交，我方将受此约束。</w:t>
      </w:r>
    </w:p>
    <w:p w14:paraId="31916B1D">
      <w:pPr>
        <w:tabs>
          <w:tab w:val="left" w:pos="75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7、除非另外达成协议并生效，你方的成交通知书和本响应文件将成为约束双方的合同文件的组成部分。</w:t>
      </w:r>
    </w:p>
    <w:p w14:paraId="6400EBCC">
      <w:pPr>
        <w:tabs>
          <w:tab w:val="left" w:pos="756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8.我方将与本磋商书一起，提交人民币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元或无条件保函（保证额度</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）作为磋商保证金（如有要求）。</w:t>
      </w:r>
    </w:p>
    <w:p w14:paraId="34B497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9.我方同意提供按照贵方可能要求的与其磋商有关的一切数据或资料；</w:t>
      </w:r>
    </w:p>
    <w:p w14:paraId="31BB5E13">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10.与本磋商有关的一切正式往来信函请寄：</w:t>
      </w:r>
      <w:r>
        <w:rPr>
          <w:rFonts w:hint="eastAsia" w:ascii="宋体" w:hAnsi="宋体" w:eastAsia="宋体" w:cs="宋体"/>
          <w:color w:val="auto"/>
          <w:sz w:val="24"/>
          <w:szCs w:val="24"/>
          <w:highlight w:val="none"/>
          <w:u w:val="single"/>
        </w:rPr>
        <w:t xml:space="preserve">                       </w:t>
      </w:r>
    </w:p>
    <w:p w14:paraId="1911C52B">
      <w:pPr>
        <w:spacing w:line="360" w:lineRule="auto"/>
        <w:ind w:firstLine="8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6EFDF61">
      <w:pPr>
        <w:spacing w:line="360" w:lineRule="auto"/>
        <w:ind w:firstLine="8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账号/行号：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F23C788">
      <w:pPr>
        <w:ind w:firstLine="3600" w:firstLineChars="1500"/>
        <w:rPr>
          <w:rFonts w:hint="eastAsia" w:ascii="宋体" w:hAnsi="宋体" w:eastAsia="宋体" w:cs="宋体"/>
          <w:color w:val="auto"/>
          <w:sz w:val="24"/>
          <w:szCs w:val="24"/>
          <w:highlight w:val="none"/>
        </w:rPr>
      </w:pPr>
    </w:p>
    <w:p w14:paraId="6FC950A4">
      <w:pPr>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3E2CE1C">
      <w:pPr>
        <w:ind w:firstLine="840"/>
        <w:rPr>
          <w:rFonts w:hint="eastAsia" w:ascii="宋体" w:hAnsi="宋体" w:eastAsia="宋体" w:cs="宋体"/>
          <w:color w:val="auto"/>
          <w:sz w:val="24"/>
          <w:szCs w:val="24"/>
          <w:highlight w:val="none"/>
        </w:rPr>
      </w:pPr>
    </w:p>
    <w:p w14:paraId="02EEF649">
      <w:pPr>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5262823">
      <w:pPr>
        <w:ind w:firstLine="3960" w:firstLineChars="1650"/>
        <w:rPr>
          <w:rFonts w:hint="eastAsia" w:ascii="宋体" w:hAnsi="宋体" w:eastAsia="宋体" w:cs="宋体"/>
          <w:color w:val="auto"/>
          <w:sz w:val="24"/>
          <w:szCs w:val="24"/>
          <w:highlight w:val="none"/>
        </w:rPr>
      </w:pPr>
    </w:p>
    <w:p w14:paraId="2DC655B1">
      <w:pPr>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D7E0159">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 w:val="24"/>
          <w:szCs w:val="21"/>
          <w:highlight w:val="none"/>
        </w:rPr>
        <w:t>注：此项材料必须</w:t>
      </w:r>
      <w:r>
        <w:rPr>
          <w:rFonts w:hint="eastAsia" w:ascii="宋体" w:hAnsi="宋体" w:eastAsia="宋体" w:cs="宋体"/>
          <w:b/>
          <w:bCs/>
          <w:color w:val="auto"/>
          <w:sz w:val="24"/>
          <w:szCs w:val="21"/>
          <w:highlight w:val="none"/>
        </w:rPr>
        <w:t>以PDF格式上传。</w:t>
      </w:r>
    </w:p>
    <w:p w14:paraId="08934DFE">
      <w:pPr>
        <w:widowControl/>
        <w:jc w:val="center"/>
        <w:rPr>
          <w:rFonts w:hint="eastAsia" w:ascii="宋体" w:hAnsi="宋体" w:eastAsia="宋体" w:cs="宋体"/>
          <w:b/>
          <w:color w:val="auto"/>
          <w:sz w:val="24"/>
          <w:szCs w:val="24"/>
          <w:highlight w:val="none"/>
        </w:rPr>
      </w:pPr>
      <w:bookmarkStart w:id="1298" w:name="_Toc10884"/>
      <w:r>
        <w:rPr>
          <w:rFonts w:hint="eastAsia" w:ascii="宋体" w:hAnsi="宋体" w:eastAsia="宋体" w:cs="宋体"/>
          <w:b/>
          <w:color w:val="auto"/>
          <w:sz w:val="24"/>
          <w:szCs w:val="24"/>
          <w:highlight w:val="none"/>
        </w:rPr>
        <w:br w:type="page"/>
      </w:r>
      <w:r>
        <w:rPr>
          <w:rFonts w:hint="eastAsia" w:ascii="宋体" w:hAnsi="宋体" w:eastAsia="宋体" w:cs="宋体"/>
          <w:b/>
          <w:color w:val="auto"/>
          <w:sz w:val="32"/>
          <w:szCs w:val="32"/>
          <w:highlight w:val="none"/>
        </w:rPr>
        <w:t>2</w:t>
      </w:r>
      <w:bookmarkStart w:id="1299" w:name="_Toc389065357"/>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磋商</w:t>
      </w:r>
      <w:r>
        <w:rPr>
          <w:rFonts w:hint="eastAsia" w:ascii="宋体" w:hAnsi="宋体" w:eastAsia="宋体" w:cs="宋体"/>
          <w:b/>
          <w:color w:val="auto"/>
          <w:sz w:val="32"/>
          <w:szCs w:val="32"/>
          <w:highlight w:val="none"/>
          <w:lang w:val="en-US" w:eastAsia="zh-CN"/>
        </w:rPr>
        <w:t>函</w:t>
      </w:r>
      <w:r>
        <w:rPr>
          <w:rFonts w:hint="eastAsia" w:ascii="宋体" w:hAnsi="宋体" w:eastAsia="宋体" w:cs="宋体"/>
          <w:b/>
          <w:color w:val="auto"/>
          <w:sz w:val="32"/>
          <w:szCs w:val="32"/>
          <w:highlight w:val="none"/>
        </w:rPr>
        <w:t>附录</w:t>
      </w:r>
      <w:bookmarkEnd w:id="1298"/>
      <w:bookmarkEnd w:id="1299"/>
    </w:p>
    <w:p w14:paraId="14BAD3DC">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项目编号：</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single"/>
        </w:rPr>
        <w:t xml:space="preserve"> </w:t>
      </w:r>
    </w:p>
    <w:tbl>
      <w:tblPr>
        <w:tblStyle w:val="57"/>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3119"/>
        <w:gridCol w:w="1563"/>
        <w:gridCol w:w="1843"/>
      </w:tblGrid>
      <w:tr w14:paraId="0789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AD25037">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701" w:type="dxa"/>
            <w:vAlign w:val="center"/>
          </w:tcPr>
          <w:p w14:paraId="61E953A9">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条款内容</w:t>
            </w:r>
          </w:p>
        </w:tc>
        <w:tc>
          <w:tcPr>
            <w:tcW w:w="3119" w:type="dxa"/>
            <w:vAlign w:val="center"/>
          </w:tcPr>
          <w:p w14:paraId="2732D313">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招标文件条款号</w:t>
            </w:r>
          </w:p>
        </w:tc>
        <w:tc>
          <w:tcPr>
            <w:tcW w:w="1563" w:type="dxa"/>
            <w:vAlign w:val="center"/>
          </w:tcPr>
          <w:p w14:paraId="0E183302">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约定内容</w:t>
            </w:r>
          </w:p>
        </w:tc>
        <w:tc>
          <w:tcPr>
            <w:tcW w:w="1843" w:type="dxa"/>
            <w:vAlign w:val="center"/>
          </w:tcPr>
          <w:p w14:paraId="2DBFF80E">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供应商响应情况</w:t>
            </w:r>
          </w:p>
        </w:tc>
      </w:tr>
      <w:tr w14:paraId="1FBD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7D32F67">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701" w:type="dxa"/>
            <w:vAlign w:val="center"/>
          </w:tcPr>
          <w:p w14:paraId="6785B2C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w:t>
            </w:r>
          </w:p>
        </w:tc>
        <w:tc>
          <w:tcPr>
            <w:tcW w:w="3119" w:type="dxa"/>
            <w:tcMar>
              <w:left w:w="170" w:type="dxa"/>
            </w:tcMar>
            <w:vAlign w:val="center"/>
          </w:tcPr>
          <w:p w14:paraId="74C53768">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专用条款5</w:t>
            </w:r>
          </w:p>
        </w:tc>
        <w:tc>
          <w:tcPr>
            <w:tcW w:w="1563" w:type="dxa"/>
            <w:vAlign w:val="center"/>
          </w:tcPr>
          <w:p w14:paraId="6E183378">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r>
              <w:rPr>
                <w:rFonts w:hint="eastAsia" w:ascii="宋体" w:hAnsi="宋体" w:eastAsia="宋体" w:cs="宋体"/>
                <w:color w:val="auto"/>
                <w:szCs w:val="24"/>
                <w:highlight w:val="none"/>
                <w:u w:val="single"/>
              </w:rPr>
              <w:t xml:space="preserve">          </w:t>
            </w:r>
          </w:p>
        </w:tc>
        <w:tc>
          <w:tcPr>
            <w:tcW w:w="1843" w:type="dxa"/>
            <w:vAlign w:val="center"/>
          </w:tcPr>
          <w:p w14:paraId="79B4CD6E">
            <w:pPr>
              <w:rPr>
                <w:rFonts w:hint="eastAsia" w:ascii="宋体" w:hAnsi="宋体" w:eastAsia="宋体" w:cs="宋体"/>
                <w:color w:val="auto"/>
                <w:szCs w:val="24"/>
                <w:highlight w:val="none"/>
              </w:rPr>
            </w:pPr>
          </w:p>
        </w:tc>
      </w:tr>
      <w:tr w14:paraId="5A27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75D0F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701" w:type="dxa"/>
            <w:vAlign w:val="center"/>
          </w:tcPr>
          <w:p w14:paraId="44EB7E44">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工期</w:t>
            </w:r>
          </w:p>
        </w:tc>
        <w:tc>
          <w:tcPr>
            <w:tcW w:w="3119" w:type="dxa"/>
            <w:tcMar>
              <w:left w:w="170" w:type="dxa"/>
            </w:tcMar>
            <w:vAlign w:val="center"/>
          </w:tcPr>
          <w:p w14:paraId="2437EF97">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磋商供应商须知前附表第1项</w:t>
            </w:r>
          </w:p>
        </w:tc>
        <w:tc>
          <w:tcPr>
            <w:tcW w:w="1563" w:type="dxa"/>
            <w:vAlign w:val="center"/>
          </w:tcPr>
          <w:p w14:paraId="61A12A6A">
            <w:pPr>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日历天</w:t>
            </w:r>
          </w:p>
        </w:tc>
        <w:tc>
          <w:tcPr>
            <w:tcW w:w="1843" w:type="dxa"/>
            <w:vAlign w:val="center"/>
          </w:tcPr>
          <w:p w14:paraId="5738F5BF">
            <w:pPr>
              <w:rPr>
                <w:rFonts w:hint="eastAsia" w:ascii="宋体" w:hAnsi="宋体" w:eastAsia="宋体" w:cs="宋体"/>
                <w:color w:val="auto"/>
                <w:szCs w:val="24"/>
                <w:highlight w:val="none"/>
              </w:rPr>
            </w:pPr>
          </w:p>
        </w:tc>
      </w:tr>
      <w:tr w14:paraId="115C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8E47AF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701" w:type="dxa"/>
            <w:vAlign w:val="center"/>
          </w:tcPr>
          <w:p w14:paraId="12765FFB">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质量标准</w:t>
            </w:r>
          </w:p>
        </w:tc>
        <w:tc>
          <w:tcPr>
            <w:tcW w:w="3119" w:type="dxa"/>
            <w:tcMar>
              <w:left w:w="170" w:type="dxa"/>
            </w:tcMar>
            <w:vAlign w:val="center"/>
          </w:tcPr>
          <w:p w14:paraId="5735FA1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磋商供应商须知前附表第1项</w:t>
            </w:r>
          </w:p>
        </w:tc>
        <w:tc>
          <w:tcPr>
            <w:tcW w:w="1563" w:type="dxa"/>
            <w:vAlign w:val="center"/>
          </w:tcPr>
          <w:p w14:paraId="50AAF1F6">
            <w:pPr>
              <w:rPr>
                <w:rFonts w:hint="eastAsia" w:ascii="宋体" w:hAnsi="宋体" w:eastAsia="宋体" w:cs="宋体"/>
                <w:color w:val="auto"/>
                <w:szCs w:val="24"/>
                <w:highlight w:val="none"/>
              </w:rPr>
            </w:pPr>
          </w:p>
        </w:tc>
        <w:tc>
          <w:tcPr>
            <w:tcW w:w="1843" w:type="dxa"/>
            <w:vAlign w:val="center"/>
          </w:tcPr>
          <w:p w14:paraId="6354AA7A">
            <w:pPr>
              <w:rPr>
                <w:rFonts w:hint="eastAsia" w:ascii="宋体" w:hAnsi="宋体" w:eastAsia="宋体" w:cs="宋体"/>
                <w:color w:val="auto"/>
                <w:szCs w:val="24"/>
                <w:highlight w:val="none"/>
              </w:rPr>
            </w:pPr>
          </w:p>
        </w:tc>
      </w:tr>
      <w:tr w14:paraId="3174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5FCD310">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1701" w:type="dxa"/>
            <w:vAlign w:val="center"/>
          </w:tcPr>
          <w:p w14:paraId="40717C52">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磋商有效期</w:t>
            </w:r>
          </w:p>
        </w:tc>
        <w:tc>
          <w:tcPr>
            <w:tcW w:w="3119" w:type="dxa"/>
            <w:tcMar>
              <w:left w:w="170" w:type="dxa"/>
            </w:tcMar>
            <w:vAlign w:val="center"/>
          </w:tcPr>
          <w:p w14:paraId="7CBEEFBC">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磋商供应商须知前附表第6项</w:t>
            </w:r>
          </w:p>
        </w:tc>
        <w:tc>
          <w:tcPr>
            <w:tcW w:w="1563" w:type="dxa"/>
            <w:vAlign w:val="center"/>
          </w:tcPr>
          <w:p w14:paraId="6E107526">
            <w:pPr>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日历天</w:t>
            </w:r>
          </w:p>
        </w:tc>
        <w:tc>
          <w:tcPr>
            <w:tcW w:w="1843" w:type="dxa"/>
            <w:vAlign w:val="center"/>
          </w:tcPr>
          <w:p w14:paraId="544DB0A8">
            <w:pPr>
              <w:rPr>
                <w:rFonts w:hint="eastAsia" w:ascii="宋体" w:hAnsi="宋体" w:eastAsia="宋体" w:cs="宋体"/>
                <w:color w:val="auto"/>
                <w:szCs w:val="24"/>
                <w:highlight w:val="none"/>
              </w:rPr>
            </w:pPr>
          </w:p>
        </w:tc>
      </w:tr>
      <w:tr w14:paraId="6645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949188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1701" w:type="dxa"/>
            <w:vAlign w:val="center"/>
          </w:tcPr>
          <w:p w14:paraId="563F064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预付款额度</w:t>
            </w:r>
          </w:p>
        </w:tc>
        <w:tc>
          <w:tcPr>
            <w:tcW w:w="3119" w:type="dxa"/>
            <w:tcMar>
              <w:left w:w="170" w:type="dxa"/>
            </w:tcMar>
            <w:vAlign w:val="center"/>
          </w:tcPr>
          <w:p w14:paraId="7A80B583">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专用条款16</w:t>
            </w:r>
          </w:p>
        </w:tc>
        <w:tc>
          <w:tcPr>
            <w:tcW w:w="1563" w:type="dxa"/>
            <w:vAlign w:val="center"/>
          </w:tcPr>
          <w:p w14:paraId="5A96C079">
            <w:pPr>
              <w:jc w:val="cente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 xml:space="preserve">     %</w:t>
            </w:r>
          </w:p>
        </w:tc>
        <w:tc>
          <w:tcPr>
            <w:tcW w:w="1843" w:type="dxa"/>
            <w:vAlign w:val="center"/>
          </w:tcPr>
          <w:p w14:paraId="4851B55F">
            <w:pPr>
              <w:rPr>
                <w:rFonts w:hint="eastAsia" w:ascii="宋体" w:hAnsi="宋体" w:eastAsia="宋体" w:cs="宋体"/>
                <w:color w:val="auto"/>
                <w:szCs w:val="24"/>
                <w:highlight w:val="none"/>
              </w:rPr>
            </w:pPr>
          </w:p>
        </w:tc>
      </w:tr>
      <w:tr w14:paraId="1EF1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AE1213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p>
        </w:tc>
        <w:tc>
          <w:tcPr>
            <w:tcW w:w="1701" w:type="dxa"/>
            <w:vAlign w:val="center"/>
          </w:tcPr>
          <w:p w14:paraId="67C8FACA">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履约保证金金额</w:t>
            </w:r>
          </w:p>
        </w:tc>
        <w:tc>
          <w:tcPr>
            <w:tcW w:w="3119" w:type="dxa"/>
            <w:tcMar>
              <w:left w:w="170" w:type="dxa"/>
            </w:tcMar>
            <w:vAlign w:val="center"/>
          </w:tcPr>
          <w:p w14:paraId="290A54F5">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磋商供应商须知前附表第14项</w:t>
            </w:r>
          </w:p>
        </w:tc>
        <w:tc>
          <w:tcPr>
            <w:tcW w:w="1563" w:type="dxa"/>
            <w:vAlign w:val="center"/>
          </w:tcPr>
          <w:p w14:paraId="070403A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无</w:t>
            </w:r>
          </w:p>
        </w:tc>
        <w:tc>
          <w:tcPr>
            <w:tcW w:w="1843" w:type="dxa"/>
            <w:vAlign w:val="center"/>
          </w:tcPr>
          <w:p w14:paraId="52CCC3B7">
            <w:pPr>
              <w:rPr>
                <w:rFonts w:hint="eastAsia" w:ascii="宋体" w:hAnsi="宋体" w:eastAsia="宋体" w:cs="宋体"/>
                <w:color w:val="auto"/>
                <w:szCs w:val="24"/>
                <w:highlight w:val="none"/>
              </w:rPr>
            </w:pPr>
          </w:p>
        </w:tc>
      </w:tr>
      <w:tr w14:paraId="365F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B13A04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w:t>
            </w:r>
          </w:p>
        </w:tc>
        <w:tc>
          <w:tcPr>
            <w:tcW w:w="1701" w:type="dxa"/>
            <w:vAlign w:val="center"/>
          </w:tcPr>
          <w:p w14:paraId="509697D8">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质量保修金额度</w:t>
            </w:r>
          </w:p>
        </w:tc>
        <w:tc>
          <w:tcPr>
            <w:tcW w:w="3119" w:type="dxa"/>
            <w:tcMar>
              <w:left w:w="170" w:type="dxa"/>
            </w:tcMar>
            <w:vAlign w:val="center"/>
          </w:tcPr>
          <w:p w14:paraId="14092595">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专用条款</w:t>
            </w:r>
          </w:p>
        </w:tc>
        <w:tc>
          <w:tcPr>
            <w:tcW w:w="1563" w:type="dxa"/>
            <w:vAlign w:val="center"/>
          </w:tcPr>
          <w:p w14:paraId="0DA83253">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结算价的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w:t>
            </w:r>
          </w:p>
        </w:tc>
        <w:tc>
          <w:tcPr>
            <w:tcW w:w="1843" w:type="dxa"/>
            <w:vAlign w:val="center"/>
          </w:tcPr>
          <w:p w14:paraId="3E8EF1F9">
            <w:pPr>
              <w:rPr>
                <w:rFonts w:hint="eastAsia" w:ascii="宋体" w:hAnsi="宋体" w:eastAsia="宋体" w:cs="宋体"/>
                <w:color w:val="auto"/>
                <w:szCs w:val="24"/>
                <w:highlight w:val="none"/>
              </w:rPr>
            </w:pPr>
          </w:p>
        </w:tc>
      </w:tr>
      <w:tr w14:paraId="6501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4" w:type="dxa"/>
            <w:vAlign w:val="center"/>
          </w:tcPr>
          <w:p w14:paraId="544609B0">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701" w:type="dxa"/>
            <w:vAlign w:val="center"/>
          </w:tcPr>
          <w:p w14:paraId="3D6158BB">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3119" w:type="dxa"/>
            <w:tcMar>
              <w:left w:w="170" w:type="dxa"/>
            </w:tcMar>
            <w:vAlign w:val="center"/>
          </w:tcPr>
          <w:p w14:paraId="0D8E43DE">
            <w:pPr>
              <w:rPr>
                <w:rFonts w:hint="eastAsia" w:ascii="宋体" w:hAnsi="宋体" w:eastAsia="宋体" w:cs="宋体"/>
                <w:color w:val="auto"/>
                <w:szCs w:val="24"/>
                <w:highlight w:val="none"/>
              </w:rPr>
            </w:pPr>
          </w:p>
        </w:tc>
        <w:tc>
          <w:tcPr>
            <w:tcW w:w="1563" w:type="dxa"/>
            <w:vAlign w:val="center"/>
          </w:tcPr>
          <w:p w14:paraId="457C0B27">
            <w:pPr>
              <w:rPr>
                <w:rFonts w:hint="eastAsia" w:ascii="宋体" w:hAnsi="宋体" w:eastAsia="宋体" w:cs="宋体"/>
                <w:color w:val="auto"/>
                <w:szCs w:val="24"/>
                <w:highlight w:val="none"/>
              </w:rPr>
            </w:pPr>
          </w:p>
        </w:tc>
        <w:tc>
          <w:tcPr>
            <w:tcW w:w="1843" w:type="dxa"/>
            <w:vAlign w:val="center"/>
          </w:tcPr>
          <w:p w14:paraId="35E82F70">
            <w:pPr>
              <w:rPr>
                <w:rFonts w:hint="eastAsia" w:ascii="宋体" w:hAnsi="宋体" w:eastAsia="宋体" w:cs="宋体"/>
                <w:color w:val="auto"/>
                <w:szCs w:val="24"/>
                <w:highlight w:val="none"/>
              </w:rPr>
            </w:pPr>
          </w:p>
        </w:tc>
      </w:tr>
      <w:tr w14:paraId="4A9B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930" w:type="dxa"/>
            <w:gridSpan w:val="5"/>
            <w:vAlign w:val="center"/>
          </w:tcPr>
          <w:p w14:paraId="234C0FD4">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说明：供应商在响应磋商文件中规定的实质性要求和条件的基础上，可做出其他有利于采购人的承诺。此类承诺可在本表中予以补充填写。</w:t>
            </w:r>
          </w:p>
        </w:tc>
      </w:tr>
    </w:tbl>
    <w:p w14:paraId="6152A214">
      <w:pPr>
        <w:ind w:firstLine="3600" w:firstLineChars="1500"/>
        <w:rPr>
          <w:rFonts w:hint="eastAsia" w:ascii="宋体" w:hAnsi="宋体" w:eastAsia="宋体" w:cs="宋体"/>
          <w:color w:val="auto"/>
          <w:sz w:val="24"/>
          <w:szCs w:val="24"/>
          <w:highlight w:val="none"/>
        </w:rPr>
      </w:pPr>
    </w:p>
    <w:p w14:paraId="5C13A81A">
      <w:pPr>
        <w:ind w:firstLine="3600" w:firstLineChars="1500"/>
        <w:rPr>
          <w:rFonts w:hint="eastAsia" w:ascii="宋体" w:hAnsi="宋体" w:eastAsia="宋体" w:cs="宋体"/>
          <w:color w:val="auto"/>
          <w:sz w:val="24"/>
          <w:szCs w:val="24"/>
          <w:highlight w:val="none"/>
        </w:rPr>
      </w:pPr>
    </w:p>
    <w:p w14:paraId="5E11E733">
      <w:pPr>
        <w:ind w:firstLine="3600" w:firstLineChars="1500"/>
        <w:rPr>
          <w:rFonts w:hint="eastAsia" w:ascii="宋体" w:hAnsi="宋体" w:eastAsia="宋体" w:cs="宋体"/>
          <w:color w:val="auto"/>
          <w:sz w:val="24"/>
          <w:szCs w:val="24"/>
          <w:highlight w:val="none"/>
        </w:rPr>
      </w:pPr>
    </w:p>
    <w:p w14:paraId="10149070">
      <w:pPr>
        <w:ind w:firstLine="3600" w:firstLineChars="1500"/>
        <w:rPr>
          <w:rFonts w:hint="eastAsia" w:ascii="宋体" w:hAnsi="宋体" w:eastAsia="宋体" w:cs="宋体"/>
          <w:color w:val="auto"/>
          <w:sz w:val="24"/>
          <w:szCs w:val="24"/>
          <w:highlight w:val="none"/>
        </w:rPr>
      </w:pPr>
    </w:p>
    <w:p w14:paraId="54F12078">
      <w:pPr>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6AEDD20">
      <w:pPr>
        <w:ind w:firstLine="840"/>
        <w:rPr>
          <w:rFonts w:hint="eastAsia" w:ascii="宋体" w:hAnsi="宋体" w:eastAsia="宋体" w:cs="宋体"/>
          <w:color w:val="auto"/>
          <w:sz w:val="24"/>
          <w:szCs w:val="24"/>
          <w:highlight w:val="none"/>
        </w:rPr>
      </w:pPr>
    </w:p>
    <w:p w14:paraId="425B4FC0">
      <w:pPr>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4EB9C1B">
      <w:pPr>
        <w:ind w:firstLine="3960" w:firstLineChars="1650"/>
        <w:rPr>
          <w:rFonts w:hint="eastAsia" w:ascii="宋体" w:hAnsi="宋体" w:eastAsia="宋体" w:cs="宋体"/>
          <w:color w:val="auto"/>
          <w:sz w:val="24"/>
          <w:szCs w:val="24"/>
          <w:highlight w:val="none"/>
        </w:rPr>
      </w:pPr>
    </w:p>
    <w:p w14:paraId="0132D941">
      <w:pPr>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9C31BED">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 w:val="24"/>
          <w:szCs w:val="21"/>
          <w:highlight w:val="none"/>
        </w:rPr>
        <w:t>注：此项材料必须</w:t>
      </w:r>
      <w:r>
        <w:rPr>
          <w:rFonts w:hint="eastAsia" w:ascii="宋体" w:hAnsi="宋体" w:eastAsia="宋体" w:cs="宋体"/>
          <w:b/>
          <w:bCs/>
          <w:color w:val="auto"/>
          <w:sz w:val="24"/>
          <w:szCs w:val="21"/>
          <w:highlight w:val="none"/>
        </w:rPr>
        <w:t>以PDF格式上传。</w:t>
      </w:r>
    </w:p>
    <w:p w14:paraId="6B3AFA26">
      <w:pPr>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5A0D66CB">
      <w:pPr>
        <w:spacing w:line="360" w:lineRule="auto"/>
        <w:jc w:val="center"/>
        <w:rPr>
          <w:rFonts w:hint="eastAsia" w:ascii="宋体" w:hAnsi="宋体" w:eastAsia="宋体" w:cs="宋体"/>
          <w:bCs/>
          <w:color w:val="auto"/>
          <w:sz w:val="24"/>
          <w:szCs w:val="21"/>
          <w:highlight w:val="none"/>
        </w:rPr>
      </w:pPr>
      <w:r>
        <w:rPr>
          <w:rFonts w:hint="eastAsia" w:ascii="宋体" w:hAnsi="宋体" w:eastAsia="宋体" w:cs="宋体"/>
          <w:b/>
          <w:color w:val="auto"/>
          <w:sz w:val="32"/>
          <w:szCs w:val="32"/>
          <w:highlight w:val="none"/>
        </w:rPr>
        <w:t>3</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已标价的工程量清单</w:t>
      </w:r>
    </w:p>
    <w:p w14:paraId="399236C6">
      <w:pPr>
        <w:spacing w:line="360" w:lineRule="auto"/>
        <w:rPr>
          <w:rFonts w:hint="eastAsia" w:ascii="宋体" w:hAnsi="宋体" w:eastAsia="宋体" w:cs="宋体"/>
          <w:b/>
          <w:color w:val="auto"/>
          <w:sz w:val="24"/>
          <w:szCs w:val="21"/>
          <w:highlight w:val="none"/>
        </w:rPr>
      </w:pPr>
    </w:p>
    <w:p w14:paraId="34A757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已标价工程量清单应按磋商文件第五章</w:t>
      </w:r>
      <w:r>
        <w:rPr>
          <w:rFonts w:hint="eastAsia" w:ascii="宋体" w:hAnsi="宋体" w:eastAsia="宋体" w:cs="宋体"/>
          <w:color w:val="auto"/>
          <w:kern w:val="0"/>
          <w:sz w:val="24"/>
          <w:szCs w:val="24"/>
          <w:highlight w:val="none"/>
        </w:rPr>
        <w:t>采购人提供的</w:t>
      </w:r>
      <w:r>
        <w:rPr>
          <w:rFonts w:hint="eastAsia" w:ascii="宋体" w:hAnsi="宋体" w:eastAsia="宋体" w:cs="宋体"/>
          <w:color w:val="auto"/>
          <w:sz w:val="24"/>
          <w:szCs w:val="24"/>
          <w:highlight w:val="none"/>
        </w:rPr>
        <w:t>“工程量清单”中的相关表格及竞标报价说明填写。</w:t>
      </w:r>
    </w:p>
    <w:p w14:paraId="546C8420">
      <w:pPr>
        <w:spacing w:line="360" w:lineRule="auto"/>
        <w:rPr>
          <w:rFonts w:hint="eastAsia" w:ascii="宋体" w:hAnsi="宋体" w:eastAsia="宋体" w:cs="宋体"/>
          <w:b/>
          <w:color w:val="auto"/>
          <w:sz w:val="24"/>
          <w:szCs w:val="24"/>
          <w:highlight w:val="none"/>
        </w:rPr>
      </w:pPr>
    </w:p>
    <w:p w14:paraId="78844050">
      <w:pPr>
        <w:spacing w:line="360" w:lineRule="auto"/>
        <w:rPr>
          <w:rFonts w:hint="eastAsia" w:ascii="宋体" w:hAnsi="宋体" w:eastAsia="宋体" w:cs="宋体"/>
          <w:b/>
          <w:color w:val="auto"/>
          <w:sz w:val="24"/>
          <w:szCs w:val="24"/>
          <w:highlight w:val="none"/>
        </w:rPr>
      </w:pPr>
    </w:p>
    <w:p w14:paraId="052CB2B1">
      <w:pPr>
        <w:spacing w:line="360" w:lineRule="auto"/>
        <w:rPr>
          <w:rFonts w:hint="eastAsia" w:ascii="宋体" w:hAnsi="宋体" w:eastAsia="宋体" w:cs="宋体"/>
          <w:color w:val="auto"/>
          <w:szCs w:val="24"/>
          <w:highlight w:val="none"/>
        </w:rPr>
      </w:pPr>
    </w:p>
    <w:p w14:paraId="0FE6274F">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 w:val="24"/>
          <w:szCs w:val="21"/>
          <w:highlight w:val="none"/>
        </w:rPr>
        <w:t>注：此项材料必须</w:t>
      </w:r>
      <w:r>
        <w:rPr>
          <w:rFonts w:hint="eastAsia" w:ascii="宋体" w:hAnsi="宋体" w:eastAsia="宋体" w:cs="宋体"/>
          <w:b/>
          <w:bCs/>
          <w:color w:val="auto"/>
          <w:sz w:val="24"/>
          <w:szCs w:val="21"/>
          <w:highlight w:val="none"/>
        </w:rPr>
        <w:t>以PDF格式上传。</w:t>
      </w:r>
    </w:p>
    <w:p w14:paraId="03DD2388">
      <w:pPr>
        <w:spacing w:line="360" w:lineRule="auto"/>
        <w:jc w:val="center"/>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rPr>
        <w:br w:type="page"/>
      </w:r>
    </w:p>
    <w:p w14:paraId="6DC289C7">
      <w:pPr>
        <w:spacing w:line="360" w:lineRule="auto"/>
        <w:jc w:val="center"/>
        <w:rPr>
          <w:rFonts w:hint="eastAsia" w:ascii="宋体" w:hAnsi="宋体" w:eastAsia="宋体" w:cs="宋体"/>
          <w:color w:val="auto"/>
          <w:szCs w:val="24"/>
          <w:highlight w:val="none"/>
        </w:rPr>
      </w:pPr>
    </w:p>
    <w:p w14:paraId="54A4153D">
      <w:pPr>
        <w:spacing w:line="360" w:lineRule="auto"/>
        <w:jc w:val="center"/>
        <w:rPr>
          <w:rFonts w:hint="eastAsia" w:ascii="宋体" w:hAnsi="宋体" w:eastAsia="宋体" w:cs="宋体"/>
          <w:color w:val="auto"/>
          <w:szCs w:val="24"/>
          <w:highlight w:val="none"/>
        </w:rPr>
      </w:pPr>
    </w:p>
    <w:p w14:paraId="4DFF7959">
      <w:pPr>
        <w:spacing w:line="360" w:lineRule="auto"/>
        <w:jc w:val="center"/>
        <w:rPr>
          <w:rFonts w:hint="eastAsia" w:ascii="宋体" w:hAnsi="宋体" w:eastAsia="宋体" w:cs="宋体"/>
          <w:color w:val="auto"/>
          <w:szCs w:val="24"/>
          <w:highlight w:val="none"/>
        </w:rPr>
      </w:pPr>
    </w:p>
    <w:p w14:paraId="3A4F4C17">
      <w:pPr>
        <w:spacing w:line="360" w:lineRule="auto"/>
        <w:jc w:val="center"/>
        <w:rPr>
          <w:rFonts w:hint="eastAsia" w:ascii="宋体" w:hAnsi="宋体" w:eastAsia="宋体" w:cs="宋体"/>
          <w:color w:val="auto"/>
          <w:szCs w:val="24"/>
          <w:highlight w:val="none"/>
        </w:rPr>
      </w:pPr>
    </w:p>
    <w:p w14:paraId="20D14429">
      <w:pPr>
        <w:spacing w:line="360" w:lineRule="auto"/>
        <w:jc w:val="center"/>
        <w:rPr>
          <w:rFonts w:hint="eastAsia" w:ascii="宋体" w:hAnsi="宋体" w:eastAsia="宋体" w:cs="宋体"/>
          <w:color w:val="auto"/>
          <w:szCs w:val="24"/>
          <w:highlight w:val="none"/>
        </w:rPr>
      </w:pPr>
    </w:p>
    <w:p w14:paraId="351CCDEC">
      <w:pPr>
        <w:spacing w:line="360" w:lineRule="auto"/>
        <w:jc w:val="center"/>
        <w:rPr>
          <w:rFonts w:hint="eastAsia" w:ascii="宋体" w:hAnsi="宋体" w:eastAsia="宋体" w:cs="宋体"/>
          <w:color w:val="auto"/>
          <w:szCs w:val="24"/>
          <w:highlight w:val="none"/>
        </w:rPr>
      </w:pPr>
    </w:p>
    <w:p w14:paraId="77399CF0">
      <w:pPr>
        <w:spacing w:line="360" w:lineRule="auto"/>
        <w:jc w:val="center"/>
        <w:rPr>
          <w:rFonts w:hint="eastAsia" w:ascii="宋体" w:hAnsi="宋体" w:eastAsia="宋体" w:cs="宋体"/>
          <w:color w:val="auto"/>
          <w:szCs w:val="24"/>
          <w:highlight w:val="none"/>
        </w:rPr>
      </w:pPr>
    </w:p>
    <w:p w14:paraId="1326D507">
      <w:pPr>
        <w:spacing w:line="360" w:lineRule="auto"/>
        <w:jc w:val="center"/>
        <w:rPr>
          <w:rFonts w:hint="eastAsia" w:ascii="宋体" w:hAnsi="宋体" w:eastAsia="宋体" w:cs="宋体"/>
          <w:color w:val="auto"/>
          <w:szCs w:val="24"/>
          <w:highlight w:val="none"/>
        </w:rPr>
      </w:pPr>
    </w:p>
    <w:p w14:paraId="4D34AA33">
      <w:pPr>
        <w:spacing w:line="360" w:lineRule="auto"/>
        <w:jc w:val="center"/>
        <w:rPr>
          <w:rFonts w:hint="eastAsia" w:ascii="宋体" w:hAnsi="宋体" w:eastAsia="宋体" w:cs="宋体"/>
          <w:color w:val="auto"/>
          <w:szCs w:val="24"/>
          <w:highlight w:val="none"/>
        </w:rPr>
      </w:pPr>
    </w:p>
    <w:p w14:paraId="0129FF07">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44"/>
          <w:szCs w:val="44"/>
          <w:highlight w:val="none"/>
        </w:rPr>
        <w:t>三、商务技术文件</w:t>
      </w:r>
    </w:p>
    <w:p w14:paraId="6CC6F919">
      <w:pPr>
        <w:rPr>
          <w:rFonts w:hint="eastAsia" w:ascii="宋体" w:hAnsi="宋体" w:eastAsia="宋体" w:cs="宋体"/>
          <w:color w:val="auto"/>
          <w:sz w:val="32"/>
          <w:szCs w:val="40"/>
          <w:highlight w:val="none"/>
        </w:rPr>
      </w:pPr>
      <w:r>
        <w:rPr>
          <w:rFonts w:hint="eastAsia" w:ascii="宋体" w:hAnsi="宋体" w:eastAsia="宋体" w:cs="宋体"/>
          <w:b/>
          <w:color w:val="auto"/>
          <w:sz w:val="24"/>
          <w:szCs w:val="24"/>
          <w:highlight w:val="none"/>
        </w:rPr>
        <w:br w:type="page"/>
      </w:r>
    </w:p>
    <w:p w14:paraId="16A32CF9">
      <w:pPr>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t>商务技术文件封面格式</w:t>
      </w:r>
    </w:p>
    <w:p w14:paraId="5E5C9DB9">
      <w:pPr>
        <w:snapToGrid w:val="0"/>
        <w:spacing w:before="156" w:beforeLines="50" w:after="50"/>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电子响应文件</w:t>
      </w:r>
    </w:p>
    <w:p w14:paraId="366D43E7">
      <w:pPr>
        <w:rPr>
          <w:rFonts w:hint="eastAsia" w:ascii="宋体" w:hAnsi="宋体" w:eastAsia="宋体" w:cs="宋体"/>
          <w:color w:val="auto"/>
          <w:szCs w:val="24"/>
          <w:highlight w:val="none"/>
        </w:rPr>
      </w:pPr>
    </w:p>
    <w:p w14:paraId="45F67D0E">
      <w:pPr>
        <w:rPr>
          <w:rFonts w:hint="eastAsia" w:ascii="宋体" w:hAnsi="宋体" w:eastAsia="宋体" w:cs="宋体"/>
          <w:color w:val="auto"/>
          <w:szCs w:val="24"/>
          <w:highlight w:val="none"/>
        </w:rPr>
      </w:pPr>
    </w:p>
    <w:p w14:paraId="71145BA7">
      <w:pPr>
        <w:snapToGrid w:val="0"/>
        <w:spacing w:before="156" w:beforeLines="50" w:after="50" w:line="40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商务技术文件</w:t>
      </w:r>
    </w:p>
    <w:p w14:paraId="3A4291EA">
      <w:pPr>
        <w:rPr>
          <w:rFonts w:hint="eastAsia" w:ascii="宋体" w:hAnsi="宋体" w:eastAsia="宋体" w:cs="宋体"/>
          <w:color w:val="auto"/>
          <w:szCs w:val="24"/>
          <w:highlight w:val="none"/>
        </w:rPr>
      </w:pPr>
    </w:p>
    <w:p w14:paraId="42BCB1E9">
      <w:pPr>
        <w:rPr>
          <w:rFonts w:hint="eastAsia" w:ascii="宋体" w:hAnsi="宋体" w:eastAsia="宋体" w:cs="宋体"/>
          <w:color w:val="auto"/>
          <w:szCs w:val="24"/>
          <w:highlight w:val="none"/>
        </w:rPr>
      </w:pPr>
    </w:p>
    <w:p w14:paraId="25F426C0">
      <w:pPr>
        <w:rPr>
          <w:rFonts w:hint="eastAsia" w:ascii="宋体" w:hAnsi="宋体" w:eastAsia="宋体" w:cs="宋体"/>
          <w:color w:val="auto"/>
          <w:szCs w:val="24"/>
          <w:highlight w:val="none"/>
        </w:rPr>
      </w:pPr>
    </w:p>
    <w:p w14:paraId="418869BC">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42C8D756">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p>
    <w:p w14:paraId="68680EAD">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72A7D6F4">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p>
    <w:p w14:paraId="02666AEE">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所投分标：（若无划“/”）</w:t>
      </w:r>
    </w:p>
    <w:p w14:paraId="16F67004">
      <w:pPr>
        <w:snapToGrid w:val="0"/>
        <w:spacing w:before="156" w:beforeLines="50" w:after="50" w:line="400" w:lineRule="exact"/>
        <w:rPr>
          <w:rFonts w:hint="eastAsia" w:ascii="宋体" w:hAnsi="宋体" w:eastAsia="宋体" w:cs="宋体"/>
          <w:bCs/>
          <w:color w:val="auto"/>
          <w:sz w:val="32"/>
          <w:szCs w:val="32"/>
          <w:highlight w:val="none"/>
        </w:rPr>
      </w:pPr>
    </w:p>
    <w:p w14:paraId="546B6C04">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AB959E8">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p>
    <w:p w14:paraId="3A449803">
      <w:pPr>
        <w:snapToGrid w:val="0"/>
        <w:spacing w:before="156" w:beforeLines="50" w:after="50" w:line="4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供应商地址：</w:t>
      </w:r>
    </w:p>
    <w:p w14:paraId="69DD91E2">
      <w:pPr>
        <w:snapToGrid w:val="0"/>
        <w:spacing w:before="50" w:after="50" w:line="400" w:lineRule="exact"/>
        <w:ind w:firstLine="1280" w:firstLineChars="400"/>
        <w:rPr>
          <w:rFonts w:hint="eastAsia" w:ascii="宋体" w:hAnsi="宋体" w:eastAsia="宋体" w:cs="宋体"/>
          <w:bCs/>
          <w:color w:val="auto"/>
          <w:sz w:val="32"/>
          <w:szCs w:val="32"/>
          <w:highlight w:val="none"/>
        </w:rPr>
      </w:pPr>
    </w:p>
    <w:p w14:paraId="1E4555FE">
      <w:pPr>
        <w:snapToGrid w:val="0"/>
        <w:spacing w:before="156" w:beforeLines="50" w:after="50" w:line="400" w:lineRule="exact"/>
        <w:rPr>
          <w:rFonts w:hint="eastAsia" w:ascii="宋体" w:hAnsi="宋体" w:eastAsia="宋体" w:cs="宋体"/>
          <w:color w:val="auto"/>
          <w:sz w:val="36"/>
          <w:highlight w:val="none"/>
        </w:rPr>
      </w:pPr>
      <w:r>
        <w:rPr>
          <w:rFonts w:hint="eastAsia" w:ascii="宋体" w:hAnsi="宋体" w:eastAsia="宋体" w:cs="宋体"/>
          <w:color w:val="auto"/>
          <w:sz w:val="32"/>
          <w:szCs w:val="32"/>
          <w:highlight w:val="none"/>
        </w:rPr>
        <w:t xml:space="preserve">                                   年  </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月  日</w:t>
      </w:r>
    </w:p>
    <w:p w14:paraId="187F37FD">
      <w:pPr>
        <w:snapToGrid w:val="0"/>
        <w:spacing w:before="156"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0E221748">
      <w:pPr>
        <w:rPr>
          <w:rFonts w:hint="eastAsia" w:ascii="宋体" w:hAnsi="宋体" w:eastAsia="宋体" w:cs="宋体"/>
          <w:color w:val="auto"/>
          <w:sz w:val="32"/>
          <w:szCs w:val="40"/>
          <w:highlight w:val="none"/>
        </w:rPr>
      </w:pPr>
      <w:r>
        <w:rPr>
          <w:rFonts w:hint="eastAsia" w:ascii="宋体" w:hAnsi="宋体" w:eastAsia="宋体" w:cs="宋体"/>
          <w:color w:val="auto"/>
          <w:szCs w:val="20"/>
          <w:highlight w:val="none"/>
        </w:rPr>
        <w:br w:type="page"/>
      </w:r>
      <w:r>
        <w:rPr>
          <w:rFonts w:hint="eastAsia" w:ascii="宋体" w:hAnsi="宋体" w:eastAsia="宋体" w:cs="宋体"/>
          <w:color w:val="auto"/>
          <w:sz w:val="32"/>
          <w:szCs w:val="40"/>
          <w:highlight w:val="none"/>
        </w:rPr>
        <w:t>商务技术文件目录</w:t>
      </w:r>
    </w:p>
    <w:p w14:paraId="79CD9BC8">
      <w:pPr>
        <w:snapToGrid w:val="0"/>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根据采购文件规定及供应商提供的材料自行编写目录。</w:t>
      </w:r>
    </w:p>
    <w:p w14:paraId="56066281">
      <w:pPr>
        <w:snapToGrid w:val="0"/>
        <w:ind w:firstLine="643" w:firstLineChars="200"/>
        <w:rPr>
          <w:rFonts w:hint="eastAsia" w:ascii="宋体" w:hAnsi="宋体" w:eastAsia="宋体" w:cs="宋体"/>
          <w:b/>
          <w:bCs/>
          <w:color w:val="auto"/>
          <w:sz w:val="32"/>
          <w:szCs w:val="32"/>
          <w:highlight w:val="none"/>
        </w:rPr>
      </w:pPr>
    </w:p>
    <w:p w14:paraId="1AC64EB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Cs w:val="24"/>
          <w:highlight w:val="none"/>
        </w:rPr>
        <w:br w:type="page"/>
      </w:r>
    </w:p>
    <w:p w14:paraId="3C4AE4EF">
      <w:pPr>
        <w:adjustRightInd w:val="0"/>
        <w:snapToGrid w:val="0"/>
        <w:spacing w:line="360" w:lineRule="auto"/>
        <w:ind w:left="-88" w:leftChars="-42"/>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lang w:val="en-US" w:eastAsia="zh-CN"/>
        </w:rPr>
        <w:t>1.</w:t>
      </w:r>
      <w:r>
        <w:rPr>
          <w:rFonts w:hint="eastAsia" w:ascii="宋体" w:hAnsi="宋体" w:eastAsia="宋体" w:cs="宋体"/>
          <w:b/>
          <w:color w:val="auto"/>
          <w:sz w:val="32"/>
          <w:szCs w:val="24"/>
          <w:highlight w:val="none"/>
        </w:rPr>
        <w:t>法定代表人身份证明书</w:t>
      </w:r>
    </w:p>
    <w:p w14:paraId="268E531E">
      <w:pPr>
        <w:spacing w:line="360" w:lineRule="auto"/>
        <w:ind w:firstLine="840" w:firstLineChars="400"/>
        <w:rPr>
          <w:rFonts w:hint="eastAsia" w:ascii="宋体" w:hAnsi="宋体" w:eastAsia="宋体" w:cs="宋体"/>
          <w:color w:val="auto"/>
          <w:szCs w:val="24"/>
          <w:highlight w:val="none"/>
          <w:u w:val="single"/>
        </w:rPr>
      </w:pPr>
    </w:p>
    <w:p w14:paraId="15A958BA">
      <w:pPr>
        <w:spacing w:line="360" w:lineRule="auto"/>
        <w:ind w:firstLine="840" w:firstLineChars="4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（法定代表人名字）       </w:t>
      </w:r>
      <w:r>
        <w:rPr>
          <w:rFonts w:hint="eastAsia" w:ascii="宋体" w:hAnsi="宋体" w:eastAsia="宋体" w:cs="宋体"/>
          <w:color w:val="auto"/>
          <w:szCs w:val="24"/>
          <w:highlight w:val="none"/>
        </w:rPr>
        <w:t xml:space="preserve"> 在</w:t>
      </w:r>
      <w:r>
        <w:rPr>
          <w:rFonts w:hint="eastAsia" w:ascii="宋体" w:hAnsi="宋体" w:eastAsia="宋体" w:cs="宋体"/>
          <w:color w:val="auto"/>
          <w:szCs w:val="24"/>
          <w:highlight w:val="none"/>
          <w:u w:val="single"/>
        </w:rPr>
        <w:t xml:space="preserve">（ 单位名称）     </w:t>
      </w:r>
      <w:r>
        <w:rPr>
          <w:rFonts w:hint="eastAsia" w:ascii="宋体" w:hAnsi="宋体" w:eastAsia="宋体" w:cs="宋体"/>
          <w:color w:val="auto"/>
          <w:szCs w:val="24"/>
          <w:highlight w:val="none"/>
        </w:rPr>
        <w:t>任</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职务，是</w:t>
      </w:r>
      <w:r>
        <w:rPr>
          <w:rFonts w:hint="eastAsia" w:ascii="宋体" w:hAnsi="宋体" w:eastAsia="宋体" w:cs="宋体"/>
          <w:color w:val="auto"/>
          <w:szCs w:val="24"/>
          <w:highlight w:val="none"/>
          <w:u w:val="single"/>
        </w:rPr>
        <w:t xml:space="preserve">（ 单位名称）    </w:t>
      </w:r>
      <w:r>
        <w:rPr>
          <w:rFonts w:hint="eastAsia" w:ascii="宋体" w:hAnsi="宋体" w:eastAsia="宋体" w:cs="宋体"/>
          <w:color w:val="auto"/>
          <w:szCs w:val="24"/>
          <w:highlight w:val="none"/>
        </w:rPr>
        <w:t>的法定代表人。</w:t>
      </w:r>
    </w:p>
    <w:p w14:paraId="40B50D92">
      <w:pPr>
        <w:spacing w:line="360" w:lineRule="auto"/>
        <w:ind w:firstLine="735" w:firstLineChars="350"/>
        <w:rPr>
          <w:rFonts w:hint="eastAsia" w:ascii="宋体" w:hAnsi="宋体" w:eastAsia="宋体" w:cs="宋体"/>
          <w:color w:val="auto"/>
          <w:szCs w:val="24"/>
          <w:highlight w:val="none"/>
        </w:rPr>
      </w:pPr>
      <w:r>
        <w:rPr>
          <w:rFonts w:hint="eastAsia" w:ascii="宋体" w:hAnsi="宋体" w:eastAsia="宋体" w:cs="宋体"/>
          <w:color w:val="auto"/>
          <w:szCs w:val="24"/>
          <w:highlight w:val="none"/>
        </w:rPr>
        <w:t>特此证明。</w:t>
      </w:r>
    </w:p>
    <w:p w14:paraId="0407F9F4">
      <w:pPr>
        <w:spacing w:line="360" w:lineRule="auto"/>
        <w:rPr>
          <w:rFonts w:hint="eastAsia" w:ascii="宋体" w:hAnsi="宋体" w:eastAsia="宋体" w:cs="宋体"/>
          <w:color w:val="auto"/>
          <w:szCs w:val="24"/>
          <w:highlight w:val="none"/>
        </w:rPr>
      </w:pPr>
    </w:p>
    <w:p w14:paraId="267771B5">
      <w:pPr>
        <w:spacing w:line="360" w:lineRule="auto"/>
        <w:rPr>
          <w:rFonts w:hint="eastAsia" w:ascii="宋体" w:hAnsi="宋体" w:eastAsia="宋体" w:cs="宋体"/>
          <w:color w:val="auto"/>
          <w:szCs w:val="24"/>
          <w:highlight w:val="none"/>
        </w:rPr>
      </w:pPr>
    </w:p>
    <w:p w14:paraId="7F45353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Cs w:val="24"/>
          <w:highlight w:val="none"/>
        </w:rPr>
        <w:t xml:space="preserve">                                  </w:t>
      </w:r>
      <w:r>
        <w:rPr>
          <w:rFonts w:hint="eastAsia" w:ascii="宋体" w:hAnsi="宋体" w:eastAsia="宋体" w:cs="宋体"/>
          <w:color w:val="auto"/>
          <w:sz w:val="24"/>
          <w:szCs w:val="24"/>
          <w:highlight w:val="none"/>
        </w:rPr>
        <w:t xml:space="preserve">   单位名称（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C2BA2D2">
      <w:pPr>
        <w:spacing w:line="360" w:lineRule="auto"/>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年     月    日</w:t>
      </w:r>
    </w:p>
    <w:p w14:paraId="1D0A45A7">
      <w:pPr>
        <w:spacing w:line="360" w:lineRule="auto"/>
        <w:rPr>
          <w:rFonts w:hint="eastAsia" w:ascii="宋体" w:hAnsi="宋体" w:eastAsia="宋体" w:cs="宋体"/>
          <w:color w:val="auto"/>
          <w:szCs w:val="24"/>
          <w:highlight w:val="none"/>
        </w:rPr>
      </w:pPr>
    </w:p>
    <w:p w14:paraId="058B1DF1">
      <w:pPr>
        <w:spacing w:line="360" w:lineRule="auto"/>
        <w:ind w:firstLine="315" w:firstLine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法定代表人身份证号码：</w:t>
      </w:r>
    </w:p>
    <w:p w14:paraId="4A7BFA18">
      <w:pPr>
        <w:spacing w:line="360" w:lineRule="auto"/>
        <w:ind w:firstLine="315" w:firstLine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住    址：</w:t>
      </w:r>
    </w:p>
    <w:p w14:paraId="4454B127">
      <w:pPr>
        <w:spacing w:line="360" w:lineRule="auto"/>
        <w:jc w:val="center"/>
        <w:rPr>
          <w:rFonts w:hint="eastAsia" w:ascii="宋体" w:hAnsi="宋体" w:eastAsia="宋体" w:cs="宋体"/>
          <w:color w:val="auto"/>
          <w:szCs w:val="21"/>
          <w:highlight w:val="none"/>
        </w:rPr>
      </w:pPr>
    </w:p>
    <w:p w14:paraId="5A047B01">
      <w:pPr>
        <w:spacing w:line="360" w:lineRule="auto"/>
        <w:jc w:val="center"/>
        <w:rPr>
          <w:rFonts w:hint="eastAsia" w:ascii="宋体" w:hAnsi="宋体" w:eastAsia="宋体" w:cs="宋体"/>
          <w:color w:val="auto"/>
          <w:szCs w:val="21"/>
          <w:highlight w:val="none"/>
        </w:rPr>
      </w:pPr>
    </w:p>
    <w:p w14:paraId="5439B056">
      <w:pPr>
        <w:spacing w:line="360" w:lineRule="auto"/>
        <w:jc w:val="center"/>
        <w:rPr>
          <w:rFonts w:hint="eastAsia" w:ascii="宋体" w:hAnsi="宋体" w:eastAsia="宋体" w:cs="宋体"/>
          <w:color w:val="auto"/>
          <w:szCs w:val="21"/>
          <w:highlight w:val="none"/>
        </w:rPr>
      </w:pPr>
    </w:p>
    <w:p w14:paraId="0FA416F5">
      <w:pPr>
        <w:adjustRightInd w:val="0"/>
        <w:snapToGrid w:val="0"/>
        <w:spacing w:line="360" w:lineRule="auto"/>
        <w:rPr>
          <w:rFonts w:hint="eastAsia" w:ascii="宋体" w:hAnsi="宋体" w:eastAsia="宋体" w:cs="宋体"/>
          <w:color w:val="auto"/>
          <w:sz w:val="24"/>
          <w:szCs w:val="24"/>
          <w:highlight w:val="none"/>
          <w:u w:val="single"/>
        </w:rPr>
      </w:pPr>
    </w:p>
    <w:tbl>
      <w:tblPr>
        <w:tblStyle w:val="5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14:paraId="5035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1" w:hRule="atLeast"/>
        </w:trPr>
        <w:tc>
          <w:tcPr>
            <w:tcW w:w="8499" w:type="dxa"/>
          </w:tcPr>
          <w:p w14:paraId="1960A0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法定代表人身份证（正、反面扫描件）</w:t>
            </w:r>
          </w:p>
        </w:tc>
      </w:tr>
    </w:tbl>
    <w:p w14:paraId="43E153F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4"/>
          <w:szCs w:val="21"/>
          <w:highlight w:val="none"/>
        </w:rPr>
        <w:t>注：此项材料必须</w:t>
      </w:r>
      <w:r>
        <w:rPr>
          <w:rFonts w:hint="eastAsia" w:ascii="宋体" w:hAnsi="宋体" w:eastAsia="宋体" w:cs="宋体"/>
          <w:b/>
          <w:bCs/>
          <w:color w:val="auto"/>
          <w:sz w:val="24"/>
          <w:szCs w:val="21"/>
          <w:highlight w:val="none"/>
        </w:rPr>
        <w:t>以PDF格式上传。</w:t>
      </w:r>
      <w:r>
        <w:rPr>
          <w:rFonts w:hint="eastAsia" w:ascii="宋体" w:hAnsi="宋体" w:eastAsia="宋体" w:cs="宋体"/>
          <w:color w:val="auto"/>
          <w:szCs w:val="21"/>
          <w:highlight w:val="none"/>
        </w:rPr>
        <w:br w:type="page"/>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法定代表人授权书</w:t>
      </w:r>
    </w:p>
    <w:p w14:paraId="648FA88F">
      <w:pPr>
        <w:adjustRightInd w:val="0"/>
        <w:snapToGrid w:val="0"/>
        <w:spacing w:line="360" w:lineRule="auto"/>
        <w:rPr>
          <w:rFonts w:hint="eastAsia" w:ascii="宋体" w:hAnsi="宋体" w:eastAsia="宋体" w:cs="宋体"/>
          <w:color w:val="auto"/>
          <w:sz w:val="24"/>
          <w:szCs w:val="24"/>
          <w:highlight w:val="none"/>
        </w:rPr>
      </w:pPr>
    </w:p>
    <w:p w14:paraId="248B80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6D249E7F">
      <w:pPr>
        <w:spacing w:line="360" w:lineRule="auto"/>
        <w:ind w:right="84" w:rightChars="40" w:firstLine="1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w:t>
      </w:r>
      <w:r>
        <w:rPr>
          <w:rFonts w:hint="eastAsia" w:ascii="宋体" w:hAnsi="宋体" w:eastAsia="宋体" w:cs="宋体"/>
          <w:color w:val="auto"/>
          <w:sz w:val="24"/>
          <w:szCs w:val="24"/>
          <w:highlight w:val="none"/>
          <w:u w:val="single"/>
        </w:rPr>
        <w:t xml:space="preserve">        （法定代表人名字）</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 单位名称）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的法定代表人，现授权委托</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（项目名称/文件编号）</w:t>
      </w:r>
      <w:r>
        <w:rPr>
          <w:rFonts w:hint="eastAsia" w:ascii="宋体" w:hAnsi="宋体" w:eastAsia="宋体" w:cs="宋体"/>
          <w:color w:val="auto"/>
          <w:sz w:val="24"/>
          <w:szCs w:val="24"/>
          <w:highlight w:val="none"/>
        </w:rPr>
        <w:t>项目的竞标活动，并代表我方全权办理针对上述项目的竞标、开标、磋商、评标、签约等具体事务和签署相关文件。</w:t>
      </w:r>
    </w:p>
    <w:p w14:paraId="27279611">
      <w:pPr>
        <w:spacing w:line="360" w:lineRule="auto"/>
        <w:ind w:right="-535" w:rightChars="-2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我方对被授权人的签名事项负全部责任。</w:t>
      </w:r>
    </w:p>
    <w:p w14:paraId="3742BCF3">
      <w:pPr>
        <w:spacing w:line="360" w:lineRule="auto"/>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在撤销授权的书面通知以前，本授权书一直有效</w:t>
      </w:r>
      <w:r>
        <w:rPr>
          <w:rFonts w:hint="eastAsia" w:ascii="宋体" w:hAnsi="宋体" w:eastAsia="宋体" w:cs="宋体"/>
          <w:color w:val="auto"/>
          <w:sz w:val="24"/>
          <w:szCs w:val="24"/>
          <w:highlight w:val="none"/>
        </w:rPr>
        <w:t>，被授权人在授权书有效期内签署的所有文件不因授权的撤销而失效。</w:t>
      </w:r>
    </w:p>
    <w:p w14:paraId="402BC4EA">
      <w:pPr>
        <w:spacing w:line="360" w:lineRule="auto"/>
        <w:ind w:right="-535" w:rightChars="-255"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525EA373">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w:t>
      </w:r>
      <w:r>
        <w:rPr>
          <w:rFonts w:hint="eastAsia" w:ascii="宋体" w:hAnsi="宋体" w:eastAsia="宋体" w:cs="宋体"/>
          <w:b/>
          <w:bCs/>
          <w:color w:val="auto"/>
          <w:sz w:val="24"/>
          <w:szCs w:val="24"/>
          <w:highlight w:val="none"/>
        </w:rPr>
        <w:t>（亲笔签字）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b/>
          <w:bCs/>
          <w:color w:val="auto"/>
          <w:sz w:val="24"/>
          <w:szCs w:val="24"/>
          <w:highlight w:val="none"/>
        </w:rPr>
        <w:t>（亲笔签字）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216395F">
      <w:pPr>
        <w:spacing w:line="360" w:lineRule="auto"/>
        <w:ind w:right="-535" w:rightChars="-25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所在部门：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C6B5602">
      <w:pPr>
        <w:spacing w:line="360" w:lineRule="auto"/>
        <w:ind w:right="-535" w:rightChars="-255"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B6D5AAE">
      <w:pPr>
        <w:spacing w:line="360" w:lineRule="auto"/>
        <w:ind w:right="-535" w:rightChars="-255"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p>
    <w:p w14:paraId="12DAF76D">
      <w:pPr>
        <w:spacing w:line="360" w:lineRule="auto"/>
        <w:ind w:right="-535" w:rightChars="-255"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 xml:space="preserve">： </w:t>
      </w:r>
    </w:p>
    <w:p w14:paraId="4347A134">
      <w:pPr>
        <w:snapToGrid w:val="0"/>
        <w:spacing w:line="360" w:lineRule="auto"/>
        <w:ind w:left="5895" w:leftChars="1550" w:hanging="2640" w:hanging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tbl>
      <w:tblPr>
        <w:tblStyle w:val="5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14:paraId="2B74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Borders>
              <w:top w:val="single" w:color="auto" w:sz="4" w:space="0"/>
              <w:left w:val="single" w:color="auto" w:sz="4" w:space="0"/>
              <w:bottom w:val="single" w:color="auto" w:sz="4" w:space="0"/>
              <w:right w:val="single" w:color="auto" w:sz="4" w:space="0"/>
            </w:tcBorders>
          </w:tcPr>
          <w:p w14:paraId="095E83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法定代表人身份证（正、反面扫描件）</w:t>
            </w:r>
          </w:p>
        </w:tc>
      </w:tr>
      <w:tr w14:paraId="3C91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14:paraId="5E69120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被授权人身份证（正、反面扫描件）</w:t>
            </w:r>
          </w:p>
        </w:tc>
      </w:tr>
    </w:tbl>
    <w:p w14:paraId="2E848B9A">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color w:val="auto"/>
          <w:sz w:val="24"/>
          <w:szCs w:val="24"/>
          <w:highlight w:val="none"/>
        </w:rPr>
        <w:t>注：此项材料必须</w:t>
      </w:r>
      <w:r>
        <w:rPr>
          <w:rFonts w:hint="eastAsia" w:ascii="宋体" w:hAnsi="宋体" w:eastAsia="宋体" w:cs="宋体"/>
          <w:b/>
          <w:bCs/>
          <w:color w:val="auto"/>
          <w:sz w:val="24"/>
          <w:szCs w:val="24"/>
          <w:highlight w:val="none"/>
        </w:rPr>
        <w:t>以PDF格式上传。</w:t>
      </w:r>
    </w:p>
    <w:p w14:paraId="051FD821">
      <w:pPr>
        <w:widowControl/>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C1128CF">
      <w:pPr>
        <w:spacing w:line="360" w:lineRule="auto"/>
        <w:jc w:val="center"/>
        <w:rPr>
          <w:rFonts w:hint="eastAsia" w:ascii="宋体" w:hAnsi="宋体" w:eastAsia="宋体" w:cs="宋体"/>
          <w:color w:val="auto"/>
          <w:sz w:val="28"/>
          <w:szCs w:val="24"/>
          <w:highlight w:val="none"/>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color w:val="auto"/>
          <w:sz w:val="32"/>
          <w:szCs w:val="32"/>
          <w:highlight w:val="none"/>
        </w:rPr>
        <w:t>建设工程项目管理承诺书</w:t>
      </w:r>
    </w:p>
    <w:p w14:paraId="7FD710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564242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作为参与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（工程名称）项目的供应商，根据国家、自治区相关文件规定，我方在此向采购人承诺：</w:t>
      </w:r>
    </w:p>
    <w:p w14:paraId="54A30F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1、一旦成交，我方保证在施工过程中，严格执行《广西壮族自治区建筑工程安全文明施工费使用管理细则》（桂建质〔2015〕16 号）的有关规定，确保建设工程各项安全防护、文明施工措施落实到位。如我方在该项目的承包中出现未按桂建质〔2015〕16 号文附件一规定执行的情形，我方愿意按照相关规定接受建设单位及有关主管部门的处罚。</w:t>
      </w:r>
    </w:p>
    <w:p w14:paraId="022926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2、一旦成交，我方保证在施工过程中，严格执行散装水泥和预拌混凝土管理的有关规定，   确保建设工程按规定使用散装水泥和预拌混凝土。如我方在该项目的承包中出现未按规定执行的情形，我方愿意按照相关规定接受建设单位及有关主管部门的处罚。</w:t>
      </w:r>
    </w:p>
    <w:p w14:paraId="4B8B4A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3、一旦成交，我方保证在施工过程中，严格执行《关于禁止使用不符合规范要求的竹脚手架的通知》（桂建管字〔2003〕40 号）的有关规定，不使用竹脚手架。如我方在该项目的承包中出现未按规定执行的情形，我方愿意按照相关规定接受建设单位及有关主管部门的处罚。</w:t>
      </w:r>
    </w:p>
    <w:p w14:paraId="2BF12CA5">
      <w:pPr>
        <w:spacing w:line="360" w:lineRule="auto"/>
        <w:rPr>
          <w:rFonts w:hint="eastAsia" w:ascii="宋体" w:hAnsi="宋体" w:eastAsia="宋体" w:cs="宋体"/>
          <w:color w:val="auto"/>
          <w:sz w:val="24"/>
          <w:szCs w:val="24"/>
          <w:highlight w:val="none"/>
        </w:rPr>
      </w:pPr>
    </w:p>
    <w:p w14:paraId="36BA5A02">
      <w:pPr>
        <w:spacing w:line="360" w:lineRule="auto"/>
        <w:rPr>
          <w:rFonts w:hint="eastAsia" w:ascii="宋体" w:hAnsi="宋体" w:eastAsia="宋体" w:cs="宋体"/>
          <w:color w:val="auto"/>
          <w:sz w:val="22"/>
          <w:szCs w:val="24"/>
          <w:highlight w:val="none"/>
        </w:rPr>
      </w:pPr>
    </w:p>
    <w:p w14:paraId="2A456F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w:t>
      </w:r>
      <w:r>
        <w:rPr>
          <w:rFonts w:hint="eastAsia" w:ascii="宋体" w:hAnsi="宋体" w:eastAsia="宋体" w:cs="宋体"/>
          <w:b/>
          <w:color w:val="auto"/>
          <w:sz w:val="24"/>
          <w:szCs w:val="24"/>
          <w:highlight w:val="none"/>
        </w:rPr>
        <w:t>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7EBFF69">
      <w:pPr>
        <w:spacing w:line="360" w:lineRule="auto"/>
        <w:rPr>
          <w:rFonts w:hint="eastAsia" w:ascii="宋体" w:hAnsi="宋体" w:eastAsia="宋体" w:cs="宋体"/>
          <w:color w:val="auto"/>
          <w:sz w:val="24"/>
          <w:szCs w:val="24"/>
          <w:highlight w:val="none"/>
        </w:rPr>
      </w:pPr>
    </w:p>
    <w:p w14:paraId="6319C4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BB84091">
      <w:pPr>
        <w:spacing w:line="360" w:lineRule="auto"/>
        <w:rPr>
          <w:rFonts w:hint="eastAsia" w:ascii="宋体" w:hAnsi="宋体" w:eastAsia="宋体" w:cs="宋体"/>
          <w:color w:val="auto"/>
          <w:sz w:val="24"/>
          <w:szCs w:val="24"/>
          <w:highlight w:val="none"/>
        </w:rPr>
      </w:pPr>
    </w:p>
    <w:p w14:paraId="204385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5C2A70D">
      <w:pPr>
        <w:spacing w:line="360" w:lineRule="auto"/>
        <w:rPr>
          <w:rFonts w:hint="eastAsia" w:ascii="宋体" w:hAnsi="宋体" w:eastAsia="宋体" w:cs="宋体"/>
          <w:b/>
          <w:color w:val="auto"/>
          <w:sz w:val="24"/>
          <w:szCs w:val="21"/>
          <w:highlight w:val="none"/>
        </w:rPr>
      </w:pPr>
    </w:p>
    <w:p w14:paraId="73800D22">
      <w:pPr>
        <w:spacing w:line="360" w:lineRule="auto"/>
        <w:rPr>
          <w:rFonts w:hint="eastAsia" w:ascii="宋体" w:hAnsi="宋体" w:eastAsia="宋体" w:cs="宋体"/>
          <w:b/>
          <w:color w:val="auto"/>
          <w:sz w:val="24"/>
          <w:szCs w:val="21"/>
          <w:highlight w:val="none"/>
        </w:rPr>
      </w:pPr>
    </w:p>
    <w:p w14:paraId="0B4752BA">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 w:val="24"/>
          <w:szCs w:val="21"/>
          <w:highlight w:val="none"/>
        </w:rPr>
        <w:t>注：此项材料必须</w:t>
      </w:r>
      <w:r>
        <w:rPr>
          <w:rFonts w:hint="eastAsia" w:ascii="宋体" w:hAnsi="宋体" w:eastAsia="宋体" w:cs="宋体"/>
          <w:b/>
          <w:bCs/>
          <w:color w:val="auto"/>
          <w:sz w:val="24"/>
          <w:szCs w:val="21"/>
          <w:highlight w:val="none"/>
        </w:rPr>
        <w:t>以PDF格式上传。</w:t>
      </w:r>
    </w:p>
    <w:p w14:paraId="5B907A63">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rPr>
        <w:t>广西壮族自治区建筑工程安全文明施工措施项目清单内容</w:t>
      </w:r>
    </w:p>
    <w:p w14:paraId="004DDEE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（桂建质〔2015〕16号文附件一）</w:t>
      </w:r>
    </w:p>
    <w:p w14:paraId="1AF06A9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14:paraId="098CA254">
      <w:pPr>
        <w:spacing w:line="360" w:lineRule="auto"/>
        <w:jc w:val="center"/>
        <w:rPr>
          <w:rFonts w:hint="eastAsia" w:ascii="宋体" w:hAnsi="宋体" w:eastAsia="宋体" w:cs="宋体"/>
          <w:b/>
          <w:bCs/>
          <w:color w:val="auto"/>
          <w:w w:val="90"/>
          <w:sz w:val="24"/>
          <w:szCs w:val="24"/>
          <w:highlight w:val="none"/>
        </w:rPr>
      </w:pPr>
      <w:r>
        <w:rPr>
          <w:rFonts w:hint="eastAsia" w:ascii="宋体" w:hAnsi="宋体" w:eastAsia="宋体" w:cs="宋体"/>
          <w:b/>
          <w:color w:val="auto"/>
          <w:w w:val="90"/>
          <w:sz w:val="24"/>
          <w:szCs w:val="24"/>
          <w:highlight w:val="none"/>
        </w:rPr>
        <w:t>建设工程安全文明施工措施项目清单内容</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72A4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tblHeader/>
          <w:jc w:val="center"/>
        </w:trPr>
        <w:tc>
          <w:tcPr>
            <w:tcW w:w="738" w:type="dxa"/>
            <w:vAlign w:val="center"/>
          </w:tcPr>
          <w:p w14:paraId="753A3131">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1785" w:type="dxa"/>
            <w:gridSpan w:val="2"/>
            <w:vAlign w:val="center"/>
          </w:tcPr>
          <w:p w14:paraId="7ACA5408">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930" w:type="dxa"/>
            <w:vAlign w:val="center"/>
          </w:tcPr>
          <w:p w14:paraId="5A0AEFA8">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具  体  内  容</w:t>
            </w:r>
          </w:p>
        </w:tc>
      </w:tr>
      <w:tr w14:paraId="5454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23B544B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文明</w:t>
            </w:r>
          </w:p>
          <w:p w14:paraId="50F4A0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w:t>
            </w:r>
          </w:p>
          <w:p w14:paraId="668A976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w:t>
            </w:r>
          </w:p>
          <w:p w14:paraId="7D199CF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w:t>
            </w:r>
          </w:p>
          <w:p w14:paraId="55DB53C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保护</w:t>
            </w:r>
          </w:p>
        </w:tc>
        <w:tc>
          <w:tcPr>
            <w:tcW w:w="1785" w:type="dxa"/>
            <w:gridSpan w:val="2"/>
            <w:vAlign w:val="center"/>
          </w:tcPr>
          <w:p w14:paraId="350130D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w:t>
            </w:r>
          </w:p>
          <w:p w14:paraId="24E8BD4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标志牌</w:t>
            </w:r>
          </w:p>
        </w:tc>
        <w:tc>
          <w:tcPr>
            <w:tcW w:w="6930" w:type="dxa"/>
            <w:vAlign w:val="center"/>
          </w:tcPr>
          <w:p w14:paraId="69D187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在易发伤亡事故（或危险）处设置明显的、符合国家标准要求的安全警示标志牌。</w:t>
            </w:r>
          </w:p>
        </w:tc>
      </w:tr>
      <w:tr w14:paraId="6638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FFD4AB0">
            <w:pPr>
              <w:spacing w:line="360" w:lineRule="auto"/>
              <w:rPr>
                <w:rFonts w:hint="eastAsia" w:ascii="宋体" w:hAnsi="宋体" w:eastAsia="宋体" w:cs="宋体"/>
                <w:color w:val="auto"/>
                <w:szCs w:val="21"/>
                <w:highlight w:val="none"/>
              </w:rPr>
            </w:pPr>
          </w:p>
        </w:tc>
        <w:tc>
          <w:tcPr>
            <w:tcW w:w="1785" w:type="dxa"/>
            <w:gridSpan w:val="2"/>
            <w:vAlign w:val="center"/>
          </w:tcPr>
          <w:p w14:paraId="7B21214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现场围挡</w:t>
            </w:r>
          </w:p>
        </w:tc>
        <w:tc>
          <w:tcPr>
            <w:tcW w:w="6930" w:type="dxa"/>
            <w:vAlign w:val="center"/>
          </w:tcPr>
          <w:p w14:paraId="1E4827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1.现场采用封闭围挡，高度不小于1.8m；</w:t>
            </w:r>
          </w:p>
          <w:p w14:paraId="626DAF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2.围挡材料可用彩色、定型钢板，砖、砼砌块等墙体。</w:t>
            </w:r>
          </w:p>
        </w:tc>
      </w:tr>
      <w:tr w14:paraId="315E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10E3617">
            <w:pPr>
              <w:spacing w:line="360" w:lineRule="auto"/>
              <w:rPr>
                <w:rFonts w:hint="eastAsia" w:ascii="宋体" w:hAnsi="宋体" w:eastAsia="宋体" w:cs="宋体"/>
                <w:color w:val="auto"/>
                <w:szCs w:val="21"/>
                <w:highlight w:val="none"/>
              </w:rPr>
            </w:pPr>
          </w:p>
        </w:tc>
        <w:tc>
          <w:tcPr>
            <w:tcW w:w="1785" w:type="dxa"/>
            <w:gridSpan w:val="2"/>
            <w:vAlign w:val="center"/>
          </w:tcPr>
          <w:p w14:paraId="2E4FC8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七牌二图</w:t>
            </w:r>
          </w:p>
        </w:tc>
        <w:tc>
          <w:tcPr>
            <w:tcW w:w="6930" w:type="dxa"/>
            <w:vAlign w:val="center"/>
          </w:tcPr>
          <w:p w14:paraId="2D2AA7B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在进门处悬挂工程概况、现场出入制度、管理人员名单及监督电话、安全生产规定、文明施工、消防保卫、节能公示等七牌；施工现场总平面图、工程效果图。</w:t>
            </w:r>
          </w:p>
        </w:tc>
      </w:tr>
      <w:tr w14:paraId="1E72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14:paraId="058BC09D">
            <w:pPr>
              <w:spacing w:line="360" w:lineRule="auto"/>
              <w:rPr>
                <w:rFonts w:hint="eastAsia" w:ascii="宋体" w:hAnsi="宋体" w:eastAsia="宋体" w:cs="宋体"/>
                <w:color w:val="auto"/>
                <w:szCs w:val="21"/>
                <w:highlight w:val="none"/>
              </w:rPr>
            </w:pPr>
          </w:p>
        </w:tc>
        <w:tc>
          <w:tcPr>
            <w:tcW w:w="1785" w:type="dxa"/>
            <w:gridSpan w:val="2"/>
            <w:vAlign w:val="center"/>
          </w:tcPr>
          <w:p w14:paraId="6AA2415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企业标志</w:t>
            </w:r>
          </w:p>
        </w:tc>
        <w:tc>
          <w:tcPr>
            <w:tcW w:w="6930" w:type="dxa"/>
            <w:vAlign w:val="center"/>
          </w:tcPr>
          <w:p w14:paraId="1A5A132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现场出入的大门应设有本企业标志或企业标识。</w:t>
            </w:r>
          </w:p>
        </w:tc>
      </w:tr>
      <w:tr w14:paraId="0F38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7903D5A">
            <w:pPr>
              <w:spacing w:line="360" w:lineRule="auto"/>
              <w:rPr>
                <w:rFonts w:hint="eastAsia" w:ascii="宋体" w:hAnsi="宋体" w:eastAsia="宋体" w:cs="宋体"/>
                <w:color w:val="auto"/>
                <w:szCs w:val="21"/>
                <w:highlight w:val="none"/>
              </w:rPr>
            </w:pPr>
          </w:p>
        </w:tc>
        <w:tc>
          <w:tcPr>
            <w:tcW w:w="1785" w:type="dxa"/>
            <w:gridSpan w:val="2"/>
            <w:vAlign w:val="center"/>
          </w:tcPr>
          <w:p w14:paraId="45272A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场容场貌</w:t>
            </w:r>
          </w:p>
        </w:tc>
        <w:tc>
          <w:tcPr>
            <w:tcW w:w="6930" w:type="dxa"/>
            <w:vAlign w:val="center"/>
          </w:tcPr>
          <w:p w14:paraId="45DF8A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1.道路畅通；</w:t>
            </w:r>
          </w:p>
          <w:p w14:paraId="6592E5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2.排水沟、排水设施畅通；</w:t>
            </w:r>
          </w:p>
          <w:p w14:paraId="6065A2A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3.工地地面硬化处理（办公区，生活区，现场道路，材料堆放、混凝土搅拌、砂浆搅拌、钢筋加工等场地，外脚手架基础等）。</w:t>
            </w:r>
          </w:p>
        </w:tc>
      </w:tr>
      <w:tr w14:paraId="451E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5084187">
            <w:pPr>
              <w:spacing w:line="360" w:lineRule="auto"/>
              <w:rPr>
                <w:rFonts w:hint="eastAsia" w:ascii="宋体" w:hAnsi="宋体" w:eastAsia="宋体" w:cs="宋体"/>
                <w:color w:val="auto"/>
                <w:szCs w:val="21"/>
                <w:highlight w:val="none"/>
              </w:rPr>
            </w:pPr>
          </w:p>
        </w:tc>
        <w:tc>
          <w:tcPr>
            <w:tcW w:w="1785" w:type="dxa"/>
            <w:gridSpan w:val="2"/>
            <w:vAlign w:val="center"/>
          </w:tcPr>
          <w:p w14:paraId="61A869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材料堆放</w:t>
            </w:r>
          </w:p>
        </w:tc>
        <w:tc>
          <w:tcPr>
            <w:tcW w:w="6930" w:type="dxa"/>
            <w:vAlign w:val="center"/>
          </w:tcPr>
          <w:p w14:paraId="4070183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1.材料、构件、料具等堆放时，应有名称、品种、规格等标牌；</w:t>
            </w:r>
          </w:p>
          <w:p w14:paraId="230EFB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2.水泥和其他易飞扬细颗粒建筑材料应封闭存放或采取覆盖等措施；</w:t>
            </w:r>
          </w:p>
          <w:p w14:paraId="3E13AB5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3.易燃、易爆和有毒有害物品分类存放。</w:t>
            </w:r>
          </w:p>
        </w:tc>
      </w:tr>
      <w:tr w14:paraId="3BB7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2F58F54C">
            <w:pPr>
              <w:spacing w:line="360" w:lineRule="auto"/>
              <w:rPr>
                <w:rFonts w:hint="eastAsia" w:ascii="宋体" w:hAnsi="宋体" w:eastAsia="宋体" w:cs="宋体"/>
                <w:color w:val="auto"/>
                <w:szCs w:val="21"/>
                <w:highlight w:val="none"/>
              </w:rPr>
            </w:pPr>
          </w:p>
        </w:tc>
        <w:tc>
          <w:tcPr>
            <w:tcW w:w="1785" w:type="dxa"/>
            <w:gridSpan w:val="2"/>
            <w:vAlign w:val="center"/>
          </w:tcPr>
          <w:p w14:paraId="7348C5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现场防火</w:t>
            </w:r>
          </w:p>
        </w:tc>
        <w:tc>
          <w:tcPr>
            <w:tcW w:w="6930" w:type="dxa"/>
            <w:vAlign w:val="center"/>
          </w:tcPr>
          <w:p w14:paraId="546B084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消防器材配置合理，符合消防要求。</w:t>
            </w:r>
          </w:p>
        </w:tc>
      </w:tr>
      <w:tr w14:paraId="22A1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D8431DC">
            <w:pPr>
              <w:spacing w:line="360" w:lineRule="auto"/>
              <w:rPr>
                <w:rFonts w:hint="eastAsia" w:ascii="宋体" w:hAnsi="宋体" w:eastAsia="宋体" w:cs="宋体"/>
                <w:color w:val="auto"/>
                <w:szCs w:val="21"/>
                <w:highlight w:val="none"/>
              </w:rPr>
            </w:pPr>
          </w:p>
        </w:tc>
        <w:tc>
          <w:tcPr>
            <w:tcW w:w="1785" w:type="dxa"/>
            <w:gridSpan w:val="2"/>
            <w:vAlign w:val="center"/>
          </w:tcPr>
          <w:p w14:paraId="1585E72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垃圾清运</w:t>
            </w:r>
          </w:p>
        </w:tc>
        <w:tc>
          <w:tcPr>
            <w:tcW w:w="6930" w:type="dxa"/>
            <w:vAlign w:val="center"/>
          </w:tcPr>
          <w:p w14:paraId="5ACC1FC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1.施工现场应设置密闭式垃圾站，施工垃圾、生活垃圾应分类存放。</w:t>
            </w:r>
          </w:p>
          <w:p w14:paraId="0863DAE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2.施工垃圾必须采用相应容器或管道运输。</w:t>
            </w:r>
          </w:p>
        </w:tc>
      </w:tr>
      <w:tr w14:paraId="1D42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02F098A">
            <w:pPr>
              <w:spacing w:line="360" w:lineRule="auto"/>
              <w:rPr>
                <w:rFonts w:hint="eastAsia" w:ascii="宋体" w:hAnsi="宋体" w:eastAsia="宋体" w:cs="宋体"/>
                <w:color w:val="auto"/>
                <w:szCs w:val="21"/>
                <w:highlight w:val="none"/>
              </w:rPr>
            </w:pPr>
          </w:p>
        </w:tc>
        <w:tc>
          <w:tcPr>
            <w:tcW w:w="1785" w:type="dxa"/>
            <w:gridSpan w:val="2"/>
            <w:vAlign w:val="center"/>
          </w:tcPr>
          <w:p w14:paraId="666B6C1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宣传栏、环保及不扰民措施</w:t>
            </w:r>
          </w:p>
        </w:tc>
        <w:tc>
          <w:tcPr>
            <w:tcW w:w="6930" w:type="dxa"/>
            <w:vAlign w:val="center"/>
          </w:tcPr>
          <w:p w14:paraId="1AC0B2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宣传栏、安全宣传标语等，洗车（防止污染市区道路）、粉尘、噪声控制和排污（污水、废气）措施等。</w:t>
            </w:r>
          </w:p>
        </w:tc>
      </w:tr>
      <w:tr w14:paraId="481B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67DBF61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临时设施</w:t>
            </w:r>
          </w:p>
        </w:tc>
        <w:tc>
          <w:tcPr>
            <w:tcW w:w="1785" w:type="dxa"/>
            <w:gridSpan w:val="2"/>
            <w:vAlign w:val="center"/>
          </w:tcPr>
          <w:p w14:paraId="676D372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现场办公</w:t>
            </w:r>
          </w:p>
          <w:p w14:paraId="4BD83D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生活设施</w:t>
            </w:r>
          </w:p>
        </w:tc>
        <w:tc>
          <w:tcPr>
            <w:tcW w:w="6930" w:type="dxa"/>
            <w:vAlign w:val="center"/>
          </w:tcPr>
          <w:p w14:paraId="2338643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1.施工现场办公、生活区与作业区分开设置，保持安全距离。</w:t>
            </w:r>
          </w:p>
          <w:p w14:paraId="01901E8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2.工地办公室、现场宿舍、食堂、厕所、饮水、沐浴、休息场所等符合卫生、消防安全要求；</w:t>
            </w:r>
          </w:p>
        </w:tc>
      </w:tr>
      <w:tr w14:paraId="63B7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62C870C">
            <w:pPr>
              <w:spacing w:line="360" w:lineRule="auto"/>
              <w:rPr>
                <w:rFonts w:hint="eastAsia" w:ascii="宋体" w:hAnsi="宋体" w:eastAsia="宋体" w:cs="宋体"/>
                <w:color w:val="auto"/>
                <w:szCs w:val="21"/>
                <w:highlight w:val="none"/>
              </w:rPr>
            </w:pPr>
          </w:p>
        </w:tc>
        <w:tc>
          <w:tcPr>
            <w:tcW w:w="525" w:type="dxa"/>
            <w:vMerge w:val="restart"/>
            <w:vAlign w:val="center"/>
          </w:tcPr>
          <w:p w14:paraId="2DB545E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w:t>
            </w:r>
          </w:p>
          <w:p w14:paraId="4F246FE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w:t>
            </w:r>
          </w:p>
        </w:tc>
        <w:tc>
          <w:tcPr>
            <w:tcW w:w="1260" w:type="dxa"/>
            <w:vAlign w:val="center"/>
          </w:tcPr>
          <w:p w14:paraId="38D3A4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配电线路</w:t>
            </w:r>
          </w:p>
        </w:tc>
        <w:tc>
          <w:tcPr>
            <w:tcW w:w="6930" w:type="dxa"/>
            <w:vAlign w:val="center"/>
          </w:tcPr>
          <w:p w14:paraId="2165823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1.按照TN-S系统要求配备五芯电缆、四芯电缆和三芯电缆。</w:t>
            </w:r>
          </w:p>
          <w:p w14:paraId="12C7DB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2.按要求架设临时用电线路的电杆、横担、瓷夹、瓷瓶等，或电缆埋地的地沟。</w:t>
            </w:r>
          </w:p>
          <w:p w14:paraId="49CDBE1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3.对靠近施工现场的外电线路，设置木质、塑料等绝缘体的防护设施。</w:t>
            </w:r>
          </w:p>
        </w:tc>
      </w:tr>
      <w:tr w14:paraId="2E05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F402FC6">
            <w:pPr>
              <w:spacing w:line="360" w:lineRule="auto"/>
              <w:rPr>
                <w:rFonts w:hint="eastAsia" w:ascii="宋体" w:hAnsi="宋体" w:eastAsia="宋体" w:cs="宋体"/>
                <w:color w:val="auto"/>
                <w:szCs w:val="21"/>
                <w:highlight w:val="none"/>
              </w:rPr>
            </w:pPr>
          </w:p>
        </w:tc>
        <w:tc>
          <w:tcPr>
            <w:tcW w:w="525" w:type="dxa"/>
            <w:vMerge w:val="continue"/>
            <w:vAlign w:val="center"/>
          </w:tcPr>
          <w:p w14:paraId="7451A281">
            <w:pPr>
              <w:spacing w:line="360" w:lineRule="auto"/>
              <w:rPr>
                <w:rFonts w:hint="eastAsia" w:ascii="宋体" w:hAnsi="宋体" w:eastAsia="宋体" w:cs="宋体"/>
                <w:color w:val="auto"/>
                <w:szCs w:val="21"/>
                <w:highlight w:val="none"/>
              </w:rPr>
            </w:pPr>
          </w:p>
        </w:tc>
        <w:tc>
          <w:tcPr>
            <w:tcW w:w="1260" w:type="dxa"/>
            <w:vAlign w:val="center"/>
          </w:tcPr>
          <w:p w14:paraId="2C2F636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配电箱</w:t>
            </w:r>
          </w:p>
          <w:p w14:paraId="253EE1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930" w:type="dxa"/>
            <w:vAlign w:val="center"/>
          </w:tcPr>
          <w:p w14:paraId="58B3E7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1.按三级配电要求，配备总配电箱、分配电箱、开关箱三类（铁质）标准电箱，开关箱应符合一机、一箱、一闸、一漏，三类电箱中的各类电器应是合格品。</w:t>
            </w:r>
          </w:p>
          <w:p w14:paraId="48614E9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2.按两级保护的要求，选取符合容量要求和质量合格的总配电箱和开关箱中的漏电保护器。</w:t>
            </w:r>
          </w:p>
          <w:p w14:paraId="28B8448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3.对大型、落地式分配电箱、开关箱设置防护棚和通透式围挡。</w:t>
            </w:r>
          </w:p>
        </w:tc>
      </w:tr>
      <w:tr w14:paraId="1CE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D928102">
            <w:pPr>
              <w:spacing w:line="360" w:lineRule="auto"/>
              <w:rPr>
                <w:rFonts w:hint="eastAsia" w:ascii="宋体" w:hAnsi="宋体" w:eastAsia="宋体" w:cs="宋体"/>
                <w:color w:val="auto"/>
                <w:szCs w:val="21"/>
                <w:highlight w:val="none"/>
              </w:rPr>
            </w:pPr>
          </w:p>
        </w:tc>
        <w:tc>
          <w:tcPr>
            <w:tcW w:w="525" w:type="dxa"/>
            <w:vMerge w:val="continue"/>
            <w:vAlign w:val="center"/>
          </w:tcPr>
          <w:p w14:paraId="0BB48824">
            <w:pPr>
              <w:spacing w:line="360" w:lineRule="auto"/>
              <w:rPr>
                <w:rFonts w:hint="eastAsia" w:ascii="宋体" w:hAnsi="宋体" w:eastAsia="宋体" w:cs="宋体"/>
                <w:color w:val="auto"/>
                <w:szCs w:val="21"/>
                <w:highlight w:val="none"/>
              </w:rPr>
            </w:pPr>
          </w:p>
        </w:tc>
        <w:tc>
          <w:tcPr>
            <w:tcW w:w="1260" w:type="dxa"/>
            <w:vAlign w:val="center"/>
          </w:tcPr>
          <w:p w14:paraId="47F1B9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接地保护装置</w:t>
            </w:r>
          </w:p>
        </w:tc>
        <w:tc>
          <w:tcPr>
            <w:tcW w:w="6930" w:type="dxa"/>
            <w:vAlign w:val="center"/>
          </w:tcPr>
          <w:p w14:paraId="2B04124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施工现场应设置不少于三处的重复接地装置。</w:t>
            </w:r>
          </w:p>
        </w:tc>
      </w:tr>
      <w:tr w14:paraId="1CA4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738" w:type="dxa"/>
            <w:vMerge w:val="continue"/>
            <w:vAlign w:val="center"/>
          </w:tcPr>
          <w:p w14:paraId="4D2BA8D1">
            <w:pPr>
              <w:spacing w:line="360" w:lineRule="auto"/>
              <w:rPr>
                <w:rFonts w:hint="eastAsia" w:ascii="宋体" w:hAnsi="宋体" w:eastAsia="宋体" w:cs="宋体"/>
                <w:color w:val="auto"/>
                <w:szCs w:val="21"/>
                <w:highlight w:val="none"/>
              </w:rPr>
            </w:pPr>
          </w:p>
        </w:tc>
        <w:tc>
          <w:tcPr>
            <w:tcW w:w="525" w:type="dxa"/>
            <w:vMerge w:val="continue"/>
            <w:vAlign w:val="center"/>
          </w:tcPr>
          <w:p w14:paraId="23B43752">
            <w:pPr>
              <w:spacing w:line="360" w:lineRule="auto"/>
              <w:rPr>
                <w:rFonts w:hint="eastAsia" w:ascii="宋体" w:hAnsi="宋体" w:eastAsia="宋体" w:cs="宋体"/>
                <w:color w:val="auto"/>
                <w:szCs w:val="21"/>
                <w:highlight w:val="none"/>
              </w:rPr>
            </w:pPr>
          </w:p>
        </w:tc>
        <w:tc>
          <w:tcPr>
            <w:tcW w:w="1260" w:type="dxa"/>
            <w:vAlign w:val="center"/>
          </w:tcPr>
          <w:p w14:paraId="75946F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现场变配电装置</w:t>
            </w:r>
          </w:p>
        </w:tc>
        <w:tc>
          <w:tcPr>
            <w:tcW w:w="6930" w:type="dxa"/>
            <w:vAlign w:val="center"/>
          </w:tcPr>
          <w:p w14:paraId="26E5657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总配电室建筑材料必须达到消防防火要求，室内做硬地坪、电缆沟。</w:t>
            </w:r>
          </w:p>
        </w:tc>
      </w:tr>
      <w:tr w14:paraId="2249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5822FC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安全施工</w:t>
            </w:r>
          </w:p>
        </w:tc>
        <w:tc>
          <w:tcPr>
            <w:tcW w:w="525" w:type="dxa"/>
            <w:vMerge w:val="restart"/>
            <w:vAlign w:val="center"/>
          </w:tcPr>
          <w:p w14:paraId="69DFA62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临边洞口交叉高处作业防护</w:t>
            </w:r>
          </w:p>
        </w:tc>
        <w:tc>
          <w:tcPr>
            <w:tcW w:w="1260" w:type="dxa"/>
            <w:vAlign w:val="center"/>
          </w:tcPr>
          <w:p w14:paraId="3AF89E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楼层、屋面、阳台等临边防护</w:t>
            </w:r>
          </w:p>
        </w:tc>
        <w:tc>
          <w:tcPr>
            <w:tcW w:w="6930" w:type="dxa"/>
            <w:vAlign w:val="center"/>
          </w:tcPr>
          <w:p w14:paraId="2DA244F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设两道防护栏杆和18cm高的踢脚板，用密目式安全立网全封闭。</w:t>
            </w:r>
          </w:p>
        </w:tc>
      </w:tr>
      <w:tr w14:paraId="42A6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4B70C56">
            <w:pPr>
              <w:spacing w:line="360" w:lineRule="auto"/>
              <w:rPr>
                <w:rFonts w:hint="eastAsia" w:ascii="宋体" w:hAnsi="宋体" w:eastAsia="宋体" w:cs="宋体"/>
                <w:color w:val="auto"/>
                <w:szCs w:val="21"/>
                <w:highlight w:val="none"/>
              </w:rPr>
            </w:pPr>
          </w:p>
        </w:tc>
        <w:tc>
          <w:tcPr>
            <w:tcW w:w="525" w:type="dxa"/>
            <w:vMerge w:val="continue"/>
            <w:vAlign w:val="center"/>
          </w:tcPr>
          <w:p w14:paraId="2F5535C9">
            <w:pPr>
              <w:spacing w:line="360" w:lineRule="auto"/>
              <w:rPr>
                <w:rFonts w:hint="eastAsia" w:ascii="宋体" w:hAnsi="宋体" w:eastAsia="宋体" w:cs="宋体"/>
                <w:color w:val="auto"/>
                <w:szCs w:val="21"/>
                <w:highlight w:val="none"/>
              </w:rPr>
            </w:pPr>
          </w:p>
        </w:tc>
        <w:tc>
          <w:tcPr>
            <w:tcW w:w="1260" w:type="dxa"/>
            <w:vAlign w:val="center"/>
          </w:tcPr>
          <w:p w14:paraId="6E24209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通道口</w:t>
            </w:r>
          </w:p>
        </w:tc>
        <w:tc>
          <w:tcPr>
            <w:tcW w:w="6930" w:type="dxa"/>
            <w:vAlign w:val="center"/>
          </w:tcPr>
          <w:p w14:paraId="55946D2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设防护棚，防护棚应为不小于5cm厚的木板或两道相距50cm的竹笆。两侧应沿栏杆架用密目式安全网封闭。</w:t>
            </w:r>
          </w:p>
        </w:tc>
      </w:tr>
      <w:tr w14:paraId="49A3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E77C7C5">
            <w:pPr>
              <w:spacing w:line="360" w:lineRule="auto"/>
              <w:rPr>
                <w:rFonts w:hint="eastAsia" w:ascii="宋体" w:hAnsi="宋体" w:eastAsia="宋体" w:cs="宋体"/>
                <w:color w:val="auto"/>
                <w:szCs w:val="21"/>
                <w:highlight w:val="none"/>
              </w:rPr>
            </w:pPr>
          </w:p>
        </w:tc>
        <w:tc>
          <w:tcPr>
            <w:tcW w:w="525" w:type="dxa"/>
            <w:vMerge w:val="continue"/>
            <w:vAlign w:val="center"/>
          </w:tcPr>
          <w:p w14:paraId="57664B08">
            <w:pPr>
              <w:spacing w:line="360" w:lineRule="auto"/>
              <w:rPr>
                <w:rFonts w:hint="eastAsia" w:ascii="宋体" w:hAnsi="宋体" w:eastAsia="宋体" w:cs="宋体"/>
                <w:color w:val="auto"/>
                <w:szCs w:val="21"/>
                <w:highlight w:val="none"/>
              </w:rPr>
            </w:pPr>
          </w:p>
        </w:tc>
        <w:tc>
          <w:tcPr>
            <w:tcW w:w="1260" w:type="dxa"/>
            <w:vAlign w:val="center"/>
          </w:tcPr>
          <w:p w14:paraId="7C4149A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预留洞口</w:t>
            </w:r>
          </w:p>
        </w:tc>
        <w:tc>
          <w:tcPr>
            <w:tcW w:w="6930" w:type="dxa"/>
            <w:vAlign w:val="center"/>
          </w:tcPr>
          <w:p w14:paraId="52912A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用硬质材料全封闭；短边超过1.5m长的洞口，除封闭外四周还应设有防护栏杆。</w:t>
            </w:r>
          </w:p>
        </w:tc>
      </w:tr>
      <w:tr w14:paraId="0D28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74A9CD0">
            <w:pPr>
              <w:spacing w:line="360" w:lineRule="auto"/>
              <w:rPr>
                <w:rFonts w:hint="eastAsia" w:ascii="宋体" w:hAnsi="宋体" w:eastAsia="宋体" w:cs="宋体"/>
                <w:color w:val="auto"/>
                <w:szCs w:val="21"/>
                <w:highlight w:val="none"/>
              </w:rPr>
            </w:pPr>
          </w:p>
        </w:tc>
        <w:tc>
          <w:tcPr>
            <w:tcW w:w="525" w:type="dxa"/>
            <w:vMerge w:val="continue"/>
            <w:vAlign w:val="center"/>
          </w:tcPr>
          <w:p w14:paraId="2CBCB0E3">
            <w:pPr>
              <w:spacing w:line="360" w:lineRule="auto"/>
              <w:rPr>
                <w:rFonts w:hint="eastAsia" w:ascii="宋体" w:hAnsi="宋体" w:eastAsia="宋体" w:cs="宋体"/>
                <w:color w:val="auto"/>
                <w:szCs w:val="21"/>
                <w:highlight w:val="none"/>
              </w:rPr>
            </w:pPr>
          </w:p>
        </w:tc>
        <w:tc>
          <w:tcPr>
            <w:tcW w:w="1260" w:type="dxa"/>
            <w:vAlign w:val="center"/>
          </w:tcPr>
          <w:p w14:paraId="3E98C7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电梯井口</w:t>
            </w:r>
          </w:p>
        </w:tc>
        <w:tc>
          <w:tcPr>
            <w:tcW w:w="6930" w:type="dxa"/>
            <w:vAlign w:val="center"/>
          </w:tcPr>
          <w:p w14:paraId="0959C0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设置定型化、工具化、标准化的防护门。在电梯井内每隔2层（不大于10m）设置一道水平防护。</w:t>
            </w:r>
          </w:p>
        </w:tc>
      </w:tr>
      <w:tr w14:paraId="7B51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1FA8848C">
            <w:pPr>
              <w:spacing w:line="360" w:lineRule="auto"/>
              <w:rPr>
                <w:rFonts w:hint="eastAsia" w:ascii="宋体" w:hAnsi="宋体" w:eastAsia="宋体" w:cs="宋体"/>
                <w:color w:val="auto"/>
                <w:szCs w:val="21"/>
                <w:highlight w:val="none"/>
              </w:rPr>
            </w:pPr>
          </w:p>
        </w:tc>
        <w:tc>
          <w:tcPr>
            <w:tcW w:w="525" w:type="dxa"/>
            <w:vMerge w:val="continue"/>
            <w:vAlign w:val="center"/>
          </w:tcPr>
          <w:p w14:paraId="3AEFA82A">
            <w:pPr>
              <w:spacing w:line="360" w:lineRule="auto"/>
              <w:rPr>
                <w:rFonts w:hint="eastAsia" w:ascii="宋体" w:hAnsi="宋体" w:eastAsia="宋体" w:cs="宋体"/>
                <w:color w:val="auto"/>
                <w:szCs w:val="21"/>
                <w:highlight w:val="none"/>
              </w:rPr>
            </w:pPr>
          </w:p>
        </w:tc>
        <w:tc>
          <w:tcPr>
            <w:tcW w:w="1260" w:type="dxa"/>
            <w:vAlign w:val="center"/>
          </w:tcPr>
          <w:p w14:paraId="0850D0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楼梯边</w:t>
            </w:r>
          </w:p>
        </w:tc>
        <w:tc>
          <w:tcPr>
            <w:tcW w:w="6930" w:type="dxa"/>
            <w:vAlign w:val="center"/>
          </w:tcPr>
          <w:p w14:paraId="7A70EED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设1.2m高的定型化、工具化的防护栏，18cm高的踢脚板。</w:t>
            </w:r>
          </w:p>
        </w:tc>
      </w:tr>
      <w:tr w14:paraId="60E5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5F9E6FD">
            <w:pPr>
              <w:spacing w:line="360" w:lineRule="auto"/>
              <w:rPr>
                <w:rFonts w:hint="eastAsia" w:ascii="宋体" w:hAnsi="宋体" w:eastAsia="宋体" w:cs="宋体"/>
                <w:color w:val="auto"/>
                <w:szCs w:val="21"/>
                <w:highlight w:val="none"/>
              </w:rPr>
            </w:pPr>
          </w:p>
        </w:tc>
        <w:tc>
          <w:tcPr>
            <w:tcW w:w="525" w:type="dxa"/>
            <w:vMerge w:val="continue"/>
            <w:vAlign w:val="center"/>
          </w:tcPr>
          <w:p w14:paraId="61F3CAC5">
            <w:pPr>
              <w:spacing w:line="360" w:lineRule="auto"/>
              <w:rPr>
                <w:rFonts w:hint="eastAsia" w:ascii="宋体" w:hAnsi="宋体" w:eastAsia="宋体" w:cs="宋体"/>
                <w:color w:val="auto"/>
                <w:szCs w:val="21"/>
                <w:highlight w:val="none"/>
              </w:rPr>
            </w:pPr>
          </w:p>
        </w:tc>
        <w:tc>
          <w:tcPr>
            <w:tcW w:w="1260" w:type="dxa"/>
            <w:vAlign w:val="center"/>
          </w:tcPr>
          <w:p w14:paraId="2B46FC6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垂直方向交叉作业</w:t>
            </w:r>
          </w:p>
        </w:tc>
        <w:tc>
          <w:tcPr>
            <w:tcW w:w="6930" w:type="dxa"/>
            <w:vAlign w:val="center"/>
          </w:tcPr>
          <w:p w14:paraId="4C4827D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设置防护隔离棚或其它设施。</w:t>
            </w:r>
          </w:p>
        </w:tc>
      </w:tr>
      <w:tr w14:paraId="251A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15A272E">
            <w:pPr>
              <w:spacing w:line="360" w:lineRule="auto"/>
              <w:rPr>
                <w:rFonts w:hint="eastAsia" w:ascii="宋体" w:hAnsi="宋体" w:eastAsia="宋体" w:cs="宋体"/>
                <w:color w:val="auto"/>
                <w:szCs w:val="21"/>
                <w:highlight w:val="none"/>
              </w:rPr>
            </w:pPr>
          </w:p>
        </w:tc>
        <w:tc>
          <w:tcPr>
            <w:tcW w:w="525" w:type="dxa"/>
            <w:vMerge w:val="continue"/>
            <w:vAlign w:val="center"/>
          </w:tcPr>
          <w:p w14:paraId="4C54380B">
            <w:pPr>
              <w:spacing w:line="360" w:lineRule="auto"/>
              <w:rPr>
                <w:rFonts w:hint="eastAsia" w:ascii="宋体" w:hAnsi="宋体" w:eastAsia="宋体" w:cs="宋体"/>
                <w:color w:val="auto"/>
                <w:szCs w:val="21"/>
                <w:highlight w:val="none"/>
              </w:rPr>
            </w:pPr>
          </w:p>
        </w:tc>
        <w:tc>
          <w:tcPr>
            <w:tcW w:w="1260" w:type="dxa"/>
            <w:vAlign w:val="center"/>
          </w:tcPr>
          <w:p w14:paraId="6C7385E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高空作业</w:t>
            </w:r>
          </w:p>
        </w:tc>
        <w:tc>
          <w:tcPr>
            <w:tcW w:w="6930" w:type="dxa"/>
            <w:vAlign w:val="center"/>
          </w:tcPr>
          <w:p w14:paraId="18C6D0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有悬挂安全带的悬索或其它设施，有操作平台；有上下的梯子或其他形式的通道。</w:t>
            </w:r>
          </w:p>
        </w:tc>
      </w:tr>
      <w:tr w14:paraId="0359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20E90A3">
            <w:pPr>
              <w:spacing w:line="360" w:lineRule="auto"/>
              <w:rPr>
                <w:rFonts w:hint="eastAsia" w:ascii="宋体" w:hAnsi="宋体" w:eastAsia="宋体" w:cs="宋体"/>
                <w:color w:val="auto"/>
                <w:szCs w:val="21"/>
                <w:highlight w:val="none"/>
              </w:rPr>
            </w:pPr>
          </w:p>
        </w:tc>
        <w:tc>
          <w:tcPr>
            <w:tcW w:w="525" w:type="dxa"/>
            <w:vMerge w:val="continue"/>
            <w:vAlign w:val="center"/>
          </w:tcPr>
          <w:p w14:paraId="1F16FFDA">
            <w:pPr>
              <w:spacing w:line="360" w:lineRule="auto"/>
              <w:rPr>
                <w:rFonts w:hint="eastAsia" w:ascii="宋体" w:hAnsi="宋体" w:eastAsia="宋体" w:cs="宋体"/>
                <w:color w:val="auto"/>
                <w:szCs w:val="21"/>
                <w:highlight w:val="none"/>
              </w:rPr>
            </w:pPr>
          </w:p>
        </w:tc>
        <w:tc>
          <w:tcPr>
            <w:tcW w:w="1260" w:type="dxa"/>
            <w:vAlign w:val="center"/>
          </w:tcPr>
          <w:p w14:paraId="11874EE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基坑、卸料平台</w:t>
            </w:r>
          </w:p>
        </w:tc>
        <w:tc>
          <w:tcPr>
            <w:tcW w:w="6930" w:type="dxa"/>
            <w:vAlign w:val="center"/>
          </w:tcPr>
          <w:p w14:paraId="455355D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设1.2m高标准化的防护栏，用密目式安全立网封闭，悬挂标识。</w:t>
            </w:r>
          </w:p>
        </w:tc>
      </w:tr>
      <w:tr w14:paraId="7FB3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6B31C2B">
            <w:pPr>
              <w:spacing w:line="360" w:lineRule="auto"/>
              <w:rPr>
                <w:rFonts w:hint="eastAsia" w:ascii="宋体" w:hAnsi="宋体" w:eastAsia="宋体" w:cs="宋体"/>
                <w:color w:val="auto"/>
                <w:szCs w:val="21"/>
                <w:highlight w:val="none"/>
              </w:rPr>
            </w:pPr>
          </w:p>
        </w:tc>
        <w:tc>
          <w:tcPr>
            <w:tcW w:w="1785" w:type="dxa"/>
            <w:gridSpan w:val="2"/>
            <w:vAlign w:val="center"/>
          </w:tcPr>
          <w:p w14:paraId="2CF9AA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安全防护用品</w:t>
            </w:r>
          </w:p>
        </w:tc>
        <w:tc>
          <w:tcPr>
            <w:tcW w:w="6930" w:type="dxa"/>
            <w:vAlign w:val="center"/>
          </w:tcPr>
          <w:p w14:paraId="7D3359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安全帽、安全带、特种作业人员（电工、焊工、架子工等）防护服装、用品等。</w:t>
            </w:r>
          </w:p>
        </w:tc>
      </w:tr>
      <w:tr w14:paraId="2C8A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4C981E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525" w:type="dxa"/>
            <w:vMerge w:val="restart"/>
            <w:vAlign w:val="center"/>
          </w:tcPr>
          <w:p w14:paraId="1C27561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机械设备防护</w:t>
            </w:r>
          </w:p>
        </w:tc>
        <w:tc>
          <w:tcPr>
            <w:tcW w:w="1260" w:type="dxa"/>
            <w:vAlign w:val="center"/>
          </w:tcPr>
          <w:p w14:paraId="55997E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中小型机械</w:t>
            </w:r>
          </w:p>
        </w:tc>
        <w:tc>
          <w:tcPr>
            <w:tcW w:w="6930" w:type="dxa"/>
            <w:vAlign w:val="center"/>
          </w:tcPr>
          <w:p w14:paraId="411AAED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设防护棚（同通道口防护并有防雨措施）。</w:t>
            </w:r>
          </w:p>
        </w:tc>
      </w:tr>
      <w:tr w14:paraId="7618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9EC444D">
            <w:pPr>
              <w:spacing w:line="360" w:lineRule="auto"/>
              <w:rPr>
                <w:rFonts w:hint="eastAsia" w:ascii="宋体" w:hAnsi="宋体" w:eastAsia="宋体" w:cs="宋体"/>
                <w:color w:val="auto"/>
                <w:szCs w:val="21"/>
                <w:highlight w:val="none"/>
              </w:rPr>
            </w:pPr>
          </w:p>
        </w:tc>
        <w:tc>
          <w:tcPr>
            <w:tcW w:w="525" w:type="dxa"/>
            <w:vMerge w:val="continue"/>
            <w:vAlign w:val="center"/>
          </w:tcPr>
          <w:p w14:paraId="3DA30686">
            <w:pPr>
              <w:spacing w:line="360" w:lineRule="auto"/>
              <w:rPr>
                <w:rFonts w:hint="eastAsia" w:ascii="宋体" w:hAnsi="宋体" w:eastAsia="宋体" w:cs="宋体"/>
                <w:color w:val="auto"/>
                <w:szCs w:val="21"/>
                <w:highlight w:val="none"/>
              </w:rPr>
            </w:pPr>
          </w:p>
        </w:tc>
        <w:tc>
          <w:tcPr>
            <w:tcW w:w="1260" w:type="dxa"/>
            <w:vAlign w:val="center"/>
          </w:tcPr>
          <w:p w14:paraId="14E99F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垂直运输设备</w:t>
            </w:r>
          </w:p>
        </w:tc>
        <w:tc>
          <w:tcPr>
            <w:tcW w:w="6930" w:type="dxa"/>
            <w:vAlign w:val="center"/>
          </w:tcPr>
          <w:p w14:paraId="7671511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1.垂直运输设备检测、检验。</w:t>
            </w:r>
          </w:p>
          <w:p w14:paraId="031DD2F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2.物料提升机、施工电梯等卸料平台搭设、外侧用密目式安全立网全封闭，安全防护门、防护棚等。</w:t>
            </w:r>
          </w:p>
        </w:tc>
      </w:tr>
      <w:tr w14:paraId="1A25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76FE964E">
            <w:pPr>
              <w:spacing w:line="360" w:lineRule="auto"/>
              <w:rPr>
                <w:rFonts w:hint="eastAsia" w:ascii="宋体" w:hAnsi="宋体" w:eastAsia="宋体" w:cs="宋体"/>
                <w:color w:val="auto"/>
                <w:szCs w:val="21"/>
                <w:highlight w:val="none"/>
              </w:rPr>
            </w:pPr>
          </w:p>
        </w:tc>
        <w:tc>
          <w:tcPr>
            <w:tcW w:w="1785" w:type="dxa"/>
            <w:gridSpan w:val="2"/>
            <w:vAlign w:val="center"/>
          </w:tcPr>
          <w:p w14:paraId="2D605C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专家论证审查</w:t>
            </w:r>
          </w:p>
        </w:tc>
        <w:tc>
          <w:tcPr>
            <w:tcW w:w="6930" w:type="dxa"/>
            <w:vAlign w:val="center"/>
          </w:tcPr>
          <w:p w14:paraId="7EE4B7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超过一定规模的危险性较大工程专家论证审查。</w:t>
            </w:r>
          </w:p>
        </w:tc>
      </w:tr>
      <w:tr w14:paraId="3A5F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27B490AD">
            <w:pPr>
              <w:spacing w:line="360" w:lineRule="auto"/>
              <w:rPr>
                <w:rFonts w:hint="eastAsia" w:ascii="宋体" w:hAnsi="宋体" w:eastAsia="宋体" w:cs="宋体"/>
                <w:color w:val="auto"/>
                <w:szCs w:val="21"/>
                <w:highlight w:val="none"/>
              </w:rPr>
            </w:pPr>
          </w:p>
        </w:tc>
        <w:tc>
          <w:tcPr>
            <w:tcW w:w="1785" w:type="dxa"/>
            <w:gridSpan w:val="2"/>
            <w:vAlign w:val="center"/>
          </w:tcPr>
          <w:p w14:paraId="34E478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应急救援预案</w:t>
            </w:r>
          </w:p>
        </w:tc>
        <w:tc>
          <w:tcPr>
            <w:tcW w:w="6930" w:type="dxa"/>
            <w:vAlign w:val="center"/>
          </w:tcPr>
          <w:p w14:paraId="7A6EC3A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救援器材准备及演练等。</w:t>
            </w:r>
          </w:p>
        </w:tc>
      </w:tr>
      <w:tr w14:paraId="671C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87FC315">
            <w:pPr>
              <w:spacing w:line="360" w:lineRule="auto"/>
              <w:rPr>
                <w:rFonts w:hint="eastAsia" w:ascii="宋体" w:hAnsi="宋体" w:eastAsia="宋体" w:cs="宋体"/>
                <w:color w:val="auto"/>
                <w:szCs w:val="21"/>
                <w:highlight w:val="none"/>
              </w:rPr>
            </w:pPr>
          </w:p>
        </w:tc>
        <w:tc>
          <w:tcPr>
            <w:tcW w:w="1785" w:type="dxa"/>
            <w:gridSpan w:val="2"/>
            <w:vAlign w:val="center"/>
          </w:tcPr>
          <w:p w14:paraId="34012E3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非正常情况施工</w:t>
            </w:r>
          </w:p>
        </w:tc>
        <w:tc>
          <w:tcPr>
            <w:tcW w:w="6930" w:type="dxa"/>
            <w:vAlign w:val="center"/>
          </w:tcPr>
          <w:p w14:paraId="057CB14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其它特殊情况下的防护费用，如：城市主干道、人流密集、河边等处施工及文物、古建筑、古树保护等。</w:t>
            </w:r>
          </w:p>
        </w:tc>
      </w:tr>
    </w:tbl>
    <w:p w14:paraId="1670C8FD">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备注：本表所列建筑工程安全文明施工费，是依据现行法律法规及标准规范确定的。如法律法规和标准规范修订，本表所列项目应按照修订后的法律法规和标准规范进行调整。</w:t>
      </w:r>
    </w:p>
    <w:p w14:paraId="32BE88F6">
      <w:pPr>
        <w:spacing w:line="360" w:lineRule="auto"/>
        <w:rPr>
          <w:rFonts w:hint="eastAsia" w:ascii="宋体" w:hAnsi="宋体" w:eastAsia="宋体" w:cs="宋体"/>
          <w:color w:val="auto"/>
          <w:sz w:val="24"/>
          <w:szCs w:val="24"/>
          <w:highlight w:val="none"/>
        </w:rPr>
      </w:pPr>
    </w:p>
    <w:p w14:paraId="617AA4B3">
      <w:pPr>
        <w:spacing w:line="360" w:lineRule="auto"/>
        <w:rPr>
          <w:rFonts w:hint="eastAsia" w:ascii="宋体" w:hAnsi="宋体" w:eastAsia="宋体" w:cs="宋体"/>
          <w:color w:val="auto"/>
          <w:sz w:val="24"/>
          <w:szCs w:val="24"/>
          <w:highlight w:val="none"/>
        </w:rPr>
      </w:pPr>
    </w:p>
    <w:p w14:paraId="6DE14258">
      <w:pPr>
        <w:spacing w:line="360" w:lineRule="auto"/>
        <w:rPr>
          <w:rFonts w:hint="eastAsia" w:ascii="宋体" w:hAnsi="宋体" w:eastAsia="宋体" w:cs="宋体"/>
          <w:b/>
          <w:color w:val="auto"/>
          <w:sz w:val="44"/>
          <w:szCs w:val="44"/>
          <w:highlight w:val="none"/>
        </w:rPr>
      </w:pPr>
      <w:r>
        <w:rPr>
          <w:rFonts w:hint="eastAsia" w:ascii="宋体" w:hAnsi="宋体" w:eastAsia="宋体" w:cs="宋体"/>
          <w:b/>
          <w:color w:val="auto"/>
          <w:sz w:val="32"/>
          <w:szCs w:val="32"/>
          <w:highlight w:val="none"/>
        </w:rPr>
        <w:br w:type="page"/>
      </w:r>
    </w:p>
    <w:p w14:paraId="367598D4">
      <w:pPr>
        <w:spacing w:line="360" w:lineRule="auto"/>
        <w:jc w:val="center"/>
        <w:rPr>
          <w:rFonts w:hint="eastAsia" w:ascii="宋体" w:hAnsi="宋体" w:eastAsia="宋体" w:cs="宋体"/>
          <w:color w:val="auto"/>
          <w:szCs w:val="24"/>
          <w:highlight w:val="none"/>
        </w:rPr>
      </w:pP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施工组织设计</w:t>
      </w:r>
    </w:p>
    <w:p w14:paraId="6B475A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1、供应商编制施工组织设计的要求：编制时应采用文字并结合图表形式说明施工方法；拟投入本工程的主要施工设备情况、拟配备本工程的试验和检测仪器设备情况、劳动力计划等； </w:t>
      </w:r>
    </w:p>
    <w:p w14:paraId="70D96F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 </w:t>
      </w:r>
    </w:p>
    <w:p w14:paraId="095C80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2、施工组织设计除采用文字表述外可附下列图表，图表及格式要求附后。 </w:t>
      </w:r>
    </w:p>
    <w:p w14:paraId="2DDCB1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附表一 拟投入本工程的主要施工设备表 </w:t>
      </w:r>
    </w:p>
    <w:p w14:paraId="6B4BB7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附表二 拟配备本工程的试验和检测仪器设备表 </w:t>
      </w:r>
    </w:p>
    <w:p w14:paraId="6D0CEF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附表三 劳动力计划表 </w:t>
      </w:r>
    </w:p>
    <w:p w14:paraId="05DC8C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附表四 计划开、竣工日期和施工进度网络图 </w:t>
      </w:r>
    </w:p>
    <w:p w14:paraId="703A83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附表五 施工总平面图 </w:t>
      </w:r>
    </w:p>
    <w:p w14:paraId="29A37AC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附表六 临时用地表</w:t>
      </w:r>
    </w:p>
    <w:p w14:paraId="4AE3DECD">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rPr>
        <w:br w:type="page"/>
      </w:r>
      <w:r>
        <w:rPr>
          <w:rFonts w:hint="eastAsia" w:ascii="宋体" w:hAnsi="宋体" w:eastAsia="宋体" w:cs="宋体"/>
          <w:color w:val="auto"/>
          <w:highlight w:val="none"/>
        </w:rPr>
        <w:t>附表一：拟投入本</w:t>
      </w:r>
      <w:r>
        <w:rPr>
          <w:rFonts w:hint="eastAsia" w:ascii="宋体" w:hAnsi="宋体" w:eastAsia="宋体" w:cs="宋体"/>
          <w:color w:val="auto"/>
          <w:szCs w:val="21"/>
          <w:highlight w:val="none"/>
        </w:rPr>
        <w:t>工程</w:t>
      </w:r>
      <w:r>
        <w:rPr>
          <w:rFonts w:hint="eastAsia" w:ascii="宋体" w:hAnsi="宋体" w:eastAsia="宋体" w:cs="宋体"/>
          <w:color w:val="auto"/>
          <w:highlight w:val="none"/>
        </w:rPr>
        <w:t>的主要施工设备表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5"/>
        <w:gridCol w:w="992"/>
        <w:gridCol w:w="1135"/>
        <w:gridCol w:w="992"/>
      </w:tblGrid>
      <w:tr w14:paraId="489B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776B3D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14:paraId="1316AC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14:paraId="1101E98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73FC98F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14:paraId="6938A2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90CF6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485AC50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51" w:type="dxa"/>
            <w:tcBorders>
              <w:top w:val="single" w:color="auto" w:sz="4" w:space="0"/>
              <w:left w:val="single" w:color="auto" w:sz="4" w:space="0"/>
              <w:bottom w:val="single" w:color="auto" w:sz="4" w:space="0"/>
              <w:right w:val="single" w:color="auto" w:sz="4" w:space="0"/>
            </w:tcBorders>
            <w:vAlign w:val="center"/>
          </w:tcPr>
          <w:p w14:paraId="0EDAF11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14:paraId="0047F5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35" w:type="dxa"/>
            <w:tcBorders>
              <w:top w:val="single" w:color="auto" w:sz="4" w:space="0"/>
              <w:left w:val="single" w:color="auto" w:sz="4" w:space="0"/>
              <w:bottom w:val="single" w:color="auto" w:sz="4" w:space="0"/>
              <w:right w:val="single" w:color="auto" w:sz="4" w:space="0"/>
            </w:tcBorders>
            <w:vAlign w:val="center"/>
          </w:tcPr>
          <w:p w14:paraId="1AB292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14:paraId="2613354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（KW）</w:t>
            </w:r>
          </w:p>
        </w:tc>
        <w:tc>
          <w:tcPr>
            <w:tcW w:w="992" w:type="dxa"/>
            <w:tcBorders>
              <w:top w:val="single" w:color="auto" w:sz="4" w:space="0"/>
              <w:left w:val="single" w:color="auto" w:sz="4" w:space="0"/>
              <w:bottom w:val="single" w:color="auto" w:sz="4" w:space="0"/>
              <w:right w:val="single" w:color="auto" w:sz="4" w:space="0"/>
            </w:tcBorders>
            <w:vAlign w:val="center"/>
          </w:tcPr>
          <w:p w14:paraId="25F686F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5C8671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w:t>
            </w:r>
          </w:p>
        </w:tc>
        <w:tc>
          <w:tcPr>
            <w:tcW w:w="1135" w:type="dxa"/>
            <w:tcBorders>
              <w:top w:val="single" w:color="auto" w:sz="4" w:space="0"/>
              <w:left w:val="single" w:color="auto" w:sz="4" w:space="0"/>
              <w:bottom w:val="single" w:color="auto" w:sz="4" w:space="0"/>
              <w:right w:val="single" w:color="auto" w:sz="4" w:space="0"/>
            </w:tcBorders>
            <w:vAlign w:val="center"/>
          </w:tcPr>
          <w:p w14:paraId="6D8D048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w:t>
            </w:r>
          </w:p>
          <w:p w14:paraId="18B5BD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工部位</w:t>
            </w:r>
          </w:p>
        </w:tc>
        <w:tc>
          <w:tcPr>
            <w:tcW w:w="992" w:type="dxa"/>
            <w:tcBorders>
              <w:top w:val="single" w:color="auto" w:sz="4" w:space="0"/>
              <w:left w:val="single" w:color="auto" w:sz="4" w:space="0"/>
              <w:bottom w:val="single" w:color="auto" w:sz="4" w:space="0"/>
              <w:right w:val="single" w:color="auto" w:sz="4" w:space="0"/>
            </w:tcBorders>
            <w:vAlign w:val="center"/>
          </w:tcPr>
          <w:p w14:paraId="722FE44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CA4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8" w:type="dxa"/>
            <w:tcBorders>
              <w:top w:val="single" w:color="auto" w:sz="4" w:space="0"/>
              <w:left w:val="single" w:color="auto" w:sz="4" w:space="0"/>
              <w:bottom w:val="single" w:color="auto" w:sz="4" w:space="0"/>
              <w:right w:val="single" w:color="auto" w:sz="4" w:space="0"/>
            </w:tcBorders>
          </w:tcPr>
          <w:p w14:paraId="6230ECAE">
            <w:pPr>
              <w:spacing w:line="360" w:lineRule="auto"/>
              <w:rPr>
                <w:rFonts w:hint="eastAsia" w:ascii="宋体" w:hAnsi="宋体" w:eastAsia="宋体" w:cs="宋体"/>
                <w:color w:val="auto"/>
                <w:szCs w:val="21"/>
                <w:highlight w:val="none"/>
              </w:rPr>
            </w:pPr>
          </w:p>
        </w:tc>
        <w:tc>
          <w:tcPr>
            <w:tcW w:w="1226" w:type="dxa"/>
            <w:tcBorders>
              <w:top w:val="single" w:color="auto" w:sz="4" w:space="0"/>
              <w:left w:val="single" w:color="auto" w:sz="4" w:space="0"/>
              <w:bottom w:val="single" w:color="auto" w:sz="4" w:space="0"/>
              <w:right w:val="single" w:color="auto" w:sz="4" w:space="0"/>
            </w:tcBorders>
          </w:tcPr>
          <w:p w14:paraId="722E2022">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273545F6">
            <w:pPr>
              <w:spacing w:line="360" w:lineRule="auto"/>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tcPr>
          <w:p w14:paraId="59BCD2D3">
            <w:pPr>
              <w:spacing w:line="360" w:lineRule="auto"/>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14:paraId="77A79119">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687A0CC2">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1DF9F3F9">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7B65793">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180AAFE8">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4FFB6A3F">
            <w:pPr>
              <w:spacing w:line="360" w:lineRule="auto"/>
              <w:rPr>
                <w:rFonts w:hint="eastAsia" w:ascii="宋体" w:hAnsi="宋体" w:eastAsia="宋体" w:cs="宋体"/>
                <w:color w:val="auto"/>
                <w:szCs w:val="21"/>
                <w:highlight w:val="none"/>
              </w:rPr>
            </w:pPr>
          </w:p>
        </w:tc>
      </w:tr>
      <w:tr w14:paraId="23D4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58" w:type="dxa"/>
            <w:tcBorders>
              <w:top w:val="single" w:color="auto" w:sz="4" w:space="0"/>
              <w:left w:val="single" w:color="auto" w:sz="4" w:space="0"/>
              <w:bottom w:val="single" w:color="auto" w:sz="4" w:space="0"/>
              <w:right w:val="single" w:color="auto" w:sz="4" w:space="0"/>
            </w:tcBorders>
          </w:tcPr>
          <w:p w14:paraId="34ACD26E">
            <w:pPr>
              <w:spacing w:line="360" w:lineRule="auto"/>
              <w:rPr>
                <w:rFonts w:hint="eastAsia" w:ascii="宋体" w:hAnsi="宋体" w:eastAsia="宋体" w:cs="宋体"/>
                <w:color w:val="auto"/>
                <w:szCs w:val="21"/>
                <w:highlight w:val="none"/>
              </w:rPr>
            </w:pPr>
          </w:p>
        </w:tc>
        <w:tc>
          <w:tcPr>
            <w:tcW w:w="1226" w:type="dxa"/>
            <w:tcBorders>
              <w:top w:val="single" w:color="auto" w:sz="4" w:space="0"/>
              <w:left w:val="single" w:color="auto" w:sz="4" w:space="0"/>
              <w:bottom w:val="single" w:color="auto" w:sz="4" w:space="0"/>
              <w:right w:val="single" w:color="auto" w:sz="4" w:space="0"/>
            </w:tcBorders>
          </w:tcPr>
          <w:p w14:paraId="726419DA">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5005DE6B">
            <w:pPr>
              <w:spacing w:line="360" w:lineRule="auto"/>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tcPr>
          <w:p w14:paraId="3FEB67A0">
            <w:pPr>
              <w:spacing w:line="360" w:lineRule="auto"/>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14:paraId="48FE9AAC">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49057A7B">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5DA166C6">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39CD7171">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66DA12E9">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0F8C71D2">
            <w:pPr>
              <w:spacing w:line="360" w:lineRule="auto"/>
              <w:rPr>
                <w:rFonts w:hint="eastAsia" w:ascii="宋体" w:hAnsi="宋体" w:eastAsia="宋体" w:cs="宋体"/>
                <w:color w:val="auto"/>
                <w:szCs w:val="21"/>
                <w:highlight w:val="none"/>
              </w:rPr>
            </w:pPr>
          </w:p>
        </w:tc>
      </w:tr>
      <w:tr w14:paraId="7FE0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8" w:type="dxa"/>
            <w:tcBorders>
              <w:top w:val="single" w:color="auto" w:sz="4" w:space="0"/>
              <w:left w:val="single" w:color="auto" w:sz="4" w:space="0"/>
              <w:bottom w:val="single" w:color="auto" w:sz="4" w:space="0"/>
              <w:right w:val="single" w:color="auto" w:sz="4" w:space="0"/>
            </w:tcBorders>
          </w:tcPr>
          <w:p w14:paraId="365320DF">
            <w:pPr>
              <w:spacing w:line="360" w:lineRule="auto"/>
              <w:rPr>
                <w:rFonts w:hint="eastAsia" w:ascii="宋体" w:hAnsi="宋体" w:eastAsia="宋体" w:cs="宋体"/>
                <w:color w:val="auto"/>
                <w:szCs w:val="21"/>
                <w:highlight w:val="none"/>
              </w:rPr>
            </w:pPr>
          </w:p>
        </w:tc>
        <w:tc>
          <w:tcPr>
            <w:tcW w:w="1226" w:type="dxa"/>
            <w:tcBorders>
              <w:top w:val="single" w:color="auto" w:sz="4" w:space="0"/>
              <w:left w:val="single" w:color="auto" w:sz="4" w:space="0"/>
              <w:bottom w:val="single" w:color="auto" w:sz="4" w:space="0"/>
              <w:right w:val="single" w:color="auto" w:sz="4" w:space="0"/>
            </w:tcBorders>
          </w:tcPr>
          <w:p w14:paraId="73577E2B">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2918BE5B">
            <w:pPr>
              <w:spacing w:line="360" w:lineRule="auto"/>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tcPr>
          <w:p w14:paraId="0615D5C1">
            <w:pPr>
              <w:spacing w:line="360" w:lineRule="auto"/>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14:paraId="3B1CCF4B">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7F8A6CF1">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328D9014">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14885AA">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0E42FC6E">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7F0B525C">
            <w:pPr>
              <w:spacing w:line="360" w:lineRule="auto"/>
              <w:rPr>
                <w:rFonts w:hint="eastAsia" w:ascii="宋体" w:hAnsi="宋体" w:eastAsia="宋体" w:cs="宋体"/>
                <w:color w:val="auto"/>
                <w:szCs w:val="21"/>
                <w:highlight w:val="none"/>
              </w:rPr>
            </w:pPr>
          </w:p>
        </w:tc>
      </w:tr>
      <w:tr w14:paraId="281A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8" w:type="dxa"/>
            <w:tcBorders>
              <w:top w:val="single" w:color="auto" w:sz="4" w:space="0"/>
              <w:left w:val="single" w:color="auto" w:sz="4" w:space="0"/>
              <w:bottom w:val="single" w:color="auto" w:sz="4" w:space="0"/>
              <w:right w:val="single" w:color="auto" w:sz="4" w:space="0"/>
            </w:tcBorders>
          </w:tcPr>
          <w:p w14:paraId="00D8ADA5">
            <w:pPr>
              <w:spacing w:line="360" w:lineRule="auto"/>
              <w:rPr>
                <w:rFonts w:hint="eastAsia" w:ascii="宋体" w:hAnsi="宋体" w:eastAsia="宋体" w:cs="宋体"/>
                <w:color w:val="auto"/>
                <w:szCs w:val="21"/>
                <w:highlight w:val="none"/>
              </w:rPr>
            </w:pPr>
          </w:p>
        </w:tc>
        <w:tc>
          <w:tcPr>
            <w:tcW w:w="1226" w:type="dxa"/>
            <w:tcBorders>
              <w:top w:val="single" w:color="auto" w:sz="4" w:space="0"/>
              <w:left w:val="single" w:color="auto" w:sz="4" w:space="0"/>
              <w:bottom w:val="single" w:color="auto" w:sz="4" w:space="0"/>
              <w:right w:val="single" w:color="auto" w:sz="4" w:space="0"/>
            </w:tcBorders>
          </w:tcPr>
          <w:p w14:paraId="75FEDE70">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2A9126BB">
            <w:pPr>
              <w:spacing w:line="360" w:lineRule="auto"/>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tcPr>
          <w:p w14:paraId="3ACFFF03">
            <w:pPr>
              <w:spacing w:line="360" w:lineRule="auto"/>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14:paraId="709DE1B6">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4CA3BDC3">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15D00D09">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4CD7963E">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6547D844">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0437AEF3">
            <w:pPr>
              <w:spacing w:line="360" w:lineRule="auto"/>
              <w:rPr>
                <w:rFonts w:hint="eastAsia" w:ascii="宋体" w:hAnsi="宋体" w:eastAsia="宋体" w:cs="宋体"/>
                <w:color w:val="auto"/>
                <w:szCs w:val="21"/>
                <w:highlight w:val="none"/>
              </w:rPr>
            </w:pPr>
          </w:p>
        </w:tc>
      </w:tr>
      <w:tr w14:paraId="2E54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58" w:type="dxa"/>
            <w:tcBorders>
              <w:top w:val="single" w:color="auto" w:sz="4" w:space="0"/>
              <w:left w:val="single" w:color="auto" w:sz="4" w:space="0"/>
              <w:bottom w:val="single" w:color="auto" w:sz="4" w:space="0"/>
              <w:right w:val="single" w:color="auto" w:sz="4" w:space="0"/>
            </w:tcBorders>
          </w:tcPr>
          <w:p w14:paraId="7F3A6428">
            <w:pPr>
              <w:spacing w:line="360" w:lineRule="auto"/>
              <w:rPr>
                <w:rFonts w:hint="eastAsia" w:ascii="宋体" w:hAnsi="宋体" w:eastAsia="宋体" w:cs="宋体"/>
                <w:color w:val="auto"/>
                <w:szCs w:val="21"/>
                <w:highlight w:val="none"/>
              </w:rPr>
            </w:pPr>
          </w:p>
        </w:tc>
        <w:tc>
          <w:tcPr>
            <w:tcW w:w="1226" w:type="dxa"/>
            <w:tcBorders>
              <w:top w:val="single" w:color="auto" w:sz="4" w:space="0"/>
              <w:left w:val="single" w:color="auto" w:sz="4" w:space="0"/>
              <w:bottom w:val="single" w:color="auto" w:sz="4" w:space="0"/>
              <w:right w:val="single" w:color="auto" w:sz="4" w:space="0"/>
            </w:tcBorders>
          </w:tcPr>
          <w:p w14:paraId="7D943E0A">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3DB1D40B">
            <w:pPr>
              <w:spacing w:line="360" w:lineRule="auto"/>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tcPr>
          <w:p w14:paraId="107C074F">
            <w:pPr>
              <w:spacing w:line="360" w:lineRule="auto"/>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14:paraId="64F54573">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tcPr>
          <w:p w14:paraId="004BA2B9">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007F1F8D">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731F5D0C">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77FC3C4E">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14A8FE45">
            <w:pPr>
              <w:spacing w:line="360" w:lineRule="auto"/>
              <w:rPr>
                <w:rFonts w:hint="eastAsia" w:ascii="宋体" w:hAnsi="宋体" w:eastAsia="宋体" w:cs="宋体"/>
                <w:color w:val="auto"/>
                <w:szCs w:val="21"/>
                <w:highlight w:val="none"/>
              </w:rPr>
            </w:pPr>
          </w:p>
        </w:tc>
      </w:tr>
    </w:tbl>
    <w:p w14:paraId="3127924D">
      <w:pPr>
        <w:spacing w:line="360" w:lineRule="auto"/>
        <w:rPr>
          <w:rFonts w:hint="eastAsia" w:ascii="宋体" w:hAnsi="宋体" w:eastAsia="宋体" w:cs="宋体"/>
          <w:color w:val="auto"/>
          <w:szCs w:val="24"/>
          <w:highlight w:val="none"/>
        </w:rPr>
      </w:pPr>
    </w:p>
    <w:p w14:paraId="2970A978">
      <w:pPr>
        <w:spacing w:line="360" w:lineRule="auto"/>
        <w:rPr>
          <w:rFonts w:hint="eastAsia" w:ascii="宋体" w:hAnsi="宋体" w:eastAsia="宋体" w:cs="宋体"/>
          <w:color w:val="auto"/>
          <w:szCs w:val="24"/>
          <w:highlight w:val="none"/>
        </w:rPr>
      </w:pPr>
    </w:p>
    <w:p w14:paraId="0FB080FA">
      <w:pPr>
        <w:spacing w:line="360" w:lineRule="auto"/>
        <w:rPr>
          <w:rFonts w:hint="eastAsia" w:ascii="宋体" w:hAnsi="宋体" w:eastAsia="宋体" w:cs="宋体"/>
          <w:color w:val="auto"/>
          <w:szCs w:val="24"/>
          <w:highlight w:val="none"/>
        </w:rPr>
      </w:pPr>
      <w:r>
        <w:rPr>
          <w:rFonts w:hint="eastAsia" w:ascii="宋体" w:hAnsi="宋体" w:eastAsia="宋体" w:cs="宋体"/>
          <w:color w:val="auto"/>
          <w:highlight w:val="none"/>
        </w:rPr>
        <w:t>附表二：拟配备本工程的试验和检测仪器设备表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5"/>
        <w:gridCol w:w="1276"/>
        <w:gridCol w:w="1135"/>
        <w:gridCol w:w="1559"/>
      </w:tblGrid>
      <w:tr w14:paraId="4ACC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891BDE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14:paraId="1A6B716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仪器设备名称</w:t>
            </w:r>
          </w:p>
        </w:tc>
        <w:tc>
          <w:tcPr>
            <w:tcW w:w="851" w:type="dxa"/>
            <w:tcBorders>
              <w:top w:val="single" w:color="auto" w:sz="4" w:space="0"/>
              <w:left w:val="single" w:color="auto" w:sz="4" w:space="0"/>
              <w:bottom w:val="single" w:color="auto" w:sz="4" w:space="0"/>
              <w:right w:val="single" w:color="auto" w:sz="4" w:space="0"/>
            </w:tcBorders>
            <w:vAlign w:val="center"/>
          </w:tcPr>
          <w:p w14:paraId="469A60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7A6E054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14:paraId="58735E3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7F9703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3AB9B9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135" w:type="dxa"/>
            <w:tcBorders>
              <w:top w:val="single" w:color="auto" w:sz="4" w:space="0"/>
              <w:left w:val="single" w:color="auto" w:sz="4" w:space="0"/>
              <w:bottom w:val="single" w:color="auto" w:sz="4" w:space="0"/>
              <w:right w:val="single" w:color="auto" w:sz="4" w:space="0"/>
            </w:tcBorders>
            <w:vAlign w:val="center"/>
          </w:tcPr>
          <w:p w14:paraId="69461A4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276" w:type="dxa"/>
            <w:tcBorders>
              <w:top w:val="single" w:color="auto" w:sz="4" w:space="0"/>
              <w:left w:val="single" w:color="auto" w:sz="4" w:space="0"/>
              <w:bottom w:val="single" w:color="auto" w:sz="4" w:space="0"/>
              <w:right w:val="single" w:color="auto" w:sz="4" w:space="0"/>
            </w:tcBorders>
            <w:vAlign w:val="center"/>
          </w:tcPr>
          <w:p w14:paraId="001A61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已使用</w:t>
            </w:r>
          </w:p>
          <w:p w14:paraId="78253A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台时数</w:t>
            </w:r>
          </w:p>
        </w:tc>
        <w:tc>
          <w:tcPr>
            <w:tcW w:w="1135" w:type="dxa"/>
            <w:tcBorders>
              <w:top w:val="single" w:color="auto" w:sz="4" w:space="0"/>
              <w:left w:val="single" w:color="auto" w:sz="4" w:space="0"/>
              <w:bottom w:val="single" w:color="auto" w:sz="4" w:space="0"/>
              <w:right w:val="single" w:color="auto" w:sz="4" w:space="0"/>
            </w:tcBorders>
            <w:vAlign w:val="center"/>
          </w:tcPr>
          <w:p w14:paraId="7FDBD1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w:t>
            </w:r>
          </w:p>
        </w:tc>
        <w:tc>
          <w:tcPr>
            <w:tcW w:w="1559" w:type="dxa"/>
            <w:tcBorders>
              <w:top w:val="single" w:color="auto" w:sz="4" w:space="0"/>
              <w:left w:val="single" w:color="auto" w:sz="4" w:space="0"/>
              <w:bottom w:val="single" w:color="auto" w:sz="4" w:space="0"/>
              <w:right w:val="single" w:color="auto" w:sz="4" w:space="0"/>
            </w:tcBorders>
            <w:vAlign w:val="center"/>
          </w:tcPr>
          <w:p w14:paraId="461394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B53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3E91A1E2">
            <w:pPr>
              <w:spacing w:line="360" w:lineRule="auto"/>
              <w:rPr>
                <w:rFonts w:hint="eastAsia" w:ascii="宋体" w:hAnsi="宋体" w:eastAsia="宋体" w:cs="宋体"/>
                <w:color w:val="auto"/>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4C2323F">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13A5AAF">
            <w:pPr>
              <w:spacing w:line="360" w:lineRule="auto"/>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797B3F8">
            <w:pPr>
              <w:spacing w:line="360" w:lineRule="auto"/>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B6D9CDF">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F4486F3">
            <w:pPr>
              <w:spacing w:line="360" w:lineRule="auto"/>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A08A9E4">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9648801">
            <w:pPr>
              <w:spacing w:line="360" w:lineRule="auto"/>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017AD94">
            <w:pPr>
              <w:spacing w:line="360" w:lineRule="auto"/>
              <w:rPr>
                <w:rFonts w:hint="eastAsia" w:ascii="宋体" w:hAnsi="宋体" w:eastAsia="宋体" w:cs="宋体"/>
                <w:color w:val="auto"/>
                <w:szCs w:val="21"/>
                <w:highlight w:val="none"/>
              </w:rPr>
            </w:pPr>
          </w:p>
        </w:tc>
      </w:tr>
      <w:tr w14:paraId="5062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31AD74C5">
            <w:pPr>
              <w:spacing w:line="360" w:lineRule="auto"/>
              <w:rPr>
                <w:rFonts w:hint="eastAsia" w:ascii="宋体" w:hAnsi="宋体" w:eastAsia="宋体" w:cs="宋体"/>
                <w:color w:val="auto"/>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CD2BBAA">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B5808F9">
            <w:pPr>
              <w:spacing w:line="360" w:lineRule="auto"/>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631A2CE9">
            <w:pPr>
              <w:spacing w:line="360" w:lineRule="auto"/>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54CFA14">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633D72D">
            <w:pPr>
              <w:spacing w:line="360" w:lineRule="auto"/>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A035821">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7924B15">
            <w:pPr>
              <w:spacing w:line="360" w:lineRule="auto"/>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13D83AD">
            <w:pPr>
              <w:spacing w:line="360" w:lineRule="auto"/>
              <w:rPr>
                <w:rFonts w:hint="eastAsia" w:ascii="宋体" w:hAnsi="宋体" w:eastAsia="宋体" w:cs="宋体"/>
                <w:color w:val="auto"/>
                <w:szCs w:val="21"/>
                <w:highlight w:val="none"/>
              </w:rPr>
            </w:pPr>
          </w:p>
        </w:tc>
      </w:tr>
      <w:tr w14:paraId="47DD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49B58435">
            <w:pPr>
              <w:spacing w:line="360" w:lineRule="auto"/>
              <w:rPr>
                <w:rFonts w:hint="eastAsia" w:ascii="宋体" w:hAnsi="宋体" w:eastAsia="宋体" w:cs="宋体"/>
                <w:color w:val="auto"/>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4E196CC">
            <w:pPr>
              <w:spacing w:line="360" w:lineRule="auto"/>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FD06604">
            <w:pPr>
              <w:spacing w:line="360" w:lineRule="auto"/>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667D5B91">
            <w:pPr>
              <w:spacing w:line="360" w:lineRule="auto"/>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97FA2B4">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EC70D76">
            <w:pPr>
              <w:spacing w:line="360" w:lineRule="auto"/>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2AB857">
            <w:pPr>
              <w:spacing w:line="360" w:lineRule="auto"/>
              <w:rPr>
                <w:rFonts w:hint="eastAsia"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A128168">
            <w:pPr>
              <w:spacing w:line="360" w:lineRule="auto"/>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87E3272">
            <w:pPr>
              <w:spacing w:line="360" w:lineRule="auto"/>
              <w:rPr>
                <w:rFonts w:hint="eastAsia" w:ascii="宋体" w:hAnsi="宋体" w:eastAsia="宋体" w:cs="宋体"/>
                <w:color w:val="auto"/>
                <w:szCs w:val="21"/>
                <w:highlight w:val="none"/>
              </w:rPr>
            </w:pPr>
          </w:p>
        </w:tc>
      </w:tr>
    </w:tbl>
    <w:p w14:paraId="527FA709">
      <w:pPr>
        <w:spacing w:line="360" w:lineRule="auto"/>
        <w:rPr>
          <w:rFonts w:hint="eastAsia" w:ascii="宋体" w:hAnsi="宋体" w:eastAsia="宋体" w:cs="宋体"/>
          <w:color w:val="auto"/>
          <w:highlight w:val="none"/>
        </w:rPr>
      </w:pPr>
    </w:p>
    <w:p w14:paraId="69906F75">
      <w:pPr>
        <w:spacing w:line="360" w:lineRule="auto"/>
        <w:rPr>
          <w:rFonts w:hint="eastAsia" w:ascii="宋体" w:hAnsi="宋体" w:eastAsia="宋体" w:cs="宋体"/>
          <w:color w:val="auto"/>
          <w:highlight w:val="none"/>
        </w:rPr>
      </w:pPr>
    </w:p>
    <w:p w14:paraId="33646B34">
      <w:pPr>
        <w:spacing w:line="360" w:lineRule="auto"/>
        <w:rPr>
          <w:rFonts w:hint="eastAsia" w:ascii="宋体" w:hAnsi="宋体" w:eastAsia="宋体" w:cs="宋体"/>
          <w:color w:val="auto"/>
          <w:szCs w:val="24"/>
          <w:highlight w:val="none"/>
        </w:rPr>
      </w:pPr>
      <w:r>
        <w:rPr>
          <w:rFonts w:hint="eastAsia" w:ascii="宋体" w:hAnsi="宋体" w:eastAsia="宋体" w:cs="宋体"/>
          <w:color w:val="auto"/>
          <w:highlight w:val="none"/>
        </w:rPr>
        <w:t>附表三：劳动力计划表</w:t>
      </w:r>
    </w:p>
    <w:p w14:paraId="3CA620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单位：人</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0C7F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CD4B10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8506" w:type="dxa"/>
            <w:gridSpan w:val="7"/>
            <w:tcBorders>
              <w:top w:val="single" w:color="auto" w:sz="4" w:space="0"/>
              <w:left w:val="single" w:color="auto" w:sz="4" w:space="0"/>
              <w:bottom w:val="single" w:color="auto" w:sz="4" w:space="0"/>
              <w:right w:val="single" w:color="auto" w:sz="4" w:space="0"/>
            </w:tcBorders>
            <w:vAlign w:val="center"/>
          </w:tcPr>
          <w:p w14:paraId="47C4304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r>
      <w:tr w14:paraId="390B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762F45B">
            <w:pPr>
              <w:spacing w:line="360" w:lineRule="auto"/>
              <w:rPr>
                <w:rFonts w:hint="eastAsia" w:ascii="宋体" w:hAnsi="宋体" w:eastAsia="宋体" w:cs="宋体"/>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E6CAD6F">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F2AD3E2">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192025C4">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78C6E5F">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0D69716A">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21C57DF">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12906FB5">
            <w:pPr>
              <w:spacing w:line="360" w:lineRule="auto"/>
              <w:rPr>
                <w:rFonts w:hint="eastAsia" w:ascii="宋体" w:hAnsi="宋体" w:eastAsia="宋体" w:cs="宋体"/>
                <w:color w:val="auto"/>
                <w:szCs w:val="21"/>
                <w:highlight w:val="none"/>
              </w:rPr>
            </w:pPr>
          </w:p>
        </w:tc>
      </w:tr>
      <w:tr w14:paraId="079A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620BBA3F">
            <w:pPr>
              <w:spacing w:line="360" w:lineRule="auto"/>
              <w:rPr>
                <w:rFonts w:hint="eastAsia" w:ascii="宋体" w:hAnsi="宋体" w:eastAsia="宋体" w:cs="宋体"/>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73AF597">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0263AF8">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807257E">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687A60C">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533CC6A">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44818200">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651F470">
            <w:pPr>
              <w:spacing w:line="360" w:lineRule="auto"/>
              <w:rPr>
                <w:rFonts w:hint="eastAsia" w:ascii="宋体" w:hAnsi="宋体" w:eastAsia="宋体" w:cs="宋体"/>
                <w:color w:val="auto"/>
                <w:szCs w:val="21"/>
                <w:highlight w:val="none"/>
              </w:rPr>
            </w:pPr>
          </w:p>
        </w:tc>
      </w:tr>
      <w:tr w14:paraId="6D03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09444C48">
            <w:pPr>
              <w:spacing w:line="360" w:lineRule="auto"/>
              <w:rPr>
                <w:rFonts w:hint="eastAsia" w:ascii="宋体" w:hAnsi="宋体" w:eastAsia="宋体" w:cs="宋体"/>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3A0232D">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FE12065">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7A9379E">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566A56C">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6706665F">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FDBB343">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6E0FD66">
            <w:pPr>
              <w:spacing w:line="360" w:lineRule="auto"/>
              <w:rPr>
                <w:rFonts w:hint="eastAsia" w:ascii="宋体" w:hAnsi="宋体" w:eastAsia="宋体" w:cs="宋体"/>
                <w:color w:val="auto"/>
                <w:szCs w:val="21"/>
                <w:highlight w:val="none"/>
              </w:rPr>
            </w:pPr>
          </w:p>
        </w:tc>
      </w:tr>
      <w:tr w14:paraId="4589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60D65C6B">
            <w:pPr>
              <w:spacing w:line="360" w:lineRule="auto"/>
              <w:rPr>
                <w:rFonts w:hint="eastAsia" w:ascii="宋体" w:hAnsi="宋体" w:eastAsia="宋体" w:cs="宋体"/>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6C55425">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7B6B9702">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A81B6D5">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7E038200">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5F7FA2B3">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35E3856">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39BDDB8">
            <w:pPr>
              <w:spacing w:line="360" w:lineRule="auto"/>
              <w:rPr>
                <w:rFonts w:hint="eastAsia" w:ascii="宋体" w:hAnsi="宋体" w:eastAsia="宋体" w:cs="宋体"/>
                <w:color w:val="auto"/>
                <w:szCs w:val="21"/>
                <w:highlight w:val="none"/>
              </w:rPr>
            </w:pPr>
          </w:p>
        </w:tc>
      </w:tr>
      <w:tr w14:paraId="2CA0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67D4FC5A">
            <w:pPr>
              <w:spacing w:line="360" w:lineRule="auto"/>
              <w:rPr>
                <w:rFonts w:hint="eastAsia" w:ascii="宋体" w:hAnsi="宋体" w:eastAsia="宋体" w:cs="宋体"/>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22C2A244">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05C6079">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0DC327B1">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38BC5A4">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B08DA84">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F5536AF">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3CB6716">
            <w:pPr>
              <w:spacing w:line="360" w:lineRule="auto"/>
              <w:rPr>
                <w:rFonts w:hint="eastAsia" w:ascii="宋体" w:hAnsi="宋体" w:eastAsia="宋体" w:cs="宋体"/>
                <w:color w:val="auto"/>
                <w:szCs w:val="21"/>
                <w:highlight w:val="none"/>
              </w:rPr>
            </w:pPr>
          </w:p>
        </w:tc>
      </w:tr>
      <w:tr w14:paraId="6FBE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34058EEC">
            <w:pPr>
              <w:spacing w:line="360" w:lineRule="auto"/>
              <w:rPr>
                <w:rFonts w:hint="eastAsia" w:ascii="宋体" w:hAnsi="宋体" w:eastAsia="宋体" w:cs="宋体"/>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2ED019A8">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7027C97">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8624D13">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E442AA4">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0FBE2ACE">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85CD934">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52FAE22E">
            <w:pPr>
              <w:spacing w:line="360" w:lineRule="auto"/>
              <w:rPr>
                <w:rFonts w:hint="eastAsia" w:ascii="宋体" w:hAnsi="宋体" w:eastAsia="宋体" w:cs="宋体"/>
                <w:color w:val="auto"/>
                <w:szCs w:val="21"/>
                <w:highlight w:val="none"/>
              </w:rPr>
            </w:pPr>
          </w:p>
        </w:tc>
      </w:tr>
      <w:tr w14:paraId="7B0E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0A6BF096">
            <w:pPr>
              <w:spacing w:line="360" w:lineRule="auto"/>
              <w:rPr>
                <w:rFonts w:hint="eastAsia" w:ascii="宋体" w:hAnsi="宋体" w:eastAsia="宋体" w:cs="宋体"/>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2F33FC7">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C419D38">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58BA91A3">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4A9F9935">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6E760D5E">
            <w:pPr>
              <w:spacing w:line="360" w:lineRule="auto"/>
              <w:rPr>
                <w:rFonts w:hint="eastAsia" w:ascii="宋体" w:hAnsi="宋体" w:eastAsia="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49CC410">
            <w:pPr>
              <w:spacing w:line="360" w:lineRule="auto"/>
              <w:rPr>
                <w:rFonts w:hint="eastAsia" w:ascii="宋体" w:hAnsi="宋体" w:eastAsia="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B447F23">
            <w:pPr>
              <w:spacing w:line="360" w:lineRule="auto"/>
              <w:rPr>
                <w:rFonts w:hint="eastAsia" w:ascii="宋体" w:hAnsi="宋体" w:eastAsia="宋体" w:cs="宋体"/>
                <w:color w:val="auto"/>
                <w:szCs w:val="21"/>
                <w:highlight w:val="none"/>
              </w:rPr>
            </w:pPr>
          </w:p>
        </w:tc>
      </w:tr>
    </w:tbl>
    <w:p w14:paraId="6C3431C1">
      <w:pPr>
        <w:spacing w:line="360" w:lineRule="auto"/>
        <w:rPr>
          <w:rFonts w:hint="eastAsia" w:ascii="宋体" w:hAnsi="宋体" w:eastAsia="宋体" w:cs="宋体"/>
          <w:color w:val="auto"/>
          <w:szCs w:val="24"/>
          <w:highlight w:val="none"/>
        </w:rPr>
      </w:pPr>
    </w:p>
    <w:p w14:paraId="79471E3B">
      <w:pPr>
        <w:spacing w:line="360" w:lineRule="auto"/>
        <w:rPr>
          <w:rFonts w:hint="eastAsia" w:ascii="宋体" w:hAnsi="宋体" w:eastAsia="宋体" w:cs="宋体"/>
          <w:b/>
          <w:color w:val="auto"/>
          <w:szCs w:val="24"/>
          <w:highlight w:val="none"/>
        </w:rPr>
      </w:pPr>
    </w:p>
    <w:p w14:paraId="773B9C5C">
      <w:pPr>
        <w:spacing w:line="360" w:lineRule="auto"/>
        <w:rPr>
          <w:rFonts w:hint="eastAsia" w:ascii="宋体" w:hAnsi="宋体" w:eastAsia="宋体" w:cs="宋体"/>
          <w:color w:val="auto"/>
          <w:szCs w:val="24"/>
          <w:highlight w:val="none"/>
        </w:rPr>
      </w:pPr>
      <w:r>
        <w:rPr>
          <w:rFonts w:hint="eastAsia" w:ascii="宋体" w:hAnsi="宋体" w:eastAsia="宋体" w:cs="宋体"/>
          <w:color w:val="auto"/>
          <w:highlight w:val="none"/>
        </w:rPr>
        <w:t>附表四：计划开、竣工日期和施工进度计划（网络图或横道图）</w:t>
      </w:r>
    </w:p>
    <w:p w14:paraId="0659D6EF">
      <w:pPr>
        <w:spacing w:line="360" w:lineRule="auto"/>
        <w:rPr>
          <w:rFonts w:hint="eastAsia" w:ascii="宋体" w:hAnsi="宋体" w:eastAsia="宋体" w:cs="宋体"/>
          <w:color w:val="auto"/>
          <w:szCs w:val="24"/>
          <w:highlight w:val="none"/>
        </w:rPr>
      </w:pPr>
      <w:r>
        <w:rPr>
          <w:rFonts w:hint="eastAsia" w:ascii="宋体" w:hAnsi="宋体" w:eastAsia="宋体" w:cs="宋体"/>
          <w:color w:val="auto"/>
          <w:highlight w:val="none"/>
        </w:rPr>
        <w:t>1. 供应商应提交施工进度计划，说明按磋商文件要求的工期进行施工的各个关键日期。成交的供应商还应按合同条件有关条款的要求提交详细的施工进度计划。</w:t>
      </w:r>
    </w:p>
    <w:p w14:paraId="06883842">
      <w:pPr>
        <w:spacing w:line="360" w:lineRule="auto"/>
        <w:rPr>
          <w:rFonts w:hint="eastAsia" w:ascii="宋体" w:hAnsi="宋体" w:eastAsia="宋体" w:cs="宋体"/>
          <w:color w:val="auto"/>
          <w:szCs w:val="24"/>
          <w:highlight w:val="none"/>
        </w:rPr>
      </w:pPr>
      <w:r>
        <w:rPr>
          <w:rFonts w:hint="eastAsia" w:ascii="宋体" w:hAnsi="宋体" w:eastAsia="宋体" w:cs="宋体"/>
          <w:color w:val="auto"/>
          <w:highlight w:val="none"/>
        </w:rPr>
        <w:t>2. 施工进度计划可采用网络图（或横道图）表示，说明计划开工日期和各分项工程各阶段的完工日期和分包合同签订的日期。</w:t>
      </w:r>
    </w:p>
    <w:p w14:paraId="7BA52332">
      <w:pPr>
        <w:spacing w:line="360" w:lineRule="auto"/>
        <w:rPr>
          <w:rFonts w:hint="eastAsia" w:ascii="宋体" w:hAnsi="宋体" w:eastAsia="宋体" w:cs="宋体"/>
          <w:color w:val="auto"/>
          <w:szCs w:val="24"/>
          <w:highlight w:val="none"/>
        </w:rPr>
      </w:pPr>
      <w:r>
        <w:rPr>
          <w:rFonts w:hint="eastAsia" w:ascii="宋体" w:hAnsi="宋体" w:eastAsia="宋体" w:cs="宋体"/>
          <w:color w:val="auto"/>
          <w:highlight w:val="none"/>
        </w:rPr>
        <w:t>3. 施工进度计划应与施工组织设计相适应。</w:t>
      </w:r>
    </w:p>
    <w:p w14:paraId="1552F916">
      <w:pPr>
        <w:spacing w:line="360" w:lineRule="auto"/>
        <w:rPr>
          <w:rFonts w:hint="eastAsia" w:ascii="宋体" w:hAnsi="宋体" w:eastAsia="宋体" w:cs="宋体"/>
          <w:color w:val="auto"/>
          <w:szCs w:val="24"/>
          <w:highlight w:val="none"/>
        </w:rPr>
      </w:pPr>
    </w:p>
    <w:p w14:paraId="058FF036">
      <w:pPr>
        <w:spacing w:line="360" w:lineRule="auto"/>
        <w:rPr>
          <w:rFonts w:hint="eastAsia" w:ascii="宋体" w:hAnsi="宋体" w:eastAsia="宋体" w:cs="宋体"/>
          <w:color w:val="auto"/>
          <w:szCs w:val="24"/>
          <w:highlight w:val="none"/>
        </w:rPr>
      </w:pPr>
      <w:r>
        <w:rPr>
          <w:rFonts w:hint="eastAsia" w:ascii="宋体" w:hAnsi="宋体" w:eastAsia="宋体" w:cs="宋体"/>
          <w:color w:val="auto"/>
          <w:highlight w:val="none"/>
        </w:rPr>
        <w:t>附表五：施工总平面图</w:t>
      </w:r>
    </w:p>
    <w:p w14:paraId="1149E00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1"/>
          <w:highlight w:val="none"/>
        </w:rPr>
        <w:t>竞标人应递交一份施工总平面图，绘出现场临时设施布置图表并附文字说明，说明临时设施、加工车间、现场办公、设备及仓储、供电、供水、卫生、生活、道路、消防等设施的情况和布置。</w:t>
      </w:r>
    </w:p>
    <w:p w14:paraId="5E757C21">
      <w:pPr>
        <w:spacing w:line="360" w:lineRule="auto"/>
        <w:rPr>
          <w:rFonts w:hint="eastAsia" w:ascii="宋体" w:hAnsi="宋体" w:eastAsia="宋体" w:cs="宋体"/>
          <w:color w:val="auto"/>
          <w:szCs w:val="24"/>
          <w:highlight w:val="none"/>
        </w:rPr>
      </w:pPr>
    </w:p>
    <w:p w14:paraId="644B0A45">
      <w:pPr>
        <w:spacing w:line="360" w:lineRule="auto"/>
        <w:rPr>
          <w:rFonts w:hint="eastAsia" w:ascii="宋体" w:hAnsi="宋体" w:eastAsia="宋体" w:cs="宋体"/>
          <w:color w:val="auto"/>
          <w:szCs w:val="24"/>
          <w:highlight w:val="none"/>
        </w:rPr>
      </w:pPr>
      <w:r>
        <w:rPr>
          <w:rFonts w:hint="eastAsia" w:ascii="宋体" w:hAnsi="宋体" w:eastAsia="宋体" w:cs="宋体"/>
          <w:color w:val="auto"/>
          <w:highlight w:val="none"/>
        </w:rPr>
        <w:t>附表六：临时用地表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6044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14:paraId="3DC00686">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1"/>
                <w:highlight w:val="none"/>
              </w:rPr>
              <w:t>用途</w:t>
            </w:r>
          </w:p>
        </w:tc>
        <w:tc>
          <w:tcPr>
            <w:tcW w:w="2357" w:type="dxa"/>
            <w:tcBorders>
              <w:top w:val="single" w:color="auto" w:sz="4" w:space="0"/>
              <w:left w:val="single" w:color="auto" w:sz="4" w:space="0"/>
              <w:bottom w:val="single" w:color="auto" w:sz="4" w:space="0"/>
              <w:right w:val="single" w:color="auto" w:sz="4" w:space="0"/>
            </w:tcBorders>
            <w:vAlign w:val="center"/>
          </w:tcPr>
          <w:p w14:paraId="6A81E112">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1"/>
                <w:highlight w:val="none"/>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14:paraId="5A15817A">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1"/>
                <w:highlight w:val="none"/>
              </w:rPr>
              <w:t>位置</w:t>
            </w:r>
          </w:p>
        </w:tc>
        <w:tc>
          <w:tcPr>
            <w:tcW w:w="2357" w:type="dxa"/>
            <w:tcBorders>
              <w:top w:val="single" w:color="auto" w:sz="4" w:space="0"/>
              <w:left w:val="single" w:color="auto" w:sz="4" w:space="0"/>
              <w:bottom w:val="single" w:color="auto" w:sz="4" w:space="0"/>
              <w:right w:val="single" w:color="auto" w:sz="4" w:space="0"/>
            </w:tcBorders>
            <w:vAlign w:val="center"/>
          </w:tcPr>
          <w:p w14:paraId="11FF240D">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1"/>
                <w:highlight w:val="none"/>
              </w:rPr>
              <w:t>需用时间</w:t>
            </w:r>
          </w:p>
        </w:tc>
      </w:tr>
      <w:tr w14:paraId="6034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56" w:type="dxa"/>
            <w:tcBorders>
              <w:top w:val="single" w:color="auto" w:sz="4" w:space="0"/>
              <w:left w:val="single" w:color="auto" w:sz="4" w:space="0"/>
              <w:bottom w:val="single" w:color="auto" w:sz="4" w:space="0"/>
              <w:right w:val="single" w:color="auto" w:sz="4" w:space="0"/>
            </w:tcBorders>
          </w:tcPr>
          <w:p w14:paraId="230F3D17">
            <w:pPr>
              <w:spacing w:line="360" w:lineRule="auto"/>
              <w:rPr>
                <w:rFonts w:hint="eastAsia" w:ascii="宋体" w:hAnsi="宋体" w:eastAsia="宋体" w:cs="宋体"/>
                <w:color w:val="auto"/>
                <w:szCs w:val="24"/>
                <w:highlight w:val="none"/>
              </w:rPr>
            </w:pPr>
          </w:p>
        </w:tc>
        <w:tc>
          <w:tcPr>
            <w:tcW w:w="2357" w:type="dxa"/>
            <w:tcBorders>
              <w:top w:val="single" w:color="auto" w:sz="4" w:space="0"/>
              <w:left w:val="single" w:color="auto" w:sz="4" w:space="0"/>
              <w:bottom w:val="single" w:color="auto" w:sz="4" w:space="0"/>
              <w:right w:val="single" w:color="auto" w:sz="4" w:space="0"/>
            </w:tcBorders>
          </w:tcPr>
          <w:p w14:paraId="19C9080A">
            <w:pPr>
              <w:spacing w:line="360" w:lineRule="auto"/>
              <w:rPr>
                <w:rFonts w:hint="eastAsia" w:ascii="宋体" w:hAnsi="宋体" w:eastAsia="宋体" w:cs="宋体"/>
                <w:color w:val="auto"/>
                <w:szCs w:val="24"/>
                <w:highlight w:val="none"/>
              </w:rPr>
            </w:pPr>
          </w:p>
        </w:tc>
        <w:tc>
          <w:tcPr>
            <w:tcW w:w="2356" w:type="dxa"/>
            <w:tcBorders>
              <w:top w:val="single" w:color="auto" w:sz="4" w:space="0"/>
              <w:left w:val="single" w:color="auto" w:sz="4" w:space="0"/>
              <w:bottom w:val="single" w:color="auto" w:sz="4" w:space="0"/>
              <w:right w:val="single" w:color="auto" w:sz="4" w:space="0"/>
            </w:tcBorders>
          </w:tcPr>
          <w:p w14:paraId="7EF1A4B8">
            <w:pPr>
              <w:spacing w:line="360" w:lineRule="auto"/>
              <w:rPr>
                <w:rFonts w:hint="eastAsia" w:ascii="宋体" w:hAnsi="宋体" w:eastAsia="宋体" w:cs="宋体"/>
                <w:color w:val="auto"/>
                <w:szCs w:val="24"/>
                <w:highlight w:val="none"/>
              </w:rPr>
            </w:pPr>
          </w:p>
        </w:tc>
        <w:tc>
          <w:tcPr>
            <w:tcW w:w="2357" w:type="dxa"/>
            <w:tcBorders>
              <w:top w:val="single" w:color="auto" w:sz="4" w:space="0"/>
              <w:left w:val="single" w:color="auto" w:sz="4" w:space="0"/>
              <w:bottom w:val="single" w:color="auto" w:sz="4" w:space="0"/>
              <w:right w:val="single" w:color="auto" w:sz="4" w:space="0"/>
            </w:tcBorders>
          </w:tcPr>
          <w:p w14:paraId="62D236EC">
            <w:pPr>
              <w:spacing w:line="360" w:lineRule="auto"/>
              <w:rPr>
                <w:rFonts w:hint="eastAsia" w:ascii="宋体" w:hAnsi="宋体" w:eastAsia="宋体" w:cs="宋体"/>
                <w:color w:val="auto"/>
                <w:szCs w:val="24"/>
                <w:highlight w:val="none"/>
              </w:rPr>
            </w:pPr>
          </w:p>
        </w:tc>
      </w:tr>
      <w:tr w14:paraId="0EFA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56" w:type="dxa"/>
            <w:tcBorders>
              <w:top w:val="single" w:color="auto" w:sz="4" w:space="0"/>
              <w:left w:val="single" w:color="auto" w:sz="4" w:space="0"/>
              <w:bottom w:val="single" w:color="auto" w:sz="4" w:space="0"/>
              <w:right w:val="single" w:color="auto" w:sz="4" w:space="0"/>
            </w:tcBorders>
          </w:tcPr>
          <w:p w14:paraId="5DA4E781">
            <w:pPr>
              <w:spacing w:line="360" w:lineRule="auto"/>
              <w:rPr>
                <w:rFonts w:hint="eastAsia" w:ascii="宋体" w:hAnsi="宋体" w:eastAsia="宋体" w:cs="宋体"/>
                <w:color w:val="auto"/>
                <w:szCs w:val="24"/>
                <w:highlight w:val="none"/>
              </w:rPr>
            </w:pPr>
          </w:p>
        </w:tc>
        <w:tc>
          <w:tcPr>
            <w:tcW w:w="2357" w:type="dxa"/>
            <w:tcBorders>
              <w:top w:val="single" w:color="auto" w:sz="4" w:space="0"/>
              <w:left w:val="single" w:color="auto" w:sz="4" w:space="0"/>
              <w:bottom w:val="single" w:color="auto" w:sz="4" w:space="0"/>
              <w:right w:val="single" w:color="auto" w:sz="4" w:space="0"/>
            </w:tcBorders>
          </w:tcPr>
          <w:p w14:paraId="23533546">
            <w:pPr>
              <w:spacing w:line="360" w:lineRule="auto"/>
              <w:rPr>
                <w:rFonts w:hint="eastAsia" w:ascii="宋体" w:hAnsi="宋体" w:eastAsia="宋体" w:cs="宋体"/>
                <w:color w:val="auto"/>
                <w:szCs w:val="24"/>
                <w:highlight w:val="none"/>
              </w:rPr>
            </w:pPr>
          </w:p>
        </w:tc>
        <w:tc>
          <w:tcPr>
            <w:tcW w:w="2356" w:type="dxa"/>
            <w:tcBorders>
              <w:top w:val="single" w:color="auto" w:sz="4" w:space="0"/>
              <w:left w:val="single" w:color="auto" w:sz="4" w:space="0"/>
              <w:bottom w:val="single" w:color="auto" w:sz="4" w:space="0"/>
              <w:right w:val="single" w:color="auto" w:sz="4" w:space="0"/>
            </w:tcBorders>
          </w:tcPr>
          <w:p w14:paraId="2230BC1C">
            <w:pPr>
              <w:spacing w:line="360" w:lineRule="auto"/>
              <w:rPr>
                <w:rFonts w:hint="eastAsia" w:ascii="宋体" w:hAnsi="宋体" w:eastAsia="宋体" w:cs="宋体"/>
                <w:color w:val="auto"/>
                <w:szCs w:val="24"/>
                <w:highlight w:val="none"/>
              </w:rPr>
            </w:pPr>
          </w:p>
        </w:tc>
        <w:tc>
          <w:tcPr>
            <w:tcW w:w="2357" w:type="dxa"/>
            <w:tcBorders>
              <w:top w:val="single" w:color="auto" w:sz="4" w:space="0"/>
              <w:left w:val="single" w:color="auto" w:sz="4" w:space="0"/>
              <w:bottom w:val="single" w:color="auto" w:sz="4" w:space="0"/>
              <w:right w:val="single" w:color="auto" w:sz="4" w:space="0"/>
            </w:tcBorders>
          </w:tcPr>
          <w:p w14:paraId="6F434F2D">
            <w:pPr>
              <w:spacing w:line="360" w:lineRule="auto"/>
              <w:rPr>
                <w:rFonts w:hint="eastAsia" w:ascii="宋体" w:hAnsi="宋体" w:eastAsia="宋体" w:cs="宋体"/>
                <w:color w:val="auto"/>
                <w:szCs w:val="24"/>
                <w:highlight w:val="none"/>
              </w:rPr>
            </w:pPr>
          </w:p>
        </w:tc>
      </w:tr>
      <w:tr w14:paraId="2A35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56" w:type="dxa"/>
            <w:tcBorders>
              <w:top w:val="single" w:color="auto" w:sz="4" w:space="0"/>
              <w:left w:val="single" w:color="auto" w:sz="4" w:space="0"/>
              <w:bottom w:val="single" w:color="auto" w:sz="4" w:space="0"/>
              <w:right w:val="single" w:color="auto" w:sz="4" w:space="0"/>
            </w:tcBorders>
          </w:tcPr>
          <w:p w14:paraId="28001035">
            <w:pPr>
              <w:spacing w:line="360" w:lineRule="auto"/>
              <w:rPr>
                <w:rFonts w:hint="eastAsia" w:ascii="宋体" w:hAnsi="宋体" w:eastAsia="宋体" w:cs="宋体"/>
                <w:color w:val="auto"/>
                <w:szCs w:val="24"/>
                <w:highlight w:val="none"/>
              </w:rPr>
            </w:pPr>
          </w:p>
        </w:tc>
        <w:tc>
          <w:tcPr>
            <w:tcW w:w="2357" w:type="dxa"/>
            <w:tcBorders>
              <w:top w:val="single" w:color="auto" w:sz="4" w:space="0"/>
              <w:left w:val="single" w:color="auto" w:sz="4" w:space="0"/>
              <w:bottom w:val="single" w:color="auto" w:sz="4" w:space="0"/>
              <w:right w:val="single" w:color="auto" w:sz="4" w:space="0"/>
            </w:tcBorders>
          </w:tcPr>
          <w:p w14:paraId="0DD70557">
            <w:pPr>
              <w:spacing w:line="360" w:lineRule="auto"/>
              <w:rPr>
                <w:rFonts w:hint="eastAsia" w:ascii="宋体" w:hAnsi="宋体" w:eastAsia="宋体" w:cs="宋体"/>
                <w:color w:val="auto"/>
                <w:szCs w:val="24"/>
                <w:highlight w:val="none"/>
              </w:rPr>
            </w:pPr>
          </w:p>
        </w:tc>
        <w:tc>
          <w:tcPr>
            <w:tcW w:w="2356" w:type="dxa"/>
            <w:tcBorders>
              <w:top w:val="single" w:color="auto" w:sz="4" w:space="0"/>
              <w:left w:val="single" w:color="auto" w:sz="4" w:space="0"/>
              <w:bottom w:val="single" w:color="auto" w:sz="4" w:space="0"/>
              <w:right w:val="single" w:color="auto" w:sz="4" w:space="0"/>
            </w:tcBorders>
          </w:tcPr>
          <w:p w14:paraId="5A907879">
            <w:pPr>
              <w:spacing w:line="360" w:lineRule="auto"/>
              <w:rPr>
                <w:rFonts w:hint="eastAsia" w:ascii="宋体" w:hAnsi="宋体" w:eastAsia="宋体" w:cs="宋体"/>
                <w:color w:val="auto"/>
                <w:szCs w:val="24"/>
                <w:highlight w:val="none"/>
              </w:rPr>
            </w:pPr>
          </w:p>
        </w:tc>
        <w:tc>
          <w:tcPr>
            <w:tcW w:w="2357" w:type="dxa"/>
            <w:tcBorders>
              <w:top w:val="single" w:color="auto" w:sz="4" w:space="0"/>
              <w:left w:val="single" w:color="auto" w:sz="4" w:space="0"/>
              <w:bottom w:val="single" w:color="auto" w:sz="4" w:space="0"/>
              <w:right w:val="single" w:color="auto" w:sz="4" w:space="0"/>
            </w:tcBorders>
          </w:tcPr>
          <w:p w14:paraId="429B61EC">
            <w:pPr>
              <w:spacing w:line="360" w:lineRule="auto"/>
              <w:rPr>
                <w:rFonts w:hint="eastAsia" w:ascii="宋体" w:hAnsi="宋体" w:eastAsia="宋体" w:cs="宋体"/>
                <w:color w:val="auto"/>
                <w:szCs w:val="24"/>
                <w:highlight w:val="none"/>
              </w:rPr>
            </w:pPr>
          </w:p>
        </w:tc>
      </w:tr>
    </w:tbl>
    <w:p w14:paraId="35D0F3A2">
      <w:pPr>
        <w:spacing w:line="360" w:lineRule="auto"/>
        <w:rPr>
          <w:rFonts w:hint="eastAsia" w:ascii="宋体" w:hAnsi="宋体" w:eastAsia="宋体" w:cs="宋体"/>
          <w:color w:val="auto"/>
          <w:szCs w:val="24"/>
          <w:highlight w:val="none"/>
        </w:rPr>
      </w:pPr>
    </w:p>
    <w:p w14:paraId="571A08CD">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r>
        <w:rPr>
          <w:rFonts w:hint="eastAsia" w:ascii="宋体" w:hAnsi="宋体" w:eastAsia="宋体" w:cs="宋体"/>
          <w:b/>
          <w:color w:val="auto"/>
          <w:sz w:val="32"/>
          <w:szCs w:val="32"/>
          <w:highlight w:val="none"/>
        </w:rPr>
        <w:t>5</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项目管理机构</w:t>
      </w:r>
    </w:p>
    <w:p w14:paraId="1BFE963C">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（1）项目管理机构配备情况表</w:t>
      </w:r>
    </w:p>
    <w:p w14:paraId="59FAD774">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(含项目经理、技术负责人、专职安全生产管理人员和主要管理人员情况)</w:t>
      </w:r>
    </w:p>
    <w:p w14:paraId="778BC076">
      <w:pPr>
        <w:spacing w:line="360" w:lineRule="auto"/>
        <w:rPr>
          <w:rFonts w:hint="eastAsia" w:ascii="宋体" w:hAnsi="宋体" w:eastAsia="宋体" w:cs="宋体"/>
          <w:color w:val="auto"/>
          <w:kern w:val="0"/>
          <w:sz w:val="22"/>
          <w:highlight w:val="none"/>
        </w:rPr>
      </w:pPr>
    </w:p>
    <w:tbl>
      <w:tblPr>
        <w:tblStyle w:val="57"/>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829"/>
        <w:gridCol w:w="816"/>
        <w:gridCol w:w="1148"/>
        <w:gridCol w:w="1148"/>
        <w:gridCol w:w="1148"/>
        <w:gridCol w:w="744"/>
        <w:gridCol w:w="870"/>
        <w:gridCol w:w="1758"/>
      </w:tblGrid>
      <w:tr w14:paraId="0847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248" w:type="dxa"/>
            <w:vMerge w:val="restart"/>
            <w:vAlign w:val="center"/>
          </w:tcPr>
          <w:p w14:paraId="71487BD6">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岗位</w:t>
            </w:r>
          </w:p>
        </w:tc>
        <w:tc>
          <w:tcPr>
            <w:tcW w:w="829" w:type="dxa"/>
            <w:vMerge w:val="restart"/>
            <w:vAlign w:val="center"/>
          </w:tcPr>
          <w:p w14:paraId="16E6034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816" w:type="dxa"/>
            <w:vMerge w:val="restart"/>
            <w:vAlign w:val="center"/>
          </w:tcPr>
          <w:p w14:paraId="3E7345F8">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职称</w:t>
            </w:r>
          </w:p>
        </w:tc>
        <w:tc>
          <w:tcPr>
            <w:tcW w:w="4188" w:type="dxa"/>
            <w:gridSpan w:val="4"/>
            <w:vAlign w:val="center"/>
          </w:tcPr>
          <w:p w14:paraId="0CDB670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执业或职业资格</w:t>
            </w:r>
          </w:p>
        </w:tc>
        <w:tc>
          <w:tcPr>
            <w:tcW w:w="2628" w:type="dxa"/>
            <w:gridSpan w:val="2"/>
            <w:vAlign w:val="center"/>
          </w:tcPr>
          <w:p w14:paraId="6121E5B6">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承担完成工程情况</w:t>
            </w:r>
          </w:p>
        </w:tc>
      </w:tr>
      <w:tr w14:paraId="7FBA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48" w:type="dxa"/>
            <w:vMerge w:val="continue"/>
            <w:vAlign w:val="center"/>
          </w:tcPr>
          <w:p w14:paraId="463D5ABE">
            <w:pPr>
              <w:spacing w:line="360" w:lineRule="auto"/>
              <w:rPr>
                <w:rFonts w:hint="eastAsia" w:ascii="宋体" w:hAnsi="宋体" w:eastAsia="宋体" w:cs="宋体"/>
                <w:color w:val="auto"/>
                <w:szCs w:val="24"/>
                <w:highlight w:val="none"/>
              </w:rPr>
            </w:pPr>
          </w:p>
        </w:tc>
        <w:tc>
          <w:tcPr>
            <w:tcW w:w="829" w:type="dxa"/>
            <w:vMerge w:val="continue"/>
            <w:vAlign w:val="center"/>
          </w:tcPr>
          <w:p w14:paraId="10295A47">
            <w:pPr>
              <w:spacing w:line="360" w:lineRule="auto"/>
              <w:rPr>
                <w:rFonts w:hint="eastAsia" w:ascii="宋体" w:hAnsi="宋体" w:eastAsia="宋体" w:cs="宋体"/>
                <w:color w:val="auto"/>
                <w:szCs w:val="24"/>
                <w:highlight w:val="none"/>
              </w:rPr>
            </w:pPr>
          </w:p>
        </w:tc>
        <w:tc>
          <w:tcPr>
            <w:tcW w:w="816" w:type="dxa"/>
            <w:vMerge w:val="continue"/>
            <w:vAlign w:val="center"/>
          </w:tcPr>
          <w:p w14:paraId="41C10642">
            <w:pPr>
              <w:spacing w:line="360" w:lineRule="auto"/>
              <w:rPr>
                <w:rFonts w:hint="eastAsia" w:ascii="宋体" w:hAnsi="宋体" w:eastAsia="宋体" w:cs="宋体"/>
                <w:color w:val="auto"/>
                <w:szCs w:val="24"/>
                <w:highlight w:val="none"/>
              </w:rPr>
            </w:pPr>
          </w:p>
        </w:tc>
        <w:tc>
          <w:tcPr>
            <w:tcW w:w="1148" w:type="dxa"/>
            <w:vAlign w:val="center"/>
          </w:tcPr>
          <w:p w14:paraId="1C0B4B2D">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证书名称</w:t>
            </w:r>
          </w:p>
        </w:tc>
        <w:tc>
          <w:tcPr>
            <w:tcW w:w="1148" w:type="dxa"/>
            <w:vAlign w:val="center"/>
          </w:tcPr>
          <w:p w14:paraId="0AA19D8A">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级别</w:t>
            </w:r>
          </w:p>
        </w:tc>
        <w:tc>
          <w:tcPr>
            <w:tcW w:w="1148" w:type="dxa"/>
            <w:vAlign w:val="center"/>
          </w:tcPr>
          <w:p w14:paraId="042797A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证号</w:t>
            </w:r>
          </w:p>
        </w:tc>
        <w:tc>
          <w:tcPr>
            <w:tcW w:w="744" w:type="dxa"/>
            <w:vAlign w:val="center"/>
          </w:tcPr>
          <w:p w14:paraId="20557FEB">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w:t>
            </w:r>
          </w:p>
        </w:tc>
        <w:tc>
          <w:tcPr>
            <w:tcW w:w="870" w:type="dxa"/>
            <w:vAlign w:val="center"/>
          </w:tcPr>
          <w:p w14:paraId="7E065C0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项目数</w:t>
            </w:r>
          </w:p>
        </w:tc>
        <w:tc>
          <w:tcPr>
            <w:tcW w:w="1758" w:type="dxa"/>
            <w:vAlign w:val="center"/>
          </w:tcPr>
          <w:p w14:paraId="4460D944">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主要项目名称</w:t>
            </w:r>
          </w:p>
        </w:tc>
      </w:tr>
      <w:tr w14:paraId="52BB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8" w:type="dxa"/>
            <w:vAlign w:val="center"/>
          </w:tcPr>
          <w:p w14:paraId="7D77B7D1">
            <w:pPr>
              <w:spacing w:line="360" w:lineRule="auto"/>
              <w:rPr>
                <w:rFonts w:hint="eastAsia" w:ascii="宋体" w:hAnsi="宋体" w:eastAsia="宋体" w:cs="宋体"/>
                <w:color w:val="auto"/>
                <w:szCs w:val="24"/>
                <w:highlight w:val="none"/>
              </w:rPr>
            </w:pPr>
          </w:p>
        </w:tc>
        <w:tc>
          <w:tcPr>
            <w:tcW w:w="829" w:type="dxa"/>
            <w:vAlign w:val="center"/>
          </w:tcPr>
          <w:p w14:paraId="437570A0">
            <w:pPr>
              <w:spacing w:line="360" w:lineRule="auto"/>
              <w:rPr>
                <w:rFonts w:hint="eastAsia" w:ascii="宋体" w:hAnsi="宋体" w:eastAsia="宋体" w:cs="宋体"/>
                <w:color w:val="auto"/>
                <w:szCs w:val="24"/>
                <w:highlight w:val="none"/>
              </w:rPr>
            </w:pPr>
          </w:p>
        </w:tc>
        <w:tc>
          <w:tcPr>
            <w:tcW w:w="816" w:type="dxa"/>
            <w:vAlign w:val="center"/>
          </w:tcPr>
          <w:p w14:paraId="701015FF">
            <w:pPr>
              <w:spacing w:line="360" w:lineRule="auto"/>
              <w:rPr>
                <w:rFonts w:hint="eastAsia" w:ascii="宋体" w:hAnsi="宋体" w:eastAsia="宋体" w:cs="宋体"/>
                <w:color w:val="auto"/>
                <w:szCs w:val="24"/>
                <w:highlight w:val="none"/>
              </w:rPr>
            </w:pPr>
          </w:p>
        </w:tc>
        <w:tc>
          <w:tcPr>
            <w:tcW w:w="1148" w:type="dxa"/>
            <w:vAlign w:val="center"/>
          </w:tcPr>
          <w:p w14:paraId="556A913C">
            <w:pPr>
              <w:spacing w:line="360" w:lineRule="auto"/>
              <w:rPr>
                <w:rFonts w:hint="eastAsia" w:ascii="宋体" w:hAnsi="宋体" w:eastAsia="宋体" w:cs="宋体"/>
                <w:color w:val="auto"/>
                <w:szCs w:val="24"/>
                <w:highlight w:val="none"/>
              </w:rPr>
            </w:pPr>
          </w:p>
        </w:tc>
        <w:tc>
          <w:tcPr>
            <w:tcW w:w="1148" w:type="dxa"/>
            <w:vAlign w:val="center"/>
          </w:tcPr>
          <w:p w14:paraId="2D74E66F">
            <w:pPr>
              <w:spacing w:line="360" w:lineRule="auto"/>
              <w:rPr>
                <w:rFonts w:hint="eastAsia" w:ascii="宋体" w:hAnsi="宋体" w:eastAsia="宋体" w:cs="宋体"/>
                <w:color w:val="auto"/>
                <w:szCs w:val="24"/>
                <w:highlight w:val="none"/>
              </w:rPr>
            </w:pPr>
          </w:p>
        </w:tc>
        <w:tc>
          <w:tcPr>
            <w:tcW w:w="1148" w:type="dxa"/>
            <w:vAlign w:val="center"/>
          </w:tcPr>
          <w:p w14:paraId="70AD7E88">
            <w:pPr>
              <w:spacing w:line="360" w:lineRule="auto"/>
              <w:rPr>
                <w:rFonts w:hint="eastAsia" w:ascii="宋体" w:hAnsi="宋体" w:eastAsia="宋体" w:cs="宋体"/>
                <w:color w:val="auto"/>
                <w:szCs w:val="24"/>
                <w:highlight w:val="none"/>
              </w:rPr>
            </w:pPr>
          </w:p>
        </w:tc>
        <w:tc>
          <w:tcPr>
            <w:tcW w:w="744" w:type="dxa"/>
            <w:vAlign w:val="center"/>
          </w:tcPr>
          <w:p w14:paraId="3E353750">
            <w:pPr>
              <w:spacing w:line="360" w:lineRule="auto"/>
              <w:rPr>
                <w:rFonts w:hint="eastAsia" w:ascii="宋体" w:hAnsi="宋体" w:eastAsia="宋体" w:cs="宋体"/>
                <w:color w:val="auto"/>
                <w:szCs w:val="24"/>
                <w:highlight w:val="none"/>
              </w:rPr>
            </w:pPr>
          </w:p>
        </w:tc>
        <w:tc>
          <w:tcPr>
            <w:tcW w:w="870" w:type="dxa"/>
            <w:vAlign w:val="center"/>
          </w:tcPr>
          <w:p w14:paraId="393D8F93">
            <w:pPr>
              <w:spacing w:line="360" w:lineRule="auto"/>
              <w:rPr>
                <w:rFonts w:hint="eastAsia" w:ascii="宋体" w:hAnsi="宋体" w:eastAsia="宋体" w:cs="宋体"/>
                <w:color w:val="auto"/>
                <w:szCs w:val="24"/>
                <w:highlight w:val="none"/>
              </w:rPr>
            </w:pPr>
          </w:p>
        </w:tc>
        <w:tc>
          <w:tcPr>
            <w:tcW w:w="1758" w:type="dxa"/>
            <w:vAlign w:val="center"/>
          </w:tcPr>
          <w:p w14:paraId="222E5B2C">
            <w:pPr>
              <w:spacing w:line="360" w:lineRule="auto"/>
              <w:rPr>
                <w:rFonts w:hint="eastAsia" w:ascii="宋体" w:hAnsi="宋体" w:eastAsia="宋体" w:cs="宋体"/>
                <w:color w:val="auto"/>
                <w:szCs w:val="24"/>
                <w:highlight w:val="none"/>
              </w:rPr>
            </w:pPr>
          </w:p>
        </w:tc>
      </w:tr>
      <w:tr w14:paraId="2F71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8" w:type="dxa"/>
            <w:vAlign w:val="center"/>
          </w:tcPr>
          <w:p w14:paraId="35FC0EB4">
            <w:pPr>
              <w:spacing w:line="360" w:lineRule="auto"/>
              <w:rPr>
                <w:rFonts w:hint="eastAsia" w:ascii="宋体" w:hAnsi="宋体" w:eastAsia="宋体" w:cs="宋体"/>
                <w:color w:val="auto"/>
                <w:szCs w:val="24"/>
                <w:highlight w:val="none"/>
              </w:rPr>
            </w:pPr>
          </w:p>
        </w:tc>
        <w:tc>
          <w:tcPr>
            <w:tcW w:w="829" w:type="dxa"/>
            <w:vAlign w:val="center"/>
          </w:tcPr>
          <w:p w14:paraId="39AFB4C5">
            <w:pPr>
              <w:spacing w:line="360" w:lineRule="auto"/>
              <w:rPr>
                <w:rFonts w:hint="eastAsia" w:ascii="宋体" w:hAnsi="宋体" w:eastAsia="宋体" w:cs="宋体"/>
                <w:color w:val="auto"/>
                <w:szCs w:val="24"/>
                <w:highlight w:val="none"/>
              </w:rPr>
            </w:pPr>
          </w:p>
        </w:tc>
        <w:tc>
          <w:tcPr>
            <w:tcW w:w="816" w:type="dxa"/>
            <w:vAlign w:val="center"/>
          </w:tcPr>
          <w:p w14:paraId="0B5D6237">
            <w:pPr>
              <w:spacing w:line="360" w:lineRule="auto"/>
              <w:rPr>
                <w:rFonts w:hint="eastAsia" w:ascii="宋体" w:hAnsi="宋体" w:eastAsia="宋体" w:cs="宋体"/>
                <w:color w:val="auto"/>
                <w:szCs w:val="24"/>
                <w:highlight w:val="none"/>
              </w:rPr>
            </w:pPr>
          </w:p>
        </w:tc>
        <w:tc>
          <w:tcPr>
            <w:tcW w:w="1148" w:type="dxa"/>
            <w:vAlign w:val="center"/>
          </w:tcPr>
          <w:p w14:paraId="3C3732C2">
            <w:pPr>
              <w:spacing w:line="360" w:lineRule="auto"/>
              <w:rPr>
                <w:rFonts w:hint="eastAsia" w:ascii="宋体" w:hAnsi="宋体" w:eastAsia="宋体" w:cs="宋体"/>
                <w:color w:val="auto"/>
                <w:szCs w:val="24"/>
                <w:highlight w:val="none"/>
              </w:rPr>
            </w:pPr>
          </w:p>
        </w:tc>
        <w:tc>
          <w:tcPr>
            <w:tcW w:w="1148" w:type="dxa"/>
            <w:vAlign w:val="center"/>
          </w:tcPr>
          <w:p w14:paraId="56A0B010">
            <w:pPr>
              <w:spacing w:line="360" w:lineRule="auto"/>
              <w:rPr>
                <w:rFonts w:hint="eastAsia" w:ascii="宋体" w:hAnsi="宋体" w:eastAsia="宋体" w:cs="宋体"/>
                <w:color w:val="auto"/>
                <w:szCs w:val="24"/>
                <w:highlight w:val="none"/>
              </w:rPr>
            </w:pPr>
          </w:p>
        </w:tc>
        <w:tc>
          <w:tcPr>
            <w:tcW w:w="1148" w:type="dxa"/>
            <w:vAlign w:val="center"/>
          </w:tcPr>
          <w:p w14:paraId="711FB2D9">
            <w:pPr>
              <w:spacing w:line="360" w:lineRule="auto"/>
              <w:rPr>
                <w:rFonts w:hint="eastAsia" w:ascii="宋体" w:hAnsi="宋体" w:eastAsia="宋体" w:cs="宋体"/>
                <w:color w:val="auto"/>
                <w:szCs w:val="24"/>
                <w:highlight w:val="none"/>
              </w:rPr>
            </w:pPr>
          </w:p>
        </w:tc>
        <w:tc>
          <w:tcPr>
            <w:tcW w:w="744" w:type="dxa"/>
            <w:vAlign w:val="center"/>
          </w:tcPr>
          <w:p w14:paraId="02333514">
            <w:pPr>
              <w:spacing w:line="360" w:lineRule="auto"/>
              <w:rPr>
                <w:rFonts w:hint="eastAsia" w:ascii="宋体" w:hAnsi="宋体" w:eastAsia="宋体" w:cs="宋体"/>
                <w:color w:val="auto"/>
                <w:szCs w:val="24"/>
                <w:highlight w:val="none"/>
              </w:rPr>
            </w:pPr>
          </w:p>
        </w:tc>
        <w:tc>
          <w:tcPr>
            <w:tcW w:w="870" w:type="dxa"/>
            <w:vAlign w:val="center"/>
          </w:tcPr>
          <w:p w14:paraId="14A7A055">
            <w:pPr>
              <w:spacing w:line="360" w:lineRule="auto"/>
              <w:rPr>
                <w:rFonts w:hint="eastAsia" w:ascii="宋体" w:hAnsi="宋体" w:eastAsia="宋体" w:cs="宋体"/>
                <w:color w:val="auto"/>
                <w:szCs w:val="24"/>
                <w:highlight w:val="none"/>
              </w:rPr>
            </w:pPr>
          </w:p>
        </w:tc>
        <w:tc>
          <w:tcPr>
            <w:tcW w:w="1758" w:type="dxa"/>
            <w:vAlign w:val="center"/>
          </w:tcPr>
          <w:p w14:paraId="30417F35">
            <w:pPr>
              <w:spacing w:line="360" w:lineRule="auto"/>
              <w:rPr>
                <w:rFonts w:hint="eastAsia" w:ascii="宋体" w:hAnsi="宋体" w:eastAsia="宋体" w:cs="宋体"/>
                <w:color w:val="auto"/>
                <w:szCs w:val="24"/>
                <w:highlight w:val="none"/>
              </w:rPr>
            </w:pPr>
          </w:p>
        </w:tc>
      </w:tr>
      <w:tr w14:paraId="10DA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8" w:type="dxa"/>
            <w:vAlign w:val="center"/>
          </w:tcPr>
          <w:p w14:paraId="107CD29A">
            <w:pPr>
              <w:spacing w:line="360" w:lineRule="auto"/>
              <w:rPr>
                <w:rFonts w:hint="eastAsia" w:ascii="宋体" w:hAnsi="宋体" w:eastAsia="宋体" w:cs="宋体"/>
                <w:color w:val="auto"/>
                <w:szCs w:val="24"/>
                <w:highlight w:val="none"/>
              </w:rPr>
            </w:pPr>
          </w:p>
        </w:tc>
        <w:tc>
          <w:tcPr>
            <w:tcW w:w="829" w:type="dxa"/>
            <w:vAlign w:val="center"/>
          </w:tcPr>
          <w:p w14:paraId="4BC425DE">
            <w:pPr>
              <w:spacing w:line="360" w:lineRule="auto"/>
              <w:rPr>
                <w:rFonts w:hint="eastAsia" w:ascii="宋体" w:hAnsi="宋体" w:eastAsia="宋体" w:cs="宋体"/>
                <w:color w:val="auto"/>
                <w:szCs w:val="24"/>
                <w:highlight w:val="none"/>
              </w:rPr>
            </w:pPr>
          </w:p>
        </w:tc>
        <w:tc>
          <w:tcPr>
            <w:tcW w:w="816" w:type="dxa"/>
            <w:vAlign w:val="center"/>
          </w:tcPr>
          <w:p w14:paraId="36E329DE">
            <w:pPr>
              <w:spacing w:line="360" w:lineRule="auto"/>
              <w:rPr>
                <w:rFonts w:hint="eastAsia" w:ascii="宋体" w:hAnsi="宋体" w:eastAsia="宋体" w:cs="宋体"/>
                <w:color w:val="auto"/>
                <w:szCs w:val="24"/>
                <w:highlight w:val="none"/>
              </w:rPr>
            </w:pPr>
          </w:p>
        </w:tc>
        <w:tc>
          <w:tcPr>
            <w:tcW w:w="1148" w:type="dxa"/>
            <w:vAlign w:val="center"/>
          </w:tcPr>
          <w:p w14:paraId="6FE4BF71">
            <w:pPr>
              <w:spacing w:line="360" w:lineRule="auto"/>
              <w:rPr>
                <w:rFonts w:hint="eastAsia" w:ascii="宋体" w:hAnsi="宋体" w:eastAsia="宋体" w:cs="宋体"/>
                <w:color w:val="auto"/>
                <w:szCs w:val="24"/>
                <w:highlight w:val="none"/>
              </w:rPr>
            </w:pPr>
          </w:p>
        </w:tc>
        <w:tc>
          <w:tcPr>
            <w:tcW w:w="1148" w:type="dxa"/>
            <w:vAlign w:val="center"/>
          </w:tcPr>
          <w:p w14:paraId="3A071A7F">
            <w:pPr>
              <w:spacing w:line="360" w:lineRule="auto"/>
              <w:rPr>
                <w:rFonts w:hint="eastAsia" w:ascii="宋体" w:hAnsi="宋体" w:eastAsia="宋体" w:cs="宋体"/>
                <w:color w:val="auto"/>
                <w:szCs w:val="24"/>
                <w:highlight w:val="none"/>
              </w:rPr>
            </w:pPr>
          </w:p>
        </w:tc>
        <w:tc>
          <w:tcPr>
            <w:tcW w:w="1148" w:type="dxa"/>
            <w:vAlign w:val="center"/>
          </w:tcPr>
          <w:p w14:paraId="5E60DD8A">
            <w:pPr>
              <w:spacing w:line="360" w:lineRule="auto"/>
              <w:rPr>
                <w:rFonts w:hint="eastAsia" w:ascii="宋体" w:hAnsi="宋体" w:eastAsia="宋体" w:cs="宋体"/>
                <w:color w:val="auto"/>
                <w:szCs w:val="24"/>
                <w:highlight w:val="none"/>
              </w:rPr>
            </w:pPr>
          </w:p>
        </w:tc>
        <w:tc>
          <w:tcPr>
            <w:tcW w:w="744" w:type="dxa"/>
            <w:vAlign w:val="center"/>
          </w:tcPr>
          <w:p w14:paraId="3BBAC73F">
            <w:pPr>
              <w:spacing w:line="360" w:lineRule="auto"/>
              <w:rPr>
                <w:rFonts w:hint="eastAsia" w:ascii="宋体" w:hAnsi="宋体" w:eastAsia="宋体" w:cs="宋体"/>
                <w:color w:val="auto"/>
                <w:szCs w:val="24"/>
                <w:highlight w:val="none"/>
              </w:rPr>
            </w:pPr>
          </w:p>
        </w:tc>
        <w:tc>
          <w:tcPr>
            <w:tcW w:w="870" w:type="dxa"/>
            <w:vAlign w:val="center"/>
          </w:tcPr>
          <w:p w14:paraId="308D3DB4">
            <w:pPr>
              <w:spacing w:line="360" w:lineRule="auto"/>
              <w:rPr>
                <w:rFonts w:hint="eastAsia" w:ascii="宋体" w:hAnsi="宋体" w:eastAsia="宋体" w:cs="宋体"/>
                <w:color w:val="auto"/>
                <w:szCs w:val="24"/>
                <w:highlight w:val="none"/>
              </w:rPr>
            </w:pPr>
          </w:p>
        </w:tc>
        <w:tc>
          <w:tcPr>
            <w:tcW w:w="1758" w:type="dxa"/>
            <w:vAlign w:val="center"/>
          </w:tcPr>
          <w:p w14:paraId="332862E8">
            <w:pPr>
              <w:spacing w:line="360" w:lineRule="auto"/>
              <w:rPr>
                <w:rFonts w:hint="eastAsia" w:ascii="宋体" w:hAnsi="宋体" w:eastAsia="宋体" w:cs="宋体"/>
                <w:color w:val="auto"/>
                <w:szCs w:val="24"/>
                <w:highlight w:val="none"/>
              </w:rPr>
            </w:pPr>
          </w:p>
        </w:tc>
      </w:tr>
      <w:tr w14:paraId="6A5F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8" w:type="dxa"/>
            <w:vAlign w:val="center"/>
          </w:tcPr>
          <w:p w14:paraId="6C53C124">
            <w:pPr>
              <w:spacing w:line="360" w:lineRule="auto"/>
              <w:rPr>
                <w:rFonts w:hint="eastAsia" w:ascii="宋体" w:hAnsi="宋体" w:eastAsia="宋体" w:cs="宋体"/>
                <w:color w:val="auto"/>
                <w:szCs w:val="24"/>
                <w:highlight w:val="none"/>
              </w:rPr>
            </w:pPr>
          </w:p>
        </w:tc>
        <w:tc>
          <w:tcPr>
            <w:tcW w:w="829" w:type="dxa"/>
            <w:vAlign w:val="center"/>
          </w:tcPr>
          <w:p w14:paraId="6690161B">
            <w:pPr>
              <w:spacing w:line="360" w:lineRule="auto"/>
              <w:rPr>
                <w:rFonts w:hint="eastAsia" w:ascii="宋体" w:hAnsi="宋体" w:eastAsia="宋体" w:cs="宋体"/>
                <w:color w:val="auto"/>
                <w:szCs w:val="24"/>
                <w:highlight w:val="none"/>
              </w:rPr>
            </w:pPr>
          </w:p>
        </w:tc>
        <w:tc>
          <w:tcPr>
            <w:tcW w:w="816" w:type="dxa"/>
            <w:vAlign w:val="center"/>
          </w:tcPr>
          <w:p w14:paraId="47307F4F">
            <w:pPr>
              <w:spacing w:line="360" w:lineRule="auto"/>
              <w:rPr>
                <w:rFonts w:hint="eastAsia" w:ascii="宋体" w:hAnsi="宋体" w:eastAsia="宋体" w:cs="宋体"/>
                <w:color w:val="auto"/>
                <w:szCs w:val="24"/>
                <w:highlight w:val="none"/>
              </w:rPr>
            </w:pPr>
          </w:p>
        </w:tc>
        <w:tc>
          <w:tcPr>
            <w:tcW w:w="1148" w:type="dxa"/>
            <w:vAlign w:val="center"/>
          </w:tcPr>
          <w:p w14:paraId="6B6E71F8">
            <w:pPr>
              <w:spacing w:line="360" w:lineRule="auto"/>
              <w:rPr>
                <w:rFonts w:hint="eastAsia" w:ascii="宋体" w:hAnsi="宋体" w:eastAsia="宋体" w:cs="宋体"/>
                <w:color w:val="auto"/>
                <w:szCs w:val="24"/>
                <w:highlight w:val="none"/>
              </w:rPr>
            </w:pPr>
          </w:p>
        </w:tc>
        <w:tc>
          <w:tcPr>
            <w:tcW w:w="1148" w:type="dxa"/>
            <w:vAlign w:val="center"/>
          </w:tcPr>
          <w:p w14:paraId="6A5DBB1A">
            <w:pPr>
              <w:spacing w:line="360" w:lineRule="auto"/>
              <w:rPr>
                <w:rFonts w:hint="eastAsia" w:ascii="宋体" w:hAnsi="宋体" w:eastAsia="宋体" w:cs="宋体"/>
                <w:color w:val="auto"/>
                <w:szCs w:val="24"/>
                <w:highlight w:val="none"/>
              </w:rPr>
            </w:pPr>
          </w:p>
        </w:tc>
        <w:tc>
          <w:tcPr>
            <w:tcW w:w="1148" w:type="dxa"/>
            <w:vAlign w:val="center"/>
          </w:tcPr>
          <w:p w14:paraId="46D68580">
            <w:pPr>
              <w:spacing w:line="360" w:lineRule="auto"/>
              <w:rPr>
                <w:rFonts w:hint="eastAsia" w:ascii="宋体" w:hAnsi="宋体" w:eastAsia="宋体" w:cs="宋体"/>
                <w:color w:val="auto"/>
                <w:szCs w:val="24"/>
                <w:highlight w:val="none"/>
              </w:rPr>
            </w:pPr>
          </w:p>
        </w:tc>
        <w:tc>
          <w:tcPr>
            <w:tcW w:w="744" w:type="dxa"/>
            <w:vAlign w:val="center"/>
          </w:tcPr>
          <w:p w14:paraId="1164B76C">
            <w:pPr>
              <w:spacing w:line="360" w:lineRule="auto"/>
              <w:rPr>
                <w:rFonts w:hint="eastAsia" w:ascii="宋体" w:hAnsi="宋体" w:eastAsia="宋体" w:cs="宋体"/>
                <w:color w:val="auto"/>
                <w:szCs w:val="24"/>
                <w:highlight w:val="none"/>
              </w:rPr>
            </w:pPr>
          </w:p>
        </w:tc>
        <w:tc>
          <w:tcPr>
            <w:tcW w:w="870" w:type="dxa"/>
            <w:vAlign w:val="center"/>
          </w:tcPr>
          <w:p w14:paraId="79066121">
            <w:pPr>
              <w:spacing w:line="360" w:lineRule="auto"/>
              <w:rPr>
                <w:rFonts w:hint="eastAsia" w:ascii="宋体" w:hAnsi="宋体" w:eastAsia="宋体" w:cs="宋体"/>
                <w:color w:val="auto"/>
                <w:szCs w:val="24"/>
                <w:highlight w:val="none"/>
              </w:rPr>
            </w:pPr>
          </w:p>
        </w:tc>
        <w:tc>
          <w:tcPr>
            <w:tcW w:w="1758" w:type="dxa"/>
            <w:vAlign w:val="center"/>
          </w:tcPr>
          <w:p w14:paraId="4345E526">
            <w:pPr>
              <w:spacing w:line="360" w:lineRule="auto"/>
              <w:rPr>
                <w:rFonts w:hint="eastAsia" w:ascii="宋体" w:hAnsi="宋体" w:eastAsia="宋体" w:cs="宋体"/>
                <w:color w:val="auto"/>
                <w:szCs w:val="24"/>
                <w:highlight w:val="none"/>
              </w:rPr>
            </w:pPr>
          </w:p>
        </w:tc>
      </w:tr>
      <w:tr w14:paraId="41F2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8" w:type="dxa"/>
            <w:vAlign w:val="center"/>
          </w:tcPr>
          <w:p w14:paraId="49ACA768">
            <w:pPr>
              <w:spacing w:line="360" w:lineRule="auto"/>
              <w:rPr>
                <w:rFonts w:hint="eastAsia" w:ascii="宋体" w:hAnsi="宋体" w:eastAsia="宋体" w:cs="宋体"/>
                <w:color w:val="auto"/>
                <w:szCs w:val="24"/>
                <w:highlight w:val="none"/>
              </w:rPr>
            </w:pPr>
          </w:p>
        </w:tc>
        <w:tc>
          <w:tcPr>
            <w:tcW w:w="829" w:type="dxa"/>
            <w:vAlign w:val="center"/>
          </w:tcPr>
          <w:p w14:paraId="1F1BA37B">
            <w:pPr>
              <w:spacing w:line="360" w:lineRule="auto"/>
              <w:rPr>
                <w:rFonts w:hint="eastAsia" w:ascii="宋体" w:hAnsi="宋体" w:eastAsia="宋体" w:cs="宋体"/>
                <w:color w:val="auto"/>
                <w:szCs w:val="24"/>
                <w:highlight w:val="none"/>
              </w:rPr>
            </w:pPr>
          </w:p>
        </w:tc>
        <w:tc>
          <w:tcPr>
            <w:tcW w:w="816" w:type="dxa"/>
            <w:vAlign w:val="center"/>
          </w:tcPr>
          <w:p w14:paraId="4019CDBA">
            <w:pPr>
              <w:spacing w:line="360" w:lineRule="auto"/>
              <w:rPr>
                <w:rFonts w:hint="eastAsia" w:ascii="宋体" w:hAnsi="宋体" w:eastAsia="宋体" w:cs="宋体"/>
                <w:color w:val="auto"/>
                <w:szCs w:val="24"/>
                <w:highlight w:val="none"/>
              </w:rPr>
            </w:pPr>
          </w:p>
        </w:tc>
        <w:tc>
          <w:tcPr>
            <w:tcW w:w="1148" w:type="dxa"/>
            <w:vAlign w:val="center"/>
          </w:tcPr>
          <w:p w14:paraId="412BDD36">
            <w:pPr>
              <w:spacing w:line="360" w:lineRule="auto"/>
              <w:rPr>
                <w:rFonts w:hint="eastAsia" w:ascii="宋体" w:hAnsi="宋体" w:eastAsia="宋体" w:cs="宋体"/>
                <w:color w:val="auto"/>
                <w:szCs w:val="24"/>
                <w:highlight w:val="none"/>
              </w:rPr>
            </w:pPr>
          </w:p>
        </w:tc>
        <w:tc>
          <w:tcPr>
            <w:tcW w:w="1148" w:type="dxa"/>
            <w:vAlign w:val="center"/>
          </w:tcPr>
          <w:p w14:paraId="60FDF09F">
            <w:pPr>
              <w:spacing w:line="360" w:lineRule="auto"/>
              <w:rPr>
                <w:rFonts w:hint="eastAsia" w:ascii="宋体" w:hAnsi="宋体" w:eastAsia="宋体" w:cs="宋体"/>
                <w:color w:val="auto"/>
                <w:szCs w:val="24"/>
                <w:highlight w:val="none"/>
              </w:rPr>
            </w:pPr>
          </w:p>
        </w:tc>
        <w:tc>
          <w:tcPr>
            <w:tcW w:w="1148" w:type="dxa"/>
            <w:vAlign w:val="center"/>
          </w:tcPr>
          <w:p w14:paraId="6AAE4557">
            <w:pPr>
              <w:spacing w:line="360" w:lineRule="auto"/>
              <w:rPr>
                <w:rFonts w:hint="eastAsia" w:ascii="宋体" w:hAnsi="宋体" w:eastAsia="宋体" w:cs="宋体"/>
                <w:color w:val="auto"/>
                <w:szCs w:val="24"/>
                <w:highlight w:val="none"/>
              </w:rPr>
            </w:pPr>
          </w:p>
        </w:tc>
        <w:tc>
          <w:tcPr>
            <w:tcW w:w="744" w:type="dxa"/>
            <w:vAlign w:val="center"/>
          </w:tcPr>
          <w:p w14:paraId="6353ABF6">
            <w:pPr>
              <w:spacing w:line="360" w:lineRule="auto"/>
              <w:rPr>
                <w:rFonts w:hint="eastAsia" w:ascii="宋体" w:hAnsi="宋体" w:eastAsia="宋体" w:cs="宋体"/>
                <w:color w:val="auto"/>
                <w:szCs w:val="24"/>
                <w:highlight w:val="none"/>
              </w:rPr>
            </w:pPr>
          </w:p>
        </w:tc>
        <w:tc>
          <w:tcPr>
            <w:tcW w:w="870" w:type="dxa"/>
            <w:vAlign w:val="center"/>
          </w:tcPr>
          <w:p w14:paraId="71027698">
            <w:pPr>
              <w:spacing w:line="360" w:lineRule="auto"/>
              <w:rPr>
                <w:rFonts w:hint="eastAsia" w:ascii="宋体" w:hAnsi="宋体" w:eastAsia="宋体" w:cs="宋体"/>
                <w:color w:val="auto"/>
                <w:szCs w:val="24"/>
                <w:highlight w:val="none"/>
              </w:rPr>
            </w:pPr>
          </w:p>
        </w:tc>
        <w:tc>
          <w:tcPr>
            <w:tcW w:w="1758" w:type="dxa"/>
            <w:vAlign w:val="center"/>
          </w:tcPr>
          <w:p w14:paraId="62345BD7">
            <w:pPr>
              <w:spacing w:line="360" w:lineRule="auto"/>
              <w:rPr>
                <w:rFonts w:hint="eastAsia" w:ascii="宋体" w:hAnsi="宋体" w:eastAsia="宋体" w:cs="宋体"/>
                <w:color w:val="auto"/>
                <w:szCs w:val="24"/>
                <w:highlight w:val="none"/>
              </w:rPr>
            </w:pPr>
          </w:p>
        </w:tc>
      </w:tr>
      <w:tr w14:paraId="1ADE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709" w:type="dxa"/>
            <w:gridSpan w:val="9"/>
            <w:vAlign w:val="center"/>
          </w:tcPr>
          <w:p w14:paraId="7E921250">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一旦我单位中标，将实行项目经理负责制，我方保证并配备上述项目管理机构。上述填报内容真实，若不真实，愿按有关规定接受处理。项目管理班子机构设置、职责分工等情况另附资料说明。</w:t>
            </w:r>
          </w:p>
        </w:tc>
      </w:tr>
    </w:tbl>
    <w:p w14:paraId="28029CE6">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说明：1、本表格式仅供参考，在填写本表时，如本表格不适合供应商的实际情况，可自行制表填写。但应以便于评委评审为原则（具体可参考第三章要求）。</w:t>
      </w:r>
    </w:p>
    <w:p w14:paraId="71BEB925">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2、本表后可附供应商认为有必要提供并且与项目实施人员情况相关的其他资料（具体可参考第三章要求,</w:t>
      </w:r>
      <w:r>
        <w:rPr>
          <w:rFonts w:hint="eastAsia" w:ascii="宋体" w:hAnsi="宋体" w:eastAsia="宋体" w:cs="宋体"/>
          <w:b/>
          <w:color w:val="auto"/>
          <w:kern w:val="0"/>
          <w:szCs w:val="21"/>
          <w:highlight w:val="none"/>
        </w:rPr>
        <w:t>如有应</w:t>
      </w:r>
      <w:r>
        <w:rPr>
          <w:rFonts w:hint="eastAsia" w:ascii="宋体" w:hAnsi="宋体" w:eastAsia="宋体" w:cs="宋体"/>
          <w:b/>
          <w:bCs/>
          <w:color w:val="auto"/>
          <w:kern w:val="0"/>
          <w:szCs w:val="21"/>
          <w:highlight w:val="none"/>
        </w:rPr>
        <w:t>以PDF格式上传，并加盖CA电子签章</w:t>
      </w:r>
      <w:r>
        <w:rPr>
          <w:rFonts w:hint="eastAsia" w:ascii="宋体" w:hAnsi="宋体" w:eastAsia="宋体" w:cs="宋体"/>
          <w:color w:val="auto"/>
          <w:kern w:val="0"/>
          <w:szCs w:val="21"/>
          <w:highlight w:val="none"/>
        </w:rPr>
        <w:t>）。</w:t>
      </w:r>
    </w:p>
    <w:p w14:paraId="328294B0">
      <w:pPr>
        <w:spacing w:line="360" w:lineRule="auto"/>
        <w:rPr>
          <w:rFonts w:hint="eastAsia" w:ascii="宋体" w:hAnsi="宋体" w:eastAsia="宋体" w:cs="宋体"/>
          <w:color w:val="auto"/>
          <w:kern w:val="0"/>
          <w:szCs w:val="21"/>
          <w:highlight w:val="none"/>
        </w:rPr>
      </w:pPr>
    </w:p>
    <w:p w14:paraId="1DD757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w:t>
      </w:r>
      <w:r>
        <w:rPr>
          <w:rFonts w:hint="eastAsia" w:ascii="宋体" w:hAnsi="宋体" w:eastAsia="宋体" w:cs="宋体"/>
          <w:b/>
          <w:color w:val="auto"/>
          <w:sz w:val="24"/>
          <w:szCs w:val="24"/>
          <w:highlight w:val="none"/>
        </w:rPr>
        <w:t>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FFF33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F9DFFD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632BDA">
      <w:pPr>
        <w:spacing w:line="360" w:lineRule="auto"/>
        <w:rPr>
          <w:rFonts w:hint="eastAsia" w:ascii="宋体" w:hAnsi="宋体" w:eastAsia="宋体" w:cs="宋体"/>
          <w:color w:val="auto"/>
          <w:szCs w:val="24"/>
          <w:highlight w:val="none"/>
        </w:rPr>
      </w:pPr>
    </w:p>
    <w:p w14:paraId="50F2BF3B">
      <w:pPr>
        <w:spacing w:line="360" w:lineRule="auto"/>
        <w:rPr>
          <w:rFonts w:hint="eastAsia" w:ascii="宋体" w:hAnsi="宋体" w:eastAsia="宋体" w:cs="宋体"/>
          <w:b/>
          <w:color w:val="auto"/>
          <w:sz w:val="24"/>
          <w:szCs w:val="21"/>
          <w:highlight w:val="none"/>
        </w:rPr>
      </w:pPr>
    </w:p>
    <w:p w14:paraId="5CF2CB5A">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注：此项材料应</w:t>
      </w:r>
      <w:r>
        <w:rPr>
          <w:rFonts w:hint="eastAsia" w:ascii="宋体" w:hAnsi="宋体" w:eastAsia="宋体" w:cs="宋体"/>
          <w:b/>
          <w:bCs/>
          <w:color w:val="auto"/>
          <w:sz w:val="24"/>
          <w:szCs w:val="24"/>
          <w:highlight w:val="none"/>
        </w:rPr>
        <w:t>以PDF格式上传。</w:t>
      </w:r>
    </w:p>
    <w:p w14:paraId="3B31F8DD">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28"/>
          <w:szCs w:val="28"/>
          <w:highlight w:val="none"/>
        </w:rPr>
        <w:t>（2）项目经理简历表</w:t>
      </w:r>
    </w:p>
    <w:p w14:paraId="0CF930EA">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分标号：</w:t>
      </w:r>
    </w:p>
    <w:tbl>
      <w:tblPr>
        <w:tblStyle w:val="5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877"/>
        <w:gridCol w:w="665"/>
        <w:gridCol w:w="327"/>
        <w:gridCol w:w="1503"/>
        <w:gridCol w:w="382"/>
        <w:gridCol w:w="1084"/>
        <w:gridCol w:w="495"/>
        <w:gridCol w:w="1140"/>
        <w:gridCol w:w="1525"/>
      </w:tblGrid>
      <w:tr w14:paraId="52DE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618" w:type="dxa"/>
            <w:vAlign w:val="center"/>
          </w:tcPr>
          <w:p w14:paraId="5B497B9D">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姓名</w:t>
            </w:r>
          </w:p>
        </w:tc>
        <w:tc>
          <w:tcPr>
            <w:tcW w:w="1876" w:type="dxa"/>
            <w:gridSpan w:val="3"/>
            <w:vAlign w:val="center"/>
          </w:tcPr>
          <w:p w14:paraId="114C2006">
            <w:pPr>
              <w:spacing w:line="360" w:lineRule="auto"/>
              <w:rPr>
                <w:rFonts w:hint="eastAsia" w:ascii="宋体" w:hAnsi="宋体" w:eastAsia="宋体" w:cs="宋体"/>
                <w:color w:val="auto"/>
                <w:szCs w:val="24"/>
                <w:highlight w:val="none"/>
              </w:rPr>
            </w:pPr>
          </w:p>
        </w:tc>
        <w:tc>
          <w:tcPr>
            <w:tcW w:w="1893" w:type="dxa"/>
            <w:gridSpan w:val="2"/>
            <w:vAlign w:val="center"/>
          </w:tcPr>
          <w:p w14:paraId="23E6374F">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性别</w:t>
            </w:r>
          </w:p>
        </w:tc>
        <w:tc>
          <w:tcPr>
            <w:tcW w:w="1585" w:type="dxa"/>
            <w:gridSpan w:val="2"/>
            <w:vAlign w:val="center"/>
          </w:tcPr>
          <w:p w14:paraId="7DE46909">
            <w:pPr>
              <w:spacing w:line="360" w:lineRule="auto"/>
              <w:rPr>
                <w:rFonts w:hint="eastAsia" w:ascii="宋体" w:hAnsi="宋体" w:eastAsia="宋体" w:cs="宋体"/>
                <w:color w:val="auto"/>
                <w:szCs w:val="24"/>
                <w:highlight w:val="none"/>
              </w:rPr>
            </w:pPr>
          </w:p>
        </w:tc>
        <w:tc>
          <w:tcPr>
            <w:tcW w:w="1108" w:type="dxa"/>
            <w:vAlign w:val="center"/>
          </w:tcPr>
          <w:p w14:paraId="6E1D4A2D">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年龄</w:t>
            </w:r>
          </w:p>
        </w:tc>
        <w:tc>
          <w:tcPr>
            <w:tcW w:w="1531" w:type="dxa"/>
            <w:vAlign w:val="center"/>
          </w:tcPr>
          <w:p w14:paraId="1DD5F73F">
            <w:pPr>
              <w:spacing w:line="360" w:lineRule="auto"/>
              <w:rPr>
                <w:rFonts w:hint="eastAsia" w:ascii="宋体" w:hAnsi="宋体" w:eastAsia="宋体" w:cs="宋体"/>
                <w:color w:val="auto"/>
                <w:szCs w:val="24"/>
                <w:highlight w:val="none"/>
              </w:rPr>
            </w:pPr>
          </w:p>
        </w:tc>
      </w:tr>
      <w:tr w14:paraId="6F27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618" w:type="dxa"/>
            <w:vAlign w:val="center"/>
          </w:tcPr>
          <w:p w14:paraId="00DE2169">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职务</w:t>
            </w:r>
          </w:p>
        </w:tc>
        <w:tc>
          <w:tcPr>
            <w:tcW w:w="1876" w:type="dxa"/>
            <w:gridSpan w:val="3"/>
            <w:vAlign w:val="center"/>
          </w:tcPr>
          <w:p w14:paraId="42BD766B">
            <w:pPr>
              <w:spacing w:line="360" w:lineRule="auto"/>
              <w:rPr>
                <w:rFonts w:hint="eastAsia" w:ascii="宋体" w:hAnsi="宋体" w:eastAsia="宋体" w:cs="宋体"/>
                <w:color w:val="auto"/>
                <w:szCs w:val="24"/>
                <w:highlight w:val="none"/>
              </w:rPr>
            </w:pPr>
          </w:p>
        </w:tc>
        <w:tc>
          <w:tcPr>
            <w:tcW w:w="1893" w:type="dxa"/>
            <w:gridSpan w:val="2"/>
            <w:vAlign w:val="center"/>
          </w:tcPr>
          <w:p w14:paraId="4ADD2E66">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职称</w:t>
            </w:r>
          </w:p>
        </w:tc>
        <w:tc>
          <w:tcPr>
            <w:tcW w:w="1585" w:type="dxa"/>
            <w:gridSpan w:val="2"/>
            <w:vAlign w:val="center"/>
          </w:tcPr>
          <w:p w14:paraId="0CED8D73">
            <w:pPr>
              <w:spacing w:line="360" w:lineRule="auto"/>
              <w:rPr>
                <w:rFonts w:hint="eastAsia" w:ascii="宋体" w:hAnsi="宋体" w:eastAsia="宋体" w:cs="宋体"/>
                <w:color w:val="auto"/>
                <w:szCs w:val="24"/>
                <w:highlight w:val="none"/>
              </w:rPr>
            </w:pPr>
          </w:p>
        </w:tc>
        <w:tc>
          <w:tcPr>
            <w:tcW w:w="1108" w:type="dxa"/>
            <w:vAlign w:val="center"/>
          </w:tcPr>
          <w:p w14:paraId="0E7427E3">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学历</w:t>
            </w:r>
          </w:p>
        </w:tc>
        <w:tc>
          <w:tcPr>
            <w:tcW w:w="1531" w:type="dxa"/>
            <w:vAlign w:val="center"/>
          </w:tcPr>
          <w:p w14:paraId="0ECE1242">
            <w:pPr>
              <w:spacing w:line="360" w:lineRule="auto"/>
              <w:rPr>
                <w:rFonts w:hint="eastAsia" w:ascii="宋体" w:hAnsi="宋体" w:eastAsia="宋体" w:cs="宋体"/>
                <w:color w:val="auto"/>
                <w:szCs w:val="24"/>
                <w:highlight w:val="none"/>
              </w:rPr>
            </w:pPr>
          </w:p>
        </w:tc>
      </w:tr>
      <w:tr w14:paraId="684B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618" w:type="dxa"/>
            <w:vAlign w:val="center"/>
          </w:tcPr>
          <w:p w14:paraId="37F37059">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参加工作时间</w:t>
            </w:r>
          </w:p>
        </w:tc>
        <w:tc>
          <w:tcPr>
            <w:tcW w:w="3769" w:type="dxa"/>
            <w:gridSpan w:val="5"/>
            <w:vAlign w:val="center"/>
          </w:tcPr>
          <w:p w14:paraId="394777B1">
            <w:pPr>
              <w:spacing w:line="360" w:lineRule="auto"/>
              <w:rPr>
                <w:rFonts w:hint="eastAsia" w:ascii="宋体" w:hAnsi="宋体" w:eastAsia="宋体" w:cs="宋体"/>
                <w:color w:val="auto"/>
                <w:szCs w:val="24"/>
                <w:highlight w:val="none"/>
              </w:rPr>
            </w:pPr>
          </w:p>
        </w:tc>
        <w:tc>
          <w:tcPr>
            <w:tcW w:w="1585" w:type="dxa"/>
            <w:gridSpan w:val="2"/>
            <w:vAlign w:val="center"/>
          </w:tcPr>
          <w:p w14:paraId="4D89CB0E">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担任项目经理年限</w:t>
            </w:r>
          </w:p>
        </w:tc>
        <w:tc>
          <w:tcPr>
            <w:tcW w:w="2639" w:type="dxa"/>
            <w:gridSpan w:val="2"/>
            <w:vAlign w:val="center"/>
          </w:tcPr>
          <w:p w14:paraId="15E63828">
            <w:pPr>
              <w:spacing w:line="360" w:lineRule="auto"/>
              <w:rPr>
                <w:rFonts w:hint="eastAsia" w:ascii="宋体" w:hAnsi="宋体" w:eastAsia="宋体" w:cs="宋体"/>
                <w:color w:val="auto"/>
                <w:szCs w:val="24"/>
                <w:highlight w:val="none"/>
              </w:rPr>
            </w:pPr>
          </w:p>
        </w:tc>
      </w:tr>
      <w:tr w14:paraId="68A1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506" w:type="dxa"/>
            <w:gridSpan w:val="2"/>
            <w:vAlign w:val="center"/>
          </w:tcPr>
          <w:p w14:paraId="03FF824C">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建造师注册证书编号</w:t>
            </w:r>
          </w:p>
        </w:tc>
        <w:tc>
          <w:tcPr>
            <w:tcW w:w="7105" w:type="dxa"/>
            <w:gridSpan w:val="8"/>
            <w:vAlign w:val="center"/>
          </w:tcPr>
          <w:p w14:paraId="2D3641B9">
            <w:pPr>
              <w:spacing w:line="360" w:lineRule="auto"/>
              <w:rPr>
                <w:rFonts w:hint="eastAsia" w:ascii="宋体" w:hAnsi="宋体" w:eastAsia="宋体" w:cs="宋体"/>
                <w:color w:val="auto"/>
                <w:szCs w:val="24"/>
                <w:highlight w:val="none"/>
              </w:rPr>
            </w:pPr>
          </w:p>
        </w:tc>
      </w:tr>
      <w:tr w14:paraId="38EE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611" w:type="dxa"/>
            <w:gridSpan w:val="10"/>
            <w:vAlign w:val="center"/>
          </w:tcPr>
          <w:p w14:paraId="2E967F82">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在建和已完工程项目情况</w:t>
            </w:r>
          </w:p>
        </w:tc>
      </w:tr>
      <w:tr w14:paraId="7FB8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14:paraId="4207A31F">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建设单位</w:t>
            </w:r>
          </w:p>
        </w:tc>
        <w:tc>
          <w:tcPr>
            <w:tcW w:w="1548" w:type="dxa"/>
            <w:gridSpan w:val="2"/>
            <w:vAlign w:val="center"/>
          </w:tcPr>
          <w:p w14:paraId="60E8948B">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项目名称</w:t>
            </w:r>
          </w:p>
        </w:tc>
        <w:tc>
          <w:tcPr>
            <w:tcW w:w="1837" w:type="dxa"/>
            <w:gridSpan w:val="2"/>
            <w:vAlign w:val="center"/>
          </w:tcPr>
          <w:p w14:paraId="140C1DB4">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建设规模</w:t>
            </w:r>
          </w:p>
        </w:tc>
        <w:tc>
          <w:tcPr>
            <w:tcW w:w="1472" w:type="dxa"/>
            <w:gridSpan w:val="2"/>
            <w:vAlign w:val="center"/>
          </w:tcPr>
          <w:p w14:paraId="5D8FFDA6">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开、竣工日期</w:t>
            </w:r>
          </w:p>
        </w:tc>
        <w:tc>
          <w:tcPr>
            <w:tcW w:w="1641" w:type="dxa"/>
            <w:gridSpan w:val="2"/>
            <w:vAlign w:val="center"/>
          </w:tcPr>
          <w:p w14:paraId="27DDECE6">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在建或已完</w:t>
            </w:r>
          </w:p>
        </w:tc>
        <w:tc>
          <w:tcPr>
            <w:tcW w:w="1484" w:type="dxa"/>
            <w:vAlign w:val="center"/>
          </w:tcPr>
          <w:p w14:paraId="5E30247F">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工程质量</w:t>
            </w:r>
          </w:p>
        </w:tc>
      </w:tr>
      <w:tr w14:paraId="7D73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14:paraId="2DA26C59">
            <w:pPr>
              <w:spacing w:line="360" w:lineRule="auto"/>
              <w:rPr>
                <w:rFonts w:hint="eastAsia" w:ascii="宋体" w:hAnsi="宋体" w:eastAsia="宋体" w:cs="宋体"/>
                <w:color w:val="auto"/>
                <w:szCs w:val="24"/>
                <w:highlight w:val="none"/>
              </w:rPr>
            </w:pPr>
          </w:p>
        </w:tc>
        <w:tc>
          <w:tcPr>
            <w:tcW w:w="1548" w:type="dxa"/>
            <w:gridSpan w:val="2"/>
            <w:vAlign w:val="center"/>
          </w:tcPr>
          <w:p w14:paraId="29A7493D">
            <w:pPr>
              <w:spacing w:line="360" w:lineRule="auto"/>
              <w:rPr>
                <w:rFonts w:hint="eastAsia" w:ascii="宋体" w:hAnsi="宋体" w:eastAsia="宋体" w:cs="宋体"/>
                <w:color w:val="auto"/>
                <w:szCs w:val="24"/>
                <w:highlight w:val="none"/>
              </w:rPr>
            </w:pPr>
          </w:p>
        </w:tc>
        <w:tc>
          <w:tcPr>
            <w:tcW w:w="1837" w:type="dxa"/>
            <w:gridSpan w:val="2"/>
            <w:vAlign w:val="center"/>
          </w:tcPr>
          <w:p w14:paraId="7B9E915B">
            <w:pPr>
              <w:spacing w:line="360" w:lineRule="auto"/>
              <w:rPr>
                <w:rFonts w:hint="eastAsia" w:ascii="宋体" w:hAnsi="宋体" w:eastAsia="宋体" w:cs="宋体"/>
                <w:color w:val="auto"/>
                <w:szCs w:val="24"/>
                <w:highlight w:val="none"/>
              </w:rPr>
            </w:pPr>
          </w:p>
        </w:tc>
        <w:tc>
          <w:tcPr>
            <w:tcW w:w="1472" w:type="dxa"/>
            <w:gridSpan w:val="2"/>
            <w:vAlign w:val="center"/>
          </w:tcPr>
          <w:p w14:paraId="478AE716">
            <w:pPr>
              <w:spacing w:line="360" w:lineRule="auto"/>
              <w:rPr>
                <w:rFonts w:hint="eastAsia" w:ascii="宋体" w:hAnsi="宋体" w:eastAsia="宋体" w:cs="宋体"/>
                <w:color w:val="auto"/>
                <w:szCs w:val="24"/>
                <w:highlight w:val="none"/>
              </w:rPr>
            </w:pPr>
          </w:p>
        </w:tc>
        <w:tc>
          <w:tcPr>
            <w:tcW w:w="1641" w:type="dxa"/>
            <w:gridSpan w:val="2"/>
            <w:vAlign w:val="center"/>
          </w:tcPr>
          <w:p w14:paraId="62D77838">
            <w:pPr>
              <w:spacing w:line="360" w:lineRule="auto"/>
              <w:rPr>
                <w:rFonts w:hint="eastAsia" w:ascii="宋体" w:hAnsi="宋体" w:eastAsia="宋体" w:cs="宋体"/>
                <w:color w:val="auto"/>
                <w:szCs w:val="24"/>
                <w:highlight w:val="none"/>
              </w:rPr>
            </w:pPr>
          </w:p>
        </w:tc>
        <w:tc>
          <w:tcPr>
            <w:tcW w:w="1484" w:type="dxa"/>
            <w:vAlign w:val="center"/>
          </w:tcPr>
          <w:p w14:paraId="53FB9061">
            <w:pPr>
              <w:spacing w:line="360" w:lineRule="auto"/>
              <w:rPr>
                <w:rFonts w:hint="eastAsia" w:ascii="宋体" w:hAnsi="宋体" w:eastAsia="宋体" w:cs="宋体"/>
                <w:color w:val="auto"/>
                <w:szCs w:val="24"/>
                <w:highlight w:val="none"/>
              </w:rPr>
            </w:pPr>
          </w:p>
        </w:tc>
      </w:tr>
      <w:tr w14:paraId="3F5D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14:paraId="7B098DA2">
            <w:pPr>
              <w:spacing w:line="360" w:lineRule="auto"/>
              <w:rPr>
                <w:rFonts w:hint="eastAsia" w:ascii="宋体" w:hAnsi="宋体" w:eastAsia="宋体" w:cs="宋体"/>
                <w:color w:val="auto"/>
                <w:szCs w:val="24"/>
                <w:highlight w:val="none"/>
              </w:rPr>
            </w:pPr>
          </w:p>
        </w:tc>
        <w:tc>
          <w:tcPr>
            <w:tcW w:w="1548" w:type="dxa"/>
            <w:gridSpan w:val="2"/>
            <w:vAlign w:val="center"/>
          </w:tcPr>
          <w:p w14:paraId="537DE743">
            <w:pPr>
              <w:spacing w:line="360" w:lineRule="auto"/>
              <w:rPr>
                <w:rFonts w:hint="eastAsia" w:ascii="宋体" w:hAnsi="宋体" w:eastAsia="宋体" w:cs="宋体"/>
                <w:color w:val="auto"/>
                <w:szCs w:val="24"/>
                <w:highlight w:val="none"/>
              </w:rPr>
            </w:pPr>
          </w:p>
        </w:tc>
        <w:tc>
          <w:tcPr>
            <w:tcW w:w="1837" w:type="dxa"/>
            <w:gridSpan w:val="2"/>
            <w:vAlign w:val="center"/>
          </w:tcPr>
          <w:p w14:paraId="23693C48">
            <w:pPr>
              <w:spacing w:line="360" w:lineRule="auto"/>
              <w:rPr>
                <w:rFonts w:hint="eastAsia" w:ascii="宋体" w:hAnsi="宋体" w:eastAsia="宋体" w:cs="宋体"/>
                <w:color w:val="auto"/>
                <w:szCs w:val="24"/>
                <w:highlight w:val="none"/>
              </w:rPr>
            </w:pPr>
          </w:p>
        </w:tc>
        <w:tc>
          <w:tcPr>
            <w:tcW w:w="1472" w:type="dxa"/>
            <w:gridSpan w:val="2"/>
            <w:vAlign w:val="center"/>
          </w:tcPr>
          <w:p w14:paraId="2C851AF3">
            <w:pPr>
              <w:spacing w:line="360" w:lineRule="auto"/>
              <w:rPr>
                <w:rFonts w:hint="eastAsia" w:ascii="宋体" w:hAnsi="宋体" w:eastAsia="宋体" w:cs="宋体"/>
                <w:color w:val="auto"/>
                <w:szCs w:val="24"/>
                <w:highlight w:val="none"/>
              </w:rPr>
            </w:pPr>
          </w:p>
        </w:tc>
        <w:tc>
          <w:tcPr>
            <w:tcW w:w="1641" w:type="dxa"/>
            <w:gridSpan w:val="2"/>
            <w:vAlign w:val="center"/>
          </w:tcPr>
          <w:p w14:paraId="795ACC48">
            <w:pPr>
              <w:spacing w:line="360" w:lineRule="auto"/>
              <w:rPr>
                <w:rFonts w:hint="eastAsia" w:ascii="宋体" w:hAnsi="宋体" w:eastAsia="宋体" w:cs="宋体"/>
                <w:color w:val="auto"/>
                <w:szCs w:val="24"/>
                <w:highlight w:val="none"/>
              </w:rPr>
            </w:pPr>
          </w:p>
        </w:tc>
        <w:tc>
          <w:tcPr>
            <w:tcW w:w="1484" w:type="dxa"/>
            <w:vAlign w:val="center"/>
          </w:tcPr>
          <w:p w14:paraId="004C5C14">
            <w:pPr>
              <w:spacing w:line="360" w:lineRule="auto"/>
              <w:rPr>
                <w:rFonts w:hint="eastAsia" w:ascii="宋体" w:hAnsi="宋体" w:eastAsia="宋体" w:cs="宋体"/>
                <w:color w:val="auto"/>
                <w:szCs w:val="24"/>
                <w:highlight w:val="none"/>
              </w:rPr>
            </w:pPr>
          </w:p>
        </w:tc>
      </w:tr>
      <w:tr w14:paraId="16B0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14:paraId="5ED8F7C9">
            <w:pPr>
              <w:spacing w:line="360" w:lineRule="auto"/>
              <w:rPr>
                <w:rFonts w:hint="eastAsia" w:ascii="宋体" w:hAnsi="宋体" w:eastAsia="宋体" w:cs="宋体"/>
                <w:color w:val="auto"/>
                <w:szCs w:val="24"/>
                <w:highlight w:val="none"/>
              </w:rPr>
            </w:pPr>
          </w:p>
        </w:tc>
        <w:tc>
          <w:tcPr>
            <w:tcW w:w="1548" w:type="dxa"/>
            <w:gridSpan w:val="2"/>
            <w:vAlign w:val="center"/>
          </w:tcPr>
          <w:p w14:paraId="560EED8C">
            <w:pPr>
              <w:spacing w:line="360" w:lineRule="auto"/>
              <w:rPr>
                <w:rFonts w:hint="eastAsia" w:ascii="宋体" w:hAnsi="宋体" w:eastAsia="宋体" w:cs="宋体"/>
                <w:color w:val="auto"/>
                <w:szCs w:val="24"/>
                <w:highlight w:val="none"/>
              </w:rPr>
            </w:pPr>
          </w:p>
        </w:tc>
        <w:tc>
          <w:tcPr>
            <w:tcW w:w="1837" w:type="dxa"/>
            <w:gridSpan w:val="2"/>
            <w:vAlign w:val="center"/>
          </w:tcPr>
          <w:p w14:paraId="11C33AAD">
            <w:pPr>
              <w:spacing w:line="360" w:lineRule="auto"/>
              <w:rPr>
                <w:rFonts w:hint="eastAsia" w:ascii="宋体" w:hAnsi="宋体" w:eastAsia="宋体" w:cs="宋体"/>
                <w:color w:val="auto"/>
                <w:szCs w:val="24"/>
                <w:highlight w:val="none"/>
              </w:rPr>
            </w:pPr>
          </w:p>
        </w:tc>
        <w:tc>
          <w:tcPr>
            <w:tcW w:w="1472" w:type="dxa"/>
            <w:gridSpan w:val="2"/>
            <w:vAlign w:val="center"/>
          </w:tcPr>
          <w:p w14:paraId="45FF419D">
            <w:pPr>
              <w:spacing w:line="360" w:lineRule="auto"/>
              <w:rPr>
                <w:rFonts w:hint="eastAsia" w:ascii="宋体" w:hAnsi="宋体" w:eastAsia="宋体" w:cs="宋体"/>
                <w:color w:val="auto"/>
                <w:szCs w:val="24"/>
                <w:highlight w:val="none"/>
              </w:rPr>
            </w:pPr>
          </w:p>
        </w:tc>
        <w:tc>
          <w:tcPr>
            <w:tcW w:w="1641" w:type="dxa"/>
            <w:gridSpan w:val="2"/>
            <w:vAlign w:val="center"/>
          </w:tcPr>
          <w:p w14:paraId="15C3CD44">
            <w:pPr>
              <w:spacing w:line="360" w:lineRule="auto"/>
              <w:rPr>
                <w:rFonts w:hint="eastAsia" w:ascii="宋体" w:hAnsi="宋体" w:eastAsia="宋体" w:cs="宋体"/>
                <w:color w:val="auto"/>
                <w:szCs w:val="24"/>
                <w:highlight w:val="none"/>
              </w:rPr>
            </w:pPr>
          </w:p>
        </w:tc>
        <w:tc>
          <w:tcPr>
            <w:tcW w:w="1484" w:type="dxa"/>
            <w:vAlign w:val="center"/>
          </w:tcPr>
          <w:p w14:paraId="0B135EE6">
            <w:pPr>
              <w:spacing w:line="360" w:lineRule="auto"/>
              <w:rPr>
                <w:rFonts w:hint="eastAsia" w:ascii="宋体" w:hAnsi="宋体" w:eastAsia="宋体" w:cs="宋体"/>
                <w:color w:val="auto"/>
                <w:szCs w:val="24"/>
                <w:highlight w:val="none"/>
              </w:rPr>
            </w:pPr>
          </w:p>
        </w:tc>
      </w:tr>
      <w:tr w14:paraId="2880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14:paraId="38F27B43">
            <w:pPr>
              <w:spacing w:line="360" w:lineRule="auto"/>
              <w:rPr>
                <w:rFonts w:hint="eastAsia" w:ascii="宋体" w:hAnsi="宋体" w:eastAsia="宋体" w:cs="宋体"/>
                <w:color w:val="auto"/>
                <w:szCs w:val="24"/>
                <w:highlight w:val="none"/>
              </w:rPr>
            </w:pPr>
          </w:p>
        </w:tc>
        <w:tc>
          <w:tcPr>
            <w:tcW w:w="1548" w:type="dxa"/>
            <w:gridSpan w:val="2"/>
            <w:vAlign w:val="center"/>
          </w:tcPr>
          <w:p w14:paraId="32D74C25">
            <w:pPr>
              <w:spacing w:line="360" w:lineRule="auto"/>
              <w:rPr>
                <w:rFonts w:hint="eastAsia" w:ascii="宋体" w:hAnsi="宋体" w:eastAsia="宋体" w:cs="宋体"/>
                <w:color w:val="auto"/>
                <w:szCs w:val="24"/>
                <w:highlight w:val="none"/>
              </w:rPr>
            </w:pPr>
          </w:p>
        </w:tc>
        <w:tc>
          <w:tcPr>
            <w:tcW w:w="1837" w:type="dxa"/>
            <w:gridSpan w:val="2"/>
            <w:vAlign w:val="center"/>
          </w:tcPr>
          <w:p w14:paraId="5E2C7913">
            <w:pPr>
              <w:spacing w:line="360" w:lineRule="auto"/>
              <w:rPr>
                <w:rFonts w:hint="eastAsia" w:ascii="宋体" w:hAnsi="宋体" w:eastAsia="宋体" w:cs="宋体"/>
                <w:color w:val="auto"/>
                <w:szCs w:val="24"/>
                <w:highlight w:val="none"/>
              </w:rPr>
            </w:pPr>
          </w:p>
        </w:tc>
        <w:tc>
          <w:tcPr>
            <w:tcW w:w="1472" w:type="dxa"/>
            <w:gridSpan w:val="2"/>
            <w:vAlign w:val="center"/>
          </w:tcPr>
          <w:p w14:paraId="495C557C">
            <w:pPr>
              <w:spacing w:line="360" w:lineRule="auto"/>
              <w:rPr>
                <w:rFonts w:hint="eastAsia" w:ascii="宋体" w:hAnsi="宋体" w:eastAsia="宋体" w:cs="宋体"/>
                <w:color w:val="auto"/>
                <w:szCs w:val="24"/>
                <w:highlight w:val="none"/>
              </w:rPr>
            </w:pPr>
          </w:p>
        </w:tc>
        <w:tc>
          <w:tcPr>
            <w:tcW w:w="1641" w:type="dxa"/>
            <w:gridSpan w:val="2"/>
            <w:vAlign w:val="center"/>
          </w:tcPr>
          <w:p w14:paraId="3DDE44ED">
            <w:pPr>
              <w:spacing w:line="360" w:lineRule="auto"/>
              <w:rPr>
                <w:rFonts w:hint="eastAsia" w:ascii="宋体" w:hAnsi="宋体" w:eastAsia="宋体" w:cs="宋体"/>
                <w:color w:val="auto"/>
                <w:szCs w:val="24"/>
                <w:highlight w:val="none"/>
              </w:rPr>
            </w:pPr>
          </w:p>
        </w:tc>
        <w:tc>
          <w:tcPr>
            <w:tcW w:w="1484" w:type="dxa"/>
            <w:vAlign w:val="center"/>
          </w:tcPr>
          <w:p w14:paraId="7C105A4C">
            <w:pPr>
              <w:spacing w:line="360" w:lineRule="auto"/>
              <w:rPr>
                <w:rFonts w:hint="eastAsia" w:ascii="宋体" w:hAnsi="宋体" w:eastAsia="宋体" w:cs="宋体"/>
                <w:color w:val="auto"/>
                <w:szCs w:val="24"/>
                <w:highlight w:val="none"/>
              </w:rPr>
            </w:pPr>
          </w:p>
        </w:tc>
      </w:tr>
      <w:tr w14:paraId="2249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14:paraId="711618B0">
            <w:pPr>
              <w:spacing w:line="360" w:lineRule="auto"/>
              <w:rPr>
                <w:rFonts w:hint="eastAsia" w:ascii="宋体" w:hAnsi="宋体" w:eastAsia="宋体" w:cs="宋体"/>
                <w:color w:val="auto"/>
                <w:szCs w:val="24"/>
                <w:highlight w:val="none"/>
              </w:rPr>
            </w:pPr>
          </w:p>
        </w:tc>
        <w:tc>
          <w:tcPr>
            <w:tcW w:w="1548" w:type="dxa"/>
            <w:gridSpan w:val="2"/>
            <w:vAlign w:val="center"/>
          </w:tcPr>
          <w:p w14:paraId="293C0259">
            <w:pPr>
              <w:spacing w:line="360" w:lineRule="auto"/>
              <w:rPr>
                <w:rFonts w:hint="eastAsia" w:ascii="宋体" w:hAnsi="宋体" w:eastAsia="宋体" w:cs="宋体"/>
                <w:color w:val="auto"/>
                <w:szCs w:val="24"/>
                <w:highlight w:val="none"/>
              </w:rPr>
            </w:pPr>
          </w:p>
        </w:tc>
        <w:tc>
          <w:tcPr>
            <w:tcW w:w="1837" w:type="dxa"/>
            <w:gridSpan w:val="2"/>
            <w:vAlign w:val="center"/>
          </w:tcPr>
          <w:p w14:paraId="375CC4C3">
            <w:pPr>
              <w:spacing w:line="360" w:lineRule="auto"/>
              <w:rPr>
                <w:rFonts w:hint="eastAsia" w:ascii="宋体" w:hAnsi="宋体" w:eastAsia="宋体" w:cs="宋体"/>
                <w:color w:val="auto"/>
                <w:szCs w:val="24"/>
                <w:highlight w:val="none"/>
              </w:rPr>
            </w:pPr>
          </w:p>
        </w:tc>
        <w:tc>
          <w:tcPr>
            <w:tcW w:w="1472" w:type="dxa"/>
            <w:gridSpan w:val="2"/>
            <w:vAlign w:val="center"/>
          </w:tcPr>
          <w:p w14:paraId="2325D77B">
            <w:pPr>
              <w:spacing w:line="360" w:lineRule="auto"/>
              <w:rPr>
                <w:rFonts w:hint="eastAsia" w:ascii="宋体" w:hAnsi="宋体" w:eastAsia="宋体" w:cs="宋体"/>
                <w:color w:val="auto"/>
                <w:szCs w:val="24"/>
                <w:highlight w:val="none"/>
              </w:rPr>
            </w:pPr>
          </w:p>
        </w:tc>
        <w:tc>
          <w:tcPr>
            <w:tcW w:w="1641" w:type="dxa"/>
            <w:gridSpan w:val="2"/>
            <w:vAlign w:val="center"/>
          </w:tcPr>
          <w:p w14:paraId="4F203C1C">
            <w:pPr>
              <w:spacing w:line="360" w:lineRule="auto"/>
              <w:rPr>
                <w:rFonts w:hint="eastAsia" w:ascii="宋体" w:hAnsi="宋体" w:eastAsia="宋体" w:cs="宋体"/>
                <w:color w:val="auto"/>
                <w:szCs w:val="24"/>
                <w:highlight w:val="none"/>
              </w:rPr>
            </w:pPr>
          </w:p>
        </w:tc>
        <w:tc>
          <w:tcPr>
            <w:tcW w:w="1484" w:type="dxa"/>
            <w:vAlign w:val="center"/>
          </w:tcPr>
          <w:p w14:paraId="151418AB">
            <w:pPr>
              <w:spacing w:line="360" w:lineRule="auto"/>
              <w:rPr>
                <w:rFonts w:hint="eastAsia" w:ascii="宋体" w:hAnsi="宋体" w:eastAsia="宋体" w:cs="宋体"/>
                <w:color w:val="auto"/>
                <w:szCs w:val="24"/>
                <w:highlight w:val="none"/>
              </w:rPr>
            </w:pPr>
          </w:p>
        </w:tc>
      </w:tr>
      <w:tr w14:paraId="7EDE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14:paraId="5168B0EE">
            <w:pPr>
              <w:spacing w:line="360" w:lineRule="auto"/>
              <w:rPr>
                <w:rFonts w:hint="eastAsia" w:ascii="宋体" w:hAnsi="宋体" w:eastAsia="宋体" w:cs="宋体"/>
                <w:color w:val="auto"/>
                <w:szCs w:val="24"/>
                <w:highlight w:val="none"/>
              </w:rPr>
            </w:pPr>
          </w:p>
        </w:tc>
        <w:tc>
          <w:tcPr>
            <w:tcW w:w="1548" w:type="dxa"/>
            <w:gridSpan w:val="2"/>
            <w:vAlign w:val="center"/>
          </w:tcPr>
          <w:p w14:paraId="0FFE2655">
            <w:pPr>
              <w:spacing w:line="360" w:lineRule="auto"/>
              <w:rPr>
                <w:rFonts w:hint="eastAsia" w:ascii="宋体" w:hAnsi="宋体" w:eastAsia="宋体" w:cs="宋体"/>
                <w:color w:val="auto"/>
                <w:szCs w:val="24"/>
                <w:highlight w:val="none"/>
              </w:rPr>
            </w:pPr>
          </w:p>
        </w:tc>
        <w:tc>
          <w:tcPr>
            <w:tcW w:w="1837" w:type="dxa"/>
            <w:gridSpan w:val="2"/>
            <w:vAlign w:val="center"/>
          </w:tcPr>
          <w:p w14:paraId="09AD8513">
            <w:pPr>
              <w:spacing w:line="360" w:lineRule="auto"/>
              <w:rPr>
                <w:rFonts w:hint="eastAsia" w:ascii="宋体" w:hAnsi="宋体" w:eastAsia="宋体" w:cs="宋体"/>
                <w:color w:val="auto"/>
                <w:szCs w:val="24"/>
                <w:highlight w:val="none"/>
              </w:rPr>
            </w:pPr>
          </w:p>
        </w:tc>
        <w:tc>
          <w:tcPr>
            <w:tcW w:w="1472" w:type="dxa"/>
            <w:gridSpan w:val="2"/>
            <w:vAlign w:val="center"/>
          </w:tcPr>
          <w:p w14:paraId="75668909">
            <w:pPr>
              <w:spacing w:line="360" w:lineRule="auto"/>
              <w:rPr>
                <w:rFonts w:hint="eastAsia" w:ascii="宋体" w:hAnsi="宋体" w:eastAsia="宋体" w:cs="宋体"/>
                <w:color w:val="auto"/>
                <w:szCs w:val="24"/>
                <w:highlight w:val="none"/>
              </w:rPr>
            </w:pPr>
          </w:p>
        </w:tc>
        <w:tc>
          <w:tcPr>
            <w:tcW w:w="1641" w:type="dxa"/>
            <w:gridSpan w:val="2"/>
            <w:vAlign w:val="center"/>
          </w:tcPr>
          <w:p w14:paraId="4BBBE49E">
            <w:pPr>
              <w:spacing w:line="360" w:lineRule="auto"/>
              <w:rPr>
                <w:rFonts w:hint="eastAsia" w:ascii="宋体" w:hAnsi="宋体" w:eastAsia="宋体" w:cs="宋体"/>
                <w:color w:val="auto"/>
                <w:szCs w:val="24"/>
                <w:highlight w:val="none"/>
              </w:rPr>
            </w:pPr>
          </w:p>
        </w:tc>
        <w:tc>
          <w:tcPr>
            <w:tcW w:w="1484" w:type="dxa"/>
            <w:vAlign w:val="center"/>
          </w:tcPr>
          <w:p w14:paraId="4C26F275">
            <w:pPr>
              <w:spacing w:line="360" w:lineRule="auto"/>
              <w:rPr>
                <w:rFonts w:hint="eastAsia" w:ascii="宋体" w:hAnsi="宋体" w:eastAsia="宋体" w:cs="宋体"/>
                <w:color w:val="auto"/>
                <w:szCs w:val="24"/>
                <w:highlight w:val="none"/>
              </w:rPr>
            </w:pPr>
          </w:p>
        </w:tc>
      </w:tr>
    </w:tbl>
    <w:p w14:paraId="679692D1">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说明：1、本表格式仅供参考，在填写本表时，如本表格不适合供应商的实际情况，可自行制表填写。但应以便于评委评审为原则（具体可参考第三章要求）。</w:t>
      </w:r>
    </w:p>
    <w:p w14:paraId="4D5B8745">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2、本表后可附供应商认为有必要提供并且与相关人员情况相关的其他资料（具体可参考第三章要求,</w:t>
      </w:r>
      <w:r>
        <w:rPr>
          <w:rFonts w:hint="eastAsia" w:ascii="宋体" w:hAnsi="宋体" w:eastAsia="宋体" w:cs="宋体"/>
          <w:b/>
          <w:color w:val="auto"/>
          <w:kern w:val="0"/>
          <w:szCs w:val="21"/>
          <w:highlight w:val="none"/>
        </w:rPr>
        <w:t>如有应</w:t>
      </w:r>
      <w:r>
        <w:rPr>
          <w:rFonts w:hint="eastAsia" w:ascii="宋体" w:hAnsi="宋体" w:eastAsia="宋体" w:cs="宋体"/>
          <w:b/>
          <w:bCs/>
          <w:color w:val="auto"/>
          <w:kern w:val="0"/>
          <w:szCs w:val="21"/>
          <w:highlight w:val="none"/>
        </w:rPr>
        <w:t>以PDF格式上传，并加盖CA电子签章</w:t>
      </w:r>
      <w:r>
        <w:rPr>
          <w:rFonts w:hint="eastAsia" w:ascii="宋体" w:hAnsi="宋体" w:eastAsia="宋体" w:cs="宋体"/>
          <w:color w:val="auto"/>
          <w:kern w:val="0"/>
          <w:szCs w:val="21"/>
          <w:highlight w:val="none"/>
        </w:rPr>
        <w:t>）。</w:t>
      </w:r>
    </w:p>
    <w:p w14:paraId="3E8F956C">
      <w:pPr>
        <w:spacing w:line="360" w:lineRule="auto"/>
        <w:rPr>
          <w:rFonts w:hint="eastAsia" w:ascii="宋体" w:hAnsi="宋体" w:eastAsia="宋体" w:cs="宋体"/>
          <w:color w:val="auto"/>
          <w:kern w:val="0"/>
          <w:szCs w:val="21"/>
          <w:highlight w:val="none"/>
        </w:rPr>
      </w:pPr>
    </w:p>
    <w:p w14:paraId="779288BA">
      <w:pPr>
        <w:spacing w:line="360" w:lineRule="auto"/>
        <w:rPr>
          <w:rFonts w:hint="eastAsia" w:ascii="宋体" w:hAnsi="宋体" w:eastAsia="宋体" w:cs="宋体"/>
          <w:color w:val="auto"/>
          <w:kern w:val="0"/>
          <w:szCs w:val="21"/>
          <w:highlight w:val="none"/>
        </w:rPr>
      </w:pPr>
    </w:p>
    <w:p w14:paraId="74DE97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w:t>
      </w:r>
      <w:r>
        <w:rPr>
          <w:rFonts w:hint="eastAsia" w:ascii="宋体" w:hAnsi="宋体" w:eastAsia="宋体" w:cs="宋体"/>
          <w:b/>
          <w:color w:val="auto"/>
          <w:sz w:val="24"/>
          <w:szCs w:val="24"/>
          <w:highlight w:val="none"/>
        </w:rPr>
        <w:t>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F308D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1CF42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C64C9BC">
      <w:pPr>
        <w:spacing w:line="360" w:lineRule="auto"/>
        <w:rPr>
          <w:rFonts w:hint="eastAsia" w:ascii="宋体" w:hAnsi="宋体" w:eastAsia="宋体" w:cs="宋体"/>
          <w:color w:val="auto"/>
          <w:szCs w:val="24"/>
          <w:highlight w:val="none"/>
        </w:rPr>
      </w:pPr>
    </w:p>
    <w:p w14:paraId="7D40497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注：此项材料应</w:t>
      </w:r>
      <w:r>
        <w:rPr>
          <w:rFonts w:hint="eastAsia" w:ascii="宋体" w:hAnsi="宋体" w:eastAsia="宋体" w:cs="宋体"/>
          <w:b/>
          <w:bCs/>
          <w:color w:val="auto"/>
          <w:sz w:val="24"/>
          <w:szCs w:val="24"/>
          <w:highlight w:val="none"/>
        </w:rPr>
        <w:t>以PDF格式上传。</w:t>
      </w:r>
    </w:p>
    <w:p w14:paraId="1BB395EB">
      <w:pPr>
        <w:spacing w:line="360" w:lineRule="auto"/>
        <w:rPr>
          <w:rFonts w:hint="eastAsia" w:ascii="宋体" w:hAnsi="宋体" w:eastAsia="宋体" w:cs="宋体"/>
          <w:b/>
          <w:color w:val="auto"/>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（3）</w:t>
      </w:r>
      <w:r>
        <w:rPr>
          <w:rFonts w:hint="eastAsia" w:ascii="宋体" w:hAnsi="宋体" w:eastAsia="宋体" w:cs="宋体"/>
          <w:b/>
          <w:color w:val="auto"/>
          <w:sz w:val="28"/>
          <w:szCs w:val="28"/>
          <w:highlight w:val="none"/>
        </w:rPr>
        <w:t>技术负责人简历表</w:t>
      </w:r>
    </w:p>
    <w:p w14:paraId="3EE671CC">
      <w:pPr>
        <w:spacing w:line="360" w:lineRule="auto"/>
        <w:rPr>
          <w:rFonts w:hint="eastAsia" w:ascii="宋体" w:hAnsi="宋体" w:eastAsia="宋体" w:cs="宋体"/>
          <w:color w:val="auto"/>
          <w:szCs w:val="24"/>
          <w:highlight w:val="none"/>
        </w:rPr>
      </w:pPr>
    </w:p>
    <w:tbl>
      <w:tblPr>
        <w:tblStyle w:val="5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877"/>
        <w:gridCol w:w="665"/>
        <w:gridCol w:w="327"/>
        <w:gridCol w:w="1503"/>
        <w:gridCol w:w="382"/>
        <w:gridCol w:w="1084"/>
        <w:gridCol w:w="495"/>
        <w:gridCol w:w="1140"/>
        <w:gridCol w:w="1525"/>
      </w:tblGrid>
      <w:tr w14:paraId="14C7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618" w:type="dxa"/>
            <w:vAlign w:val="center"/>
          </w:tcPr>
          <w:p w14:paraId="1BEF8DE2">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姓名</w:t>
            </w:r>
          </w:p>
        </w:tc>
        <w:tc>
          <w:tcPr>
            <w:tcW w:w="1876" w:type="dxa"/>
            <w:gridSpan w:val="3"/>
            <w:vAlign w:val="center"/>
          </w:tcPr>
          <w:p w14:paraId="175FA840">
            <w:pPr>
              <w:spacing w:line="360" w:lineRule="auto"/>
              <w:rPr>
                <w:rFonts w:hint="eastAsia" w:ascii="宋体" w:hAnsi="宋体" w:eastAsia="宋体" w:cs="宋体"/>
                <w:color w:val="auto"/>
                <w:szCs w:val="24"/>
                <w:highlight w:val="none"/>
              </w:rPr>
            </w:pPr>
          </w:p>
        </w:tc>
        <w:tc>
          <w:tcPr>
            <w:tcW w:w="1893" w:type="dxa"/>
            <w:gridSpan w:val="2"/>
            <w:vAlign w:val="center"/>
          </w:tcPr>
          <w:p w14:paraId="7B8B09F7">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性别</w:t>
            </w:r>
          </w:p>
        </w:tc>
        <w:tc>
          <w:tcPr>
            <w:tcW w:w="1585" w:type="dxa"/>
            <w:gridSpan w:val="2"/>
            <w:vAlign w:val="center"/>
          </w:tcPr>
          <w:p w14:paraId="5DDC9B2E">
            <w:pPr>
              <w:spacing w:line="360" w:lineRule="auto"/>
              <w:rPr>
                <w:rFonts w:hint="eastAsia" w:ascii="宋体" w:hAnsi="宋体" w:eastAsia="宋体" w:cs="宋体"/>
                <w:color w:val="auto"/>
                <w:szCs w:val="24"/>
                <w:highlight w:val="none"/>
              </w:rPr>
            </w:pPr>
          </w:p>
        </w:tc>
        <w:tc>
          <w:tcPr>
            <w:tcW w:w="1108" w:type="dxa"/>
            <w:vAlign w:val="center"/>
          </w:tcPr>
          <w:p w14:paraId="3D8F98C8">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年龄</w:t>
            </w:r>
          </w:p>
        </w:tc>
        <w:tc>
          <w:tcPr>
            <w:tcW w:w="1531" w:type="dxa"/>
            <w:vAlign w:val="center"/>
          </w:tcPr>
          <w:p w14:paraId="654947F3">
            <w:pPr>
              <w:spacing w:line="360" w:lineRule="auto"/>
              <w:rPr>
                <w:rFonts w:hint="eastAsia" w:ascii="宋体" w:hAnsi="宋体" w:eastAsia="宋体" w:cs="宋体"/>
                <w:color w:val="auto"/>
                <w:szCs w:val="24"/>
                <w:highlight w:val="none"/>
              </w:rPr>
            </w:pPr>
          </w:p>
        </w:tc>
      </w:tr>
      <w:tr w14:paraId="3397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618" w:type="dxa"/>
            <w:vAlign w:val="center"/>
          </w:tcPr>
          <w:p w14:paraId="7263C1A6">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职务</w:t>
            </w:r>
          </w:p>
        </w:tc>
        <w:tc>
          <w:tcPr>
            <w:tcW w:w="1876" w:type="dxa"/>
            <w:gridSpan w:val="3"/>
            <w:vAlign w:val="center"/>
          </w:tcPr>
          <w:p w14:paraId="74D98404">
            <w:pPr>
              <w:spacing w:line="360" w:lineRule="auto"/>
              <w:rPr>
                <w:rFonts w:hint="eastAsia" w:ascii="宋体" w:hAnsi="宋体" w:eastAsia="宋体" w:cs="宋体"/>
                <w:color w:val="auto"/>
                <w:szCs w:val="24"/>
                <w:highlight w:val="none"/>
              </w:rPr>
            </w:pPr>
          </w:p>
        </w:tc>
        <w:tc>
          <w:tcPr>
            <w:tcW w:w="1893" w:type="dxa"/>
            <w:gridSpan w:val="2"/>
            <w:vAlign w:val="center"/>
          </w:tcPr>
          <w:p w14:paraId="251EB88F">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职称</w:t>
            </w:r>
          </w:p>
        </w:tc>
        <w:tc>
          <w:tcPr>
            <w:tcW w:w="1585" w:type="dxa"/>
            <w:gridSpan w:val="2"/>
            <w:vAlign w:val="center"/>
          </w:tcPr>
          <w:p w14:paraId="65A3F72A">
            <w:pPr>
              <w:spacing w:line="360" w:lineRule="auto"/>
              <w:rPr>
                <w:rFonts w:hint="eastAsia" w:ascii="宋体" w:hAnsi="宋体" w:eastAsia="宋体" w:cs="宋体"/>
                <w:color w:val="auto"/>
                <w:szCs w:val="24"/>
                <w:highlight w:val="none"/>
              </w:rPr>
            </w:pPr>
          </w:p>
        </w:tc>
        <w:tc>
          <w:tcPr>
            <w:tcW w:w="1108" w:type="dxa"/>
            <w:vAlign w:val="center"/>
          </w:tcPr>
          <w:p w14:paraId="0C4B8F32">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学历</w:t>
            </w:r>
          </w:p>
        </w:tc>
        <w:tc>
          <w:tcPr>
            <w:tcW w:w="1531" w:type="dxa"/>
            <w:vAlign w:val="center"/>
          </w:tcPr>
          <w:p w14:paraId="737A69AB">
            <w:pPr>
              <w:spacing w:line="360" w:lineRule="auto"/>
              <w:rPr>
                <w:rFonts w:hint="eastAsia" w:ascii="宋体" w:hAnsi="宋体" w:eastAsia="宋体" w:cs="宋体"/>
                <w:color w:val="auto"/>
                <w:szCs w:val="24"/>
                <w:highlight w:val="none"/>
              </w:rPr>
            </w:pPr>
          </w:p>
        </w:tc>
      </w:tr>
      <w:tr w14:paraId="76C1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18" w:type="dxa"/>
            <w:vAlign w:val="center"/>
          </w:tcPr>
          <w:p w14:paraId="6560F8B5">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参加工作时间</w:t>
            </w:r>
          </w:p>
        </w:tc>
        <w:tc>
          <w:tcPr>
            <w:tcW w:w="3769" w:type="dxa"/>
            <w:gridSpan w:val="5"/>
            <w:vAlign w:val="center"/>
          </w:tcPr>
          <w:p w14:paraId="3650D193">
            <w:pPr>
              <w:spacing w:line="360" w:lineRule="auto"/>
              <w:rPr>
                <w:rFonts w:hint="eastAsia" w:ascii="宋体" w:hAnsi="宋体" w:eastAsia="宋体" w:cs="宋体"/>
                <w:color w:val="auto"/>
                <w:szCs w:val="24"/>
                <w:highlight w:val="none"/>
              </w:rPr>
            </w:pPr>
          </w:p>
        </w:tc>
        <w:tc>
          <w:tcPr>
            <w:tcW w:w="1585" w:type="dxa"/>
            <w:gridSpan w:val="2"/>
            <w:vAlign w:val="center"/>
          </w:tcPr>
          <w:p w14:paraId="74D7530A">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担任技术负责人年限</w:t>
            </w:r>
          </w:p>
        </w:tc>
        <w:tc>
          <w:tcPr>
            <w:tcW w:w="2639" w:type="dxa"/>
            <w:gridSpan w:val="2"/>
            <w:vAlign w:val="center"/>
          </w:tcPr>
          <w:p w14:paraId="10D6E31B">
            <w:pPr>
              <w:spacing w:line="360" w:lineRule="auto"/>
              <w:rPr>
                <w:rFonts w:hint="eastAsia" w:ascii="宋体" w:hAnsi="宋体" w:eastAsia="宋体" w:cs="宋体"/>
                <w:color w:val="auto"/>
                <w:szCs w:val="24"/>
                <w:highlight w:val="none"/>
              </w:rPr>
            </w:pPr>
          </w:p>
        </w:tc>
      </w:tr>
      <w:tr w14:paraId="5D78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506" w:type="dxa"/>
            <w:gridSpan w:val="2"/>
            <w:vAlign w:val="center"/>
          </w:tcPr>
          <w:p w14:paraId="0BE62C6F">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建造师注册证书编号</w:t>
            </w:r>
          </w:p>
        </w:tc>
        <w:tc>
          <w:tcPr>
            <w:tcW w:w="7105" w:type="dxa"/>
            <w:gridSpan w:val="8"/>
            <w:vAlign w:val="center"/>
          </w:tcPr>
          <w:p w14:paraId="50C8AF79">
            <w:pPr>
              <w:spacing w:line="360" w:lineRule="auto"/>
              <w:rPr>
                <w:rFonts w:hint="eastAsia" w:ascii="宋体" w:hAnsi="宋体" w:eastAsia="宋体" w:cs="宋体"/>
                <w:color w:val="auto"/>
                <w:szCs w:val="24"/>
                <w:highlight w:val="none"/>
              </w:rPr>
            </w:pPr>
          </w:p>
        </w:tc>
      </w:tr>
      <w:tr w14:paraId="0931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611" w:type="dxa"/>
            <w:gridSpan w:val="10"/>
            <w:vAlign w:val="center"/>
          </w:tcPr>
          <w:p w14:paraId="2753946D">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在建和已完工程项目情况</w:t>
            </w:r>
          </w:p>
        </w:tc>
      </w:tr>
      <w:tr w14:paraId="079C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14:paraId="5C786B1E">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建设单位</w:t>
            </w:r>
          </w:p>
        </w:tc>
        <w:tc>
          <w:tcPr>
            <w:tcW w:w="1548" w:type="dxa"/>
            <w:gridSpan w:val="2"/>
            <w:vAlign w:val="center"/>
          </w:tcPr>
          <w:p w14:paraId="48DC3776">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项目名称</w:t>
            </w:r>
          </w:p>
        </w:tc>
        <w:tc>
          <w:tcPr>
            <w:tcW w:w="1837" w:type="dxa"/>
            <w:gridSpan w:val="2"/>
            <w:vAlign w:val="center"/>
          </w:tcPr>
          <w:p w14:paraId="084615A7">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建设规模</w:t>
            </w:r>
          </w:p>
        </w:tc>
        <w:tc>
          <w:tcPr>
            <w:tcW w:w="1472" w:type="dxa"/>
            <w:gridSpan w:val="2"/>
            <w:vAlign w:val="center"/>
          </w:tcPr>
          <w:p w14:paraId="4A82E31D">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开、竣工日期</w:t>
            </w:r>
          </w:p>
        </w:tc>
        <w:tc>
          <w:tcPr>
            <w:tcW w:w="1641" w:type="dxa"/>
            <w:gridSpan w:val="2"/>
            <w:vAlign w:val="center"/>
          </w:tcPr>
          <w:p w14:paraId="4ED0FAB0">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在建或已完</w:t>
            </w:r>
          </w:p>
        </w:tc>
        <w:tc>
          <w:tcPr>
            <w:tcW w:w="1484" w:type="dxa"/>
            <w:vAlign w:val="center"/>
          </w:tcPr>
          <w:p w14:paraId="6C71A365">
            <w:pPr>
              <w:spacing w:line="360" w:lineRule="auto"/>
              <w:rPr>
                <w:rFonts w:hint="eastAsia" w:ascii="宋体" w:hAnsi="宋体" w:eastAsia="宋体" w:cs="宋体"/>
                <w:color w:val="auto"/>
                <w:szCs w:val="24"/>
                <w:highlight w:val="none"/>
              </w:rPr>
            </w:pPr>
            <w:r>
              <w:rPr>
                <w:rFonts w:hint="eastAsia" w:ascii="宋体" w:hAnsi="宋体" w:eastAsia="宋体" w:cs="宋体"/>
                <w:color w:val="auto"/>
                <w:kern w:val="0"/>
                <w:sz w:val="20"/>
                <w:szCs w:val="20"/>
                <w:highlight w:val="none"/>
              </w:rPr>
              <w:t>工程质量</w:t>
            </w:r>
          </w:p>
        </w:tc>
      </w:tr>
      <w:tr w14:paraId="6862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14:paraId="1AF11903">
            <w:pPr>
              <w:spacing w:line="360" w:lineRule="auto"/>
              <w:rPr>
                <w:rFonts w:hint="eastAsia" w:ascii="宋体" w:hAnsi="宋体" w:eastAsia="宋体" w:cs="宋体"/>
                <w:color w:val="auto"/>
                <w:szCs w:val="24"/>
                <w:highlight w:val="none"/>
              </w:rPr>
            </w:pPr>
          </w:p>
        </w:tc>
        <w:tc>
          <w:tcPr>
            <w:tcW w:w="1548" w:type="dxa"/>
            <w:gridSpan w:val="2"/>
            <w:vAlign w:val="center"/>
          </w:tcPr>
          <w:p w14:paraId="177B3C59">
            <w:pPr>
              <w:spacing w:line="360" w:lineRule="auto"/>
              <w:rPr>
                <w:rFonts w:hint="eastAsia" w:ascii="宋体" w:hAnsi="宋体" w:eastAsia="宋体" w:cs="宋体"/>
                <w:color w:val="auto"/>
                <w:szCs w:val="24"/>
                <w:highlight w:val="none"/>
              </w:rPr>
            </w:pPr>
          </w:p>
        </w:tc>
        <w:tc>
          <w:tcPr>
            <w:tcW w:w="1837" w:type="dxa"/>
            <w:gridSpan w:val="2"/>
            <w:vAlign w:val="center"/>
          </w:tcPr>
          <w:p w14:paraId="777B9E45">
            <w:pPr>
              <w:spacing w:line="360" w:lineRule="auto"/>
              <w:rPr>
                <w:rFonts w:hint="eastAsia" w:ascii="宋体" w:hAnsi="宋体" w:eastAsia="宋体" w:cs="宋体"/>
                <w:color w:val="auto"/>
                <w:szCs w:val="24"/>
                <w:highlight w:val="none"/>
              </w:rPr>
            </w:pPr>
          </w:p>
        </w:tc>
        <w:tc>
          <w:tcPr>
            <w:tcW w:w="1472" w:type="dxa"/>
            <w:gridSpan w:val="2"/>
            <w:vAlign w:val="center"/>
          </w:tcPr>
          <w:p w14:paraId="7D64DEBF">
            <w:pPr>
              <w:spacing w:line="360" w:lineRule="auto"/>
              <w:rPr>
                <w:rFonts w:hint="eastAsia" w:ascii="宋体" w:hAnsi="宋体" w:eastAsia="宋体" w:cs="宋体"/>
                <w:color w:val="auto"/>
                <w:szCs w:val="24"/>
                <w:highlight w:val="none"/>
              </w:rPr>
            </w:pPr>
          </w:p>
        </w:tc>
        <w:tc>
          <w:tcPr>
            <w:tcW w:w="1641" w:type="dxa"/>
            <w:gridSpan w:val="2"/>
            <w:vAlign w:val="center"/>
          </w:tcPr>
          <w:p w14:paraId="130F0654">
            <w:pPr>
              <w:spacing w:line="360" w:lineRule="auto"/>
              <w:rPr>
                <w:rFonts w:hint="eastAsia" w:ascii="宋体" w:hAnsi="宋体" w:eastAsia="宋体" w:cs="宋体"/>
                <w:color w:val="auto"/>
                <w:szCs w:val="24"/>
                <w:highlight w:val="none"/>
              </w:rPr>
            </w:pPr>
          </w:p>
        </w:tc>
        <w:tc>
          <w:tcPr>
            <w:tcW w:w="1484" w:type="dxa"/>
            <w:vAlign w:val="center"/>
          </w:tcPr>
          <w:p w14:paraId="13BCB1C4">
            <w:pPr>
              <w:spacing w:line="360" w:lineRule="auto"/>
              <w:rPr>
                <w:rFonts w:hint="eastAsia" w:ascii="宋体" w:hAnsi="宋体" w:eastAsia="宋体" w:cs="宋体"/>
                <w:color w:val="auto"/>
                <w:szCs w:val="24"/>
                <w:highlight w:val="none"/>
              </w:rPr>
            </w:pPr>
          </w:p>
        </w:tc>
      </w:tr>
      <w:tr w14:paraId="2824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14:paraId="351558D5">
            <w:pPr>
              <w:spacing w:line="360" w:lineRule="auto"/>
              <w:rPr>
                <w:rFonts w:hint="eastAsia" w:ascii="宋体" w:hAnsi="宋体" w:eastAsia="宋体" w:cs="宋体"/>
                <w:color w:val="auto"/>
                <w:szCs w:val="24"/>
                <w:highlight w:val="none"/>
              </w:rPr>
            </w:pPr>
          </w:p>
        </w:tc>
        <w:tc>
          <w:tcPr>
            <w:tcW w:w="1548" w:type="dxa"/>
            <w:gridSpan w:val="2"/>
            <w:vAlign w:val="center"/>
          </w:tcPr>
          <w:p w14:paraId="3B063537">
            <w:pPr>
              <w:spacing w:line="360" w:lineRule="auto"/>
              <w:rPr>
                <w:rFonts w:hint="eastAsia" w:ascii="宋体" w:hAnsi="宋体" w:eastAsia="宋体" w:cs="宋体"/>
                <w:color w:val="auto"/>
                <w:szCs w:val="24"/>
                <w:highlight w:val="none"/>
              </w:rPr>
            </w:pPr>
          </w:p>
        </w:tc>
        <w:tc>
          <w:tcPr>
            <w:tcW w:w="1837" w:type="dxa"/>
            <w:gridSpan w:val="2"/>
            <w:vAlign w:val="center"/>
          </w:tcPr>
          <w:p w14:paraId="356AFE00">
            <w:pPr>
              <w:spacing w:line="360" w:lineRule="auto"/>
              <w:rPr>
                <w:rFonts w:hint="eastAsia" w:ascii="宋体" w:hAnsi="宋体" w:eastAsia="宋体" w:cs="宋体"/>
                <w:color w:val="auto"/>
                <w:szCs w:val="24"/>
                <w:highlight w:val="none"/>
              </w:rPr>
            </w:pPr>
          </w:p>
        </w:tc>
        <w:tc>
          <w:tcPr>
            <w:tcW w:w="1472" w:type="dxa"/>
            <w:gridSpan w:val="2"/>
            <w:vAlign w:val="center"/>
          </w:tcPr>
          <w:p w14:paraId="14CF4AA8">
            <w:pPr>
              <w:spacing w:line="360" w:lineRule="auto"/>
              <w:rPr>
                <w:rFonts w:hint="eastAsia" w:ascii="宋体" w:hAnsi="宋体" w:eastAsia="宋体" w:cs="宋体"/>
                <w:color w:val="auto"/>
                <w:szCs w:val="24"/>
                <w:highlight w:val="none"/>
              </w:rPr>
            </w:pPr>
          </w:p>
        </w:tc>
        <w:tc>
          <w:tcPr>
            <w:tcW w:w="1641" w:type="dxa"/>
            <w:gridSpan w:val="2"/>
            <w:vAlign w:val="center"/>
          </w:tcPr>
          <w:p w14:paraId="7A451735">
            <w:pPr>
              <w:spacing w:line="360" w:lineRule="auto"/>
              <w:rPr>
                <w:rFonts w:hint="eastAsia" w:ascii="宋体" w:hAnsi="宋体" w:eastAsia="宋体" w:cs="宋体"/>
                <w:color w:val="auto"/>
                <w:szCs w:val="24"/>
                <w:highlight w:val="none"/>
              </w:rPr>
            </w:pPr>
          </w:p>
        </w:tc>
        <w:tc>
          <w:tcPr>
            <w:tcW w:w="1484" w:type="dxa"/>
            <w:vAlign w:val="center"/>
          </w:tcPr>
          <w:p w14:paraId="5EEAF1A5">
            <w:pPr>
              <w:spacing w:line="360" w:lineRule="auto"/>
              <w:rPr>
                <w:rFonts w:hint="eastAsia" w:ascii="宋体" w:hAnsi="宋体" w:eastAsia="宋体" w:cs="宋体"/>
                <w:color w:val="auto"/>
                <w:szCs w:val="24"/>
                <w:highlight w:val="none"/>
              </w:rPr>
            </w:pPr>
          </w:p>
        </w:tc>
      </w:tr>
      <w:tr w14:paraId="32FA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14:paraId="297DB204">
            <w:pPr>
              <w:spacing w:line="360" w:lineRule="auto"/>
              <w:rPr>
                <w:rFonts w:hint="eastAsia" w:ascii="宋体" w:hAnsi="宋体" w:eastAsia="宋体" w:cs="宋体"/>
                <w:color w:val="auto"/>
                <w:szCs w:val="24"/>
                <w:highlight w:val="none"/>
              </w:rPr>
            </w:pPr>
          </w:p>
        </w:tc>
        <w:tc>
          <w:tcPr>
            <w:tcW w:w="1548" w:type="dxa"/>
            <w:gridSpan w:val="2"/>
            <w:vAlign w:val="center"/>
          </w:tcPr>
          <w:p w14:paraId="765F2E40">
            <w:pPr>
              <w:spacing w:line="360" w:lineRule="auto"/>
              <w:rPr>
                <w:rFonts w:hint="eastAsia" w:ascii="宋体" w:hAnsi="宋体" w:eastAsia="宋体" w:cs="宋体"/>
                <w:color w:val="auto"/>
                <w:szCs w:val="24"/>
                <w:highlight w:val="none"/>
              </w:rPr>
            </w:pPr>
          </w:p>
        </w:tc>
        <w:tc>
          <w:tcPr>
            <w:tcW w:w="1837" w:type="dxa"/>
            <w:gridSpan w:val="2"/>
            <w:vAlign w:val="center"/>
          </w:tcPr>
          <w:p w14:paraId="7849B0B9">
            <w:pPr>
              <w:spacing w:line="360" w:lineRule="auto"/>
              <w:rPr>
                <w:rFonts w:hint="eastAsia" w:ascii="宋体" w:hAnsi="宋体" w:eastAsia="宋体" w:cs="宋体"/>
                <w:color w:val="auto"/>
                <w:szCs w:val="24"/>
                <w:highlight w:val="none"/>
              </w:rPr>
            </w:pPr>
          </w:p>
        </w:tc>
        <w:tc>
          <w:tcPr>
            <w:tcW w:w="1472" w:type="dxa"/>
            <w:gridSpan w:val="2"/>
            <w:vAlign w:val="center"/>
          </w:tcPr>
          <w:p w14:paraId="7DDC0DCA">
            <w:pPr>
              <w:spacing w:line="360" w:lineRule="auto"/>
              <w:rPr>
                <w:rFonts w:hint="eastAsia" w:ascii="宋体" w:hAnsi="宋体" w:eastAsia="宋体" w:cs="宋体"/>
                <w:color w:val="auto"/>
                <w:szCs w:val="24"/>
                <w:highlight w:val="none"/>
              </w:rPr>
            </w:pPr>
          </w:p>
        </w:tc>
        <w:tc>
          <w:tcPr>
            <w:tcW w:w="1641" w:type="dxa"/>
            <w:gridSpan w:val="2"/>
            <w:vAlign w:val="center"/>
          </w:tcPr>
          <w:p w14:paraId="373995EE">
            <w:pPr>
              <w:spacing w:line="360" w:lineRule="auto"/>
              <w:rPr>
                <w:rFonts w:hint="eastAsia" w:ascii="宋体" w:hAnsi="宋体" w:eastAsia="宋体" w:cs="宋体"/>
                <w:color w:val="auto"/>
                <w:szCs w:val="24"/>
                <w:highlight w:val="none"/>
              </w:rPr>
            </w:pPr>
          </w:p>
        </w:tc>
        <w:tc>
          <w:tcPr>
            <w:tcW w:w="1484" w:type="dxa"/>
            <w:vAlign w:val="center"/>
          </w:tcPr>
          <w:p w14:paraId="73AB3015">
            <w:pPr>
              <w:spacing w:line="360" w:lineRule="auto"/>
              <w:rPr>
                <w:rFonts w:hint="eastAsia" w:ascii="宋体" w:hAnsi="宋体" w:eastAsia="宋体" w:cs="宋体"/>
                <w:color w:val="auto"/>
                <w:szCs w:val="24"/>
                <w:highlight w:val="none"/>
              </w:rPr>
            </w:pPr>
          </w:p>
        </w:tc>
      </w:tr>
      <w:tr w14:paraId="594A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14:paraId="51FF544C">
            <w:pPr>
              <w:spacing w:line="360" w:lineRule="auto"/>
              <w:rPr>
                <w:rFonts w:hint="eastAsia" w:ascii="宋体" w:hAnsi="宋体" w:eastAsia="宋体" w:cs="宋体"/>
                <w:color w:val="auto"/>
                <w:szCs w:val="24"/>
                <w:highlight w:val="none"/>
              </w:rPr>
            </w:pPr>
          </w:p>
        </w:tc>
        <w:tc>
          <w:tcPr>
            <w:tcW w:w="1548" w:type="dxa"/>
            <w:gridSpan w:val="2"/>
            <w:vAlign w:val="center"/>
          </w:tcPr>
          <w:p w14:paraId="57C58DD3">
            <w:pPr>
              <w:spacing w:line="360" w:lineRule="auto"/>
              <w:rPr>
                <w:rFonts w:hint="eastAsia" w:ascii="宋体" w:hAnsi="宋体" w:eastAsia="宋体" w:cs="宋体"/>
                <w:color w:val="auto"/>
                <w:szCs w:val="24"/>
                <w:highlight w:val="none"/>
              </w:rPr>
            </w:pPr>
          </w:p>
        </w:tc>
        <w:tc>
          <w:tcPr>
            <w:tcW w:w="1837" w:type="dxa"/>
            <w:gridSpan w:val="2"/>
            <w:vAlign w:val="center"/>
          </w:tcPr>
          <w:p w14:paraId="3BBD385A">
            <w:pPr>
              <w:spacing w:line="360" w:lineRule="auto"/>
              <w:rPr>
                <w:rFonts w:hint="eastAsia" w:ascii="宋体" w:hAnsi="宋体" w:eastAsia="宋体" w:cs="宋体"/>
                <w:color w:val="auto"/>
                <w:szCs w:val="24"/>
                <w:highlight w:val="none"/>
              </w:rPr>
            </w:pPr>
          </w:p>
        </w:tc>
        <w:tc>
          <w:tcPr>
            <w:tcW w:w="1472" w:type="dxa"/>
            <w:gridSpan w:val="2"/>
            <w:vAlign w:val="center"/>
          </w:tcPr>
          <w:p w14:paraId="4E9D425A">
            <w:pPr>
              <w:spacing w:line="360" w:lineRule="auto"/>
              <w:rPr>
                <w:rFonts w:hint="eastAsia" w:ascii="宋体" w:hAnsi="宋体" w:eastAsia="宋体" w:cs="宋体"/>
                <w:color w:val="auto"/>
                <w:szCs w:val="24"/>
                <w:highlight w:val="none"/>
              </w:rPr>
            </w:pPr>
          </w:p>
        </w:tc>
        <w:tc>
          <w:tcPr>
            <w:tcW w:w="1641" w:type="dxa"/>
            <w:gridSpan w:val="2"/>
            <w:vAlign w:val="center"/>
          </w:tcPr>
          <w:p w14:paraId="2877CB6B">
            <w:pPr>
              <w:spacing w:line="360" w:lineRule="auto"/>
              <w:rPr>
                <w:rFonts w:hint="eastAsia" w:ascii="宋体" w:hAnsi="宋体" w:eastAsia="宋体" w:cs="宋体"/>
                <w:color w:val="auto"/>
                <w:szCs w:val="24"/>
                <w:highlight w:val="none"/>
              </w:rPr>
            </w:pPr>
          </w:p>
        </w:tc>
        <w:tc>
          <w:tcPr>
            <w:tcW w:w="1484" w:type="dxa"/>
            <w:vAlign w:val="center"/>
          </w:tcPr>
          <w:p w14:paraId="4758260F">
            <w:pPr>
              <w:spacing w:line="360" w:lineRule="auto"/>
              <w:rPr>
                <w:rFonts w:hint="eastAsia" w:ascii="宋体" w:hAnsi="宋体" w:eastAsia="宋体" w:cs="宋体"/>
                <w:color w:val="auto"/>
                <w:szCs w:val="24"/>
                <w:highlight w:val="none"/>
              </w:rPr>
            </w:pPr>
          </w:p>
        </w:tc>
      </w:tr>
      <w:tr w14:paraId="4EDE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14:paraId="488F7EAB">
            <w:pPr>
              <w:spacing w:line="360" w:lineRule="auto"/>
              <w:rPr>
                <w:rFonts w:hint="eastAsia" w:ascii="宋体" w:hAnsi="宋体" w:eastAsia="宋体" w:cs="宋体"/>
                <w:color w:val="auto"/>
                <w:szCs w:val="24"/>
                <w:highlight w:val="none"/>
              </w:rPr>
            </w:pPr>
          </w:p>
        </w:tc>
        <w:tc>
          <w:tcPr>
            <w:tcW w:w="1548" w:type="dxa"/>
            <w:gridSpan w:val="2"/>
            <w:vAlign w:val="center"/>
          </w:tcPr>
          <w:p w14:paraId="520C2C12">
            <w:pPr>
              <w:spacing w:line="360" w:lineRule="auto"/>
              <w:rPr>
                <w:rFonts w:hint="eastAsia" w:ascii="宋体" w:hAnsi="宋体" w:eastAsia="宋体" w:cs="宋体"/>
                <w:color w:val="auto"/>
                <w:szCs w:val="24"/>
                <w:highlight w:val="none"/>
              </w:rPr>
            </w:pPr>
          </w:p>
        </w:tc>
        <w:tc>
          <w:tcPr>
            <w:tcW w:w="1837" w:type="dxa"/>
            <w:gridSpan w:val="2"/>
            <w:vAlign w:val="center"/>
          </w:tcPr>
          <w:p w14:paraId="114DFEB5">
            <w:pPr>
              <w:spacing w:line="360" w:lineRule="auto"/>
              <w:rPr>
                <w:rFonts w:hint="eastAsia" w:ascii="宋体" w:hAnsi="宋体" w:eastAsia="宋体" w:cs="宋体"/>
                <w:color w:val="auto"/>
                <w:szCs w:val="24"/>
                <w:highlight w:val="none"/>
              </w:rPr>
            </w:pPr>
          </w:p>
        </w:tc>
        <w:tc>
          <w:tcPr>
            <w:tcW w:w="1472" w:type="dxa"/>
            <w:gridSpan w:val="2"/>
            <w:vAlign w:val="center"/>
          </w:tcPr>
          <w:p w14:paraId="78D52A58">
            <w:pPr>
              <w:spacing w:line="360" w:lineRule="auto"/>
              <w:rPr>
                <w:rFonts w:hint="eastAsia" w:ascii="宋体" w:hAnsi="宋体" w:eastAsia="宋体" w:cs="宋体"/>
                <w:color w:val="auto"/>
                <w:szCs w:val="24"/>
                <w:highlight w:val="none"/>
              </w:rPr>
            </w:pPr>
          </w:p>
        </w:tc>
        <w:tc>
          <w:tcPr>
            <w:tcW w:w="1641" w:type="dxa"/>
            <w:gridSpan w:val="2"/>
            <w:vAlign w:val="center"/>
          </w:tcPr>
          <w:p w14:paraId="34881A6F">
            <w:pPr>
              <w:spacing w:line="360" w:lineRule="auto"/>
              <w:rPr>
                <w:rFonts w:hint="eastAsia" w:ascii="宋体" w:hAnsi="宋体" w:eastAsia="宋体" w:cs="宋体"/>
                <w:color w:val="auto"/>
                <w:szCs w:val="24"/>
                <w:highlight w:val="none"/>
              </w:rPr>
            </w:pPr>
          </w:p>
        </w:tc>
        <w:tc>
          <w:tcPr>
            <w:tcW w:w="1484" w:type="dxa"/>
            <w:vAlign w:val="center"/>
          </w:tcPr>
          <w:p w14:paraId="0BF6F271">
            <w:pPr>
              <w:spacing w:line="360" w:lineRule="auto"/>
              <w:rPr>
                <w:rFonts w:hint="eastAsia" w:ascii="宋体" w:hAnsi="宋体" w:eastAsia="宋体" w:cs="宋体"/>
                <w:color w:val="auto"/>
                <w:szCs w:val="24"/>
                <w:highlight w:val="none"/>
              </w:rPr>
            </w:pPr>
          </w:p>
        </w:tc>
      </w:tr>
      <w:tr w14:paraId="0259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14:paraId="28C57083">
            <w:pPr>
              <w:spacing w:line="360" w:lineRule="auto"/>
              <w:rPr>
                <w:rFonts w:hint="eastAsia" w:ascii="宋体" w:hAnsi="宋体" w:eastAsia="宋体" w:cs="宋体"/>
                <w:color w:val="auto"/>
                <w:szCs w:val="24"/>
                <w:highlight w:val="none"/>
              </w:rPr>
            </w:pPr>
          </w:p>
        </w:tc>
        <w:tc>
          <w:tcPr>
            <w:tcW w:w="1548" w:type="dxa"/>
            <w:gridSpan w:val="2"/>
            <w:vAlign w:val="center"/>
          </w:tcPr>
          <w:p w14:paraId="7FE2E302">
            <w:pPr>
              <w:spacing w:line="360" w:lineRule="auto"/>
              <w:rPr>
                <w:rFonts w:hint="eastAsia" w:ascii="宋体" w:hAnsi="宋体" w:eastAsia="宋体" w:cs="宋体"/>
                <w:color w:val="auto"/>
                <w:szCs w:val="24"/>
                <w:highlight w:val="none"/>
              </w:rPr>
            </w:pPr>
          </w:p>
        </w:tc>
        <w:tc>
          <w:tcPr>
            <w:tcW w:w="1837" w:type="dxa"/>
            <w:gridSpan w:val="2"/>
            <w:vAlign w:val="center"/>
          </w:tcPr>
          <w:p w14:paraId="5D022D84">
            <w:pPr>
              <w:spacing w:line="360" w:lineRule="auto"/>
              <w:rPr>
                <w:rFonts w:hint="eastAsia" w:ascii="宋体" w:hAnsi="宋体" w:eastAsia="宋体" w:cs="宋体"/>
                <w:color w:val="auto"/>
                <w:szCs w:val="24"/>
                <w:highlight w:val="none"/>
              </w:rPr>
            </w:pPr>
          </w:p>
        </w:tc>
        <w:tc>
          <w:tcPr>
            <w:tcW w:w="1472" w:type="dxa"/>
            <w:gridSpan w:val="2"/>
            <w:vAlign w:val="center"/>
          </w:tcPr>
          <w:p w14:paraId="20B9688F">
            <w:pPr>
              <w:spacing w:line="360" w:lineRule="auto"/>
              <w:rPr>
                <w:rFonts w:hint="eastAsia" w:ascii="宋体" w:hAnsi="宋体" w:eastAsia="宋体" w:cs="宋体"/>
                <w:color w:val="auto"/>
                <w:szCs w:val="24"/>
                <w:highlight w:val="none"/>
              </w:rPr>
            </w:pPr>
          </w:p>
        </w:tc>
        <w:tc>
          <w:tcPr>
            <w:tcW w:w="1641" w:type="dxa"/>
            <w:gridSpan w:val="2"/>
            <w:vAlign w:val="center"/>
          </w:tcPr>
          <w:p w14:paraId="433224EE">
            <w:pPr>
              <w:spacing w:line="360" w:lineRule="auto"/>
              <w:rPr>
                <w:rFonts w:hint="eastAsia" w:ascii="宋体" w:hAnsi="宋体" w:eastAsia="宋体" w:cs="宋体"/>
                <w:color w:val="auto"/>
                <w:szCs w:val="24"/>
                <w:highlight w:val="none"/>
              </w:rPr>
            </w:pPr>
          </w:p>
        </w:tc>
        <w:tc>
          <w:tcPr>
            <w:tcW w:w="1484" w:type="dxa"/>
            <w:vAlign w:val="center"/>
          </w:tcPr>
          <w:p w14:paraId="57A47C2E">
            <w:pPr>
              <w:spacing w:line="360" w:lineRule="auto"/>
              <w:rPr>
                <w:rFonts w:hint="eastAsia" w:ascii="宋体" w:hAnsi="宋体" w:eastAsia="宋体" w:cs="宋体"/>
                <w:color w:val="auto"/>
                <w:szCs w:val="24"/>
                <w:highlight w:val="none"/>
              </w:rPr>
            </w:pPr>
          </w:p>
        </w:tc>
      </w:tr>
    </w:tbl>
    <w:p w14:paraId="0BFDC0FD">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说明：1、本表格式仅供参考，在填写本表时，如本表格不适合供应商的实际情况，可自行制表填写。但应以便于评委评审为原则（具体可参考第三章要求）。</w:t>
      </w:r>
    </w:p>
    <w:p w14:paraId="0727FDFF">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2、本表后可附供应商认为有必要提供并且与相关人员情况相关的其他资料（具体可参考第三章要求,</w:t>
      </w:r>
      <w:r>
        <w:rPr>
          <w:rFonts w:hint="eastAsia" w:ascii="宋体" w:hAnsi="宋体" w:eastAsia="宋体" w:cs="宋体"/>
          <w:b/>
          <w:color w:val="auto"/>
          <w:kern w:val="0"/>
          <w:szCs w:val="21"/>
          <w:highlight w:val="none"/>
        </w:rPr>
        <w:t>如有应</w:t>
      </w:r>
      <w:r>
        <w:rPr>
          <w:rFonts w:hint="eastAsia" w:ascii="宋体" w:hAnsi="宋体" w:eastAsia="宋体" w:cs="宋体"/>
          <w:b/>
          <w:bCs/>
          <w:color w:val="auto"/>
          <w:kern w:val="0"/>
          <w:szCs w:val="21"/>
          <w:highlight w:val="none"/>
        </w:rPr>
        <w:t>以PDF格式上传，并加盖CA电子签章</w:t>
      </w:r>
      <w:r>
        <w:rPr>
          <w:rFonts w:hint="eastAsia" w:ascii="宋体" w:hAnsi="宋体" w:eastAsia="宋体" w:cs="宋体"/>
          <w:color w:val="auto"/>
          <w:kern w:val="0"/>
          <w:szCs w:val="21"/>
          <w:highlight w:val="none"/>
        </w:rPr>
        <w:t>）。</w:t>
      </w:r>
    </w:p>
    <w:p w14:paraId="3FF81231">
      <w:pPr>
        <w:spacing w:line="360" w:lineRule="auto"/>
        <w:rPr>
          <w:rFonts w:hint="eastAsia" w:ascii="宋体" w:hAnsi="宋体" w:eastAsia="宋体" w:cs="宋体"/>
          <w:color w:val="auto"/>
          <w:kern w:val="0"/>
          <w:szCs w:val="21"/>
          <w:highlight w:val="none"/>
        </w:rPr>
      </w:pPr>
    </w:p>
    <w:p w14:paraId="59E31355">
      <w:pPr>
        <w:spacing w:line="360" w:lineRule="auto"/>
        <w:rPr>
          <w:rFonts w:hint="eastAsia" w:ascii="宋体" w:hAnsi="宋体" w:eastAsia="宋体" w:cs="宋体"/>
          <w:color w:val="auto"/>
          <w:kern w:val="0"/>
          <w:szCs w:val="21"/>
          <w:highlight w:val="none"/>
        </w:rPr>
      </w:pPr>
    </w:p>
    <w:p w14:paraId="467219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w:t>
      </w:r>
      <w:r>
        <w:rPr>
          <w:rFonts w:hint="eastAsia" w:ascii="宋体" w:hAnsi="宋体" w:eastAsia="宋体" w:cs="宋体"/>
          <w:b/>
          <w:color w:val="auto"/>
          <w:sz w:val="24"/>
          <w:szCs w:val="24"/>
          <w:highlight w:val="none"/>
        </w:rPr>
        <w:t>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171C8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E632F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F43F48">
      <w:pPr>
        <w:spacing w:line="360" w:lineRule="auto"/>
        <w:rPr>
          <w:rFonts w:hint="eastAsia" w:ascii="宋体" w:hAnsi="宋体" w:eastAsia="宋体" w:cs="宋体"/>
          <w:b/>
          <w:color w:val="auto"/>
          <w:sz w:val="24"/>
          <w:szCs w:val="21"/>
          <w:highlight w:val="none"/>
        </w:rPr>
      </w:pPr>
    </w:p>
    <w:p w14:paraId="6863629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注：此项材料应</w:t>
      </w:r>
      <w:r>
        <w:rPr>
          <w:rFonts w:hint="eastAsia" w:ascii="宋体" w:hAnsi="宋体" w:eastAsia="宋体" w:cs="宋体"/>
          <w:b/>
          <w:bCs/>
          <w:color w:val="auto"/>
          <w:sz w:val="24"/>
          <w:szCs w:val="24"/>
          <w:highlight w:val="none"/>
        </w:rPr>
        <w:t>以PDF格式上传。</w:t>
      </w:r>
    </w:p>
    <w:p w14:paraId="171A5B21">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2DB951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6</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磋商文件要求或磋商供应商认为需要提供的其他资料</w:t>
      </w:r>
    </w:p>
    <w:p w14:paraId="6C24DCE9">
      <w:pPr>
        <w:spacing w:line="360" w:lineRule="auto"/>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（如业绩信誉证明等，如有，具体可参考第三章要求）</w:t>
      </w:r>
    </w:p>
    <w:p w14:paraId="2AF6213B">
      <w:pPr>
        <w:spacing w:line="360" w:lineRule="auto"/>
        <w:rPr>
          <w:rFonts w:hint="eastAsia" w:ascii="宋体" w:hAnsi="宋体" w:eastAsia="宋体" w:cs="宋体"/>
          <w:bCs/>
          <w:color w:val="auto"/>
          <w:sz w:val="24"/>
          <w:szCs w:val="21"/>
          <w:highlight w:val="none"/>
        </w:rPr>
      </w:pPr>
    </w:p>
    <w:p w14:paraId="363741A6">
      <w:pPr>
        <w:spacing w:line="360" w:lineRule="auto"/>
        <w:rPr>
          <w:rFonts w:hint="eastAsia" w:ascii="宋体" w:hAnsi="宋体" w:eastAsia="宋体" w:cs="宋体"/>
          <w:color w:val="auto"/>
          <w:sz w:val="24"/>
          <w:szCs w:val="24"/>
          <w:highlight w:val="none"/>
        </w:rPr>
      </w:pPr>
    </w:p>
    <w:p w14:paraId="33AFF286">
      <w:pPr>
        <w:spacing w:line="360" w:lineRule="auto"/>
        <w:rPr>
          <w:rFonts w:hint="eastAsia" w:ascii="宋体" w:hAnsi="宋体" w:eastAsia="宋体" w:cs="宋体"/>
          <w:color w:val="auto"/>
          <w:sz w:val="24"/>
          <w:szCs w:val="24"/>
          <w:highlight w:val="none"/>
        </w:rPr>
      </w:pPr>
    </w:p>
    <w:p w14:paraId="65951790">
      <w:pPr>
        <w:spacing w:line="360" w:lineRule="auto"/>
        <w:rPr>
          <w:rFonts w:hint="eastAsia" w:ascii="宋体" w:hAnsi="宋体" w:eastAsia="宋体" w:cs="宋体"/>
          <w:color w:val="auto"/>
          <w:sz w:val="24"/>
          <w:szCs w:val="24"/>
          <w:highlight w:val="none"/>
        </w:rPr>
      </w:pPr>
    </w:p>
    <w:p w14:paraId="625AFB7A">
      <w:pPr>
        <w:spacing w:line="360" w:lineRule="auto"/>
        <w:rPr>
          <w:rFonts w:hint="eastAsia" w:ascii="宋体" w:hAnsi="宋体" w:eastAsia="宋体" w:cs="宋体"/>
          <w:color w:val="auto"/>
          <w:sz w:val="24"/>
          <w:szCs w:val="24"/>
          <w:highlight w:val="none"/>
        </w:rPr>
      </w:pPr>
    </w:p>
    <w:p w14:paraId="60CAAF52">
      <w:pPr>
        <w:spacing w:line="360" w:lineRule="auto"/>
        <w:rPr>
          <w:rFonts w:hint="eastAsia" w:ascii="宋体" w:hAnsi="宋体" w:eastAsia="宋体" w:cs="宋体"/>
          <w:color w:val="auto"/>
          <w:sz w:val="24"/>
          <w:szCs w:val="24"/>
          <w:highlight w:val="none"/>
        </w:rPr>
      </w:pPr>
    </w:p>
    <w:p w14:paraId="1FD92CFE">
      <w:pPr>
        <w:spacing w:line="360" w:lineRule="auto"/>
        <w:rPr>
          <w:rFonts w:hint="eastAsia" w:ascii="宋体" w:hAnsi="宋体" w:eastAsia="宋体" w:cs="宋体"/>
          <w:color w:val="auto"/>
          <w:sz w:val="24"/>
          <w:szCs w:val="24"/>
          <w:highlight w:val="none"/>
        </w:rPr>
      </w:pPr>
    </w:p>
    <w:p w14:paraId="5D889260">
      <w:pPr>
        <w:spacing w:line="360" w:lineRule="auto"/>
        <w:rPr>
          <w:rFonts w:hint="eastAsia" w:ascii="宋体" w:hAnsi="宋体" w:eastAsia="宋体" w:cs="宋体"/>
          <w:color w:val="auto"/>
          <w:sz w:val="24"/>
          <w:szCs w:val="24"/>
          <w:highlight w:val="none"/>
        </w:rPr>
      </w:pPr>
    </w:p>
    <w:p w14:paraId="3897EB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w:t>
      </w:r>
      <w:r>
        <w:rPr>
          <w:rFonts w:hint="eastAsia" w:ascii="宋体" w:hAnsi="宋体" w:eastAsia="宋体" w:cs="宋体"/>
          <w:b/>
          <w:color w:val="auto"/>
          <w:sz w:val="24"/>
          <w:szCs w:val="24"/>
          <w:highlight w:val="none"/>
        </w:rPr>
        <w:t>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9FB0E08">
      <w:pPr>
        <w:spacing w:line="360" w:lineRule="auto"/>
        <w:rPr>
          <w:rFonts w:hint="eastAsia" w:ascii="宋体" w:hAnsi="宋体" w:eastAsia="宋体" w:cs="宋体"/>
          <w:color w:val="auto"/>
          <w:sz w:val="24"/>
          <w:szCs w:val="24"/>
          <w:highlight w:val="none"/>
        </w:rPr>
      </w:pPr>
    </w:p>
    <w:p w14:paraId="4BA870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2B645C1">
      <w:pPr>
        <w:spacing w:line="360" w:lineRule="auto"/>
        <w:rPr>
          <w:rFonts w:hint="eastAsia" w:ascii="宋体" w:hAnsi="宋体" w:eastAsia="宋体" w:cs="宋体"/>
          <w:color w:val="auto"/>
          <w:sz w:val="24"/>
          <w:szCs w:val="24"/>
          <w:highlight w:val="none"/>
        </w:rPr>
      </w:pPr>
    </w:p>
    <w:p w14:paraId="53F4D1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B90D963">
      <w:pPr>
        <w:spacing w:line="360" w:lineRule="auto"/>
        <w:rPr>
          <w:rFonts w:hint="eastAsia" w:ascii="宋体" w:hAnsi="宋体" w:eastAsia="宋体" w:cs="宋体"/>
          <w:color w:val="auto"/>
          <w:szCs w:val="24"/>
          <w:highlight w:val="none"/>
        </w:rPr>
      </w:pPr>
    </w:p>
    <w:p w14:paraId="2EECD293">
      <w:pPr>
        <w:spacing w:line="360" w:lineRule="auto"/>
        <w:rPr>
          <w:rFonts w:hint="eastAsia" w:ascii="宋体" w:hAnsi="宋体" w:eastAsia="宋体" w:cs="宋体"/>
          <w:b/>
          <w:color w:val="auto"/>
          <w:sz w:val="24"/>
          <w:szCs w:val="21"/>
          <w:highlight w:val="none"/>
        </w:rPr>
      </w:pPr>
    </w:p>
    <w:p w14:paraId="6CCD52BF">
      <w:pPr>
        <w:spacing w:line="360" w:lineRule="auto"/>
        <w:rPr>
          <w:rFonts w:hint="eastAsia" w:ascii="宋体" w:hAnsi="宋体" w:eastAsia="宋体" w:cs="宋体"/>
          <w:b/>
          <w:color w:val="auto"/>
          <w:sz w:val="24"/>
          <w:szCs w:val="21"/>
          <w:highlight w:val="none"/>
        </w:rPr>
      </w:pPr>
    </w:p>
    <w:p w14:paraId="6683B86B">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 w:val="24"/>
          <w:szCs w:val="21"/>
          <w:highlight w:val="none"/>
        </w:rPr>
        <w:t>注：此项材料如有应</w:t>
      </w:r>
      <w:r>
        <w:rPr>
          <w:rFonts w:hint="eastAsia" w:ascii="宋体" w:hAnsi="宋体" w:eastAsia="宋体" w:cs="宋体"/>
          <w:b/>
          <w:bCs/>
          <w:color w:val="auto"/>
          <w:sz w:val="24"/>
          <w:szCs w:val="21"/>
          <w:highlight w:val="none"/>
        </w:rPr>
        <w:t>以PDF格式上传。</w:t>
      </w:r>
    </w:p>
    <w:p w14:paraId="5FF89FE9">
      <w:pPr>
        <w:spacing w:line="360" w:lineRule="auto"/>
        <w:rPr>
          <w:rFonts w:hint="eastAsia" w:ascii="宋体" w:hAnsi="宋体" w:eastAsia="宋体" w:cs="宋体"/>
          <w:color w:val="auto"/>
          <w:sz w:val="24"/>
          <w:szCs w:val="24"/>
          <w:highlight w:val="none"/>
          <w:u w:val="single"/>
        </w:rPr>
      </w:pPr>
    </w:p>
    <w:p w14:paraId="11579D00">
      <w:pPr>
        <w:spacing w:line="360" w:lineRule="auto"/>
        <w:rPr>
          <w:rFonts w:hint="eastAsia" w:ascii="宋体" w:hAnsi="宋体" w:eastAsia="宋体" w:cs="宋体"/>
          <w:color w:val="auto"/>
          <w:sz w:val="24"/>
          <w:szCs w:val="24"/>
          <w:highlight w:val="none"/>
          <w:u w:val="single"/>
        </w:rPr>
      </w:pPr>
    </w:p>
    <w:p w14:paraId="0D4AB893">
      <w:pPr>
        <w:spacing w:line="360" w:lineRule="auto"/>
        <w:rPr>
          <w:rFonts w:hint="eastAsia" w:ascii="宋体" w:hAnsi="宋体" w:eastAsia="宋体" w:cs="宋体"/>
          <w:color w:val="auto"/>
          <w:sz w:val="24"/>
          <w:szCs w:val="24"/>
          <w:highlight w:val="none"/>
          <w:u w:val="single"/>
        </w:rPr>
      </w:pPr>
    </w:p>
    <w:p w14:paraId="0EF58630">
      <w:pPr>
        <w:spacing w:line="360" w:lineRule="auto"/>
        <w:rPr>
          <w:rFonts w:hint="eastAsia" w:ascii="宋体" w:hAnsi="宋体" w:eastAsia="宋体" w:cs="宋体"/>
          <w:b/>
          <w:color w:val="auto"/>
          <w:sz w:val="44"/>
          <w:szCs w:val="44"/>
          <w:highlight w:val="none"/>
        </w:rPr>
      </w:pPr>
    </w:p>
    <w:sectPr>
      <w:headerReference r:id="rId11" w:type="default"/>
      <w:footerReference r:id="rId12" w:type="default"/>
      <w:footerReference r:id="rId13"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Ìå">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宋三简体">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146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001"/>
      <w:docPartObj>
        <w:docPartGallery w:val="autotext"/>
      </w:docPartObj>
    </w:sdtPr>
    <w:sdtContent>
      <w:p w14:paraId="63057C9E">
        <w:pPr>
          <w:pStyle w:val="35"/>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9067"/>
      <w:docPartObj>
        <w:docPartGallery w:val="autotext"/>
      </w:docPartObj>
    </w:sdtPr>
    <w:sdtContent>
      <w:p w14:paraId="2B02836B">
        <w:pPr>
          <w:pStyle w:val="35"/>
          <w:jc w:val="center"/>
        </w:pPr>
        <w:r>
          <w:fldChar w:fldCharType="begin"/>
        </w:r>
        <w:r>
          <w:instrText xml:space="preserve">PAGE   \* MERGEFORMAT</w:instrText>
        </w:r>
        <w:r>
          <w:fldChar w:fldCharType="separate"/>
        </w:r>
        <w:r>
          <w:rPr>
            <w:lang w:val="zh-CN"/>
          </w:rPr>
          <w:t>37</w:t>
        </w:r>
        <w:r>
          <w:rPr>
            <w:lang w:val="zh-CN"/>
          </w:rPr>
          <w:fldChar w:fldCharType="end"/>
        </w:r>
      </w:p>
    </w:sdtContent>
  </w:sdt>
  <w:p w14:paraId="17B3CDDB">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5FAC">
    <w:pPr>
      <w:pStyle w:val="35"/>
      <w:framePr w:wrap="around" w:vAnchor="text" w:hAnchor="margin" w:xAlign="right" w:y="1"/>
      <w:rPr>
        <w:rStyle w:val="62"/>
      </w:rPr>
    </w:pPr>
    <w:r>
      <w:fldChar w:fldCharType="begin"/>
    </w:r>
    <w:r>
      <w:rPr>
        <w:rStyle w:val="62"/>
      </w:rPr>
      <w:instrText xml:space="preserve">PAGE  </w:instrText>
    </w:r>
    <w:r>
      <w:fldChar w:fldCharType="end"/>
    </w:r>
  </w:p>
  <w:p w14:paraId="1D7FC92D">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9BD92">
    <w:pPr>
      <w:spacing w:line="184" w:lineRule="auto"/>
      <w:ind w:left="4070"/>
      <w:rPr>
        <w:rFonts w:ascii="Arial" w:hAnsi="Arial" w:eastAsia="Arial" w:cs="Arial"/>
        <w:sz w:val="18"/>
        <w:szCs w:val="18"/>
      </w:rPr>
    </w:pPr>
    <w:r>
      <w:rPr>
        <w:rFonts w:ascii="Arial" w:hAnsi="Arial" w:eastAsia="Arial" w:cs="Arial"/>
        <w:spacing w:val="-1"/>
        <w:sz w:val="18"/>
        <w:szCs w:val="18"/>
      </w:rPr>
      <w:t>42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FC24">
    <w:pPr>
      <w:spacing w:line="184" w:lineRule="auto"/>
      <w:ind w:left="4070"/>
      <w:rPr>
        <w:rFonts w:ascii="Arial" w:hAnsi="Arial" w:eastAsia="Arial" w:cs="Arial"/>
        <w:sz w:val="18"/>
        <w:szCs w:val="18"/>
      </w:rPr>
    </w:pPr>
    <w:r>
      <w:rPr>
        <w:rFonts w:ascii="Arial" w:hAnsi="Arial" w:eastAsia="Arial" w:cs="Arial"/>
        <w:spacing w:val="-1"/>
        <w:sz w:val="18"/>
        <w:szCs w:val="18"/>
      </w:rPr>
      <w:t>42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9068"/>
      <w:docPartObj>
        <w:docPartGallery w:val="autotext"/>
      </w:docPartObj>
    </w:sdtPr>
    <w:sdtContent>
      <w:p w14:paraId="71AE9520">
        <w:pPr>
          <w:pStyle w:val="35"/>
          <w:jc w:val="center"/>
        </w:pPr>
        <w:r>
          <w:fldChar w:fldCharType="begin"/>
        </w:r>
        <w:r>
          <w:instrText xml:space="preserve">PAGE   \* MERGEFORMAT</w:instrText>
        </w:r>
        <w:r>
          <w:fldChar w:fldCharType="separate"/>
        </w:r>
        <w:r>
          <w:rPr>
            <w:lang w:val="zh-CN"/>
          </w:rPr>
          <w:t>106</w:t>
        </w:r>
        <w:r>
          <w:rPr>
            <w:lang w:val="zh-CN"/>
          </w:rPr>
          <w:fldChar w:fldCharType="end"/>
        </w:r>
      </w:p>
    </w:sdtContent>
  </w:sdt>
  <w:p w14:paraId="36505800">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89CA8">
    <w:pPr>
      <w:pStyle w:val="3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10A19D">
                          <w:pPr>
                            <w:pStyle w:val="35"/>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910A19D">
                    <w:pPr>
                      <w:pStyle w:val="3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4202">
    <w:pPr>
      <w:pStyle w:val="35"/>
      <w:framePr w:wrap="around" w:vAnchor="text" w:hAnchor="margin" w:xAlign="center" w:y="1"/>
      <w:rPr>
        <w:rStyle w:val="62"/>
      </w:rPr>
    </w:pPr>
    <w:r>
      <w:fldChar w:fldCharType="begin"/>
    </w:r>
    <w:r>
      <w:rPr>
        <w:rStyle w:val="62"/>
      </w:rPr>
      <w:instrText xml:space="preserve">PAGE  </w:instrText>
    </w:r>
    <w:r>
      <w:fldChar w:fldCharType="end"/>
    </w:r>
  </w:p>
  <w:p w14:paraId="3A63B20B">
    <w:pPr>
      <w:pStyle w:val="35"/>
    </w:pPr>
  </w:p>
  <w:p w14:paraId="5007072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D6C7A">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A27C">
    <w:pPr>
      <w:pStyle w:val="36"/>
      <w:pBdr>
        <w:bottom w:val="none" w:color="auto" w:sz="0" w:space="0"/>
      </w:pBdr>
    </w:pPr>
  </w:p>
  <w:p w14:paraId="14B574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chineseCountingThousand"/>
      <w:pStyle w:val="14"/>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A1FA3A4"/>
    <w:multiLevelType w:val="singleLevel"/>
    <w:tmpl w:val="0A1FA3A4"/>
    <w:lvl w:ilvl="0" w:tentative="0">
      <w:start w:val="1"/>
      <w:numFmt w:val="chineseCounting"/>
      <w:suff w:val="space"/>
      <w:lvlText w:val="第%1部分"/>
      <w:lvlJc w:val="left"/>
      <w:rPr>
        <w:rFonts w:hint="eastAsia"/>
      </w:rPr>
    </w:lvl>
  </w:abstractNum>
  <w:abstractNum w:abstractNumId="2">
    <w:nsid w:val="204E7820"/>
    <w:multiLevelType w:val="singleLevel"/>
    <w:tmpl w:val="204E7820"/>
    <w:lvl w:ilvl="0" w:tentative="0">
      <w:start w:val="2"/>
      <w:numFmt w:val="chineseCounting"/>
      <w:suff w:val="nothing"/>
      <w:lvlText w:val="（%1）"/>
      <w:lvlJc w:val="left"/>
      <w:rPr>
        <w:rFonts w:hint="eastAsia"/>
      </w:rPr>
    </w:lvl>
  </w:abstractNum>
  <w:abstractNum w:abstractNumId="3">
    <w:nsid w:val="637F8EBE"/>
    <w:multiLevelType w:val="singleLevel"/>
    <w:tmpl w:val="637F8EBE"/>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pStyle w:val="22"/>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383"/>
      <w:lvlText w:val="%4."/>
      <w:lvlJc w:val="left"/>
      <w:pPr>
        <w:tabs>
          <w:tab w:val="left" w:pos="1860"/>
        </w:tabs>
        <w:ind w:left="1860" w:hanging="420"/>
      </w:pPr>
    </w:lvl>
    <w:lvl w:ilvl="4" w:tentative="0">
      <w:start w:val="1"/>
      <w:numFmt w:val="lowerLetter"/>
      <w:pStyle w:val="7"/>
      <w:lvlText w:val="%5)"/>
      <w:lvlJc w:val="left"/>
      <w:pPr>
        <w:tabs>
          <w:tab w:val="left" w:pos="2280"/>
        </w:tabs>
        <w:ind w:left="2280" w:hanging="420"/>
      </w:pPr>
    </w:lvl>
    <w:lvl w:ilvl="5" w:tentative="0">
      <w:start w:val="1"/>
      <w:numFmt w:val="lowerRoman"/>
      <w:pStyle w:val="8"/>
      <w:lvlText w:val="%6."/>
      <w:lvlJc w:val="right"/>
      <w:pPr>
        <w:tabs>
          <w:tab w:val="left" w:pos="2700"/>
        </w:tabs>
        <w:ind w:left="2700" w:hanging="420"/>
      </w:pPr>
    </w:lvl>
    <w:lvl w:ilvl="6" w:tentative="0">
      <w:start w:val="1"/>
      <w:numFmt w:val="decimal"/>
      <w:pStyle w:val="9"/>
      <w:lvlText w:val="%7."/>
      <w:lvlJc w:val="left"/>
      <w:pPr>
        <w:tabs>
          <w:tab w:val="left" w:pos="3120"/>
        </w:tabs>
        <w:ind w:left="3120" w:hanging="420"/>
      </w:pPr>
    </w:lvl>
    <w:lvl w:ilvl="7" w:tentative="0">
      <w:start w:val="1"/>
      <w:numFmt w:val="lowerLetter"/>
      <w:pStyle w:val="10"/>
      <w:lvlText w:val="%8)"/>
      <w:lvlJc w:val="left"/>
      <w:pPr>
        <w:tabs>
          <w:tab w:val="left" w:pos="3540"/>
        </w:tabs>
        <w:ind w:left="3540" w:hanging="420"/>
      </w:pPr>
    </w:lvl>
    <w:lvl w:ilvl="8" w:tentative="0">
      <w:start w:val="1"/>
      <w:numFmt w:val="lowerRoman"/>
      <w:pStyle w:val="11"/>
      <w:lvlText w:val="%9."/>
      <w:lvlJc w:val="right"/>
      <w:pPr>
        <w:tabs>
          <w:tab w:val="left" w:pos="3960"/>
        </w:tabs>
        <w:ind w:left="396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TI3M2EwZWY2ZThmOTdkMGJmZGI2MDAxNDY1NTYifQ=="/>
  </w:docVars>
  <w:rsids>
    <w:rsidRoot w:val="00545878"/>
    <w:rsid w:val="0000602D"/>
    <w:rsid w:val="000121EB"/>
    <w:rsid w:val="00025C55"/>
    <w:rsid w:val="00032113"/>
    <w:rsid w:val="00044BB3"/>
    <w:rsid w:val="000515EC"/>
    <w:rsid w:val="00076C84"/>
    <w:rsid w:val="000970E9"/>
    <w:rsid w:val="000A0BB5"/>
    <w:rsid w:val="000A0FAF"/>
    <w:rsid w:val="000A2470"/>
    <w:rsid w:val="000B71E3"/>
    <w:rsid w:val="000E4F72"/>
    <w:rsid w:val="000E7A47"/>
    <w:rsid w:val="000E7E4C"/>
    <w:rsid w:val="000F6096"/>
    <w:rsid w:val="000F6124"/>
    <w:rsid w:val="00107DF5"/>
    <w:rsid w:val="00115AF2"/>
    <w:rsid w:val="00127F88"/>
    <w:rsid w:val="00151D35"/>
    <w:rsid w:val="001725A8"/>
    <w:rsid w:val="00180F33"/>
    <w:rsid w:val="001821C9"/>
    <w:rsid w:val="0018352A"/>
    <w:rsid w:val="0019328E"/>
    <w:rsid w:val="001A429A"/>
    <w:rsid w:val="001C3E4E"/>
    <w:rsid w:val="001D2D4D"/>
    <w:rsid w:val="00211382"/>
    <w:rsid w:val="00211941"/>
    <w:rsid w:val="00214146"/>
    <w:rsid w:val="00224EF9"/>
    <w:rsid w:val="00232F9A"/>
    <w:rsid w:val="00237859"/>
    <w:rsid w:val="002464D3"/>
    <w:rsid w:val="002869A9"/>
    <w:rsid w:val="002B01BA"/>
    <w:rsid w:val="002E4462"/>
    <w:rsid w:val="00300610"/>
    <w:rsid w:val="003105E9"/>
    <w:rsid w:val="00312077"/>
    <w:rsid w:val="003156E9"/>
    <w:rsid w:val="00316A12"/>
    <w:rsid w:val="00323688"/>
    <w:rsid w:val="003313B0"/>
    <w:rsid w:val="0034550C"/>
    <w:rsid w:val="0035308E"/>
    <w:rsid w:val="003626A1"/>
    <w:rsid w:val="00397DD4"/>
    <w:rsid w:val="003B4D30"/>
    <w:rsid w:val="003C613B"/>
    <w:rsid w:val="003E0248"/>
    <w:rsid w:val="00404648"/>
    <w:rsid w:val="004072D0"/>
    <w:rsid w:val="00427CDF"/>
    <w:rsid w:val="00434740"/>
    <w:rsid w:val="004361EA"/>
    <w:rsid w:val="00440BC3"/>
    <w:rsid w:val="00443293"/>
    <w:rsid w:val="00445C18"/>
    <w:rsid w:val="00460655"/>
    <w:rsid w:val="00463385"/>
    <w:rsid w:val="00465583"/>
    <w:rsid w:val="004711DC"/>
    <w:rsid w:val="00492AD8"/>
    <w:rsid w:val="00495AE6"/>
    <w:rsid w:val="004A1C41"/>
    <w:rsid w:val="004B51EB"/>
    <w:rsid w:val="004C574F"/>
    <w:rsid w:val="004E5992"/>
    <w:rsid w:val="004E59BD"/>
    <w:rsid w:val="00502509"/>
    <w:rsid w:val="00507AE2"/>
    <w:rsid w:val="005134E1"/>
    <w:rsid w:val="005142EB"/>
    <w:rsid w:val="005354C9"/>
    <w:rsid w:val="0053696C"/>
    <w:rsid w:val="00540BDC"/>
    <w:rsid w:val="00544407"/>
    <w:rsid w:val="00545878"/>
    <w:rsid w:val="0057469C"/>
    <w:rsid w:val="005D3557"/>
    <w:rsid w:val="005D479F"/>
    <w:rsid w:val="0060373A"/>
    <w:rsid w:val="00610102"/>
    <w:rsid w:val="006118BE"/>
    <w:rsid w:val="00632B9B"/>
    <w:rsid w:val="006333B6"/>
    <w:rsid w:val="00637350"/>
    <w:rsid w:val="00665307"/>
    <w:rsid w:val="0068255B"/>
    <w:rsid w:val="006847CD"/>
    <w:rsid w:val="006925CF"/>
    <w:rsid w:val="006C7AE7"/>
    <w:rsid w:val="006E40EC"/>
    <w:rsid w:val="006F524C"/>
    <w:rsid w:val="00706934"/>
    <w:rsid w:val="00734413"/>
    <w:rsid w:val="007363B2"/>
    <w:rsid w:val="00742C3B"/>
    <w:rsid w:val="00742E1C"/>
    <w:rsid w:val="00743CF1"/>
    <w:rsid w:val="00757CA8"/>
    <w:rsid w:val="00761752"/>
    <w:rsid w:val="007711A3"/>
    <w:rsid w:val="00791F2D"/>
    <w:rsid w:val="007A1012"/>
    <w:rsid w:val="007A12D1"/>
    <w:rsid w:val="007A20B0"/>
    <w:rsid w:val="007A5279"/>
    <w:rsid w:val="007A6C4F"/>
    <w:rsid w:val="007B7FEA"/>
    <w:rsid w:val="007C1D95"/>
    <w:rsid w:val="007F7500"/>
    <w:rsid w:val="00801BFF"/>
    <w:rsid w:val="00806C3F"/>
    <w:rsid w:val="0081454D"/>
    <w:rsid w:val="008301BE"/>
    <w:rsid w:val="00830926"/>
    <w:rsid w:val="00863C80"/>
    <w:rsid w:val="008705B2"/>
    <w:rsid w:val="00875F36"/>
    <w:rsid w:val="008961B7"/>
    <w:rsid w:val="008A702B"/>
    <w:rsid w:val="008B0F97"/>
    <w:rsid w:val="008B1C66"/>
    <w:rsid w:val="008C4CF5"/>
    <w:rsid w:val="008C5D76"/>
    <w:rsid w:val="008C7386"/>
    <w:rsid w:val="008D54F6"/>
    <w:rsid w:val="009223E8"/>
    <w:rsid w:val="00947E4D"/>
    <w:rsid w:val="00950E1B"/>
    <w:rsid w:val="00984A9F"/>
    <w:rsid w:val="00997AEB"/>
    <w:rsid w:val="009C1E77"/>
    <w:rsid w:val="009E0636"/>
    <w:rsid w:val="009E27EC"/>
    <w:rsid w:val="00A10024"/>
    <w:rsid w:val="00A34AB9"/>
    <w:rsid w:val="00A40F5E"/>
    <w:rsid w:val="00A46740"/>
    <w:rsid w:val="00A46AFA"/>
    <w:rsid w:val="00A509DA"/>
    <w:rsid w:val="00A75C4F"/>
    <w:rsid w:val="00A90DDB"/>
    <w:rsid w:val="00A92B38"/>
    <w:rsid w:val="00AA126E"/>
    <w:rsid w:val="00AB2BD4"/>
    <w:rsid w:val="00AB5F3E"/>
    <w:rsid w:val="00AC7664"/>
    <w:rsid w:val="00AE3954"/>
    <w:rsid w:val="00AF3C06"/>
    <w:rsid w:val="00B373B9"/>
    <w:rsid w:val="00B80C49"/>
    <w:rsid w:val="00B84A18"/>
    <w:rsid w:val="00B9077C"/>
    <w:rsid w:val="00BC2678"/>
    <w:rsid w:val="00BC3BE2"/>
    <w:rsid w:val="00BC57A1"/>
    <w:rsid w:val="00BD1C63"/>
    <w:rsid w:val="00BD6A24"/>
    <w:rsid w:val="00BD6B94"/>
    <w:rsid w:val="00BE427A"/>
    <w:rsid w:val="00BF3432"/>
    <w:rsid w:val="00C009C6"/>
    <w:rsid w:val="00C0616D"/>
    <w:rsid w:val="00C154DB"/>
    <w:rsid w:val="00C32E1C"/>
    <w:rsid w:val="00C57696"/>
    <w:rsid w:val="00C61B66"/>
    <w:rsid w:val="00C62E33"/>
    <w:rsid w:val="00C6302B"/>
    <w:rsid w:val="00C635A2"/>
    <w:rsid w:val="00CA3752"/>
    <w:rsid w:val="00CB2E8D"/>
    <w:rsid w:val="00CC70B6"/>
    <w:rsid w:val="00CD1847"/>
    <w:rsid w:val="00CD4B11"/>
    <w:rsid w:val="00CD6CFA"/>
    <w:rsid w:val="00D056EB"/>
    <w:rsid w:val="00D06F42"/>
    <w:rsid w:val="00D2600A"/>
    <w:rsid w:val="00D45FDE"/>
    <w:rsid w:val="00D576C8"/>
    <w:rsid w:val="00D74C49"/>
    <w:rsid w:val="00D77029"/>
    <w:rsid w:val="00D846CF"/>
    <w:rsid w:val="00D85F9E"/>
    <w:rsid w:val="00D93B3D"/>
    <w:rsid w:val="00DA318F"/>
    <w:rsid w:val="00DA7242"/>
    <w:rsid w:val="00DB74A9"/>
    <w:rsid w:val="00DC4389"/>
    <w:rsid w:val="00DC78F9"/>
    <w:rsid w:val="00DE3C14"/>
    <w:rsid w:val="00DE5194"/>
    <w:rsid w:val="00DF3539"/>
    <w:rsid w:val="00E02936"/>
    <w:rsid w:val="00E02B0D"/>
    <w:rsid w:val="00E030F3"/>
    <w:rsid w:val="00E13A20"/>
    <w:rsid w:val="00E333A9"/>
    <w:rsid w:val="00E3540A"/>
    <w:rsid w:val="00E53195"/>
    <w:rsid w:val="00E63866"/>
    <w:rsid w:val="00E82B9F"/>
    <w:rsid w:val="00EC32D1"/>
    <w:rsid w:val="00EC79FD"/>
    <w:rsid w:val="00EE440C"/>
    <w:rsid w:val="00EE5916"/>
    <w:rsid w:val="00EF074A"/>
    <w:rsid w:val="00F0434A"/>
    <w:rsid w:val="00F049B3"/>
    <w:rsid w:val="00F04CC5"/>
    <w:rsid w:val="00F114A8"/>
    <w:rsid w:val="00F2034D"/>
    <w:rsid w:val="00F20EF2"/>
    <w:rsid w:val="00F22180"/>
    <w:rsid w:val="00F22F7E"/>
    <w:rsid w:val="00F97BFF"/>
    <w:rsid w:val="00FA44C3"/>
    <w:rsid w:val="00FB6E21"/>
    <w:rsid w:val="00FD1202"/>
    <w:rsid w:val="00FD7F60"/>
    <w:rsid w:val="00FE3F36"/>
    <w:rsid w:val="00FE7DF8"/>
    <w:rsid w:val="00FF35DC"/>
    <w:rsid w:val="00FF7093"/>
    <w:rsid w:val="01716323"/>
    <w:rsid w:val="073715C3"/>
    <w:rsid w:val="0B05390D"/>
    <w:rsid w:val="0B2B3409"/>
    <w:rsid w:val="0B93412A"/>
    <w:rsid w:val="0CBB0505"/>
    <w:rsid w:val="0DA74AFB"/>
    <w:rsid w:val="0F0156E0"/>
    <w:rsid w:val="138A28E6"/>
    <w:rsid w:val="14F14A70"/>
    <w:rsid w:val="15521713"/>
    <w:rsid w:val="17E70DA4"/>
    <w:rsid w:val="18340A6C"/>
    <w:rsid w:val="197521C9"/>
    <w:rsid w:val="1BD3701C"/>
    <w:rsid w:val="1D0309C5"/>
    <w:rsid w:val="1DB93F4D"/>
    <w:rsid w:val="281160DF"/>
    <w:rsid w:val="29D06DA5"/>
    <w:rsid w:val="2B297291"/>
    <w:rsid w:val="2C1D11FF"/>
    <w:rsid w:val="2D4E62BC"/>
    <w:rsid w:val="2F254D4E"/>
    <w:rsid w:val="32FC04F5"/>
    <w:rsid w:val="3A3522D4"/>
    <w:rsid w:val="3BF5660B"/>
    <w:rsid w:val="414D469D"/>
    <w:rsid w:val="4158459E"/>
    <w:rsid w:val="4A485D58"/>
    <w:rsid w:val="4C021C31"/>
    <w:rsid w:val="4D9F67FB"/>
    <w:rsid w:val="52B14E5F"/>
    <w:rsid w:val="55C673B7"/>
    <w:rsid w:val="5A7E3EE8"/>
    <w:rsid w:val="5B683DBA"/>
    <w:rsid w:val="5DA4425E"/>
    <w:rsid w:val="5ECF6B8F"/>
    <w:rsid w:val="656520E7"/>
    <w:rsid w:val="69531596"/>
    <w:rsid w:val="6A467DFE"/>
    <w:rsid w:val="6A7E2D31"/>
    <w:rsid w:val="6BC35FE9"/>
    <w:rsid w:val="6D350DC2"/>
    <w:rsid w:val="70DE6A9A"/>
    <w:rsid w:val="73CE2F0C"/>
    <w:rsid w:val="7C976B99"/>
    <w:rsid w:val="7D2A08F5"/>
    <w:rsid w:val="7D5F1550"/>
    <w:rsid w:val="7EB93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8"/>
    <w:qFormat/>
    <w:uiPriority w:val="0"/>
    <w:pPr>
      <w:keepNext/>
      <w:keepLines/>
      <w:outlineLvl w:val="0"/>
    </w:pPr>
    <w:rPr>
      <w:rFonts w:ascii="Times New Roman" w:hAnsi="Times New Roman" w:eastAsia="宋体" w:cs="Times New Roman"/>
      <w:b/>
      <w:bCs/>
      <w:kern w:val="44"/>
      <w:sz w:val="44"/>
      <w:szCs w:val="44"/>
    </w:rPr>
  </w:style>
  <w:style w:type="paragraph" w:styleId="2">
    <w:name w:val="heading 2"/>
    <w:basedOn w:val="1"/>
    <w:next w:val="3"/>
    <w:link w:val="69"/>
    <w:qFormat/>
    <w:uiPriority w:val="0"/>
    <w:pPr>
      <w:keepNext/>
      <w:keepLines/>
      <w:outlineLvl w:val="1"/>
    </w:pPr>
    <w:rPr>
      <w:rFonts w:ascii="Arial" w:hAnsi="Arial" w:eastAsia="宋体" w:cs="Times New Roman"/>
      <w:b/>
      <w:bCs/>
      <w:szCs w:val="32"/>
    </w:rPr>
  </w:style>
  <w:style w:type="paragraph" w:styleId="5">
    <w:name w:val="heading 3"/>
    <w:basedOn w:val="1"/>
    <w:next w:val="1"/>
    <w:link w:val="70"/>
    <w:qFormat/>
    <w:uiPriority w:val="0"/>
    <w:pPr>
      <w:keepNext/>
      <w:keepLines/>
      <w:outlineLvl w:val="2"/>
    </w:pPr>
    <w:rPr>
      <w:rFonts w:ascii="Times New Roman" w:hAnsi="Times New Roman" w:eastAsia="宋体" w:cs="Times New Roman"/>
      <w:b/>
      <w:bCs/>
      <w:szCs w:val="32"/>
    </w:rPr>
  </w:style>
  <w:style w:type="paragraph" w:styleId="6">
    <w:name w:val="heading 4"/>
    <w:basedOn w:val="1"/>
    <w:next w:val="1"/>
    <w:link w:val="71"/>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3"/>
    <w:link w:val="72"/>
    <w:qFormat/>
    <w:uiPriority w:val="1"/>
    <w:pPr>
      <w:keepNext/>
      <w:keepLines/>
      <w:numPr>
        <w:ilvl w:val="4"/>
        <w:numId w:val="1"/>
      </w:numPr>
      <w:spacing w:before="280" w:after="290" w:line="376" w:lineRule="auto"/>
      <w:ind w:left="3361" w:hanging="300"/>
      <w:outlineLvl w:val="4"/>
    </w:pPr>
    <w:rPr>
      <w:rFonts w:ascii="Times New Roman" w:hAnsi="Times New Roman" w:eastAsia="宋体" w:cs="Times New Roman"/>
      <w:b/>
      <w:sz w:val="28"/>
      <w:szCs w:val="24"/>
    </w:rPr>
  </w:style>
  <w:style w:type="paragraph" w:styleId="8">
    <w:name w:val="heading 6"/>
    <w:basedOn w:val="1"/>
    <w:next w:val="3"/>
    <w:link w:val="73"/>
    <w:qFormat/>
    <w:uiPriority w:val="0"/>
    <w:pPr>
      <w:keepNext/>
      <w:keepLines/>
      <w:numPr>
        <w:ilvl w:val="5"/>
        <w:numId w:val="1"/>
      </w:numPr>
      <w:spacing w:before="240" w:after="64" w:line="320" w:lineRule="auto"/>
      <w:ind w:left="4332" w:hanging="300"/>
      <w:outlineLvl w:val="5"/>
    </w:pPr>
    <w:rPr>
      <w:rFonts w:ascii="Arial" w:hAnsi="Arial" w:eastAsia="黑体" w:cs="Times New Roman"/>
      <w:b/>
      <w:sz w:val="24"/>
      <w:szCs w:val="24"/>
    </w:rPr>
  </w:style>
  <w:style w:type="paragraph" w:styleId="9">
    <w:name w:val="heading 7"/>
    <w:basedOn w:val="1"/>
    <w:next w:val="3"/>
    <w:link w:val="74"/>
    <w:qFormat/>
    <w:uiPriority w:val="0"/>
    <w:pPr>
      <w:keepNext/>
      <w:keepLines/>
      <w:numPr>
        <w:ilvl w:val="6"/>
        <w:numId w:val="1"/>
      </w:numPr>
      <w:spacing w:before="240" w:after="64" w:line="320" w:lineRule="auto"/>
      <w:ind w:left="5303" w:hanging="300"/>
      <w:outlineLvl w:val="6"/>
    </w:pPr>
    <w:rPr>
      <w:rFonts w:ascii="Times New Roman" w:hAnsi="Times New Roman" w:eastAsia="宋体" w:cs="Times New Roman"/>
      <w:b/>
      <w:sz w:val="24"/>
      <w:szCs w:val="24"/>
    </w:rPr>
  </w:style>
  <w:style w:type="paragraph" w:styleId="10">
    <w:name w:val="heading 8"/>
    <w:basedOn w:val="1"/>
    <w:next w:val="3"/>
    <w:link w:val="75"/>
    <w:qFormat/>
    <w:uiPriority w:val="0"/>
    <w:pPr>
      <w:keepNext/>
      <w:keepLines/>
      <w:numPr>
        <w:ilvl w:val="7"/>
        <w:numId w:val="1"/>
      </w:numPr>
      <w:spacing w:before="240" w:after="64" w:line="320" w:lineRule="auto"/>
      <w:ind w:left="6274" w:hanging="300"/>
      <w:outlineLvl w:val="7"/>
    </w:pPr>
    <w:rPr>
      <w:rFonts w:ascii="Arial" w:hAnsi="Arial" w:eastAsia="黑体" w:cs="Times New Roman"/>
      <w:sz w:val="24"/>
      <w:szCs w:val="24"/>
    </w:rPr>
  </w:style>
  <w:style w:type="paragraph" w:styleId="11">
    <w:name w:val="heading 9"/>
    <w:basedOn w:val="1"/>
    <w:next w:val="3"/>
    <w:link w:val="76"/>
    <w:qFormat/>
    <w:uiPriority w:val="0"/>
    <w:pPr>
      <w:keepNext/>
      <w:keepLines/>
      <w:numPr>
        <w:ilvl w:val="8"/>
        <w:numId w:val="1"/>
      </w:numPr>
      <w:spacing w:before="240" w:after="64" w:line="320" w:lineRule="auto"/>
      <w:ind w:left="7244" w:hanging="300"/>
      <w:outlineLvl w:val="8"/>
    </w:pPr>
    <w:rPr>
      <w:rFonts w:ascii="Arial" w:hAnsi="Arial" w:eastAsia="黑体" w:cs="Times New Roman"/>
      <w:szCs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77"/>
    <w:unhideWhenUsed/>
    <w:qFormat/>
    <w:uiPriority w:val="0"/>
    <w:pPr>
      <w:ind w:firstLine="420" w:firstLineChars="200"/>
    </w:pPr>
    <w:rPr>
      <w:rFonts w:ascii="Times New Roman" w:hAnsi="Times New Roman" w:eastAsia="宋体" w:cs="Times New Roman"/>
      <w:szCs w:val="24"/>
    </w:rPr>
  </w:style>
  <w:style w:type="paragraph" w:styleId="12">
    <w:name w:val="List 3"/>
    <w:basedOn w:val="1"/>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qFormat/>
    <w:uiPriority w:val="39"/>
    <w:pPr>
      <w:ind w:left="2520" w:leftChars="1200"/>
    </w:pPr>
    <w:rPr>
      <w:rFonts w:ascii="Calibri" w:hAnsi="Calibri" w:eastAsia="宋体" w:cs="Times New Roman"/>
    </w:rPr>
  </w:style>
  <w:style w:type="paragraph" w:styleId="14">
    <w:name w:val="List Number"/>
    <w:basedOn w:val="1"/>
    <w:qFormat/>
    <w:uiPriority w:val="0"/>
    <w:pPr>
      <w:widowControl/>
      <w:numPr>
        <w:ilvl w:val="0"/>
        <w:numId w:val="2"/>
      </w:numPr>
      <w:tabs>
        <w:tab w:val="left" w:pos="454"/>
        <w:tab w:val="left" w:pos="720"/>
        <w:tab w:val="left" w:pos="840"/>
      </w:tabs>
      <w:spacing w:afterLines="50"/>
      <w:ind w:left="454" w:hanging="284"/>
      <w:jc w:val="left"/>
    </w:pPr>
    <w:rPr>
      <w:rFonts w:ascii="Times New Roman" w:hAnsi="Times New Roman" w:eastAsia="宋体" w:cs="Times New Roman"/>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0"/>
    <w:qFormat/>
    <w:uiPriority w:val="0"/>
    <w:pPr>
      <w:shd w:val="clear" w:color="auto" w:fill="000080"/>
    </w:pPr>
    <w:rPr>
      <w:rFonts w:ascii="Times New Roman" w:hAnsi="Times New Roman" w:eastAsia="宋体" w:cs="Times New Roman"/>
      <w:szCs w:val="24"/>
    </w:rPr>
  </w:style>
  <w:style w:type="paragraph" w:styleId="17">
    <w:name w:val="annotation text"/>
    <w:basedOn w:val="1"/>
    <w:link w:val="81"/>
    <w:qFormat/>
    <w:uiPriority w:val="0"/>
    <w:pPr>
      <w:jc w:val="left"/>
    </w:pPr>
    <w:rPr>
      <w:rFonts w:ascii="Times New Roman" w:hAnsi="Times New Roman" w:eastAsia="宋体" w:cs="Times New Roman"/>
      <w:szCs w:val="24"/>
    </w:rPr>
  </w:style>
  <w:style w:type="paragraph" w:styleId="18">
    <w:name w:val="Body Text 3"/>
    <w:basedOn w:val="1"/>
    <w:link w:val="82"/>
    <w:qFormat/>
    <w:uiPriority w:val="0"/>
    <w:pPr>
      <w:spacing w:line="500" w:lineRule="exact"/>
    </w:pPr>
    <w:rPr>
      <w:rFonts w:ascii="Times New Roman" w:hAnsi="Times New Roman" w:eastAsia="宋体" w:cs="Times New Roman"/>
      <w:b/>
      <w:bCs/>
      <w:sz w:val="24"/>
      <w:szCs w:val="24"/>
    </w:rPr>
  </w:style>
  <w:style w:type="paragraph" w:styleId="19">
    <w:name w:val="Body Text"/>
    <w:basedOn w:val="1"/>
    <w:link w:val="83"/>
    <w:qFormat/>
    <w:uiPriority w:val="0"/>
    <w:pPr>
      <w:spacing w:line="380" w:lineRule="exact"/>
    </w:pPr>
    <w:rPr>
      <w:rFonts w:ascii="Times New Roman" w:hAnsi="Times New Roman" w:eastAsia="宋体" w:cs="Times New Roman"/>
      <w:sz w:val="24"/>
      <w:szCs w:val="24"/>
    </w:rPr>
  </w:style>
  <w:style w:type="paragraph" w:styleId="20">
    <w:name w:val="Body Text Indent"/>
    <w:basedOn w:val="1"/>
    <w:next w:val="21"/>
    <w:link w:val="87"/>
    <w:qFormat/>
    <w:uiPriority w:val="0"/>
    <w:pPr>
      <w:ind w:firstLine="830" w:firstLineChars="352"/>
    </w:pPr>
    <w:rPr>
      <w:rFonts w:ascii="仿宋_GB2312" w:hAnsi="Times New Roman" w:eastAsia="仿宋_GB2312" w:cs="Times New Roman"/>
      <w:sz w:val="32"/>
      <w:szCs w:val="20"/>
    </w:rPr>
  </w:style>
  <w:style w:type="paragraph" w:styleId="21">
    <w:name w:val="envelope return"/>
    <w:basedOn w:val="1"/>
    <w:qFormat/>
    <w:uiPriority w:val="0"/>
    <w:pPr>
      <w:snapToGrid w:val="0"/>
    </w:pPr>
    <w:rPr>
      <w:rFonts w:ascii="Arial" w:hAnsi="Arial" w:eastAsia="宋体" w:cs="Times New Roman"/>
      <w:szCs w:val="24"/>
    </w:rPr>
  </w:style>
  <w:style w:type="paragraph" w:styleId="22">
    <w:name w:val="List Number 3"/>
    <w:basedOn w:val="1"/>
    <w:qFormat/>
    <w:uiPriority w:val="0"/>
    <w:pPr>
      <w:numPr>
        <w:ilvl w:val="0"/>
        <w:numId w:val="1"/>
      </w:numPr>
    </w:pPr>
    <w:rPr>
      <w:rFonts w:ascii="Times New Roman" w:hAnsi="Times New Roman" w:eastAsia="宋体" w:cs="Times New Roman"/>
      <w:szCs w:val="24"/>
    </w:rPr>
  </w:style>
  <w:style w:type="paragraph" w:styleId="23">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24">
    <w:name w:val="List Continue"/>
    <w:basedOn w:val="1"/>
    <w:qFormat/>
    <w:uiPriority w:val="0"/>
    <w:pPr>
      <w:spacing w:after="120"/>
      <w:ind w:left="420" w:leftChars="200"/>
    </w:pPr>
    <w:rPr>
      <w:rFonts w:ascii="Times New Roman" w:hAnsi="Times New Roman" w:eastAsia="宋体" w:cs="Times New Roman"/>
      <w:szCs w:val="24"/>
    </w:rPr>
  </w:style>
  <w:style w:type="paragraph" w:styleId="25">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6">
    <w:name w:val="index 4"/>
    <w:basedOn w:val="1"/>
    <w:next w:val="1"/>
    <w:qFormat/>
    <w:uiPriority w:val="99"/>
    <w:pPr>
      <w:ind w:left="600" w:leftChars="600"/>
    </w:pPr>
    <w:rPr>
      <w:rFonts w:ascii="Times New Roman" w:hAnsi="Times New Roman" w:eastAsia="宋体" w:cs="Times New Roman"/>
      <w:szCs w:val="24"/>
    </w:rPr>
  </w:style>
  <w:style w:type="paragraph" w:styleId="27">
    <w:name w:val="toc 5"/>
    <w:basedOn w:val="1"/>
    <w:next w:val="1"/>
    <w:qFormat/>
    <w:uiPriority w:val="39"/>
    <w:pPr>
      <w:tabs>
        <w:tab w:val="right" w:leader="dot" w:pos="8296"/>
      </w:tabs>
      <w:ind w:left="1050" w:leftChars="500"/>
    </w:pPr>
    <w:rPr>
      <w:rFonts w:ascii="Calibri" w:hAnsi="Calibri" w:eastAsia="宋体" w:cs="Times New Roman"/>
    </w:rPr>
  </w:style>
  <w:style w:type="paragraph" w:styleId="28">
    <w:name w:val="toc 3"/>
    <w:basedOn w:val="1"/>
    <w:next w:val="1"/>
    <w:qFormat/>
    <w:uiPriority w:val="39"/>
    <w:pPr>
      <w:ind w:left="840" w:leftChars="400"/>
    </w:pPr>
    <w:rPr>
      <w:rFonts w:ascii="Calibri" w:hAnsi="Calibri" w:eastAsia="宋体" w:cs="Times New Roman"/>
    </w:rPr>
  </w:style>
  <w:style w:type="paragraph" w:styleId="29">
    <w:name w:val="Plain Text"/>
    <w:basedOn w:val="1"/>
    <w:link w:val="88"/>
    <w:qFormat/>
    <w:uiPriority w:val="0"/>
    <w:rPr>
      <w:rFonts w:ascii="宋体" w:hAnsi="Courier New" w:eastAsia="宋体" w:cs="Courier New"/>
      <w:szCs w:val="21"/>
    </w:rPr>
  </w:style>
  <w:style w:type="paragraph" w:styleId="30">
    <w:name w:val="toc 8"/>
    <w:basedOn w:val="1"/>
    <w:next w:val="1"/>
    <w:qFormat/>
    <w:uiPriority w:val="39"/>
    <w:pPr>
      <w:ind w:left="2940" w:leftChars="1400"/>
    </w:pPr>
    <w:rPr>
      <w:rFonts w:ascii="Calibri" w:hAnsi="Calibri" w:eastAsia="宋体" w:cs="Times New Roman"/>
    </w:rPr>
  </w:style>
  <w:style w:type="paragraph" w:styleId="31">
    <w:name w:val="Date"/>
    <w:basedOn w:val="1"/>
    <w:next w:val="1"/>
    <w:link w:val="89"/>
    <w:qFormat/>
    <w:uiPriority w:val="0"/>
    <w:pPr>
      <w:ind w:left="100" w:leftChars="2500"/>
    </w:pPr>
    <w:rPr>
      <w:rFonts w:ascii="Times New Roman" w:hAnsi="Times New Roman" w:eastAsia="宋体" w:cs="Times New Roman"/>
      <w:szCs w:val="24"/>
    </w:rPr>
  </w:style>
  <w:style w:type="paragraph" w:styleId="32">
    <w:name w:val="Body Text Indent 2"/>
    <w:basedOn w:val="1"/>
    <w:link w:val="90"/>
    <w:qFormat/>
    <w:uiPriority w:val="0"/>
    <w:pPr>
      <w:spacing w:after="120" w:line="480" w:lineRule="auto"/>
      <w:ind w:left="420" w:leftChars="200"/>
    </w:pPr>
    <w:rPr>
      <w:rFonts w:ascii="Times New Roman" w:hAnsi="Times New Roman" w:eastAsia="宋体" w:cs="Times New Roman"/>
      <w:szCs w:val="24"/>
    </w:rPr>
  </w:style>
  <w:style w:type="paragraph" w:styleId="33">
    <w:name w:val="endnote text"/>
    <w:basedOn w:val="1"/>
    <w:link w:val="439"/>
    <w:semiHidden/>
    <w:qFormat/>
    <w:uiPriority w:val="0"/>
    <w:pPr>
      <w:snapToGrid w:val="0"/>
    </w:pPr>
    <w:rPr>
      <w:rFonts w:ascii="Times New Roman" w:hAnsi="Times New Roman" w:eastAsia="宋体" w:cs="Times New Roman"/>
      <w:szCs w:val="24"/>
    </w:rPr>
  </w:style>
  <w:style w:type="paragraph" w:styleId="34">
    <w:name w:val="Balloon Text"/>
    <w:basedOn w:val="1"/>
    <w:link w:val="91"/>
    <w:qFormat/>
    <w:uiPriority w:val="0"/>
    <w:rPr>
      <w:rFonts w:ascii="Times New Roman" w:hAnsi="Times New Roman" w:eastAsia="宋体" w:cs="Times New Roman"/>
      <w:sz w:val="18"/>
      <w:szCs w:val="18"/>
    </w:rPr>
  </w:style>
  <w:style w:type="paragraph" w:styleId="35">
    <w:name w:val="footer"/>
    <w:basedOn w:val="1"/>
    <w:link w:val="9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6">
    <w:name w:val="header"/>
    <w:basedOn w:val="1"/>
    <w:link w:val="9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7">
    <w:name w:val="toc 1"/>
    <w:basedOn w:val="1"/>
    <w:next w:val="1"/>
    <w:qFormat/>
    <w:uiPriority w:val="39"/>
    <w:pPr>
      <w:tabs>
        <w:tab w:val="right" w:leader="dot" w:pos="8296"/>
      </w:tabs>
    </w:pPr>
    <w:rPr>
      <w:rFonts w:ascii="宋体" w:hAnsi="Times New Roman" w:eastAsia="楷体_GB2312" w:cs="TimesNewRomanPSMT"/>
      <w:b/>
      <w:kern w:val="0"/>
      <w:sz w:val="28"/>
      <w:szCs w:val="20"/>
    </w:rPr>
  </w:style>
  <w:style w:type="paragraph" w:styleId="38">
    <w:name w:val="toc 4"/>
    <w:basedOn w:val="1"/>
    <w:next w:val="1"/>
    <w:qFormat/>
    <w:uiPriority w:val="39"/>
    <w:pPr>
      <w:tabs>
        <w:tab w:val="left" w:pos="1890"/>
        <w:tab w:val="right" w:leader="dot" w:pos="8296"/>
      </w:tabs>
      <w:ind w:left="630" w:leftChars="300"/>
    </w:pPr>
    <w:rPr>
      <w:rFonts w:ascii="Calibri" w:hAnsi="Calibri" w:eastAsia="宋体" w:cs="Times New Roman"/>
    </w:rPr>
  </w:style>
  <w:style w:type="paragraph" w:styleId="39">
    <w:name w:val="Subtitle"/>
    <w:basedOn w:val="1"/>
    <w:next w:val="1"/>
    <w:link w:val="94"/>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40">
    <w:name w:val="List"/>
    <w:basedOn w:val="1"/>
    <w:qFormat/>
    <w:uiPriority w:val="0"/>
    <w:pPr>
      <w:ind w:left="200" w:hanging="200" w:hangingChars="200"/>
    </w:pPr>
    <w:rPr>
      <w:rFonts w:ascii="Times New Roman" w:hAnsi="Times New Roman" w:eastAsia="宋体" w:cs="Times New Roman"/>
      <w:sz w:val="28"/>
      <w:szCs w:val="24"/>
    </w:rPr>
  </w:style>
  <w:style w:type="paragraph" w:styleId="41">
    <w:name w:val="footnote text"/>
    <w:basedOn w:val="1"/>
    <w:link w:val="95"/>
    <w:qFormat/>
    <w:uiPriority w:val="0"/>
    <w:pPr>
      <w:adjustRightInd w:val="0"/>
      <w:spacing w:line="312" w:lineRule="atLeast"/>
      <w:jc w:val="left"/>
      <w:textAlignment w:val="baseline"/>
    </w:pPr>
    <w:rPr>
      <w:rFonts w:ascii="Times New Roman" w:hAnsi="Times New Roman" w:eastAsia="宋体" w:cs="Times New Roman"/>
      <w:b/>
      <w:bCs/>
      <w:kern w:val="44"/>
      <w:sz w:val="44"/>
      <w:szCs w:val="44"/>
    </w:rPr>
  </w:style>
  <w:style w:type="paragraph" w:styleId="42">
    <w:name w:val="toc 6"/>
    <w:basedOn w:val="1"/>
    <w:next w:val="1"/>
    <w:qFormat/>
    <w:uiPriority w:val="39"/>
    <w:pPr>
      <w:ind w:left="2100" w:leftChars="1000"/>
    </w:pPr>
    <w:rPr>
      <w:rFonts w:ascii="Calibri" w:hAnsi="Calibri" w:eastAsia="宋体" w:cs="Times New Roman"/>
    </w:rPr>
  </w:style>
  <w:style w:type="paragraph" w:styleId="43">
    <w:name w:val="List 5"/>
    <w:basedOn w:val="1"/>
    <w:qFormat/>
    <w:uiPriority w:val="0"/>
    <w:pPr>
      <w:ind w:left="2100" w:hanging="420"/>
    </w:pPr>
    <w:rPr>
      <w:rFonts w:ascii="Times New Roman" w:hAnsi="Times New Roman" w:eastAsia="宋体" w:cs="Times New Roman"/>
      <w:szCs w:val="20"/>
    </w:rPr>
  </w:style>
  <w:style w:type="paragraph" w:styleId="44">
    <w:name w:val="Body Text Indent 3"/>
    <w:basedOn w:val="1"/>
    <w:link w:val="96"/>
    <w:qFormat/>
    <w:uiPriority w:val="0"/>
    <w:pPr>
      <w:spacing w:after="120"/>
      <w:ind w:left="420" w:leftChars="200"/>
    </w:pPr>
    <w:rPr>
      <w:rFonts w:ascii="Times New Roman" w:hAnsi="Times New Roman" w:eastAsia="宋体" w:cs="Times New Roman"/>
      <w:sz w:val="16"/>
      <w:szCs w:val="16"/>
    </w:rPr>
  </w:style>
  <w:style w:type="paragraph" w:styleId="45">
    <w:name w:val="toc 2"/>
    <w:basedOn w:val="1"/>
    <w:next w:val="1"/>
    <w:qFormat/>
    <w:uiPriority w:val="39"/>
    <w:pPr>
      <w:ind w:left="420" w:leftChars="200"/>
    </w:pPr>
    <w:rPr>
      <w:rFonts w:ascii="宋体" w:hAnsi="Times New Roman" w:eastAsia="宋体" w:cs="Times New Roman"/>
      <w:b/>
      <w:sz w:val="28"/>
      <w:szCs w:val="20"/>
    </w:rPr>
  </w:style>
  <w:style w:type="paragraph" w:styleId="46">
    <w:name w:val="toc 9"/>
    <w:basedOn w:val="1"/>
    <w:next w:val="1"/>
    <w:qFormat/>
    <w:uiPriority w:val="39"/>
    <w:pPr>
      <w:ind w:left="3360" w:leftChars="1600"/>
    </w:pPr>
    <w:rPr>
      <w:rFonts w:ascii="Calibri" w:hAnsi="Calibri" w:eastAsia="宋体" w:cs="Times New Roman"/>
    </w:rPr>
  </w:style>
  <w:style w:type="paragraph" w:styleId="47">
    <w:name w:val="Body Text 2"/>
    <w:basedOn w:val="1"/>
    <w:link w:val="97"/>
    <w:qFormat/>
    <w:uiPriority w:val="0"/>
    <w:pPr>
      <w:spacing w:after="120" w:line="480" w:lineRule="auto"/>
    </w:pPr>
    <w:rPr>
      <w:rFonts w:ascii="Times New Roman" w:hAnsi="Times New Roman" w:eastAsia="宋体" w:cs="Times New Roman"/>
      <w:szCs w:val="24"/>
    </w:rPr>
  </w:style>
  <w:style w:type="paragraph" w:styleId="48">
    <w:name w:val="List 4"/>
    <w:basedOn w:val="1"/>
    <w:qFormat/>
    <w:uiPriority w:val="0"/>
    <w:pPr>
      <w:ind w:left="100" w:leftChars="600" w:hanging="200" w:hangingChars="200"/>
    </w:pPr>
    <w:rPr>
      <w:rFonts w:ascii="Times New Roman" w:hAnsi="Times New Roman" w:eastAsia="宋体" w:cs="Times New Roman"/>
      <w:szCs w:val="24"/>
    </w:rPr>
  </w:style>
  <w:style w:type="paragraph" w:styleId="49">
    <w:name w:val="List Continue 2"/>
    <w:basedOn w:val="1"/>
    <w:qFormat/>
    <w:uiPriority w:val="0"/>
    <w:pPr>
      <w:spacing w:after="120"/>
      <w:ind w:left="840" w:leftChars="400"/>
    </w:pPr>
    <w:rPr>
      <w:rFonts w:ascii="Times New Roman" w:hAnsi="Times New Roman" w:eastAsia="宋体" w:cs="Times New Roman"/>
      <w:szCs w:val="24"/>
    </w:rPr>
  </w:style>
  <w:style w:type="paragraph" w:styleId="50">
    <w:name w:val="HTML Preformatted"/>
    <w:basedOn w:val="1"/>
    <w:link w:val="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51">
    <w:name w:val="Normal (Web)"/>
    <w:basedOn w:val="1"/>
    <w:link w:val="99"/>
    <w:qFormat/>
    <w:uiPriority w:val="99"/>
    <w:pPr>
      <w:widowControl/>
      <w:jc w:val="left"/>
    </w:pPr>
    <w:rPr>
      <w:rFonts w:ascii="宋体" w:hAnsi="宋体" w:eastAsia="宋体" w:cs="Times New Roman"/>
      <w:kern w:val="0"/>
      <w:sz w:val="24"/>
      <w:szCs w:val="24"/>
    </w:rPr>
  </w:style>
  <w:style w:type="paragraph" w:styleId="52">
    <w:name w:val="index 1"/>
    <w:basedOn w:val="1"/>
    <w:next w:val="1"/>
    <w:semiHidden/>
    <w:qFormat/>
    <w:uiPriority w:val="0"/>
    <w:pPr>
      <w:spacing w:line="400" w:lineRule="exact"/>
      <w:ind w:firstLine="420" w:firstLineChars="200"/>
    </w:pPr>
    <w:rPr>
      <w:rFonts w:ascii="宋体" w:hAnsi="Courier New" w:eastAsia="宋体" w:cs="Times New Roman"/>
      <w:b/>
      <w:szCs w:val="20"/>
    </w:rPr>
  </w:style>
  <w:style w:type="paragraph" w:styleId="53">
    <w:name w:val="Title"/>
    <w:basedOn w:val="1"/>
    <w:next w:val="1"/>
    <w:link w:val="100"/>
    <w:qFormat/>
    <w:uiPriority w:val="0"/>
    <w:pPr>
      <w:spacing w:before="240" w:after="60"/>
      <w:jc w:val="center"/>
      <w:outlineLvl w:val="0"/>
    </w:pPr>
    <w:rPr>
      <w:rFonts w:ascii="Cambria" w:hAnsi="Cambria" w:eastAsia="宋体" w:cs="Times New Roman"/>
      <w:b/>
      <w:bCs/>
      <w:sz w:val="32"/>
      <w:szCs w:val="32"/>
    </w:rPr>
  </w:style>
  <w:style w:type="paragraph" w:styleId="54">
    <w:name w:val="annotation subject"/>
    <w:basedOn w:val="17"/>
    <w:next w:val="17"/>
    <w:link w:val="101"/>
    <w:qFormat/>
    <w:uiPriority w:val="0"/>
    <w:rPr>
      <w:rFonts w:ascii="宋体" w:hAnsi="Courier New"/>
      <w:szCs w:val="20"/>
    </w:rPr>
  </w:style>
  <w:style w:type="paragraph" w:styleId="55">
    <w:name w:val="Body Text First Indent"/>
    <w:basedOn w:val="19"/>
    <w:link w:val="412"/>
    <w:semiHidden/>
    <w:unhideWhenUsed/>
    <w:qFormat/>
    <w:uiPriority w:val="99"/>
    <w:pPr>
      <w:spacing w:after="120" w:line="240" w:lineRule="auto"/>
      <w:ind w:firstLine="420" w:firstLineChars="100"/>
    </w:pPr>
    <w:rPr>
      <w:sz w:val="21"/>
    </w:rPr>
  </w:style>
  <w:style w:type="paragraph" w:styleId="56">
    <w:name w:val="Body Text First Indent 2"/>
    <w:basedOn w:val="20"/>
    <w:link w:val="103"/>
    <w:semiHidden/>
    <w:unhideWhenUsed/>
    <w:qFormat/>
    <w:uiPriority w:val="0"/>
    <w:pPr>
      <w:spacing w:after="120"/>
      <w:ind w:left="420" w:leftChars="200" w:firstLine="420" w:firstLineChars="200"/>
    </w:pPr>
    <w:rPr>
      <w:rFonts w:hAnsiTheme="minorHAnsi" w:cstheme="minorBidi"/>
      <w:sz w:val="21"/>
      <w:szCs w:val="24"/>
    </w:rPr>
  </w:style>
  <w:style w:type="table" w:styleId="58">
    <w:name w:val="Table Grid"/>
    <w:basedOn w:val="5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bCs/>
    </w:rPr>
  </w:style>
  <w:style w:type="character" w:styleId="61">
    <w:name w:val="endnote reference"/>
    <w:semiHidden/>
    <w:qFormat/>
    <w:uiPriority w:val="0"/>
    <w:rPr>
      <w:vertAlign w:val="superscript"/>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99"/>
    <w:rPr>
      <w:i/>
      <w:iCs/>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vertAlign w:val="superscript"/>
    </w:rPr>
  </w:style>
  <w:style w:type="character" w:customStyle="1" w:styleId="68">
    <w:name w:val="标题 1 字符"/>
    <w:basedOn w:val="59"/>
    <w:link w:val="4"/>
    <w:qFormat/>
    <w:uiPriority w:val="0"/>
    <w:rPr>
      <w:rFonts w:ascii="Times New Roman" w:hAnsi="Times New Roman" w:eastAsia="宋体" w:cs="Times New Roman"/>
      <w:b/>
      <w:bCs/>
      <w:kern w:val="44"/>
      <w:sz w:val="44"/>
      <w:szCs w:val="44"/>
    </w:rPr>
  </w:style>
  <w:style w:type="character" w:customStyle="1" w:styleId="69">
    <w:name w:val="标题 2 字符"/>
    <w:basedOn w:val="59"/>
    <w:link w:val="2"/>
    <w:qFormat/>
    <w:uiPriority w:val="0"/>
    <w:rPr>
      <w:rFonts w:ascii="Arial" w:hAnsi="Arial" w:eastAsia="宋体" w:cs="Times New Roman"/>
      <w:b/>
      <w:bCs/>
      <w:szCs w:val="32"/>
    </w:rPr>
  </w:style>
  <w:style w:type="character" w:customStyle="1" w:styleId="70">
    <w:name w:val="标题 3 字符"/>
    <w:basedOn w:val="59"/>
    <w:link w:val="5"/>
    <w:qFormat/>
    <w:uiPriority w:val="0"/>
    <w:rPr>
      <w:rFonts w:ascii="Times New Roman" w:hAnsi="Times New Roman" w:eastAsia="宋体" w:cs="Times New Roman"/>
      <w:b/>
      <w:bCs/>
      <w:szCs w:val="32"/>
    </w:rPr>
  </w:style>
  <w:style w:type="character" w:customStyle="1" w:styleId="71">
    <w:name w:val="标题 4 字符"/>
    <w:basedOn w:val="59"/>
    <w:link w:val="6"/>
    <w:qFormat/>
    <w:uiPriority w:val="99"/>
    <w:rPr>
      <w:rFonts w:ascii="Arial" w:hAnsi="Arial" w:eastAsia="黑体" w:cs="Times New Roman"/>
      <w:b/>
      <w:bCs/>
      <w:sz w:val="28"/>
      <w:szCs w:val="28"/>
    </w:rPr>
  </w:style>
  <w:style w:type="character" w:customStyle="1" w:styleId="72">
    <w:name w:val="标题 5 字符"/>
    <w:basedOn w:val="59"/>
    <w:link w:val="7"/>
    <w:qFormat/>
    <w:uiPriority w:val="1"/>
    <w:rPr>
      <w:rFonts w:ascii="Times New Roman" w:hAnsi="Times New Roman" w:eastAsia="宋体" w:cs="Times New Roman"/>
      <w:b/>
      <w:sz w:val="28"/>
      <w:szCs w:val="24"/>
    </w:rPr>
  </w:style>
  <w:style w:type="character" w:customStyle="1" w:styleId="73">
    <w:name w:val="标题 6 字符"/>
    <w:basedOn w:val="59"/>
    <w:link w:val="8"/>
    <w:qFormat/>
    <w:uiPriority w:val="0"/>
    <w:rPr>
      <w:rFonts w:ascii="Arial" w:hAnsi="Arial" w:eastAsia="黑体" w:cs="Times New Roman"/>
      <w:b/>
      <w:sz w:val="24"/>
      <w:szCs w:val="24"/>
    </w:rPr>
  </w:style>
  <w:style w:type="character" w:customStyle="1" w:styleId="74">
    <w:name w:val="标题 7 字符"/>
    <w:basedOn w:val="59"/>
    <w:link w:val="9"/>
    <w:qFormat/>
    <w:uiPriority w:val="0"/>
    <w:rPr>
      <w:rFonts w:ascii="Times New Roman" w:hAnsi="Times New Roman" w:eastAsia="宋体" w:cs="Times New Roman"/>
      <w:b/>
      <w:sz w:val="24"/>
      <w:szCs w:val="24"/>
    </w:rPr>
  </w:style>
  <w:style w:type="character" w:customStyle="1" w:styleId="75">
    <w:name w:val="标题 8 字符"/>
    <w:basedOn w:val="59"/>
    <w:link w:val="10"/>
    <w:qFormat/>
    <w:uiPriority w:val="0"/>
    <w:rPr>
      <w:rFonts w:ascii="Arial" w:hAnsi="Arial" w:eastAsia="黑体" w:cs="Times New Roman"/>
      <w:sz w:val="24"/>
      <w:szCs w:val="24"/>
    </w:rPr>
  </w:style>
  <w:style w:type="character" w:customStyle="1" w:styleId="76">
    <w:name w:val="标题 9 字符"/>
    <w:basedOn w:val="59"/>
    <w:link w:val="11"/>
    <w:qFormat/>
    <w:uiPriority w:val="0"/>
    <w:rPr>
      <w:rFonts w:ascii="Arial" w:hAnsi="Arial" w:eastAsia="黑体" w:cs="Times New Roman"/>
      <w:szCs w:val="24"/>
    </w:rPr>
  </w:style>
  <w:style w:type="character" w:customStyle="1" w:styleId="77">
    <w:name w:val="正文缩进 字符1"/>
    <w:link w:val="3"/>
    <w:qFormat/>
    <w:uiPriority w:val="0"/>
    <w:rPr>
      <w:rFonts w:ascii="Times New Roman" w:hAnsi="Times New Roman" w:eastAsia="宋体" w:cs="Times New Roman"/>
      <w:szCs w:val="24"/>
    </w:rPr>
  </w:style>
  <w:style w:type="paragraph" w:customStyle="1" w:styleId="78">
    <w:name w:val="2"/>
    <w:basedOn w:val="1"/>
    <w:next w:val="79"/>
    <w:link w:val="299"/>
    <w:qFormat/>
    <w:uiPriority w:val="0"/>
    <w:pPr>
      <w:ind w:firstLine="420" w:firstLineChars="200"/>
    </w:pPr>
    <w:rPr>
      <w:rFonts w:ascii="Times New Roman" w:hAnsi="Times New Roman" w:eastAsia="宋体" w:cs="Times New Roman"/>
      <w:szCs w:val="24"/>
    </w:rPr>
  </w:style>
  <w:style w:type="paragraph" w:styleId="79">
    <w:name w:val="List Paragraph"/>
    <w:basedOn w:val="1"/>
    <w:qFormat/>
    <w:uiPriority w:val="34"/>
    <w:pPr>
      <w:ind w:firstLine="420" w:firstLineChars="200"/>
    </w:pPr>
    <w:rPr>
      <w:rFonts w:ascii="Times New Roman" w:hAnsi="Times New Roman" w:eastAsia="宋体" w:cs="Times New Roman"/>
      <w:szCs w:val="24"/>
    </w:rPr>
  </w:style>
  <w:style w:type="character" w:customStyle="1" w:styleId="80">
    <w:name w:val="文档结构图 字符"/>
    <w:basedOn w:val="59"/>
    <w:link w:val="16"/>
    <w:qFormat/>
    <w:uiPriority w:val="0"/>
    <w:rPr>
      <w:rFonts w:ascii="Times New Roman" w:hAnsi="Times New Roman" w:eastAsia="宋体" w:cs="Times New Roman"/>
      <w:szCs w:val="24"/>
      <w:shd w:val="clear" w:color="auto" w:fill="000080"/>
    </w:rPr>
  </w:style>
  <w:style w:type="character" w:customStyle="1" w:styleId="81">
    <w:name w:val="批注文字 字符"/>
    <w:basedOn w:val="59"/>
    <w:link w:val="17"/>
    <w:qFormat/>
    <w:uiPriority w:val="0"/>
    <w:rPr>
      <w:rFonts w:ascii="Times New Roman" w:hAnsi="Times New Roman" w:eastAsia="宋体" w:cs="Times New Roman"/>
      <w:szCs w:val="24"/>
    </w:rPr>
  </w:style>
  <w:style w:type="character" w:customStyle="1" w:styleId="82">
    <w:name w:val="正文文本 3 字符"/>
    <w:basedOn w:val="59"/>
    <w:link w:val="18"/>
    <w:qFormat/>
    <w:uiPriority w:val="0"/>
    <w:rPr>
      <w:rFonts w:ascii="Times New Roman" w:hAnsi="Times New Roman" w:eastAsia="宋体" w:cs="Times New Roman"/>
      <w:b/>
      <w:bCs/>
      <w:sz w:val="24"/>
      <w:szCs w:val="24"/>
    </w:rPr>
  </w:style>
  <w:style w:type="character" w:customStyle="1" w:styleId="83">
    <w:name w:val="正文文本 字符"/>
    <w:basedOn w:val="59"/>
    <w:link w:val="19"/>
    <w:qFormat/>
    <w:uiPriority w:val="0"/>
    <w:rPr>
      <w:rFonts w:ascii="Times New Roman" w:hAnsi="Times New Roman" w:eastAsia="宋体" w:cs="Times New Roman"/>
      <w:sz w:val="24"/>
      <w:szCs w:val="24"/>
    </w:rPr>
  </w:style>
  <w:style w:type="paragraph" w:customStyle="1" w:styleId="84">
    <w:name w:val="Default"/>
    <w:next w:val="85"/>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5">
    <w:name w:val="TOC 71"/>
    <w:next w:val="1"/>
    <w:qFormat/>
    <w:uiPriority w:val="0"/>
    <w:pPr>
      <w:wordWrap w:val="0"/>
      <w:ind w:left="2550"/>
      <w:jc w:val="both"/>
    </w:pPr>
    <w:rPr>
      <w:rFonts w:ascii="Times New Roman" w:hAnsi="Times New Roman" w:eastAsia="宋体" w:cs="Times New Roman"/>
      <w:kern w:val="0"/>
      <w:sz w:val="21"/>
      <w:szCs w:val="22"/>
      <w:lang w:val="en-US" w:eastAsia="zh-CN" w:bidi="ar-SA"/>
    </w:rPr>
  </w:style>
  <w:style w:type="character" w:customStyle="1" w:styleId="86">
    <w:name w:val="正文文本缩进 字符"/>
    <w:basedOn w:val="59"/>
    <w:qFormat/>
    <w:uiPriority w:val="0"/>
  </w:style>
  <w:style w:type="character" w:customStyle="1" w:styleId="87">
    <w:name w:val="正文文本缩进 字符1"/>
    <w:link w:val="20"/>
    <w:qFormat/>
    <w:uiPriority w:val="0"/>
    <w:rPr>
      <w:rFonts w:ascii="仿宋_GB2312" w:hAnsi="Times New Roman" w:eastAsia="仿宋_GB2312" w:cs="Times New Roman"/>
      <w:sz w:val="32"/>
      <w:szCs w:val="20"/>
    </w:rPr>
  </w:style>
  <w:style w:type="character" w:customStyle="1" w:styleId="88">
    <w:name w:val="纯文本 字符"/>
    <w:basedOn w:val="59"/>
    <w:link w:val="29"/>
    <w:qFormat/>
    <w:uiPriority w:val="0"/>
    <w:rPr>
      <w:rFonts w:ascii="宋体" w:hAnsi="Courier New" w:eastAsia="宋体" w:cs="Courier New"/>
      <w:szCs w:val="21"/>
    </w:rPr>
  </w:style>
  <w:style w:type="character" w:customStyle="1" w:styleId="89">
    <w:name w:val="日期 字符"/>
    <w:basedOn w:val="59"/>
    <w:link w:val="31"/>
    <w:qFormat/>
    <w:uiPriority w:val="0"/>
    <w:rPr>
      <w:rFonts w:ascii="Times New Roman" w:hAnsi="Times New Roman" w:eastAsia="宋体" w:cs="Times New Roman"/>
      <w:szCs w:val="24"/>
    </w:rPr>
  </w:style>
  <w:style w:type="character" w:customStyle="1" w:styleId="90">
    <w:name w:val="正文文本缩进 2 字符"/>
    <w:basedOn w:val="59"/>
    <w:link w:val="32"/>
    <w:qFormat/>
    <w:uiPriority w:val="0"/>
    <w:rPr>
      <w:rFonts w:ascii="Times New Roman" w:hAnsi="Times New Roman" w:eastAsia="宋体" w:cs="Times New Roman"/>
      <w:szCs w:val="24"/>
    </w:rPr>
  </w:style>
  <w:style w:type="character" w:customStyle="1" w:styleId="91">
    <w:name w:val="批注框文本 字符"/>
    <w:basedOn w:val="59"/>
    <w:link w:val="34"/>
    <w:qFormat/>
    <w:uiPriority w:val="99"/>
    <w:rPr>
      <w:rFonts w:ascii="Times New Roman" w:hAnsi="Times New Roman" w:eastAsia="宋体" w:cs="Times New Roman"/>
      <w:sz w:val="18"/>
      <w:szCs w:val="18"/>
    </w:rPr>
  </w:style>
  <w:style w:type="character" w:customStyle="1" w:styleId="92">
    <w:name w:val="页脚 字符"/>
    <w:basedOn w:val="59"/>
    <w:link w:val="35"/>
    <w:qFormat/>
    <w:uiPriority w:val="99"/>
    <w:rPr>
      <w:rFonts w:ascii="Times New Roman" w:hAnsi="Times New Roman" w:eastAsia="宋体" w:cs="Times New Roman"/>
      <w:sz w:val="18"/>
      <w:szCs w:val="18"/>
    </w:rPr>
  </w:style>
  <w:style w:type="character" w:customStyle="1" w:styleId="93">
    <w:name w:val="页眉 字符"/>
    <w:basedOn w:val="59"/>
    <w:link w:val="36"/>
    <w:qFormat/>
    <w:uiPriority w:val="99"/>
    <w:rPr>
      <w:rFonts w:ascii="Times New Roman" w:hAnsi="Times New Roman" w:eastAsia="宋体" w:cs="Times New Roman"/>
      <w:sz w:val="18"/>
      <w:szCs w:val="18"/>
    </w:rPr>
  </w:style>
  <w:style w:type="character" w:customStyle="1" w:styleId="94">
    <w:name w:val="副标题 字符"/>
    <w:basedOn w:val="59"/>
    <w:link w:val="39"/>
    <w:qFormat/>
    <w:uiPriority w:val="11"/>
    <w:rPr>
      <w:rFonts w:ascii="Cambria" w:hAnsi="Cambria" w:eastAsia="宋体" w:cs="Times New Roman"/>
      <w:b/>
      <w:bCs/>
      <w:kern w:val="28"/>
      <w:sz w:val="32"/>
      <w:szCs w:val="32"/>
    </w:rPr>
  </w:style>
  <w:style w:type="character" w:customStyle="1" w:styleId="95">
    <w:name w:val="脚注文本 字符"/>
    <w:basedOn w:val="59"/>
    <w:link w:val="41"/>
    <w:qFormat/>
    <w:uiPriority w:val="0"/>
    <w:rPr>
      <w:rFonts w:ascii="Times New Roman" w:hAnsi="Times New Roman" w:eastAsia="宋体" w:cs="Times New Roman"/>
      <w:b/>
      <w:bCs/>
      <w:kern w:val="44"/>
      <w:sz w:val="44"/>
      <w:szCs w:val="44"/>
    </w:rPr>
  </w:style>
  <w:style w:type="character" w:customStyle="1" w:styleId="96">
    <w:name w:val="正文文本缩进 3 字符"/>
    <w:basedOn w:val="59"/>
    <w:link w:val="44"/>
    <w:qFormat/>
    <w:uiPriority w:val="0"/>
    <w:rPr>
      <w:rFonts w:ascii="Times New Roman" w:hAnsi="Times New Roman" w:eastAsia="宋体" w:cs="Times New Roman"/>
      <w:sz w:val="16"/>
      <w:szCs w:val="16"/>
    </w:rPr>
  </w:style>
  <w:style w:type="character" w:customStyle="1" w:styleId="97">
    <w:name w:val="正文文本 2 字符"/>
    <w:basedOn w:val="59"/>
    <w:link w:val="47"/>
    <w:qFormat/>
    <w:uiPriority w:val="0"/>
    <w:rPr>
      <w:rFonts w:ascii="Times New Roman" w:hAnsi="Times New Roman" w:eastAsia="宋体" w:cs="Times New Roman"/>
      <w:szCs w:val="24"/>
    </w:rPr>
  </w:style>
  <w:style w:type="character" w:customStyle="1" w:styleId="98">
    <w:name w:val="HTML 预设格式 字符"/>
    <w:basedOn w:val="59"/>
    <w:link w:val="50"/>
    <w:qFormat/>
    <w:uiPriority w:val="0"/>
    <w:rPr>
      <w:rFonts w:ascii="黑体" w:hAnsi="Courier New" w:eastAsia="黑体" w:cs="Times New Roman"/>
      <w:kern w:val="0"/>
      <w:sz w:val="20"/>
      <w:szCs w:val="20"/>
    </w:rPr>
  </w:style>
  <w:style w:type="character" w:customStyle="1" w:styleId="99">
    <w:name w:val="普通(网站) 字符"/>
    <w:link w:val="51"/>
    <w:qFormat/>
    <w:locked/>
    <w:uiPriority w:val="99"/>
    <w:rPr>
      <w:rFonts w:ascii="宋体" w:hAnsi="宋体" w:eastAsia="宋体" w:cs="Times New Roman"/>
      <w:kern w:val="0"/>
      <w:sz w:val="24"/>
      <w:szCs w:val="24"/>
    </w:rPr>
  </w:style>
  <w:style w:type="character" w:customStyle="1" w:styleId="100">
    <w:name w:val="标题 字符"/>
    <w:basedOn w:val="59"/>
    <w:link w:val="53"/>
    <w:qFormat/>
    <w:uiPriority w:val="0"/>
    <w:rPr>
      <w:rFonts w:ascii="Cambria" w:hAnsi="Cambria" w:eastAsia="宋体" w:cs="Times New Roman"/>
      <w:b/>
      <w:bCs/>
      <w:sz w:val="32"/>
      <w:szCs w:val="32"/>
    </w:rPr>
  </w:style>
  <w:style w:type="character" w:customStyle="1" w:styleId="101">
    <w:name w:val="批注主题 字符"/>
    <w:basedOn w:val="81"/>
    <w:link w:val="54"/>
    <w:qFormat/>
    <w:uiPriority w:val="0"/>
    <w:rPr>
      <w:rFonts w:ascii="宋体" w:hAnsi="Courier New" w:eastAsia="宋体" w:cs="Times New Roman"/>
      <w:szCs w:val="20"/>
    </w:rPr>
  </w:style>
  <w:style w:type="character" w:customStyle="1" w:styleId="102">
    <w:name w:val="正文文本首行缩进 字符"/>
    <w:qFormat/>
    <w:uiPriority w:val="0"/>
  </w:style>
  <w:style w:type="character" w:customStyle="1" w:styleId="103">
    <w:name w:val="正文文本首行缩进 2 字符"/>
    <w:link w:val="56"/>
    <w:semiHidden/>
    <w:qFormat/>
    <w:uiPriority w:val="0"/>
    <w:rPr>
      <w:rFonts w:ascii="仿宋_GB2312" w:eastAsia="仿宋_GB2312"/>
      <w:szCs w:val="24"/>
    </w:rPr>
  </w:style>
  <w:style w:type="character" w:customStyle="1" w:styleId="104">
    <w:name w:val="批注主题 Char2"/>
    <w:qFormat/>
    <w:uiPriority w:val="0"/>
    <w:rPr>
      <w:rFonts w:ascii="Times New Roman" w:hAnsi="Times New Roman" w:eastAsia="宋体" w:cs="Times New Roman"/>
      <w:b/>
      <w:bCs/>
      <w:kern w:val="2"/>
      <w:sz w:val="21"/>
      <w:szCs w:val="24"/>
    </w:rPr>
  </w:style>
  <w:style w:type="character" w:customStyle="1" w:styleId="105">
    <w:name w:val="Heading 2 Hidden Char"/>
    <w:qFormat/>
    <w:uiPriority w:val="0"/>
    <w:rPr>
      <w:rFonts w:ascii="Arial" w:hAnsi="Arial" w:eastAsia="黑体" w:cs="Times New Roman"/>
      <w:b/>
      <w:bCs/>
      <w:sz w:val="32"/>
      <w:szCs w:val="32"/>
    </w:rPr>
  </w:style>
  <w:style w:type="character" w:customStyle="1" w:styleId="106">
    <w:name w:val="Char Char9"/>
    <w:qFormat/>
    <w:uiPriority w:val="99"/>
    <w:rPr>
      <w:rFonts w:eastAsia="宋体"/>
      <w:b/>
      <w:bCs/>
      <w:kern w:val="44"/>
      <w:sz w:val="32"/>
      <w:szCs w:val="44"/>
      <w:lang w:val="en-US" w:eastAsia="zh-CN" w:bidi="ar-SA"/>
    </w:rPr>
  </w:style>
  <w:style w:type="character" w:customStyle="1" w:styleId="107">
    <w:name w:val="标题4 Char Char"/>
    <w:link w:val="108"/>
    <w:qFormat/>
    <w:uiPriority w:val="99"/>
    <w:rPr>
      <w:rFonts w:ascii="Arial" w:hAnsi="Arial"/>
      <w:b/>
      <w:bCs/>
      <w:sz w:val="24"/>
      <w:szCs w:val="32"/>
    </w:rPr>
  </w:style>
  <w:style w:type="paragraph" w:customStyle="1" w:styleId="108">
    <w:name w:val="标题4"/>
    <w:basedOn w:val="2"/>
    <w:next w:val="26"/>
    <w:link w:val="107"/>
    <w:qFormat/>
    <w:uiPriority w:val="99"/>
    <w:pPr>
      <w:spacing w:before="60" w:after="60" w:line="413" w:lineRule="auto"/>
    </w:pPr>
    <w:rPr>
      <w:rFonts w:eastAsiaTheme="minorEastAsia" w:cstheme="minorBidi"/>
      <w:sz w:val="24"/>
    </w:rPr>
  </w:style>
  <w:style w:type="character" w:customStyle="1" w:styleId="109">
    <w:name w:val="Comment Text Char1"/>
    <w:qFormat/>
    <w:uiPriority w:val="99"/>
    <w:rPr>
      <w:sz w:val="24"/>
      <w:lang w:bidi="ar-SA"/>
    </w:rPr>
  </w:style>
  <w:style w:type="character" w:customStyle="1" w:styleId="110">
    <w:name w:val="Heading 4 Char"/>
    <w:qFormat/>
    <w:uiPriority w:val="99"/>
    <w:rPr>
      <w:rFonts w:ascii="Arial" w:hAnsi="Arial" w:eastAsia="宋体"/>
      <w:b/>
      <w:bCs/>
      <w:kern w:val="2"/>
      <w:sz w:val="21"/>
      <w:szCs w:val="28"/>
      <w:lang w:val="en-US" w:eastAsia="zh-CN" w:bidi="ar-SA"/>
    </w:rPr>
  </w:style>
  <w:style w:type="character" w:customStyle="1" w:styleId="111">
    <w:name w:val="链接"/>
    <w:qFormat/>
    <w:uiPriority w:val="0"/>
    <w:rPr>
      <w:rFonts w:ascii="Times New Roman" w:eastAsia="宋体"/>
      <w:color w:val="0000FF"/>
      <w:sz w:val="21"/>
      <w:u w:val="single" w:color="0000FF"/>
      <w:vertAlign w:val="baseline"/>
      <w:lang w:val="en-US" w:eastAsia="zh-CN"/>
    </w:rPr>
  </w:style>
  <w:style w:type="character" w:customStyle="1" w:styleId="112">
    <w:name w:val="Intense Emphasis"/>
    <w:qFormat/>
    <w:uiPriority w:val="0"/>
    <w:rPr>
      <w:b/>
      <w:bCs/>
      <w:i/>
      <w:iCs/>
      <w:color w:val="4F81BD"/>
    </w:rPr>
  </w:style>
  <w:style w:type="character" w:customStyle="1" w:styleId="113">
    <w:name w:val="批注文字 Char Char"/>
    <w:qFormat/>
    <w:uiPriority w:val="99"/>
    <w:rPr>
      <w:rFonts w:ascii="宋体" w:hAnsi="Times New Roman" w:eastAsia="宋体" w:cs="Times New Roman"/>
      <w:sz w:val="28"/>
      <w:szCs w:val="20"/>
    </w:rPr>
  </w:style>
  <w:style w:type="character" w:customStyle="1" w:styleId="114">
    <w:name w:val="Body Text Indent 2 Char"/>
    <w:qFormat/>
    <w:uiPriority w:val="99"/>
    <w:rPr>
      <w:rFonts w:eastAsia="宋体"/>
      <w:kern w:val="2"/>
      <w:sz w:val="21"/>
      <w:szCs w:val="24"/>
      <w:lang w:val="en-US" w:eastAsia="zh-CN" w:bidi="ar-SA"/>
    </w:rPr>
  </w:style>
  <w:style w:type="character" w:customStyle="1" w:styleId="115">
    <w:name w:val="Char Char6"/>
    <w:qFormat/>
    <w:uiPriority w:val="99"/>
    <w:rPr>
      <w:rFonts w:eastAsia="宋体"/>
      <w:b/>
      <w:bCs/>
      <w:kern w:val="44"/>
      <w:sz w:val="32"/>
      <w:szCs w:val="44"/>
      <w:lang w:val="en-US" w:eastAsia="zh-CN" w:bidi="ar-SA"/>
    </w:rPr>
  </w:style>
  <w:style w:type="character" w:customStyle="1" w:styleId="116">
    <w:name w:val="Char Char23"/>
    <w:qFormat/>
    <w:uiPriority w:val="99"/>
    <w:rPr>
      <w:rFonts w:eastAsia="宋体"/>
      <w:b/>
      <w:bCs/>
      <w:kern w:val="44"/>
      <w:sz w:val="32"/>
      <w:szCs w:val="44"/>
      <w:lang w:val="en-US" w:eastAsia="zh-CN" w:bidi="ar-SA"/>
    </w:rPr>
  </w:style>
  <w:style w:type="character" w:customStyle="1" w:styleId="117">
    <w:name w:val="Intense Quote Char"/>
    <w:link w:val="118"/>
    <w:qFormat/>
    <w:locked/>
    <w:uiPriority w:val="0"/>
    <w:rPr>
      <w:b/>
      <w:i/>
      <w:color w:val="4F81BD"/>
    </w:rPr>
  </w:style>
  <w:style w:type="paragraph" w:customStyle="1" w:styleId="118">
    <w:name w:val="明显引用1"/>
    <w:basedOn w:val="1"/>
    <w:next w:val="1"/>
    <w:link w:val="117"/>
    <w:qFormat/>
    <w:uiPriority w:val="99"/>
    <w:pPr>
      <w:pBdr>
        <w:bottom w:val="single" w:color="4F81BD" w:sz="4" w:space="4"/>
      </w:pBdr>
      <w:spacing w:before="200" w:after="280"/>
      <w:ind w:left="936" w:right="936"/>
    </w:pPr>
    <w:rPr>
      <w:b/>
      <w:i/>
      <w:color w:val="4F81BD"/>
    </w:rPr>
  </w:style>
  <w:style w:type="character" w:customStyle="1" w:styleId="119">
    <w:name w:val="Char Char18"/>
    <w:qFormat/>
    <w:uiPriority w:val="99"/>
    <w:rPr>
      <w:rFonts w:ascii="Times New Roman" w:hAnsi="Times New Roman" w:eastAsia="宋体" w:cs="Times New Roman"/>
      <w:b/>
      <w:bCs/>
      <w:sz w:val="28"/>
      <w:szCs w:val="28"/>
    </w:rPr>
  </w:style>
  <w:style w:type="character" w:customStyle="1" w:styleId="120">
    <w:name w:val="日期 Char1"/>
    <w:qFormat/>
    <w:uiPriority w:val="99"/>
    <w:rPr>
      <w:rFonts w:ascii="Times New Roman" w:hAnsi="Times New Roman" w:eastAsia="宋体" w:cs="Times New Roman"/>
      <w:szCs w:val="24"/>
    </w:rPr>
  </w:style>
  <w:style w:type="character" w:customStyle="1" w:styleId="121">
    <w:name w:val="Heading 2 Char"/>
    <w:qFormat/>
    <w:uiPriority w:val="99"/>
    <w:rPr>
      <w:rFonts w:ascii="Arial" w:hAnsi="Arial" w:eastAsia="黑体"/>
      <w:b/>
      <w:bCs/>
      <w:kern w:val="2"/>
      <w:sz w:val="32"/>
      <w:szCs w:val="32"/>
      <w:lang w:val="en-US" w:eastAsia="zh-CN" w:bidi="ar-SA"/>
    </w:rPr>
  </w:style>
  <w:style w:type="character" w:customStyle="1" w:styleId="122">
    <w:name w:val="font161"/>
    <w:qFormat/>
    <w:uiPriority w:val="0"/>
    <w:rPr>
      <w:rFonts w:ascii="Arial" w:hAnsi="Arial" w:eastAsia="黑体"/>
      <w:b/>
      <w:bCs/>
      <w:kern w:val="2"/>
      <w:sz w:val="32"/>
      <w:szCs w:val="32"/>
      <w:lang w:val="en-US" w:eastAsia="zh-CN" w:bidi="ar-SA"/>
    </w:rPr>
  </w:style>
  <w:style w:type="character" w:customStyle="1" w:styleId="123">
    <w:name w:val="表正文 Char1"/>
    <w:qFormat/>
    <w:uiPriority w:val="0"/>
    <w:rPr>
      <w:rFonts w:eastAsia="宋体"/>
      <w:sz w:val="24"/>
      <w:lang w:val="en-US" w:eastAsia="zh-CN" w:bidi="ar-SA"/>
    </w:rPr>
  </w:style>
  <w:style w:type="character" w:customStyle="1" w:styleId="124">
    <w:name w:val="Heading 9 Char"/>
    <w:qFormat/>
    <w:locked/>
    <w:uiPriority w:val="0"/>
    <w:rPr>
      <w:rFonts w:ascii="Cambria" w:hAnsi="Cambria" w:eastAsia="宋体" w:cs="Times New Roman"/>
      <w:sz w:val="21"/>
      <w:szCs w:val="21"/>
    </w:rPr>
  </w:style>
  <w:style w:type="character" w:customStyle="1" w:styleId="125">
    <w:name w:val="Char Char Char1"/>
    <w:qFormat/>
    <w:uiPriority w:val="0"/>
    <w:rPr>
      <w:rFonts w:ascii="宋体" w:hAnsi="Courier New" w:eastAsia="宋体" w:cs="Courier New"/>
      <w:kern w:val="2"/>
      <w:sz w:val="21"/>
      <w:szCs w:val="21"/>
      <w:lang w:val="en-US" w:eastAsia="zh-CN" w:bidi="ar-SA"/>
    </w:rPr>
  </w:style>
  <w:style w:type="character" w:customStyle="1" w:styleId="126">
    <w:name w:val="H5 Char"/>
    <w:qFormat/>
    <w:uiPriority w:val="0"/>
    <w:rPr>
      <w:rFonts w:ascii="Times New Roman" w:hAnsi="Times New Roman" w:eastAsia="宋体" w:cs="Times New Roman"/>
      <w:b/>
      <w:sz w:val="28"/>
      <w:szCs w:val="24"/>
    </w:rPr>
  </w:style>
  <w:style w:type="character" w:customStyle="1" w:styleId="127">
    <w:name w:val="Char Char21"/>
    <w:qFormat/>
    <w:uiPriority w:val="99"/>
    <w:rPr>
      <w:rFonts w:ascii="Arial" w:hAnsi="Arial" w:eastAsia="黑体"/>
      <w:b/>
      <w:bCs/>
      <w:kern w:val="2"/>
      <w:sz w:val="32"/>
      <w:szCs w:val="32"/>
      <w:lang w:val="en-US" w:eastAsia="zh-CN" w:bidi="ar-SA"/>
    </w:rPr>
  </w:style>
  <w:style w:type="character" w:customStyle="1" w:styleId="128">
    <w:name w:val="Char Char22"/>
    <w:qFormat/>
    <w:uiPriority w:val="99"/>
    <w:rPr>
      <w:rFonts w:ascii="Times New Roman" w:hAnsi="Times New Roman" w:eastAsia="宋体" w:cs="Times New Roman"/>
      <w:b/>
      <w:bCs/>
      <w:kern w:val="44"/>
      <w:sz w:val="32"/>
      <w:szCs w:val="44"/>
    </w:rPr>
  </w:style>
  <w:style w:type="character" w:customStyle="1" w:styleId="129">
    <w:name w:val="标题 Char1"/>
    <w:qFormat/>
    <w:uiPriority w:val="99"/>
    <w:rPr>
      <w:rFonts w:ascii="Cambria" w:hAnsi="Cambria" w:eastAsia="宋体" w:cs="Times New Roman"/>
      <w:b/>
      <w:bCs/>
      <w:sz w:val="32"/>
      <w:szCs w:val="32"/>
    </w:rPr>
  </w:style>
  <w:style w:type="character" w:customStyle="1" w:styleId="130">
    <w:name w:val="Char Char7"/>
    <w:qFormat/>
    <w:uiPriority w:val="0"/>
    <w:rPr>
      <w:rFonts w:ascii="宋体" w:hAnsi="Courier New" w:eastAsia="宋体"/>
      <w:kern w:val="2"/>
      <w:sz w:val="21"/>
      <w:szCs w:val="24"/>
      <w:lang w:val="en-US" w:eastAsia="zh-CN" w:bidi="ar-SA"/>
    </w:rPr>
  </w:style>
  <w:style w:type="character" w:customStyle="1" w:styleId="131">
    <w:name w:val="H1 Char"/>
    <w:qFormat/>
    <w:uiPriority w:val="0"/>
    <w:rPr>
      <w:rFonts w:ascii="Times New Roman" w:hAnsi="Times New Roman" w:eastAsia="宋体" w:cs="Times New Roman"/>
      <w:b/>
      <w:bCs/>
      <w:kern w:val="44"/>
      <w:sz w:val="44"/>
      <w:szCs w:val="44"/>
    </w:rPr>
  </w:style>
  <w:style w:type="character" w:customStyle="1" w:styleId="132">
    <w:name w:val="批注框文本 Char2"/>
    <w:qFormat/>
    <w:uiPriority w:val="0"/>
    <w:rPr>
      <w:kern w:val="2"/>
      <w:sz w:val="18"/>
      <w:szCs w:val="18"/>
    </w:rPr>
  </w:style>
  <w:style w:type="character" w:customStyle="1" w:styleId="133">
    <w:name w:val="Intense Reference"/>
    <w:qFormat/>
    <w:uiPriority w:val="0"/>
    <w:rPr>
      <w:b/>
      <w:bCs/>
      <w:smallCaps/>
      <w:color w:val="C0504D"/>
      <w:spacing w:val="5"/>
      <w:u w:val="single"/>
    </w:rPr>
  </w:style>
  <w:style w:type="character" w:customStyle="1" w:styleId="134">
    <w:name w:val="Quote Char"/>
    <w:link w:val="135"/>
    <w:qFormat/>
    <w:locked/>
    <w:uiPriority w:val="0"/>
    <w:rPr>
      <w:i/>
      <w:color w:val="000000"/>
    </w:rPr>
  </w:style>
  <w:style w:type="paragraph" w:customStyle="1" w:styleId="135">
    <w:name w:val="引用1"/>
    <w:basedOn w:val="1"/>
    <w:next w:val="1"/>
    <w:link w:val="134"/>
    <w:qFormat/>
    <w:uiPriority w:val="99"/>
    <w:rPr>
      <w:i/>
      <w:color w:val="000000"/>
    </w:rPr>
  </w:style>
  <w:style w:type="character" w:customStyle="1" w:styleId="136">
    <w:name w:val="Document Map Char"/>
    <w:qFormat/>
    <w:uiPriority w:val="99"/>
    <w:rPr>
      <w:rFonts w:eastAsia="宋体"/>
      <w:kern w:val="2"/>
      <w:sz w:val="21"/>
      <w:szCs w:val="24"/>
      <w:lang w:val="en-US" w:eastAsia="zh-CN" w:bidi="ar-SA"/>
    </w:rPr>
  </w:style>
  <w:style w:type="character" w:customStyle="1" w:styleId="137">
    <w:name w:val="批注文字 Char2"/>
    <w:qFormat/>
    <w:uiPriority w:val="0"/>
    <w:rPr>
      <w:szCs w:val="24"/>
    </w:rPr>
  </w:style>
  <w:style w:type="character" w:customStyle="1" w:styleId="138">
    <w:name w:val="16"/>
    <w:qFormat/>
    <w:uiPriority w:val="0"/>
    <w:rPr>
      <w:rFonts w:hint="default" w:ascii="Arial" w:hAnsi="Arial" w:cs="Arial"/>
      <w:color w:val="0000FF"/>
      <w:sz w:val="21"/>
      <w:szCs w:val="21"/>
      <w:u w:val="single"/>
    </w:rPr>
  </w:style>
  <w:style w:type="character" w:customStyle="1" w:styleId="139">
    <w:name w:val="Char Char181"/>
    <w:qFormat/>
    <w:uiPriority w:val="99"/>
    <w:rPr>
      <w:b/>
      <w:bCs/>
      <w:kern w:val="44"/>
      <w:sz w:val="44"/>
      <w:szCs w:val="44"/>
    </w:rPr>
  </w:style>
  <w:style w:type="character" w:customStyle="1" w:styleId="140">
    <w:name w:val="正文文本 Char"/>
    <w:qFormat/>
    <w:uiPriority w:val="0"/>
    <w:rPr>
      <w:rFonts w:eastAsia="宋体"/>
      <w:kern w:val="2"/>
      <w:sz w:val="52"/>
      <w:szCs w:val="24"/>
      <w:lang w:val="en-US" w:eastAsia="zh-CN" w:bidi="ar-SA"/>
    </w:rPr>
  </w:style>
  <w:style w:type="character" w:customStyle="1" w:styleId="141">
    <w:name w:val="Comment Text Char"/>
    <w:qFormat/>
    <w:uiPriority w:val="99"/>
    <w:rPr>
      <w:rFonts w:cs="Times New Roman"/>
      <w:sz w:val="24"/>
      <w:szCs w:val="24"/>
    </w:rPr>
  </w:style>
  <w:style w:type="character" w:customStyle="1" w:styleId="142">
    <w:name w:val="15"/>
    <w:qFormat/>
    <w:uiPriority w:val="0"/>
    <w:rPr>
      <w:rFonts w:hint="default" w:ascii="Times New Roman" w:hAnsi="Times New Roman" w:cs="Times New Roman"/>
    </w:rPr>
  </w:style>
  <w:style w:type="character" w:customStyle="1" w:styleId="143">
    <w:name w:val="h Char"/>
    <w:qFormat/>
    <w:uiPriority w:val="0"/>
    <w:rPr>
      <w:rFonts w:ascii="Times New Roman" w:hAnsi="Times New Roman" w:eastAsia="宋体" w:cs="Times New Roman"/>
      <w:sz w:val="18"/>
      <w:szCs w:val="18"/>
    </w:rPr>
  </w:style>
  <w:style w:type="character" w:customStyle="1" w:styleId="144">
    <w:name w:val="Plain Text Char"/>
    <w:qFormat/>
    <w:uiPriority w:val="99"/>
    <w:rPr>
      <w:rFonts w:ascii="宋体" w:hAnsi="Courier New" w:eastAsia="宋体"/>
      <w:sz w:val="24"/>
      <w:lang w:bidi="ar-SA"/>
    </w:rPr>
  </w:style>
  <w:style w:type="character" w:customStyle="1" w:styleId="145">
    <w:name w:val="手改 Char Char"/>
    <w:qFormat/>
    <w:uiPriority w:val="0"/>
    <w:rPr>
      <w:rFonts w:ascii="Times New Roman" w:hAnsi="Times New Roman" w:eastAsia="宋体" w:cs="Times New Roman"/>
      <w:sz w:val="24"/>
      <w:szCs w:val="24"/>
    </w:rPr>
  </w:style>
  <w:style w:type="character" w:customStyle="1" w:styleId="146">
    <w:name w:val="Heading 1 Char"/>
    <w:qFormat/>
    <w:uiPriority w:val="99"/>
    <w:rPr>
      <w:rFonts w:eastAsia="宋体"/>
      <w:b/>
      <w:bCs/>
      <w:kern w:val="44"/>
      <w:sz w:val="32"/>
      <w:szCs w:val="44"/>
      <w:lang w:val="en-US" w:eastAsia="zh-CN" w:bidi="ar-SA"/>
    </w:rPr>
  </w:style>
  <w:style w:type="character" w:customStyle="1" w:styleId="147">
    <w:name w:val="Body Text Indent Char"/>
    <w:qFormat/>
    <w:uiPriority w:val="99"/>
    <w:rPr>
      <w:rFonts w:ascii="宋体" w:hAnsi="宋体" w:eastAsia="宋体"/>
      <w:kern w:val="2"/>
      <w:sz w:val="21"/>
      <w:lang w:val="en-US" w:eastAsia="zh-CN" w:bidi="ar-SA"/>
    </w:rPr>
  </w:style>
  <w:style w:type="character" w:customStyle="1" w:styleId="148">
    <w:name w:val="纯文本 Char1"/>
    <w:qFormat/>
    <w:uiPriority w:val="0"/>
    <w:rPr>
      <w:rFonts w:ascii="宋体" w:hAnsi="Courier New" w:eastAsia="宋体" w:cs="Courier New"/>
      <w:szCs w:val="21"/>
    </w:rPr>
  </w:style>
  <w:style w:type="character" w:customStyle="1" w:styleId="149">
    <w:name w:val="标题 Char2"/>
    <w:qFormat/>
    <w:uiPriority w:val="99"/>
    <w:rPr>
      <w:rFonts w:ascii="Cambria" w:hAnsi="Cambria" w:eastAsia="宋体" w:cs="Times New Roman"/>
      <w:b/>
      <w:bCs/>
      <w:sz w:val="32"/>
      <w:szCs w:val="32"/>
    </w:rPr>
  </w:style>
  <w:style w:type="character" w:customStyle="1" w:styleId="150">
    <w:name w:val="Char Char5"/>
    <w:qFormat/>
    <w:uiPriority w:val="0"/>
    <w:rPr>
      <w:rFonts w:eastAsia="宋体"/>
      <w:kern w:val="2"/>
      <w:sz w:val="21"/>
      <w:szCs w:val="24"/>
      <w:lang w:val="en-US" w:eastAsia="zh-CN" w:bidi="ar-SA"/>
    </w:rPr>
  </w:style>
  <w:style w:type="character" w:customStyle="1" w:styleId="151">
    <w:name w:val="Subtle Reference"/>
    <w:qFormat/>
    <w:uiPriority w:val="0"/>
    <w:rPr>
      <w:smallCaps/>
      <w:color w:val="C0504D"/>
      <w:u w:val="single"/>
    </w:rPr>
  </w:style>
  <w:style w:type="character" w:customStyle="1" w:styleId="152">
    <w:name w:val="批注主题 Char1"/>
    <w:qFormat/>
    <w:uiPriority w:val="99"/>
    <w:rPr>
      <w:rFonts w:ascii="Times New Roman" w:hAnsi="Times New Roman" w:eastAsia="宋体" w:cs="Times New Roman"/>
      <w:b/>
      <w:bCs/>
      <w:szCs w:val="24"/>
    </w:rPr>
  </w:style>
  <w:style w:type="character" w:customStyle="1" w:styleId="153">
    <w:name w:val="无间隔 字符"/>
    <w:link w:val="154"/>
    <w:qFormat/>
    <w:uiPriority w:val="0"/>
    <w:rPr>
      <w:rFonts w:ascii="Calibri" w:hAnsi="Calibri" w:eastAsia="Times New Roman"/>
      <w:sz w:val="22"/>
    </w:rPr>
  </w:style>
  <w:style w:type="paragraph" w:styleId="154">
    <w:name w:val="No Spacing"/>
    <w:link w:val="153"/>
    <w:qFormat/>
    <w:uiPriority w:val="0"/>
    <w:rPr>
      <w:rFonts w:ascii="Calibri" w:hAnsi="Calibri" w:eastAsia="Times New Roman" w:cstheme="minorBidi"/>
      <w:kern w:val="2"/>
      <w:sz w:val="22"/>
      <w:szCs w:val="22"/>
      <w:lang w:val="en-US" w:eastAsia="zh-CN" w:bidi="ar-SA"/>
    </w:rPr>
  </w:style>
  <w:style w:type="character" w:customStyle="1" w:styleId="155">
    <w:name w:val="正文文字首行缩进 Char"/>
    <w:qFormat/>
    <w:uiPriority w:val="0"/>
    <w:rPr>
      <w:rFonts w:ascii="仿宋_GB2312" w:hAnsi="Times New Roman" w:eastAsia="仿宋_GB2312" w:cs="Times New Roman"/>
      <w:sz w:val="32"/>
      <w:szCs w:val="20"/>
    </w:rPr>
  </w:style>
  <w:style w:type="character" w:customStyle="1" w:styleId="156">
    <w:name w:val="apple-converted-space"/>
    <w:qFormat/>
    <w:uiPriority w:val="0"/>
  </w:style>
  <w:style w:type="character" w:customStyle="1" w:styleId="157">
    <w:name w:val="Char Char211"/>
    <w:qFormat/>
    <w:uiPriority w:val="0"/>
    <w:rPr>
      <w:rFonts w:ascii="Arial" w:hAnsi="Arial" w:eastAsia="黑体" w:cs="Times New Roman"/>
      <w:b/>
      <w:bCs/>
      <w:sz w:val="32"/>
      <w:szCs w:val="32"/>
    </w:rPr>
  </w:style>
  <w:style w:type="character" w:customStyle="1" w:styleId="158">
    <w:name w:val="Char Char2"/>
    <w:qFormat/>
    <w:uiPriority w:val="0"/>
    <w:rPr>
      <w:kern w:val="2"/>
      <w:sz w:val="21"/>
      <w:szCs w:val="24"/>
    </w:rPr>
  </w:style>
  <w:style w:type="character" w:customStyle="1" w:styleId="159">
    <w:name w:val="1ji Char"/>
    <w:qFormat/>
    <w:uiPriority w:val="0"/>
    <w:rPr>
      <w:rFonts w:ascii="宋体" w:hAnsi="宋体" w:eastAsia="宋体"/>
      <w:b/>
      <w:bCs/>
      <w:kern w:val="44"/>
      <w:sz w:val="36"/>
      <w:szCs w:val="44"/>
      <w:lang w:val="en-US" w:eastAsia="zh-CN" w:bidi="ar-SA"/>
    </w:rPr>
  </w:style>
  <w:style w:type="character" w:customStyle="1" w:styleId="160">
    <w:name w:val="Char Char91"/>
    <w:qFormat/>
    <w:uiPriority w:val="99"/>
    <w:rPr>
      <w:rFonts w:eastAsia="宋体"/>
      <w:b/>
      <w:bCs/>
      <w:kern w:val="44"/>
      <w:sz w:val="32"/>
      <w:szCs w:val="44"/>
      <w:lang w:val="en-US" w:eastAsia="zh-CN" w:bidi="ar-SA"/>
    </w:rPr>
  </w:style>
  <w:style w:type="character" w:customStyle="1" w:styleId="161">
    <w:name w:val="Char Char19"/>
    <w:qFormat/>
    <w:uiPriority w:val="99"/>
    <w:rPr>
      <w:rFonts w:ascii="Cambria" w:hAnsi="Cambria" w:eastAsia="宋体" w:cs="Times New Roman"/>
      <w:b/>
      <w:bCs/>
      <w:kern w:val="2"/>
      <w:sz w:val="28"/>
      <w:szCs w:val="28"/>
    </w:rPr>
  </w:style>
  <w:style w:type="character" w:customStyle="1" w:styleId="162">
    <w:name w:val="Char Char20"/>
    <w:qFormat/>
    <w:uiPriority w:val="99"/>
    <w:rPr>
      <w:b/>
      <w:bCs/>
      <w:kern w:val="2"/>
      <w:sz w:val="32"/>
      <w:szCs w:val="32"/>
    </w:rPr>
  </w:style>
  <w:style w:type="character" w:customStyle="1" w:styleId="163">
    <w:name w:val="样式1 Char"/>
    <w:link w:val="164"/>
    <w:qFormat/>
    <w:uiPriority w:val="0"/>
    <w:rPr>
      <w:rFonts w:ascii="宋体" w:hAnsi="宋体"/>
      <w:szCs w:val="21"/>
    </w:rPr>
  </w:style>
  <w:style w:type="paragraph" w:customStyle="1" w:styleId="164">
    <w:name w:val="样式1"/>
    <w:basedOn w:val="1"/>
    <w:link w:val="163"/>
    <w:qFormat/>
    <w:uiPriority w:val="99"/>
    <w:pPr>
      <w:tabs>
        <w:tab w:val="left" w:pos="284"/>
        <w:tab w:val="left" w:pos="420"/>
      </w:tabs>
      <w:ind w:left="284" w:hanging="284"/>
    </w:pPr>
    <w:rPr>
      <w:rFonts w:ascii="宋体" w:hAnsi="宋体"/>
      <w:szCs w:val="21"/>
    </w:rPr>
  </w:style>
  <w:style w:type="character" w:customStyle="1" w:styleId="165">
    <w:name w:val="grame"/>
    <w:qFormat/>
    <w:uiPriority w:val="0"/>
  </w:style>
  <w:style w:type="character" w:customStyle="1" w:styleId="166">
    <w:name w:val="批注框文本 Char1"/>
    <w:qFormat/>
    <w:uiPriority w:val="99"/>
    <w:rPr>
      <w:rFonts w:ascii="Times New Roman" w:hAnsi="Times New Roman" w:eastAsia="宋体" w:cs="Times New Roman"/>
      <w:sz w:val="18"/>
      <w:szCs w:val="18"/>
    </w:rPr>
  </w:style>
  <w:style w:type="character" w:customStyle="1" w:styleId="167">
    <w:name w:val="Title Char"/>
    <w:qFormat/>
    <w:uiPriority w:val="99"/>
    <w:rPr>
      <w:rFonts w:ascii="Cambria" w:hAnsi="Cambria"/>
      <w:b/>
      <w:sz w:val="32"/>
      <w:lang w:bidi="ar-SA"/>
    </w:rPr>
  </w:style>
  <w:style w:type="character" w:customStyle="1" w:styleId="168">
    <w:name w:val="font5 Char"/>
    <w:qFormat/>
    <w:uiPriority w:val="0"/>
    <w:rPr>
      <w:rFonts w:ascii="宋体" w:hAnsi="宋体" w:eastAsia="宋体"/>
      <w:sz w:val="24"/>
      <w:szCs w:val="24"/>
      <w:lang w:val="en-US" w:eastAsia="zh-CN" w:bidi="ar-SA"/>
    </w:rPr>
  </w:style>
  <w:style w:type="character" w:customStyle="1" w:styleId="169">
    <w:name w:val="明显参考1"/>
    <w:qFormat/>
    <w:uiPriority w:val="99"/>
    <w:rPr>
      <w:b/>
      <w:smallCaps/>
      <w:color w:val="C0504D"/>
      <w:spacing w:val="5"/>
      <w:u w:val="single"/>
    </w:rPr>
  </w:style>
  <w:style w:type="character" w:customStyle="1" w:styleId="170">
    <w:name w:val="062"/>
    <w:qFormat/>
    <w:uiPriority w:val="0"/>
    <w:rPr>
      <w:rFonts w:ascii="宋体" w:hAnsi="宋体"/>
      <w:b/>
      <w:bCs/>
      <w:sz w:val="32"/>
    </w:rPr>
  </w:style>
  <w:style w:type="character" w:customStyle="1" w:styleId="171">
    <w:name w:val="不明显参考1"/>
    <w:qFormat/>
    <w:uiPriority w:val="99"/>
    <w:rPr>
      <w:smallCaps/>
      <w:color w:val="C0504D"/>
      <w:u w:val="single"/>
    </w:rPr>
  </w:style>
  <w:style w:type="character" w:customStyle="1" w:styleId="172">
    <w:name w:val="文档结构图 Char1"/>
    <w:qFormat/>
    <w:uiPriority w:val="99"/>
    <w:rPr>
      <w:rFonts w:ascii="宋体" w:hAnsi="Times New Roman" w:eastAsia="宋体" w:cs="Times New Roman"/>
      <w:sz w:val="18"/>
      <w:szCs w:val="18"/>
    </w:rPr>
  </w:style>
  <w:style w:type="character" w:customStyle="1" w:styleId="173">
    <w:name w:val="批注文字 Char3"/>
    <w:qFormat/>
    <w:uiPriority w:val="0"/>
    <w:rPr>
      <w:rFonts w:eastAsia="宋体"/>
      <w:sz w:val="24"/>
      <w:lang w:val="en-US" w:eastAsia="zh-CN" w:bidi="ar-SA"/>
    </w:rPr>
  </w:style>
  <w:style w:type="character" w:customStyle="1" w:styleId="174">
    <w:name w:val="小标题 Char"/>
    <w:qFormat/>
    <w:uiPriority w:val="0"/>
    <w:rPr>
      <w:rFonts w:ascii="Times New Roman" w:hAnsi="Times New Roman" w:eastAsia="宋体" w:cs="Times New Roman"/>
      <w:b/>
      <w:bCs/>
      <w:sz w:val="32"/>
      <w:szCs w:val="32"/>
    </w:rPr>
  </w:style>
  <w:style w:type="character" w:customStyle="1" w:styleId="175">
    <w:name w:val="明显强调1"/>
    <w:qFormat/>
    <w:uiPriority w:val="99"/>
    <w:rPr>
      <w:b/>
      <w:i/>
      <w:color w:val="4F81BD"/>
    </w:rPr>
  </w:style>
  <w:style w:type="character" w:customStyle="1" w:styleId="176">
    <w:name w:val="Heading 7 Char"/>
    <w:qFormat/>
    <w:locked/>
    <w:uiPriority w:val="0"/>
    <w:rPr>
      <w:rFonts w:ascii="Calibri" w:hAnsi="Calibri" w:eastAsia="宋体" w:cs="Times New Roman"/>
      <w:b/>
      <w:bCs/>
      <w:sz w:val="24"/>
      <w:szCs w:val="24"/>
    </w:rPr>
  </w:style>
  <w:style w:type="character" w:customStyle="1" w:styleId="177">
    <w:name w:val="Char Char182"/>
    <w:qFormat/>
    <w:uiPriority w:val="0"/>
    <w:rPr>
      <w:b/>
      <w:bCs/>
      <w:kern w:val="44"/>
      <w:sz w:val="44"/>
      <w:szCs w:val="44"/>
    </w:rPr>
  </w:style>
  <w:style w:type="character" w:customStyle="1" w:styleId="178">
    <w:name w:val="Char Char221"/>
    <w:qFormat/>
    <w:uiPriority w:val="0"/>
    <w:rPr>
      <w:b/>
      <w:bCs/>
      <w:kern w:val="44"/>
      <w:sz w:val="44"/>
      <w:szCs w:val="44"/>
    </w:rPr>
  </w:style>
  <w:style w:type="character" w:customStyle="1" w:styleId="179">
    <w:name w:val="Char Char24"/>
    <w:qFormat/>
    <w:uiPriority w:val="99"/>
    <w:rPr>
      <w:rFonts w:eastAsia="宋体"/>
      <w:b/>
      <w:bCs/>
      <w:kern w:val="44"/>
      <w:sz w:val="32"/>
      <w:szCs w:val="44"/>
      <w:lang w:val="en-US" w:eastAsia="zh-CN" w:bidi="ar-SA"/>
    </w:rPr>
  </w:style>
  <w:style w:type="character" w:customStyle="1" w:styleId="180">
    <w:name w:val="Char Char201"/>
    <w:qFormat/>
    <w:uiPriority w:val="0"/>
    <w:rPr>
      <w:rFonts w:ascii="Times New Roman" w:hAnsi="Times New Roman" w:eastAsia="宋体" w:cs="Times New Roman"/>
      <w:b/>
      <w:bCs/>
      <w:sz w:val="24"/>
      <w:szCs w:val="32"/>
    </w:rPr>
  </w:style>
  <w:style w:type="character" w:customStyle="1" w:styleId="181">
    <w:name w:val="Book Title"/>
    <w:qFormat/>
    <w:uiPriority w:val="0"/>
    <w:rPr>
      <w:b/>
      <w:bCs/>
      <w:smallCaps/>
      <w:spacing w:val="5"/>
    </w:rPr>
  </w:style>
  <w:style w:type="character" w:customStyle="1" w:styleId="182">
    <w:name w:val="书籍标题1"/>
    <w:qFormat/>
    <w:uiPriority w:val="99"/>
    <w:rPr>
      <w:b/>
      <w:smallCaps/>
      <w:spacing w:val="5"/>
    </w:rPr>
  </w:style>
  <w:style w:type="character" w:customStyle="1" w:styleId="183">
    <w:name w:val="Body Text Char"/>
    <w:qFormat/>
    <w:locked/>
    <w:uiPriority w:val="0"/>
    <w:rPr>
      <w:rFonts w:ascii="Times New Roman" w:hAnsi="Times New Roman"/>
    </w:rPr>
  </w:style>
  <w:style w:type="character" w:customStyle="1" w:styleId="184">
    <w:name w:val="lb1"/>
    <w:qFormat/>
    <w:uiPriority w:val="0"/>
    <w:rPr>
      <w:rFonts w:hint="default"/>
      <w:b/>
      <w:bCs/>
      <w:color w:val="0851A5"/>
      <w:sz w:val="27"/>
      <w:szCs w:val="27"/>
    </w:rPr>
  </w:style>
  <w:style w:type="character" w:customStyle="1" w:styleId="185">
    <w:name w:val="Footnote Text Char"/>
    <w:qFormat/>
    <w:uiPriority w:val="99"/>
    <w:rPr>
      <w:rFonts w:eastAsia="宋体"/>
      <w:sz w:val="18"/>
      <w:lang w:val="en-US" w:eastAsia="zh-CN" w:bidi="ar-SA"/>
    </w:rPr>
  </w:style>
  <w:style w:type="character" w:customStyle="1" w:styleId="186">
    <w:name w:val="日期 Char2"/>
    <w:qFormat/>
    <w:uiPriority w:val="0"/>
    <w:rPr>
      <w:rFonts w:eastAsia="宋体"/>
      <w:kern w:val="2"/>
      <w:sz w:val="28"/>
      <w:lang w:val="en-US" w:eastAsia="zh-CN" w:bidi="ar-SA"/>
    </w:rPr>
  </w:style>
  <w:style w:type="character" w:customStyle="1" w:styleId="187">
    <w:name w:val="search_content1"/>
    <w:qFormat/>
    <w:uiPriority w:val="0"/>
    <w:rPr>
      <w:sz w:val="20"/>
      <w:szCs w:val="20"/>
    </w:rPr>
  </w:style>
  <w:style w:type="character" w:customStyle="1" w:styleId="188">
    <w:name w:val="Heading 3 Char"/>
    <w:qFormat/>
    <w:uiPriority w:val="99"/>
    <w:rPr>
      <w:rFonts w:cs="Times New Roman"/>
      <w:b/>
      <w:bCs/>
      <w:kern w:val="2"/>
      <w:sz w:val="32"/>
      <w:szCs w:val="32"/>
    </w:rPr>
  </w:style>
  <w:style w:type="character" w:customStyle="1" w:styleId="189">
    <w:name w:val="正文文本 Char1"/>
    <w:qFormat/>
    <w:uiPriority w:val="99"/>
    <w:rPr>
      <w:kern w:val="2"/>
      <w:sz w:val="21"/>
      <w:szCs w:val="22"/>
    </w:rPr>
  </w:style>
  <w:style w:type="character" w:customStyle="1" w:styleId="190">
    <w:name w:val="正文文本 Char2"/>
    <w:qFormat/>
    <w:uiPriority w:val="0"/>
    <w:rPr>
      <w:kern w:val="2"/>
      <w:sz w:val="21"/>
      <w:szCs w:val="24"/>
    </w:rPr>
  </w:style>
  <w:style w:type="character" w:customStyle="1" w:styleId="191">
    <w:name w:val="Char Char Char"/>
    <w:qFormat/>
    <w:uiPriority w:val="0"/>
    <w:rPr>
      <w:rFonts w:ascii="宋体" w:hAnsi="Courier New" w:eastAsia="宋体"/>
      <w:kern w:val="2"/>
      <w:sz w:val="21"/>
      <w:lang w:val="en-US" w:eastAsia="zh-CN" w:bidi="ar-SA"/>
    </w:rPr>
  </w:style>
  <w:style w:type="character" w:customStyle="1" w:styleId="192">
    <w:name w:val="Balloon Text Char"/>
    <w:qFormat/>
    <w:uiPriority w:val="99"/>
    <w:rPr>
      <w:sz w:val="18"/>
      <w:lang w:bidi="ar-SA"/>
    </w:rPr>
  </w:style>
  <w:style w:type="character" w:customStyle="1" w:styleId="193">
    <w:name w:val="明显引用 Char2"/>
    <w:qFormat/>
    <w:uiPriority w:val="30"/>
    <w:rPr>
      <w:b/>
      <w:bCs/>
      <w:i/>
      <w:iCs/>
      <w:color w:val="4F81BD"/>
      <w:kern w:val="2"/>
      <w:sz w:val="21"/>
      <w:szCs w:val="24"/>
    </w:rPr>
  </w:style>
  <w:style w:type="character" w:customStyle="1" w:styleId="194">
    <w:name w:val="副标题 Char2"/>
    <w:qFormat/>
    <w:uiPriority w:val="0"/>
    <w:rPr>
      <w:rFonts w:ascii="Cambria" w:hAnsi="Cambria" w:cs="Times New Roman"/>
      <w:b/>
      <w:bCs/>
      <w:kern w:val="28"/>
      <w:sz w:val="32"/>
      <w:szCs w:val="32"/>
    </w:rPr>
  </w:style>
  <w:style w:type="character" w:customStyle="1" w:styleId="195">
    <w:name w:val="超级链接"/>
    <w:qFormat/>
    <w:uiPriority w:val="0"/>
    <w:rPr>
      <w:rFonts w:ascii="Times New Roman" w:eastAsia="宋体"/>
      <w:color w:val="0000FF"/>
      <w:sz w:val="21"/>
      <w:u w:val="single" w:color="0000FF"/>
      <w:vertAlign w:val="baseline"/>
      <w:lang w:val="en-US" w:eastAsia="zh-CN"/>
    </w:rPr>
  </w:style>
  <w:style w:type="character" w:customStyle="1" w:styleId="196">
    <w:name w:val="case31"/>
    <w:qFormat/>
    <w:uiPriority w:val="0"/>
    <w:rPr>
      <w:rFonts w:hint="default"/>
      <w:sz w:val="21"/>
      <w:szCs w:val="21"/>
    </w:rPr>
  </w:style>
  <w:style w:type="character" w:customStyle="1" w:styleId="197">
    <w:name w:val="fo Char"/>
    <w:qFormat/>
    <w:uiPriority w:val="0"/>
    <w:rPr>
      <w:rFonts w:ascii="Times New Roman" w:hAnsi="Times New Roman" w:eastAsia="宋体" w:cs="Times New Roman"/>
      <w:sz w:val="18"/>
      <w:szCs w:val="18"/>
    </w:rPr>
  </w:style>
  <w:style w:type="character" w:customStyle="1" w:styleId="198">
    <w:name w:val="引用 Char2"/>
    <w:qFormat/>
    <w:uiPriority w:val="29"/>
    <w:rPr>
      <w:i/>
      <w:iCs/>
      <w:color w:val="000000"/>
      <w:kern w:val="2"/>
      <w:sz w:val="21"/>
      <w:szCs w:val="24"/>
    </w:rPr>
  </w:style>
  <w:style w:type="character" w:customStyle="1" w:styleId="199">
    <w:name w:val="18h1"/>
    <w:qFormat/>
    <w:uiPriority w:val="0"/>
    <w:rPr>
      <w:color w:val="3B3B3B"/>
    </w:rPr>
  </w:style>
  <w:style w:type="character" w:customStyle="1" w:styleId="200">
    <w:name w:val="textcontents"/>
    <w:qFormat/>
    <w:uiPriority w:val="99"/>
  </w:style>
  <w:style w:type="character" w:customStyle="1" w:styleId="201">
    <w:name w:val="Footer Char"/>
    <w:qFormat/>
    <w:uiPriority w:val="99"/>
    <w:rPr>
      <w:rFonts w:eastAsia="宋体"/>
      <w:kern w:val="2"/>
      <w:sz w:val="18"/>
      <w:szCs w:val="18"/>
      <w:lang w:val="en-US" w:eastAsia="zh-CN" w:bidi="ar-SA"/>
    </w:rPr>
  </w:style>
  <w:style w:type="character" w:customStyle="1" w:styleId="202">
    <w:name w:val="Char Char25"/>
    <w:qFormat/>
    <w:uiPriority w:val="0"/>
    <w:rPr>
      <w:rFonts w:ascii="宋体" w:hAnsi="宋体" w:eastAsia="宋体"/>
      <w:kern w:val="2"/>
      <w:sz w:val="21"/>
      <w:szCs w:val="24"/>
      <w:lang w:val="en-US" w:eastAsia="zh-CN" w:bidi="ar-SA"/>
    </w:rPr>
  </w:style>
  <w:style w:type="character" w:customStyle="1" w:styleId="203">
    <w:name w:val="副标题 Char1"/>
    <w:qFormat/>
    <w:locked/>
    <w:uiPriority w:val="0"/>
    <w:rPr>
      <w:rFonts w:ascii="Cambria" w:hAnsi="Cambria" w:eastAsia="宋体" w:cs="Times New Roman"/>
      <w:b/>
      <w:bCs/>
      <w:kern w:val="28"/>
      <w:sz w:val="32"/>
      <w:szCs w:val="32"/>
    </w:rPr>
  </w:style>
  <w:style w:type="character" w:customStyle="1" w:styleId="204">
    <w:name w:val="普通文字 Char Char1"/>
    <w:qFormat/>
    <w:uiPriority w:val="0"/>
    <w:rPr>
      <w:rFonts w:ascii="宋体" w:hAnsi="Courier New" w:eastAsia="宋体" w:cs="Courier New"/>
      <w:kern w:val="2"/>
      <w:sz w:val="21"/>
      <w:szCs w:val="21"/>
      <w:lang w:val="en-US" w:eastAsia="zh-CN" w:bidi="ar-SA"/>
    </w:rPr>
  </w:style>
  <w:style w:type="character" w:customStyle="1" w:styleId="205">
    <w:name w:val="引用 Char1"/>
    <w:qFormat/>
    <w:uiPriority w:val="99"/>
    <w:rPr>
      <w:rFonts w:ascii="Times New Roman" w:hAnsi="Times New Roman" w:eastAsia="宋体" w:cs="Times New Roman"/>
      <w:i/>
      <w:iCs/>
      <w:color w:val="000000"/>
      <w:szCs w:val="24"/>
    </w:rPr>
  </w:style>
  <w:style w:type="character" w:customStyle="1" w:styleId="206">
    <w:name w:val="批注文字 Char1"/>
    <w:qFormat/>
    <w:uiPriority w:val="99"/>
    <w:rPr>
      <w:rFonts w:ascii="Times New Roman" w:hAnsi="Times New Roman" w:eastAsia="宋体" w:cs="Times New Roman"/>
      <w:szCs w:val="24"/>
    </w:rPr>
  </w:style>
  <w:style w:type="character" w:customStyle="1" w:styleId="207">
    <w:name w:val="Comment Subject Char"/>
    <w:qFormat/>
    <w:uiPriority w:val="99"/>
    <w:rPr>
      <w:b/>
      <w:sz w:val="24"/>
      <w:lang w:bidi="ar-SA"/>
    </w:rPr>
  </w:style>
  <w:style w:type="character" w:customStyle="1" w:styleId="208">
    <w:name w:val="文档结构图 Char2"/>
    <w:qFormat/>
    <w:uiPriority w:val="0"/>
    <w:rPr>
      <w:szCs w:val="24"/>
      <w:shd w:val="clear" w:color="auto" w:fill="000080"/>
      <w:lang w:bidi="ar-SA"/>
    </w:rPr>
  </w:style>
  <w:style w:type="character" w:customStyle="1" w:styleId="209">
    <w:name w:val="Header Char"/>
    <w:qFormat/>
    <w:uiPriority w:val="99"/>
    <w:rPr>
      <w:rFonts w:eastAsia="宋体"/>
      <w:kern w:val="2"/>
      <w:sz w:val="18"/>
      <w:szCs w:val="18"/>
      <w:lang w:val="en-US" w:eastAsia="zh-CN" w:bidi="ar-SA"/>
    </w:rPr>
  </w:style>
  <w:style w:type="character" w:customStyle="1" w:styleId="210">
    <w:name w:val="标题 1 Char"/>
    <w:qFormat/>
    <w:uiPriority w:val="0"/>
    <w:rPr>
      <w:rFonts w:eastAsia="宋体"/>
      <w:b/>
      <w:bCs/>
      <w:kern w:val="44"/>
      <w:sz w:val="44"/>
      <w:szCs w:val="44"/>
      <w:lang w:val="en-US" w:eastAsia="zh-CN" w:bidi="ar-SA"/>
    </w:rPr>
  </w:style>
  <w:style w:type="character" w:customStyle="1" w:styleId="211">
    <w:name w:val="f141"/>
    <w:qFormat/>
    <w:uiPriority w:val="0"/>
    <w:rPr>
      <w:sz w:val="21"/>
      <w:szCs w:val="21"/>
    </w:rPr>
  </w:style>
  <w:style w:type="character" w:customStyle="1" w:styleId="212">
    <w:name w:val="Heading 6 Char"/>
    <w:qFormat/>
    <w:locked/>
    <w:uiPriority w:val="0"/>
    <w:rPr>
      <w:rFonts w:ascii="Cambria" w:hAnsi="Cambria" w:eastAsia="宋体" w:cs="Times New Roman"/>
      <w:b/>
      <w:bCs/>
      <w:sz w:val="24"/>
      <w:szCs w:val="24"/>
    </w:rPr>
  </w:style>
  <w:style w:type="character" w:customStyle="1" w:styleId="213">
    <w:name w:val="不明显强调1"/>
    <w:qFormat/>
    <w:uiPriority w:val="99"/>
    <w:rPr>
      <w:i/>
      <w:color w:val="808080"/>
    </w:rPr>
  </w:style>
  <w:style w:type="character" w:customStyle="1" w:styleId="214">
    <w:name w:val="标题5 Char Char"/>
    <w:link w:val="215"/>
    <w:qFormat/>
    <w:uiPriority w:val="99"/>
    <w:rPr>
      <w:rFonts w:ascii="Arial" w:hAnsi="Arial"/>
      <w:b/>
      <w:bCs/>
      <w:sz w:val="24"/>
      <w:szCs w:val="32"/>
    </w:rPr>
  </w:style>
  <w:style w:type="paragraph" w:customStyle="1" w:styleId="215">
    <w:name w:val="标题5"/>
    <w:basedOn w:val="5"/>
    <w:link w:val="214"/>
    <w:qFormat/>
    <w:uiPriority w:val="99"/>
    <w:pPr>
      <w:spacing w:before="260" w:after="260" w:line="413" w:lineRule="auto"/>
    </w:pPr>
    <w:rPr>
      <w:rFonts w:ascii="Arial" w:hAnsi="Arial" w:eastAsiaTheme="minorEastAsia" w:cstheme="minorBidi"/>
      <w:sz w:val="24"/>
    </w:rPr>
  </w:style>
  <w:style w:type="character" w:customStyle="1" w:styleId="216">
    <w:name w:val="明显引用 Char1"/>
    <w:qFormat/>
    <w:uiPriority w:val="99"/>
    <w:rPr>
      <w:rFonts w:ascii="Times New Roman" w:hAnsi="Times New Roman" w:eastAsia="宋体" w:cs="Times New Roman"/>
      <w:b/>
      <w:bCs/>
      <w:i/>
      <w:iCs/>
      <w:color w:val="4F81BD"/>
      <w:szCs w:val="24"/>
    </w:rPr>
  </w:style>
  <w:style w:type="character" w:customStyle="1" w:styleId="217">
    <w:name w:val="Subtle Emphasis"/>
    <w:qFormat/>
    <w:uiPriority w:val="0"/>
    <w:rPr>
      <w:i/>
      <w:iCs/>
      <w:color w:val="808080"/>
    </w:rPr>
  </w:style>
  <w:style w:type="character" w:customStyle="1" w:styleId="218">
    <w:name w:val="明显引用 字符"/>
    <w:link w:val="219"/>
    <w:qFormat/>
    <w:uiPriority w:val="0"/>
    <w:rPr>
      <w:b/>
      <w:bCs/>
      <w:i/>
      <w:iCs/>
      <w:color w:val="4F81BD"/>
    </w:rPr>
  </w:style>
  <w:style w:type="paragraph" w:styleId="219">
    <w:name w:val="Intense Quote"/>
    <w:basedOn w:val="1"/>
    <w:next w:val="1"/>
    <w:link w:val="218"/>
    <w:qFormat/>
    <w:uiPriority w:val="0"/>
    <w:pPr>
      <w:pBdr>
        <w:bottom w:val="single" w:color="4F81BD" w:sz="4" w:space="4"/>
      </w:pBdr>
      <w:spacing w:before="200" w:after="280"/>
      <w:ind w:left="936" w:right="936"/>
    </w:pPr>
    <w:rPr>
      <w:b/>
      <w:bCs/>
      <w:i/>
      <w:iCs/>
      <w:color w:val="4F81BD"/>
    </w:rPr>
  </w:style>
  <w:style w:type="character" w:customStyle="1" w:styleId="220">
    <w:name w:val="明显引用 字符1"/>
    <w:basedOn w:val="59"/>
    <w:qFormat/>
    <w:uiPriority w:val="0"/>
    <w:rPr>
      <w:i/>
      <w:iCs/>
      <w:color w:val="5B9BD5" w:themeColor="accent1"/>
      <w14:textFill>
        <w14:solidFill>
          <w14:schemeClr w14:val="accent1"/>
        </w14:solidFill>
      </w14:textFill>
    </w:rPr>
  </w:style>
  <w:style w:type="character" w:customStyle="1" w:styleId="221">
    <w:name w:val="引用 字符"/>
    <w:link w:val="222"/>
    <w:qFormat/>
    <w:uiPriority w:val="0"/>
    <w:rPr>
      <w:i/>
      <w:iCs/>
      <w:color w:val="000000"/>
    </w:rPr>
  </w:style>
  <w:style w:type="paragraph" w:styleId="222">
    <w:name w:val="Quote"/>
    <w:basedOn w:val="1"/>
    <w:next w:val="1"/>
    <w:link w:val="221"/>
    <w:qFormat/>
    <w:uiPriority w:val="0"/>
    <w:rPr>
      <w:i/>
      <w:iCs/>
      <w:color w:val="000000"/>
    </w:rPr>
  </w:style>
  <w:style w:type="character" w:customStyle="1" w:styleId="223">
    <w:name w:val="引用 字符1"/>
    <w:basedOn w:val="59"/>
    <w:qFormat/>
    <w:uiPriority w:val="0"/>
    <w:rPr>
      <w:i/>
      <w:iCs/>
      <w:color w:val="404040" w:themeColor="text1" w:themeTint="BF"/>
      <w14:textFill>
        <w14:solidFill>
          <w14:schemeClr w14:val="tx1">
            <w14:lumMod w14:val="75000"/>
            <w14:lumOff w14:val="25000"/>
          </w14:schemeClr>
        </w14:solidFill>
      </w14:textFill>
    </w:rPr>
  </w:style>
  <w:style w:type="character" w:customStyle="1" w:styleId="224">
    <w:name w:val="Heading 5 Char"/>
    <w:qFormat/>
    <w:uiPriority w:val="99"/>
    <w:rPr>
      <w:rFonts w:eastAsia="宋体"/>
      <w:b/>
      <w:bCs/>
      <w:kern w:val="2"/>
      <w:sz w:val="28"/>
      <w:szCs w:val="28"/>
      <w:lang w:val="en-US" w:eastAsia="zh-CN" w:bidi="ar-SA"/>
    </w:rPr>
  </w:style>
  <w:style w:type="character" w:customStyle="1" w:styleId="225">
    <w:name w:val="Heading 8 Char"/>
    <w:qFormat/>
    <w:locked/>
    <w:uiPriority w:val="0"/>
    <w:rPr>
      <w:rFonts w:ascii="Cambria" w:hAnsi="Cambria" w:eastAsia="宋体" w:cs="Times New Roman"/>
      <w:sz w:val="24"/>
      <w:szCs w:val="24"/>
    </w:rPr>
  </w:style>
  <w:style w:type="character" w:customStyle="1" w:styleId="226">
    <w:name w:val="Char Char191"/>
    <w:qFormat/>
    <w:uiPriority w:val="0"/>
    <w:rPr>
      <w:rFonts w:ascii="Arial" w:hAnsi="Arial" w:eastAsia="宋体" w:cs="Times New Roman"/>
      <w:b/>
      <w:bCs/>
      <w:szCs w:val="28"/>
    </w:rPr>
  </w:style>
  <w:style w:type="character" w:customStyle="1" w:styleId="227">
    <w:name w:val="Date Char"/>
    <w:qFormat/>
    <w:uiPriority w:val="99"/>
    <w:rPr>
      <w:rFonts w:eastAsia="宋体"/>
      <w:kern w:val="2"/>
      <w:sz w:val="21"/>
      <w:szCs w:val="24"/>
      <w:lang w:val="en-US" w:eastAsia="zh-CN" w:bidi="ar-SA"/>
    </w:rPr>
  </w:style>
  <w:style w:type="character" w:customStyle="1" w:styleId="228">
    <w:name w:val="Heading 3 Char1"/>
    <w:qFormat/>
    <w:uiPriority w:val="99"/>
    <w:rPr>
      <w:rFonts w:eastAsia="宋体"/>
      <w:b/>
      <w:bCs/>
      <w:kern w:val="2"/>
      <w:sz w:val="24"/>
      <w:szCs w:val="32"/>
      <w:lang w:val="en-US" w:eastAsia="zh-CN" w:bidi="ar-SA"/>
    </w:rPr>
  </w:style>
  <w:style w:type="paragraph" w:customStyle="1" w:styleId="229">
    <w:name w:val="样式 标题 2 + Times New Roman 四号 非加粗 段前: 5 磅 段后: 0 磅 行距: 固定值 20..."/>
    <w:basedOn w:val="2"/>
    <w:qFormat/>
    <w:uiPriority w:val="99"/>
    <w:pPr>
      <w:spacing w:before="100" w:line="400" w:lineRule="exact"/>
    </w:pPr>
    <w:rPr>
      <w:rFonts w:ascii="Times New Roman" w:hAnsi="Times New Roman" w:cs="宋体"/>
      <w:b w:val="0"/>
      <w:bCs w:val="0"/>
      <w:sz w:val="28"/>
      <w:szCs w:val="20"/>
    </w:rPr>
  </w:style>
  <w:style w:type="paragraph" w:customStyle="1" w:styleId="230">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Cs w:val="21"/>
    </w:rPr>
  </w:style>
  <w:style w:type="paragraph" w:customStyle="1" w:styleId="2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23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FF"/>
      <w:kern w:val="0"/>
      <w:szCs w:val="21"/>
    </w:rPr>
  </w:style>
  <w:style w:type="paragraph" w:customStyle="1" w:styleId="233">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34">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35">
    <w:name w:val="font9"/>
    <w:basedOn w:val="1"/>
    <w:qFormat/>
    <w:uiPriority w:val="0"/>
    <w:pPr>
      <w:widowControl/>
      <w:spacing w:before="100" w:beforeAutospacing="1" w:after="100" w:afterAutospacing="1"/>
      <w:jc w:val="left"/>
    </w:pPr>
    <w:rPr>
      <w:rFonts w:ascii="Times New Roman" w:hAnsi="Times New Roman" w:eastAsia="宋体" w:cs="Times New Roman"/>
      <w:color w:val="FF0000"/>
      <w:kern w:val="0"/>
      <w:sz w:val="16"/>
      <w:szCs w:val="16"/>
    </w:rPr>
  </w:style>
  <w:style w:type="paragraph" w:customStyle="1" w:styleId="236">
    <w:name w:val="样式 行距: 固定值 25 磅"/>
    <w:basedOn w:val="1"/>
    <w:qFormat/>
    <w:uiPriority w:val="0"/>
    <w:pPr>
      <w:spacing w:line="500" w:lineRule="exact"/>
    </w:pPr>
    <w:rPr>
      <w:rFonts w:ascii="Times New Roman" w:hAnsi="Times New Roman" w:eastAsia="宋体" w:cs="宋体"/>
      <w:sz w:val="28"/>
      <w:szCs w:val="20"/>
    </w:rPr>
  </w:style>
  <w:style w:type="paragraph" w:customStyle="1" w:styleId="237">
    <w:name w:val="p17"/>
    <w:basedOn w:val="1"/>
    <w:qFormat/>
    <w:uiPriority w:val="0"/>
    <w:pPr>
      <w:widowControl/>
    </w:pPr>
    <w:rPr>
      <w:rFonts w:ascii="宋体" w:hAnsi="宋体" w:eastAsia="宋体" w:cs="宋体"/>
      <w:kern w:val="0"/>
      <w:sz w:val="24"/>
      <w:szCs w:val="24"/>
    </w:rPr>
  </w:style>
  <w:style w:type="paragraph" w:customStyle="1" w:styleId="238">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24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4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24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4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sz w:val="20"/>
      <w:szCs w:val="20"/>
      <w:lang w:val="en-US" w:eastAsia="zh-CN" w:bidi="ar-SA"/>
    </w:rPr>
  </w:style>
  <w:style w:type="paragraph" w:customStyle="1" w:styleId="245">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4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FF"/>
      <w:kern w:val="0"/>
      <w:sz w:val="18"/>
      <w:szCs w:val="18"/>
    </w:rPr>
  </w:style>
  <w:style w:type="paragraph" w:customStyle="1" w:styleId="249">
    <w:name w:val="样式 标题 2 + (西文) 宋体 非加粗 居中"/>
    <w:basedOn w:val="2"/>
    <w:qFormat/>
    <w:uiPriority w:val="0"/>
    <w:pPr>
      <w:spacing w:before="260" w:after="260" w:line="415" w:lineRule="auto"/>
      <w:jc w:val="center"/>
    </w:pPr>
    <w:rPr>
      <w:rFonts w:ascii="宋体" w:hAnsi="宋体" w:eastAsia="黑体" w:cs="宋体"/>
      <w:b w:val="0"/>
      <w:bCs w:val="0"/>
      <w:spacing w:val="2"/>
      <w:sz w:val="28"/>
      <w:szCs w:val="20"/>
    </w:rPr>
  </w:style>
  <w:style w:type="paragraph" w:customStyle="1" w:styleId="25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25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5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53">
    <w:name w:val="简单回函地址"/>
    <w:basedOn w:val="1"/>
    <w:qFormat/>
    <w:uiPriority w:val="0"/>
    <w:rPr>
      <w:rFonts w:ascii="Times New Roman" w:hAnsi="Times New Roman" w:eastAsia="宋体" w:cs="Times New Roman"/>
      <w:szCs w:val="24"/>
    </w:rPr>
  </w:style>
  <w:style w:type="paragraph" w:customStyle="1" w:styleId="254">
    <w:name w:val="列出段落1"/>
    <w:basedOn w:val="1"/>
    <w:qFormat/>
    <w:uiPriority w:val="99"/>
    <w:pPr>
      <w:ind w:firstLine="420" w:firstLineChars="200"/>
    </w:pPr>
    <w:rPr>
      <w:rFonts w:ascii="Calibri" w:hAnsi="Calibri" w:eastAsia="宋体" w:cs="Times New Roman"/>
    </w:rPr>
  </w:style>
  <w:style w:type="paragraph" w:customStyle="1" w:styleId="25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6">
    <w:name w:val="p0"/>
    <w:basedOn w:val="1"/>
    <w:qFormat/>
    <w:uiPriority w:val="99"/>
    <w:pPr>
      <w:widowControl/>
    </w:pPr>
    <w:rPr>
      <w:rFonts w:ascii="Times New Roman" w:hAnsi="Times New Roman" w:eastAsia="宋体" w:cs="Times New Roman"/>
      <w:kern w:val="0"/>
      <w:szCs w:val="21"/>
    </w:rPr>
  </w:style>
  <w:style w:type="paragraph" w:customStyle="1" w:styleId="257">
    <w:name w:val="样式 正文缩进 + 首行缩进:  2 字符"/>
    <w:basedOn w:val="3"/>
    <w:qFormat/>
    <w:uiPriority w:val="0"/>
    <w:pPr>
      <w:spacing w:line="360" w:lineRule="auto"/>
      <w:ind w:firstLine="480"/>
    </w:pPr>
    <w:rPr>
      <w:sz w:val="24"/>
      <w:szCs w:val="20"/>
    </w:rPr>
  </w:style>
  <w:style w:type="paragraph" w:customStyle="1" w:styleId="258">
    <w:name w:val="Char1"/>
    <w:basedOn w:val="1"/>
    <w:qFormat/>
    <w:uiPriority w:val="0"/>
    <w:rPr>
      <w:rFonts w:ascii="Times New Roman" w:hAnsi="Times New Roman" w:eastAsia="宋体" w:cs="Times New Roman"/>
      <w:szCs w:val="21"/>
    </w:rPr>
  </w:style>
  <w:style w:type="paragraph" w:customStyle="1" w:styleId="2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Times New Roman" w:hAnsi="Times New Roman" w:eastAsia="宋体" w:cs="Times New Roman"/>
      <w:kern w:val="0"/>
      <w:sz w:val="18"/>
      <w:szCs w:val="18"/>
    </w:rPr>
  </w:style>
  <w:style w:type="paragraph" w:customStyle="1" w:styleId="260">
    <w:name w:val="Char Char Char Char Char Char Char"/>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26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16"/>
      <w:szCs w:val="16"/>
    </w:rPr>
  </w:style>
  <w:style w:type="paragraph" w:customStyle="1" w:styleId="26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63">
    <w:name w:val="p18"/>
    <w:basedOn w:val="1"/>
    <w:qFormat/>
    <w:uiPriority w:val="0"/>
    <w:pPr>
      <w:widowControl/>
      <w:spacing w:before="100" w:after="100"/>
      <w:jc w:val="left"/>
    </w:pPr>
    <w:rPr>
      <w:rFonts w:ascii="宋体" w:hAnsi="宋体" w:eastAsia="宋体" w:cs="宋体"/>
      <w:kern w:val="0"/>
      <w:sz w:val="24"/>
      <w:szCs w:val="24"/>
    </w:rPr>
  </w:style>
  <w:style w:type="paragraph" w:customStyle="1" w:styleId="264">
    <w:name w:val="_Style 125"/>
    <w:basedOn w:val="16"/>
    <w:qFormat/>
    <w:uiPriority w:val="0"/>
    <w:pPr>
      <w:widowControl/>
      <w:ind w:firstLine="454"/>
      <w:jc w:val="left"/>
    </w:pPr>
  </w:style>
  <w:style w:type="paragraph" w:customStyle="1" w:styleId="26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eastAsia="宋体" w:cs="宋体"/>
      <w:color w:val="0000FF"/>
      <w:kern w:val="0"/>
      <w:szCs w:val="21"/>
    </w:rPr>
  </w:style>
  <w:style w:type="paragraph" w:customStyle="1" w:styleId="2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6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68">
    <w:name w:val="4"/>
    <w:basedOn w:val="1"/>
    <w:next w:val="32"/>
    <w:qFormat/>
    <w:uiPriority w:val="0"/>
    <w:pPr>
      <w:spacing w:line="420" w:lineRule="exact"/>
      <w:ind w:firstLine="409" w:firstLineChars="195"/>
    </w:pPr>
    <w:rPr>
      <w:rFonts w:ascii="Times New Roman" w:hAnsi="Times New Roman" w:eastAsia="宋体" w:cs="Times New Roman"/>
      <w:szCs w:val="24"/>
    </w:rPr>
  </w:style>
  <w:style w:type="paragraph" w:customStyle="1" w:styleId="26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FF0000"/>
      <w:kern w:val="0"/>
      <w:sz w:val="16"/>
      <w:szCs w:val="16"/>
    </w:rPr>
  </w:style>
  <w:style w:type="paragraph" w:customStyle="1" w:styleId="27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7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6"/>
      <w:szCs w:val="16"/>
    </w:rPr>
  </w:style>
  <w:style w:type="paragraph" w:customStyle="1" w:styleId="272">
    <w:name w:val="1ji"/>
    <w:basedOn w:val="4"/>
    <w:qFormat/>
    <w:uiPriority w:val="0"/>
    <w:pPr>
      <w:keepLines w:val="0"/>
      <w:widowControl/>
      <w:jc w:val="center"/>
    </w:pPr>
    <w:rPr>
      <w:rFonts w:ascii="宋体" w:hAnsi="宋体"/>
      <w:sz w:val="36"/>
    </w:rPr>
  </w:style>
  <w:style w:type="paragraph" w:customStyle="1" w:styleId="27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0"/>
      <w:szCs w:val="20"/>
    </w:rPr>
  </w:style>
  <w:style w:type="paragraph" w:customStyle="1" w:styleId="27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27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7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kern w:val="0"/>
      <w:szCs w:val="21"/>
    </w:rPr>
  </w:style>
  <w:style w:type="paragraph" w:customStyle="1" w:styleId="277">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eastAsia="宋体" w:cs="宋体"/>
      <w:kern w:val="0"/>
      <w:szCs w:val="21"/>
    </w:rPr>
  </w:style>
  <w:style w:type="paragraph" w:customStyle="1" w:styleId="279">
    <w:name w:val="样式 标题 3 + (中文) 黑体 小四 非加粗 段前: 7.8 磅 段后: 0 磅 行距: 固定值 20 磅"/>
    <w:basedOn w:val="5"/>
    <w:qFormat/>
    <w:uiPriority w:val="99"/>
    <w:pPr>
      <w:spacing w:line="400" w:lineRule="exact"/>
    </w:pPr>
    <w:rPr>
      <w:rFonts w:eastAsia="黑体" w:cs="宋体"/>
      <w:b w:val="0"/>
      <w:bCs w:val="0"/>
      <w:sz w:val="24"/>
      <w:szCs w:val="20"/>
    </w:rPr>
  </w:style>
  <w:style w:type="paragraph" w:customStyle="1" w:styleId="280">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2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Cs w:val="21"/>
    </w:rPr>
  </w:style>
  <w:style w:type="paragraph" w:customStyle="1" w:styleId="283">
    <w:name w:val="_Style 37"/>
    <w:basedOn w:val="1"/>
    <w:next w:val="1"/>
    <w:qFormat/>
    <w:uiPriority w:val="99"/>
    <w:rPr>
      <w:rFonts w:ascii="Times New Roman" w:hAnsi="Times New Roman" w:eastAsia="宋体" w:cs="Times New Roman"/>
      <w:szCs w:val="24"/>
    </w:rPr>
  </w:style>
  <w:style w:type="paragraph" w:customStyle="1" w:styleId="284">
    <w:name w:val="char"/>
    <w:basedOn w:val="1"/>
    <w:qFormat/>
    <w:uiPriority w:val="0"/>
    <w:pPr>
      <w:widowControl/>
      <w:adjustRightInd w:val="0"/>
      <w:snapToGrid w:val="0"/>
      <w:spacing w:beforeLines="50" w:after="160" w:line="360" w:lineRule="exact"/>
      <w:ind w:firstLine="496" w:firstLineChars="200"/>
      <w:jc w:val="left"/>
    </w:pPr>
    <w:rPr>
      <w:rFonts w:ascii="宋体" w:hAnsi="宋体" w:eastAsia="宋体" w:cs="”“Times New Roman”“"/>
      <w:color w:val="000000"/>
      <w:spacing w:val="4"/>
      <w:kern w:val="0"/>
      <w:sz w:val="24"/>
      <w:szCs w:val="24"/>
      <w:lang w:eastAsia="en-US"/>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2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8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kern w:val="0"/>
      <w:sz w:val="24"/>
      <w:szCs w:val="24"/>
    </w:rPr>
  </w:style>
  <w:style w:type="paragraph" w:customStyle="1" w:styleId="288">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28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Char3"/>
    <w:basedOn w:val="16"/>
    <w:qFormat/>
    <w:uiPriority w:val="0"/>
    <w:pPr>
      <w:widowControl/>
      <w:ind w:firstLine="454"/>
      <w:jc w:val="left"/>
    </w:pPr>
    <w:rPr>
      <w:rFonts w:ascii="Tahoma" w:hAnsi="Tahoma" w:cs="宋体"/>
      <w:kern w:val="0"/>
      <w:sz w:val="24"/>
      <w:szCs w:val="20"/>
    </w:rPr>
  </w:style>
  <w:style w:type="paragraph" w:customStyle="1" w:styleId="291">
    <w:name w:val="表格"/>
    <w:basedOn w:val="1"/>
    <w:qFormat/>
    <w:uiPriority w:val="0"/>
    <w:pPr>
      <w:spacing w:line="400" w:lineRule="exact"/>
    </w:pPr>
    <w:rPr>
      <w:rFonts w:ascii="Times New Roman" w:hAnsi="Times New Roman" w:eastAsia="宋体" w:cs="Times New Roman"/>
      <w:sz w:val="24"/>
      <w:szCs w:val="24"/>
    </w:rPr>
  </w:style>
  <w:style w:type="paragraph" w:customStyle="1" w:styleId="292">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93">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294">
    <w:name w:val="1"/>
    <w:basedOn w:val="1"/>
    <w:next w:val="29"/>
    <w:qFormat/>
    <w:uiPriority w:val="0"/>
    <w:rPr>
      <w:rFonts w:ascii="宋体" w:hAnsi="Courier New" w:eastAsia="宋体" w:cs="Times New Roman"/>
      <w:szCs w:val="20"/>
    </w:rPr>
  </w:style>
  <w:style w:type="paragraph" w:customStyle="1" w:styleId="295">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96">
    <w:name w:val="正文文本 21"/>
    <w:basedOn w:val="1"/>
    <w:qFormat/>
    <w:uiPriority w:val="0"/>
    <w:pPr>
      <w:adjustRightInd w:val="0"/>
      <w:spacing w:line="460" w:lineRule="exact"/>
      <w:ind w:firstLine="635"/>
      <w:jc w:val="left"/>
      <w:textAlignment w:val="baseline"/>
    </w:pPr>
    <w:rPr>
      <w:rFonts w:ascii="Times New Roman" w:hAnsi="Times New Roman" w:eastAsia="宋体" w:cs="Times New Roman"/>
      <w:sz w:val="28"/>
      <w:szCs w:val="20"/>
    </w:rPr>
  </w:style>
  <w:style w:type="paragraph" w:customStyle="1" w:styleId="29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16"/>
      <w:szCs w:val="16"/>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character" w:customStyle="1" w:styleId="299">
    <w:name w:val="列表段落 字符1"/>
    <w:link w:val="78"/>
    <w:qFormat/>
    <w:uiPriority w:val="34"/>
    <w:rPr>
      <w:kern w:val="2"/>
      <w:sz w:val="21"/>
      <w:szCs w:val="24"/>
    </w:rPr>
  </w:style>
  <w:style w:type="paragraph" w:customStyle="1" w:styleId="300">
    <w:name w:val="表格2"/>
    <w:basedOn w:val="1"/>
    <w:qFormat/>
    <w:uiPriority w:val="0"/>
    <w:pPr>
      <w:adjustRightInd w:val="0"/>
      <w:spacing w:before="60" w:after="60"/>
      <w:jc w:val="center"/>
    </w:pPr>
    <w:rPr>
      <w:rFonts w:ascii="宋体" w:hAnsi="Times New Roman" w:eastAsia="宋体" w:cs="Times New Roman"/>
      <w:color w:val="000000"/>
      <w:kern w:val="0"/>
      <w:sz w:val="24"/>
      <w:szCs w:val="20"/>
    </w:rPr>
  </w:style>
  <w:style w:type="paragraph" w:customStyle="1" w:styleId="30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03">
    <w:name w:val="xl31"/>
    <w:basedOn w:val="1"/>
    <w:qFormat/>
    <w:uiPriority w:val="0"/>
    <w:pPr>
      <w:widowControl/>
      <w:spacing w:before="100" w:beforeAutospacing="1" w:after="100" w:afterAutospacing="1"/>
      <w:jc w:val="center"/>
    </w:pPr>
    <w:rPr>
      <w:rFonts w:ascii="Arial Unicode MS" w:hAnsi="Arial Unicode MS" w:eastAsia="宋体" w:cs="Times New Roman"/>
      <w:kern w:val="0"/>
      <w:sz w:val="24"/>
      <w:szCs w:val="24"/>
    </w:rPr>
  </w:style>
  <w:style w:type="paragraph" w:customStyle="1" w:styleId="304">
    <w:name w:val="默认段落字体 Para Char Char Char Char Char Char Char"/>
    <w:basedOn w:val="1"/>
    <w:qFormat/>
    <w:uiPriority w:val="0"/>
    <w:pPr>
      <w:adjustRightInd w:val="0"/>
      <w:spacing w:line="360" w:lineRule="auto"/>
      <w:ind w:left="200" w:hanging="200" w:hangingChars="200"/>
    </w:pPr>
    <w:rPr>
      <w:rFonts w:ascii="Times New Roman" w:hAnsi="Times New Roman" w:eastAsia="宋体" w:cs="Times New Roman"/>
      <w:kern w:val="0"/>
      <w:sz w:val="24"/>
      <w:szCs w:val="20"/>
    </w:rPr>
  </w:style>
  <w:style w:type="paragraph" w:customStyle="1" w:styleId="3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06">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07">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08">
    <w:name w:val="文章附标题"/>
    <w:basedOn w:val="1"/>
    <w:next w:val="4"/>
    <w:qFormat/>
    <w:uiPriority w:val="0"/>
    <w:pPr>
      <w:widowControl/>
      <w:spacing w:before="187" w:after="175" w:line="374" w:lineRule="atLeast"/>
      <w:jc w:val="center"/>
      <w:textAlignment w:val="baseline"/>
    </w:pPr>
    <w:rPr>
      <w:rFonts w:ascii="Times New Roman" w:hAnsi="Times New Roman" w:eastAsia="宋体" w:cs="Times New Roman"/>
      <w:color w:val="000000"/>
      <w:kern w:val="0"/>
      <w:sz w:val="36"/>
      <w:szCs w:val="20"/>
      <w:u w:color="000000"/>
    </w:rPr>
  </w:style>
  <w:style w:type="paragraph" w:customStyle="1" w:styleId="30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310">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311">
    <w:name w:val="font8"/>
    <w:basedOn w:val="1"/>
    <w:qFormat/>
    <w:uiPriority w:val="0"/>
    <w:pPr>
      <w:widowControl/>
      <w:spacing w:before="100" w:beforeAutospacing="1" w:after="100" w:afterAutospacing="1"/>
      <w:jc w:val="left"/>
    </w:pPr>
    <w:rPr>
      <w:rFonts w:ascii="宋体" w:hAnsi="宋体" w:eastAsia="宋体" w:cs="宋体"/>
      <w:color w:val="FF0000"/>
      <w:kern w:val="0"/>
      <w:sz w:val="16"/>
      <w:szCs w:val="16"/>
    </w:rPr>
  </w:style>
  <w:style w:type="paragraph" w:customStyle="1" w:styleId="312">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Cs w:val="21"/>
    </w:rPr>
  </w:style>
  <w:style w:type="paragraph" w:customStyle="1" w:styleId="3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5">
    <w:name w:val="目录3"/>
    <w:basedOn w:val="1"/>
    <w:next w:val="1"/>
    <w:qFormat/>
    <w:uiPriority w:val="0"/>
    <w:pPr>
      <w:widowControl/>
      <w:tabs>
        <w:tab w:val="left" w:leader="dot" w:pos="8503"/>
      </w:tabs>
      <w:spacing w:line="317" w:lineRule="atLeast"/>
      <w:ind w:firstLine="419"/>
      <w:textAlignment w:val="baseline"/>
    </w:pPr>
    <w:rPr>
      <w:rFonts w:ascii="Times New Roman" w:hAnsi="Times New Roman" w:eastAsia="宋体" w:cs="Times New Roman"/>
      <w:color w:val="000000"/>
      <w:kern w:val="0"/>
      <w:szCs w:val="20"/>
      <w:u w:color="000000"/>
    </w:rPr>
  </w:style>
  <w:style w:type="paragraph" w:customStyle="1" w:styleId="31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317">
    <w:name w:val="14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18">
    <w:name w:val="Revision"/>
    <w:qFormat/>
    <w:uiPriority w:val="99"/>
    <w:rPr>
      <w:rFonts w:ascii="Times New Roman" w:hAnsi="Times New Roman" w:eastAsia="宋体" w:cs="Times New Roman"/>
      <w:kern w:val="2"/>
      <w:sz w:val="21"/>
      <w:szCs w:val="24"/>
      <w:lang w:val="en-US" w:eastAsia="zh-CN" w:bidi="ar-SA"/>
    </w:rPr>
  </w:style>
  <w:style w:type="paragraph" w:customStyle="1" w:styleId="3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20">
    <w:name w:val="标题2"/>
    <w:basedOn w:val="2"/>
    <w:next w:val="1"/>
    <w:qFormat/>
    <w:uiPriority w:val="0"/>
    <w:pPr>
      <w:snapToGrid w:val="0"/>
      <w:spacing w:before="120" w:after="120"/>
      <w:jc w:val="left"/>
    </w:pPr>
    <w:rPr>
      <w:rFonts w:eastAsia="黑体"/>
      <w:b w:val="0"/>
      <w:bCs w:val="0"/>
      <w:szCs w:val="21"/>
    </w:rPr>
  </w:style>
  <w:style w:type="paragraph" w:customStyle="1" w:styleId="32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322">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23">
    <w:name w:val="纯文本1"/>
    <w:basedOn w:val="1"/>
    <w:qFormat/>
    <w:uiPriority w:val="0"/>
    <w:rPr>
      <w:rFonts w:ascii="宋体" w:hAnsi="Courier New" w:eastAsia="宋体" w:cs="Courier New"/>
      <w:szCs w:val="21"/>
    </w:rPr>
  </w:style>
  <w:style w:type="paragraph" w:customStyle="1" w:styleId="32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26">
    <w:name w:val="Char Char Char2"/>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2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28">
    <w:name w:val="表头"/>
    <w:basedOn w:val="1"/>
    <w:qFormat/>
    <w:uiPriority w:val="0"/>
    <w:pPr>
      <w:spacing w:line="300" w:lineRule="auto"/>
      <w:jc w:val="center"/>
    </w:pPr>
    <w:rPr>
      <w:rFonts w:ascii="Times New Roman" w:hAnsi="Times New Roman" w:eastAsia="黑体" w:cs="华文细黑"/>
      <w:color w:val="000000"/>
      <w:szCs w:val="24"/>
    </w:rPr>
  </w:style>
  <w:style w:type="paragraph" w:customStyle="1" w:styleId="32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18"/>
      <w:szCs w:val="18"/>
    </w:rPr>
  </w:style>
  <w:style w:type="paragraph" w:customStyle="1" w:styleId="330">
    <w:name w:val="Char11"/>
    <w:basedOn w:val="1"/>
    <w:qFormat/>
    <w:uiPriority w:val="0"/>
    <w:pPr>
      <w:widowControl/>
      <w:jc w:val="left"/>
    </w:pPr>
    <w:rPr>
      <w:rFonts w:ascii="Times New Roman" w:hAnsi="Times New Roman" w:eastAsia="宋体" w:cs="Times New Roman"/>
      <w:sz w:val="28"/>
      <w:szCs w:val="20"/>
    </w:rPr>
  </w:style>
  <w:style w:type="paragraph" w:customStyle="1" w:styleId="331">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16"/>
      <w:szCs w:val="16"/>
    </w:rPr>
  </w:style>
  <w:style w:type="paragraph" w:customStyle="1" w:styleId="332">
    <w:name w:val="font7"/>
    <w:basedOn w:val="1"/>
    <w:qFormat/>
    <w:uiPriority w:val="0"/>
    <w:pPr>
      <w:widowControl/>
      <w:spacing w:before="100" w:beforeAutospacing="1" w:after="100" w:afterAutospacing="1"/>
      <w:jc w:val="left"/>
    </w:pPr>
    <w:rPr>
      <w:rFonts w:ascii="Times New Roman" w:hAnsi="Times New Roman" w:eastAsia="宋体" w:cs="Times New Roman"/>
      <w:kern w:val="0"/>
      <w:sz w:val="16"/>
      <w:szCs w:val="16"/>
    </w:rPr>
  </w:style>
  <w:style w:type="paragraph" w:customStyle="1" w:styleId="333">
    <w:name w:val="Char Char Char Char Char Char"/>
    <w:basedOn w:val="1"/>
    <w:qFormat/>
    <w:uiPriority w:val="0"/>
    <w:rPr>
      <w:rFonts w:ascii="Times New Roman" w:hAnsi="Times New Roman" w:eastAsia="宋体" w:cs="Times New Roman"/>
      <w:szCs w:val="24"/>
    </w:rPr>
  </w:style>
  <w:style w:type="paragraph" w:customStyle="1" w:styleId="33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35">
    <w:name w:val="p15"/>
    <w:basedOn w:val="1"/>
    <w:qFormat/>
    <w:uiPriority w:val="0"/>
    <w:pPr>
      <w:widowControl/>
      <w:snapToGrid w:val="0"/>
      <w:spacing w:line="360" w:lineRule="auto"/>
      <w:ind w:firstLine="555"/>
      <w:jc w:val="left"/>
    </w:pPr>
    <w:rPr>
      <w:rFonts w:ascii="仿宋_GB2312" w:hAnsi="宋体" w:eastAsia="仿宋_GB2312" w:cs="宋体"/>
      <w:color w:val="000000"/>
      <w:kern w:val="0"/>
      <w:sz w:val="24"/>
      <w:szCs w:val="24"/>
    </w:rPr>
  </w:style>
  <w:style w:type="paragraph" w:customStyle="1" w:styleId="336">
    <w:name w:val="Char Char"/>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33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338">
    <w:name w:val="默认段落字体 Para Char Char Char Char Char Char Char Char Char Char"/>
    <w:basedOn w:val="1"/>
    <w:qFormat/>
    <w:uiPriority w:val="0"/>
    <w:rPr>
      <w:rFonts w:ascii="Tahoma" w:hAnsi="Tahoma" w:eastAsia="宋体" w:cs="Times New Roman"/>
      <w:sz w:val="24"/>
      <w:szCs w:val="24"/>
      <w:u w:val="single"/>
    </w:rPr>
  </w:style>
  <w:style w:type="paragraph" w:customStyle="1" w:styleId="339">
    <w:name w:val="reader-word-layer reader-word-s77-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
    <w:name w:val="reader-word-layer reader-word-s77-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
    <w:name w:val="文件标题"/>
    <w:basedOn w:val="1"/>
    <w:qFormat/>
    <w:uiPriority w:val="0"/>
    <w:pPr>
      <w:jc w:val="center"/>
    </w:pPr>
    <w:rPr>
      <w:rFonts w:ascii="Times New Roman" w:hAnsi="Times New Roman" w:eastAsia="宋体" w:cs="Times New Roman"/>
      <w:b/>
      <w:sz w:val="36"/>
      <w:szCs w:val="20"/>
    </w:rPr>
  </w:style>
  <w:style w:type="paragraph" w:customStyle="1" w:styleId="342">
    <w:name w:val="合同正文"/>
    <w:basedOn w:val="1"/>
    <w:qFormat/>
    <w:uiPriority w:val="0"/>
    <w:pPr>
      <w:adjustRightInd w:val="0"/>
      <w:spacing w:line="580" w:lineRule="exact"/>
    </w:pPr>
    <w:rPr>
      <w:rFonts w:ascii="Times New Roman" w:hAnsi="Times New Roman" w:eastAsia="宋体" w:cs="Times New Roman"/>
      <w:b/>
      <w:sz w:val="24"/>
      <w:szCs w:val="20"/>
    </w:rPr>
  </w:style>
  <w:style w:type="paragraph" w:customStyle="1" w:styleId="343">
    <w:name w:val="目录标题"/>
    <w:basedOn w:val="1"/>
    <w:next w:val="1"/>
    <w:qFormat/>
    <w:uiPriority w:val="0"/>
    <w:pPr>
      <w:widowControl/>
      <w:spacing w:before="566" w:after="544" w:line="566" w:lineRule="atLeast"/>
      <w:ind w:firstLine="419"/>
      <w:jc w:val="center"/>
      <w:textAlignment w:val="baseline"/>
    </w:pPr>
    <w:rPr>
      <w:rFonts w:ascii="Arial" w:hAnsi="Times New Roman" w:eastAsia="黑体" w:cs="Times New Roman"/>
      <w:color w:val="000000"/>
      <w:spacing w:val="566"/>
      <w:kern w:val="0"/>
      <w:sz w:val="54"/>
      <w:szCs w:val="20"/>
      <w:u w:color="000000"/>
    </w:rPr>
  </w:style>
  <w:style w:type="paragraph" w:customStyle="1" w:styleId="344">
    <w:name w:val="2ji"/>
    <w:basedOn w:val="2"/>
    <w:qFormat/>
    <w:uiPriority w:val="0"/>
    <w:pPr>
      <w:adjustRightInd w:val="0"/>
      <w:spacing w:line="360" w:lineRule="auto"/>
      <w:textAlignment w:val="baseline"/>
    </w:pPr>
    <w:rPr>
      <w:rFonts w:ascii="宋体" w:hAnsi="宋体"/>
      <w:kern w:val="0"/>
      <w:szCs w:val="21"/>
    </w:rPr>
  </w:style>
  <w:style w:type="paragraph" w:customStyle="1" w:styleId="34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34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47">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348">
    <w:name w:val="Char Char1"/>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349">
    <w:name w:val="444"/>
    <w:basedOn w:val="1"/>
    <w:qFormat/>
    <w:uiPriority w:val="0"/>
    <w:pPr>
      <w:adjustRightInd w:val="0"/>
      <w:spacing w:line="312" w:lineRule="atLeast"/>
      <w:jc w:val="center"/>
      <w:textAlignment w:val="baseline"/>
    </w:pPr>
    <w:rPr>
      <w:rFonts w:ascii="Times New Roman" w:hAnsi="Times New Roman" w:eastAsia="宋体" w:cs="Times New Roman"/>
      <w:b/>
      <w:kern w:val="0"/>
      <w:sz w:val="36"/>
      <w:szCs w:val="36"/>
    </w:rPr>
  </w:style>
  <w:style w:type="paragraph" w:customStyle="1" w:styleId="3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351">
    <w:name w:val="表格文字"/>
    <w:basedOn w:val="20"/>
    <w:qFormat/>
    <w:uiPriority w:val="0"/>
    <w:pPr>
      <w:spacing w:before="60" w:after="60"/>
      <w:ind w:firstLine="0" w:firstLineChars="0"/>
    </w:pPr>
    <w:rPr>
      <w:rFonts w:ascii="Times New Roman" w:eastAsia="宋体"/>
      <w:sz w:val="24"/>
      <w:szCs w:val="24"/>
    </w:rPr>
  </w:style>
  <w:style w:type="paragraph" w:customStyle="1" w:styleId="352">
    <w:name w:val="表"/>
    <w:basedOn w:val="1"/>
    <w:qFormat/>
    <w:uiPriority w:val="0"/>
    <w:pPr>
      <w:spacing w:line="300" w:lineRule="auto"/>
    </w:pPr>
    <w:rPr>
      <w:rFonts w:ascii="Times New Roman" w:hAnsi="Times New Roman" w:eastAsia="宋体" w:cs="Times New Roman"/>
      <w:color w:val="000000"/>
      <w:szCs w:val="21"/>
    </w:rPr>
  </w:style>
  <w:style w:type="paragraph" w:customStyle="1" w:styleId="3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354">
    <w:name w:val="文章总标题"/>
    <w:basedOn w:val="1"/>
    <w:next w:val="308"/>
    <w:qFormat/>
    <w:uiPriority w:val="0"/>
    <w:pPr>
      <w:widowControl/>
      <w:spacing w:before="566" w:after="544" w:line="566" w:lineRule="atLeast"/>
      <w:jc w:val="center"/>
      <w:textAlignment w:val="baseline"/>
    </w:pPr>
    <w:rPr>
      <w:rFonts w:ascii="Arial" w:hAnsi="Times New Roman" w:eastAsia="黑体" w:cs="Times New Roman"/>
      <w:color w:val="000000"/>
      <w:kern w:val="0"/>
      <w:sz w:val="54"/>
      <w:szCs w:val="20"/>
      <w:u w:color="000000"/>
    </w:rPr>
  </w:style>
  <w:style w:type="paragraph" w:customStyle="1" w:styleId="355">
    <w:name w:val="text"/>
    <w:basedOn w:val="1"/>
    <w:qFormat/>
    <w:uiPriority w:val="0"/>
    <w:pPr>
      <w:overflowPunct w:val="0"/>
      <w:autoSpaceDE w:val="0"/>
      <w:autoSpaceDN w:val="0"/>
      <w:adjustRightInd w:val="0"/>
      <w:spacing w:before="120" w:after="120"/>
      <w:ind w:left="864"/>
      <w:textAlignment w:val="baseline"/>
    </w:pPr>
    <w:rPr>
      <w:rFonts w:ascii="宋体" w:hAnsi="Times New Roman" w:eastAsia="宋体" w:cs="Times New Roman"/>
      <w:spacing w:val="-14"/>
      <w:kern w:val="0"/>
      <w:sz w:val="24"/>
      <w:szCs w:val="24"/>
    </w:rPr>
  </w:style>
  <w:style w:type="paragraph" w:customStyle="1" w:styleId="356">
    <w:name w:val="目录4"/>
    <w:basedOn w:val="1"/>
    <w:next w:val="1"/>
    <w:qFormat/>
    <w:uiPriority w:val="0"/>
    <w:pPr>
      <w:widowControl/>
      <w:tabs>
        <w:tab w:val="left" w:leader="dot" w:pos="8503"/>
      </w:tabs>
      <w:spacing w:line="317" w:lineRule="atLeast"/>
      <w:ind w:firstLine="629"/>
      <w:textAlignment w:val="baseline"/>
    </w:pPr>
    <w:rPr>
      <w:rFonts w:ascii="Times New Roman" w:hAnsi="Times New Roman" w:eastAsia="宋体" w:cs="Times New Roman"/>
      <w:color w:val="000000"/>
      <w:kern w:val="0"/>
      <w:szCs w:val="20"/>
      <w:u w:color="000000"/>
    </w:rPr>
  </w:style>
  <w:style w:type="paragraph" w:customStyle="1" w:styleId="357">
    <w:name w:val="列出段落2"/>
    <w:basedOn w:val="1"/>
    <w:qFormat/>
    <w:uiPriority w:val="99"/>
    <w:pPr>
      <w:ind w:firstLine="420" w:firstLineChars="200"/>
    </w:pPr>
    <w:rPr>
      <w:rFonts w:ascii="Calibri" w:hAnsi="Calibri" w:eastAsia="宋体" w:cs="Times New Roman"/>
    </w:rPr>
  </w:style>
  <w:style w:type="paragraph" w:customStyle="1" w:styleId="358">
    <w:name w:val="flNote"/>
    <w:basedOn w:val="1"/>
    <w:qFormat/>
    <w:uiPriority w:val="99"/>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359">
    <w:name w:val="Default Paragraph Font Para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60">
    <w:name w:val="Char Char Char Char Char Char Char Char Char Char"/>
    <w:basedOn w:val="16"/>
    <w:qFormat/>
    <w:uiPriority w:val="0"/>
    <w:pPr>
      <w:keepNext/>
      <w:tabs>
        <w:tab w:val="left" w:pos="1095"/>
        <w:tab w:val="left" w:pos="1455"/>
      </w:tabs>
      <w:spacing w:beforeLines="100"/>
      <w:ind w:left="1455" w:hanging="1275"/>
    </w:pPr>
    <w:rPr>
      <w:szCs w:val="20"/>
    </w:rPr>
  </w:style>
  <w:style w:type="paragraph" w:customStyle="1" w:styleId="361">
    <w:name w:val="目录2"/>
    <w:basedOn w:val="1"/>
    <w:next w:val="1"/>
    <w:qFormat/>
    <w:uiPriority w:val="0"/>
    <w:pPr>
      <w:widowControl/>
      <w:tabs>
        <w:tab w:val="left" w:leader="dot" w:pos="8503"/>
      </w:tabs>
      <w:spacing w:line="317" w:lineRule="atLeast"/>
      <w:ind w:firstLine="209"/>
      <w:textAlignment w:val="baseline"/>
    </w:pPr>
    <w:rPr>
      <w:rFonts w:ascii="Times New Roman" w:hAnsi="Times New Roman" w:eastAsia="宋体" w:cs="Times New Roman"/>
      <w:color w:val="000000"/>
      <w:kern w:val="0"/>
      <w:szCs w:val="20"/>
      <w:u w:color="000000"/>
    </w:rPr>
  </w:style>
  <w:style w:type="paragraph" w:customStyle="1" w:styleId="36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363">
    <w:name w:val="Char Char Char Char Char Char Char Char1 Char"/>
    <w:basedOn w:val="1"/>
    <w:qFormat/>
    <w:uiPriority w:val="0"/>
    <w:rPr>
      <w:rFonts w:ascii="Tahoma" w:hAnsi="Tahoma" w:eastAsia="宋体" w:cs="Times New Roman"/>
      <w:sz w:val="24"/>
      <w:szCs w:val="20"/>
    </w:rPr>
  </w:style>
  <w:style w:type="paragraph" w:customStyle="1" w:styleId="364">
    <w:name w:val="Char1 Char Char Char Char Char Char"/>
    <w:basedOn w:val="1"/>
    <w:qFormat/>
    <w:uiPriority w:val="0"/>
    <w:rPr>
      <w:rFonts w:ascii="Times New Roman" w:hAnsi="Times New Roman" w:eastAsia="宋体" w:cs="Times New Roman"/>
      <w:szCs w:val="24"/>
    </w:rPr>
  </w:style>
  <w:style w:type="paragraph" w:customStyle="1" w:styleId="365">
    <w:name w:val="Char Char Char Char1"/>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366">
    <w:name w:val="reader-word-layer reader-word-s53-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7">
    <w:name w:val="Char1 Char Char Char Char Char Char1"/>
    <w:basedOn w:val="1"/>
    <w:qFormat/>
    <w:uiPriority w:val="0"/>
    <w:rPr>
      <w:rFonts w:ascii="Tahoma" w:hAnsi="Tahoma" w:eastAsia="宋体" w:cs="Times New Roman"/>
      <w:sz w:val="24"/>
      <w:szCs w:val="20"/>
    </w:rPr>
  </w:style>
  <w:style w:type="paragraph" w:customStyle="1" w:styleId="368">
    <w:name w:val="Char Char Char Char Char Char Char1"/>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369">
    <w:name w:val="文件目录"/>
    <w:basedOn w:val="1"/>
    <w:qFormat/>
    <w:uiPriority w:val="0"/>
    <w:pPr>
      <w:spacing w:line="600" w:lineRule="exact"/>
      <w:jc w:val="left"/>
    </w:pPr>
    <w:rPr>
      <w:rFonts w:ascii="Times New Roman" w:hAnsi="Times New Roman" w:eastAsia="宋体" w:cs="Times New Roman"/>
      <w:b/>
      <w:sz w:val="30"/>
      <w:szCs w:val="20"/>
    </w:rPr>
  </w:style>
  <w:style w:type="paragraph" w:customStyle="1" w:styleId="370">
    <w:name w:val="2-2ji"/>
    <w:basedOn w:val="2"/>
    <w:qFormat/>
    <w:uiPriority w:val="99"/>
    <w:pPr>
      <w:adjustRightInd w:val="0"/>
      <w:spacing w:line="360" w:lineRule="auto"/>
      <w:jc w:val="center"/>
    </w:pPr>
    <w:rPr>
      <w:rFonts w:ascii="宋体" w:hAnsi="宋体"/>
      <w:bCs w:val="0"/>
      <w:kern w:val="0"/>
      <w:sz w:val="36"/>
    </w:rPr>
  </w:style>
  <w:style w:type="paragraph" w:customStyle="1" w:styleId="371">
    <w:name w:val="TOC 标题1"/>
    <w:basedOn w:val="4"/>
    <w:next w:val="1"/>
    <w:qFormat/>
    <w:uiPriority w:val="99"/>
    <w:pPr>
      <w:spacing w:before="340" w:after="330" w:line="576" w:lineRule="auto"/>
      <w:outlineLvl w:val="9"/>
    </w:pPr>
    <w:rPr>
      <w:rFonts w:ascii="Calibri" w:hAnsi="Calibri"/>
    </w:rPr>
  </w:style>
  <w:style w:type="paragraph" w:customStyle="1" w:styleId="372">
    <w:name w:val="reader-word-layer reader-word-s53-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3">
    <w:name w:val="head4"/>
    <w:basedOn w:val="1"/>
    <w:qFormat/>
    <w:uiPriority w:val="0"/>
    <w:pPr>
      <w:widowControl/>
      <w:overflowPunct w:val="0"/>
      <w:autoSpaceDE w:val="0"/>
      <w:autoSpaceDN w:val="0"/>
      <w:adjustRightInd w:val="0"/>
      <w:spacing w:before="120" w:line="360" w:lineRule="auto"/>
      <w:textAlignment w:val="baseline"/>
    </w:pPr>
    <w:rPr>
      <w:rFonts w:ascii="¿¬Ìå" w:hAnsi="¿¬Ìå" w:eastAsia="宋体" w:cs="Times New Roman"/>
      <w:kern w:val="0"/>
      <w:sz w:val="24"/>
      <w:szCs w:val="24"/>
    </w:rPr>
  </w:style>
  <w:style w:type="paragraph" w:customStyle="1" w:styleId="374">
    <w:name w:val="修订1"/>
    <w:qFormat/>
    <w:uiPriority w:val="99"/>
    <w:rPr>
      <w:rFonts w:ascii="Times New Roman" w:hAnsi="Times New Roman" w:eastAsia="宋体" w:cs="Times New Roman"/>
      <w:kern w:val="2"/>
      <w:sz w:val="21"/>
      <w:szCs w:val="24"/>
      <w:lang w:val="en-US" w:eastAsia="zh-CN" w:bidi="ar-SA"/>
    </w:rPr>
  </w:style>
  <w:style w:type="paragraph" w:customStyle="1" w:styleId="375">
    <w:name w:val="目录1"/>
    <w:basedOn w:val="1"/>
    <w:next w:val="1"/>
    <w:qFormat/>
    <w:uiPriority w:val="0"/>
    <w:pPr>
      <w:widowControl/>
      <w:tabs>
        <w:tab w:val="left" w:leader="dot" w:pos="8503"/>
      </w:tabs>
      <w:spacing w:after="136" w:line="289" w:lineRule="atLeast"/>
      <w:jc w:val="left"/>
      <w:textAlignment w:val="baseline"/>
    </w:pPr>
    <w:rPr>
      <w:rFonts w:ascii="Arial" w:hAnsi="Times New Roman" w:eastAsia="黑体" w:cs="Times New Roman"/>
      <w:color w:val="000000"/>
      <w:kern w:val="0"/>
      <w:sz w:val="28"/>
      <w:szCs w:val="20"/>
      <w:u w:color="000000"/>
    </w:rPr>
  </w:style>
  <w:style w:type="paragraph" w:customStyle="1" w:styleId="376">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77">
    <w:name w:val="小节标题"/>
    <w:basedOn w:val="1"/>
    <w:next w:val="1"/>
    <w:qFormat/>
    <w:uiPriority w:val="0"/>
    <w:pPr>
      <w:widowControl/>
      <w:spacing w:before="175" w:after="102" w:line="351" w:lineRule="atLeast"/>
      <w:textAlignment w:val="baseline"/>
    </w:pPr>
    <w:rPr>
      <w:rFonts w:ascii="Times New Roman" w:hAnsi="Times New Roman" w:eastAsia="黑体" w:cs="Times New Roman"/>
      <w:color w:val="000000"/>
      <w:kern w:val="0"/>
      <w:szCs w:val="20"/>
      <w:u w:color="000000"/>
    </w:rPr>
  </w:style>
  <w:style w:type="paragraph" w:customStyle="1" w:styleId="378">
    <w:name w:val="reader-word-layer reader-word-s77-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9">
    <w:name w:val="Char2"/>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380">
    <w:name w:val="无间隔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5 Char Char Char Char Char Char Char Char Char Char"/>
    <w:basedOn w:val="1"/>
    <w:qFormat/>
    <w:uiPriority w:val="0"/>
    <w:rPr>
      <w:rFonts w:ascii="Times New Roman" w:hAnsi="Times New Roman" w:eastAsia="宋体" w:cs="Times New Roman"/>
      <w:szCs w:val="24"/>
    </w:rPr>
  </w:style>
  <w:style w:type="paragraph" w:customStyle="1" w:styleId="382">
    <w:name w:val="TOC Heading"/>
    <w:basedOn w:val="4"/>
    <w:next w:val="1"/>
    <w:qFormat/>
    <w:uiPriority w:val="39"/>
    <w:pPr>
      <w:spacing w:before="340" w:after="330" w:line="576" w:lineRule="auto"/>
      <w:outlineLvl w:val="9"/>
    </w:pPr>
    <w:rPr>
      <w:rFonts w:ascii="Calibri" w:hAnsi="Calibri" w:eastAsia="黑体"/>
    </w:rPr>
  </w:style>
  <w:style w:type="paragraph" w:customStyle="1" w:styleId="383">
    <w:name w:val="head1"/>
    <w:basedOn w:val="1"/>
    <w:qFormat/>
    <w:uiPriority w:val="0"/>
    <w:pPr>
      <w:widowControl/>
      <w:numPr>
        <w:ilvl w:val="3"/>
        <w:numId w:val="1"/>
      </w:numPr>
      <w:tabs>
        <w:tab w:val="left" w:pos="2415"/>
      </w:tabs>
      <w:overflowPunct w:val="0"/>
      <w:autoSpaceDE w:val="0"/>
      <w:autoSpaceDN w:val="0"/>
      <w:adjustRightInd w:val="0"/>
      <w:spacing w:before="60" w:after="60"/>
      <w:jc w:val="left"/>
      <w:textAlignment w:val="baseline"/>
      <w:outlineLvl w:val="0"/>
    </w:pPr>
    <w:rPr>
      <w:rFonts w:ascii="黑体" w:hAnsi="¿¬Ìå" w:eastAsia="黑体" w:cs="Times New Roman"/>
      <w:kern w:val="0"/>
      <w:sz w:val="30"/>
      <w:szCs w:val="30"/>
    </w:rPr>
  </w:style>
  <w:style w:type="paragraph" w:customStyle="1" w:styleId="384">
    <w:name w:val="空半行"/>
    <w:basedOn w:val="1"/>
    <w:qFormat/>
    <w:uiPriority w:val="99"/>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385">
    <w:name w:val="reader-word-layer reader-word-s9-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86">
    <w:name w:val="p141_0"/>
    <w:qFormat/>
    <w:uiPriority w:val="0"/>
    <w:rPr>
      <w:rFonts w:ascii="Calibri" w:hAnsi="Calibri"/>
      <w:sz w:val="21"/>
      <w:szCs w:val="21"/>
    </w:rPr>
  </w:style>
  <w:style w:type="paragraph" w:customStyle="1" w:styleId="387">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8">
    <w:name w:val="纯文本 字符1"/>
    <w:qFormat/>
    <w:uiPriority w:val="0"/>
    <w:rPr>
      <w:rFonts w:ascii="宋体" w:hAnsi="Courier New" w:eastAsia="宋体" w:cs="Courier New"/>
      <w:kern w:val="2"/>
      <w:sz w:val="21"/>
      <w:szCs w:val="21"/>
      <w:lang w:val="en-US" w:eastAsia="zh-CN" w:bidi="ar-SA"/>
    </w:rPr>
  </w:style>
  <w:style w:type="character" w:customStyle="1" w:styleId="389">
    <w:name w:val="bookmark-item"/>
    <w:qFormat/>
    <w:uiPriority w:val="0"/>
  </w:style>
  <w:style w:type="paragraph" w:customStyle="1" w:styleId="390">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391">
    <w:name w:val="font61"/>
    <w:qFormat/>
    <w:uiPriority w:val="0"/>
    <w:rPr>
      <w:rFonts w:hint="eastAsia" w:ascii="宋体" w:hAnsi="宋体" w:eastAsia="宋体"/>
      <w:color w:val="000000"/>
      <w:sz w:val="21"/>
      <w:szCs w:val="21"/>
      <w:u w:val="none"/>
    </w:rPr>
  </w:style>
  <w:style w:type="table" w:customStyle="1" w:styleId="392">
    <w:name w:val="Table Normal"/>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393">
    <w:name w:val="标题 51"/>
    <w:basedOn w:val="1"/>
    <w:qFormat/>
    <w:uiPriority w:val="1"/>
    <w:pPr>
      <w:autoSpaceDE w:val="0"/>
      <w:autoSpaceDN w:val="0"/>
      <w:ind w:left="715"/>
      <w:jc w:val="left"/>
      <w:outlineLvl w:val="5"/>
    </w:pPr>
    <w:rPr>
      <w:rFonts w:ascii="宋体" w:hAnsi="宋体" w:eastAsia="宋体" w:cs="宋体"/>
      <w:b/>
      <w:bCs/>
      <w:kern w:val="0"/>
      <w:szCs w:val="21"/>
      <w:lang w:eastAsia="en-US"/>
    </w:rPr>
  </w:style>
  <w:style w:type="character" w:customStyle="1" w:styleId="394">
    <w:name w:val="ca-21"/>
    <w:qFormat/>
    <w:uiPriority w:val="0"/>
    <w:rPr>
      <w:rFonts w:hint="eastAsia" w:ascii="宋体" w:hAnsi="宋体" w:eastAsia="宋体"/>
      <w:sz w:val="21"/>
      <w:szCs w:val="21"/>
    </w:rPr>
  </w:style>
  <w:style w:type="paragraph" w:customStyle="1" w:styleId="395">
    <w:name w:val="CM11"/>
    <w:basedOn w:val="84"/>
    <w:next w:val="84"/>
    <w:qFormat/>
    <w:uiPriority w:val="99"/>
    <w:pPr>
      <w:spacing w:line="520" w:lineRule="atLeast"/>
    </w:pPr>
    <w:rPr>
      <w:rFonts w:ascii="仿宋" w:hAnsi="Calibri" w:eastAsia="仿宋" w:cs="Times New Roman"/>
      <w:color w:val="auto"/>
    </w:rPr>
  </w:style>
  <w:style w:type="paragraph" w:customStyle="1" w:styleId="396">
    <w:name w:val="CM13"/>
    <w:basedOn w:val="84"/>
    <w:next w:val="84"/>
    <w:qFormat/>
    <w:uiPriority w:val="99"/>
    <w:pPr>
      <w:spacing w:line="520" w:lineRule="atLeast"/>
    </w:pPr>
    <w:rPr>
      <w:rFonts w:ascii="仿宋" w:hAnsi="Calibri" w:eastAsia="仿宋" w:cs="Times New Roman"/>
      <w:color w:val="auto"/>
    </w:rPr>
  </w:style>
  <w:style w:type="paragraph" w:customStyle="1" w:styleId="397">
    <w:name w:val="CM14"/>
    <w:basedOn w:val="84"/>
    <w:next w:val="84"/>
    <w:qFormat/>
    <w:uiPriority w:val="99"/>
    <w:pPr>
      <w:spacing w:line="546" w:lineRule="atLeast"/>
    </w:pPr>
    <w:rPr>
      <w:rFonts w:ascii="仿宋" w:hAnsi="Calibri" w:eastAsia="仿宋" w:cs="Times New Roman"/>
      <w:color w:val="auto"/>
    </w:rPr>
  </w:style>
  <w:style w:type="character" w:customStyle="1" w:styleId="398">
    <w:name w:val="列表段落 字符"/>
    <w:link w:val="399"/>
    <w:qFormat/>
    <w:locked/>
    <w:uiPriority w:val="34"/>
    <w:rPr>
      <w:rFonts w:ascii="Calibri" w:hAnsi="Calibri"/>
    </w:rPr>
  </w:style>
  <w:style w:type="paragraph" w:customStyle="1" w:styleId="399">
    <w:name w:val="_Style 124"/>
    <w:basedOn w:val="1"/>
    <w:next w:val="79"/>
    <w:link w:val="398"/>
    <w:qFormat/>
    <w:uiPriority w:val="34"/>
    <w:pPr>
      <w:ind w:firstLine="420" w:firstLineChars="200"/>
    </w:pPr>
    <w:rPr>
      <w:rFonts w:ascii="Calibri" w:hAnsi="Calibri"/>
    </w:rPr>
  </w:style>
  <w:style w:type="paragraph" w:customStyle="1" w:styleId="400">
    <w:name w:val="纯文本11"/>
    <w:basedOn w:val="1"/>
    <w:qFormat/>
    <w:uiPriority w:val="0"/>
    <w:pPr>
      <w:jc w:val="left"/>
    </w:pPr>
    <w:rPr>
      <w:rFonts w:ascii="宋体" w:hAnsi="Courier New" w:eastAsia="宋体" w:cs="Courier New"/>
      <w:color w:val="000000"/>
      <w:kern w:val="0"/>
      <w:sz w:val="24"/>
      <w:szCs w:val="21"/>
      <w:lang w:val="zh-CN"/>
    </w:rPr>
  </w:style>
  <w:style w:type="paragraph" w:customStyle="1" w:styleId="401">
    <w:name w:val="普通(网站)1"/>
    <w:basedOn w:val="1"/>
    <w:qFormat/>
    <w:uiPriority w:val="0"/>
    <w:pPr>
      <w:widowControl/>
      <w:spacing w:before="100" w:beforeAutospacing="1" w:after="100" w:afterAutospacing="1" w:line="384" w:lineRule="auto"/>
      <w:jc w:val="left"/>
    </w:pPr>
    <w:rPr>
      <w:rFonts w:ascii="ˎ̥" w:hAnsi="ˎ̥" w:eastAsia="宋体" w:cs="宋体"/>
      <w:color w:val="000000"/>
      <w:kern w:val="0"/>
      <w:sz w:val="24"/>
      <w:szCs w:val="21"/>
      <w:lang w:val="zh-CN"/>
    </w:rPr>
  </w:style>
  <w:style w:type="character" w:customStyle="1" w:styleId="402">
    <w:name w:val="纯文本 Char4"/>
    <w:qFormat/>
    <w:uiPriority w:val="0"/>
    <w:rPr>
      <w:rFonts w:ascii="宋体" w:hAnsi="Courier New" w:eastAsia="宋体" w:cs="Courier New"/>
      <w:kern w:val="2"/>
      <w:sz w:val="21"/>
      <w:szCs w:val="21"/>
      <w:lang w:val="en-US" w:eastAsia="zh-CN" w:bidi="ar-SA"/>
    </w:rPr>
  </w:style>
  <w:style w:type="character" w:customStyle="1" w:styleId="403">
    <w:name w:val="font51"/>
    <w:qFormat/>
    <w:uiPriority w:val="0"/>
    <w:rPr>
      <w:rFonts w:hint="eastAsia" w:ascii="仿宋_GB2312" w:eastAsia="仿宋_GB2312" w:cs="仿宋_GB2312"/>
      <w:color w:val="333333"/>
      <w:sz w:val="20"/>
      <w:szCs w:val="20"/>
      <w:u w:val="none"/>
    </w:rPr>
  </w:style>
  <w:style w:type="paragraph" w:customStyle="1" w:styleId="404">
    <w:name w:val="正文_0"/>
    <w:qFormat/>
    <w:uiPriority w:val="0"/>
    <w:pPr>
      <w:widowControl w:val="0"/>
      <w:jc w:val="both"/>
    </w:pPr>
    <w:rPr>
      <w:rFonts w:ascii="Times New Roman" w:hAnsi="Times New Roman" w:eastAsia="宋体" w:cs="Times New Roman"/>
      <w:kern w:val="0"/>
      <w:sz w:val="20"/>
      <w:szCs w:val="24"/>
      <w:lang w:val="en-US" w:eastAsia="zh-CN" w:bidi="ar-SA"/>
    </w:rPr>
  </w:style>
  <w:style w:type="character" w:customStyle="1" w:styleId="405">
    <w:name w:val="正文缩进 字符"/>
    <w:qFormat/>
    <w:uiPriority w:val="99"/>
    <w:rPr>
      <w:kern w:val="2"/>
      <w:sz w:val="21"/>
    </w:rPr>
  </w:style>
  <w:style w:type="paragraph" w:customStyle="1" w:styleId="406">
    <w:name w:val="投标正文"/>
    <w:basedOn w:val="1"/>
    <w:qFormat/>
    <w:uiPriority w:val="0"/>
    <w:pPr>
      <w:ind w:firstLine="480"/>
    </w:pPr>
    <w:rPr>
      <w:rFonts w:ascii="Times New Roman" w:hAnsi="Times New Roman" w:eastAsia="宋体" w:cs="Times New Roman"/>
      <w:szCs w:val="20"/>
    </w:rPr>
  </w:style>
  <w:style w:type="paragraph" w:customStyle="1" w:styleId="407">
    <w:name w:val="正文首行缩进 21"/>
    <w:basedOn w:val="408"/>
    <w:next w:val="410"/>
    <w:qFormat/>
    <w:uiPriority w:val="0"/>
    <w:pPr>
      <w:ind w:firstLine="420" w:firstLineChars="200"/>
    </w:pPr>
  </w:style>
  <w:style w:type="paragraph" w:customStyle="1" w:styleId="408">
    <w:name w:val="Body Text Indent1"/>
    <w:basedOn w:val="1"/>
    <w:next w:val="409"/>
    <w:qFormat/>
    <w:uiPriority w:val="0"/>
    <w:pPr>
      <w:ind w:left="420" w:leftChars="200"/>
    </w:pPr>
    <w:rPr>
      <w:rFonts w:ascii="Times New Roman" w:hAnsi="Times New Roman" w:eastAsia="宋体" w:cs="Times New Roman"/>
      <w:szCs w:val="24"/>
    </w:rPr>
  </w:style>
  <w:style w:type="paragraph" w:customStyle="1" w:styleId="409">
    <w:name w:val="正文文本缩进 21"/>
    <w:basedOn w:val="1"/>
    <w:qFormat/>
    <w:uiPriority w:val="0"/>
    <w:pPr>
      <w:spacing w:after="120" w:line="480" w:lineRule="auto"/>
      <w:ind w:left="420" w:leftChars="200"/>
    </w:pPr>
    <w:rPr>
      <w:rFonts w:ascii="Times New Roman" w:hAnsi="Times New Roman" w:eastAsia="宋体" w:cs="Times New Roman"/>
      <w:szCs w:val="24"/>
    </w:rPr>
  </w:style>
  <w:style w:type="paragraph" w:customStyle="1" w:styleId="410">
    <w:name w:val="Normal Indent1"/>
    <w:basedOn w:val="1"/>
    <w:qFormat/>
    <w:uiPriority w:val="0"/>
    <w:pPr>
      <w:widowControl/>
      <w:ind w:firstLine="420"/>
      <w:jc w:val="left"/>
    </w:pPr>
    <w:rPr>
      <w:rFonts w:ascii="Times New Roman" w:hAnsi="Times New Roman" w:eastAsia="宋体" w:cs="Times New Roman"/>
      <w:kern w:val="0"/>
      <w:sz w:val="20"/>
      <w:szCs w:val="20"/>
    </w:rPr>
  </w:style>
  <w:style w:type="paragraph" w:customStyle="1" w:styleId="41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2">
    <w:name w:val="正文文本首行缩进 字符1"/>
    <w:basedOn w:val="83"/>
    <w:link w:val="55"/>
    <w:semiHidden/>
    <w:qFormat/>
    <w:uiPriority w:val="99"/>
    <w:rPr>
      <w:rFonts w:ascii="Times New Roman" w:hAnsi="Times New Roman" w:eastAsia="宋体" w:cs="Times New Roman"/>
      <w:sz w:val="24"/>
      <w:szCs w:val="24"/>
    </w:rPr>
  </w:style>
  <w:style w:type="character" w:customStyle="1" w:styleId="413">
    <w:name w:val="正文首行缩进 2 字符"/>
    <w:basedOn w:val="86"/>
    <w:semiHidden/>
    <w:qFormat/>
    <w:uiPriority w:val="99"/>
  </w:style>
  <w:style w:type="character" w:customStyle="1" w:styleId="414">
    <w:name w:val="页脚 字符1"/>
    <w:basedOn w:val="59"/>
    <w:semiHidden/>
    <w:qFormat/>
    <w:uiPriority w:val="0"/>
    <w:rPr>
      <w:kern w:val="2"/>
      <w:sz w:val="18"/>
      <w:szCs w:val="18"/>
    </w:rPr>
  </w:style>
  <w:style w:type="character" w:customStyle="1" w:styleId="415">
    <w:name w:val="批注框文本 字符1"/>
    <w:basedOn w:val="59"/>
    <w:semiHidden/>
    <w:qFormat/>
    <w:uiPriority w:val="0"/>
    <w:rPr>
      <w:kern w:val="2"/>
      <w:sz w:val="18"/>
      <w:szCs w:val="18"/>
    </w:rPr>
  </w:style>
  <w:style w:type="character" w:customStyle="1" w:styleId="416">
    <w:name w:val="批注文字 字符1"/>
    <w:basedOn w:val="59"/>
    <w:semiHidden/>
    <w:qFormat/>
    <w:uiPriority w:val="0"/>
    <w:rPr>
      <w:kern w:val="2"/>
      <w:sz w:val="21"/>
      <w:szCs w:val="22"/>
    </w:rPr>
  </w:style>
  <w:style w:type="character" w:customStyle="1" w:styleId="417">
    <w:name w:val="批注主题 字符1"/>
    <w:basedOn w:val="416"/>
    <w:semiHidden/>
    <w:qFormat/>
    <w:uiPriority w:val="0"/>
    <w:rPr>
      <w:b/>
      <w:bCs/>
      <w:kern w:val="2"/>
      <w:sz w:val="21"/>
      <w:szCs w:val="22"/>
    </w:rPr>
  </w:style>
  <w:style w:type="character" w:customStyle="1" w:styleId="418">
    <w:name w:val="文档结构图 字符1"/>
    <w:basedOn w:val="59"/>
    <w:semiHidden/>
    <w:qFormat/>
    <w:uiPriority w:val="0"/>
    <w:rPr>
      <w:rFonts w:ascii="Microsoft YaHei UI" w:eastAsia="Microsoft YaHei UI"/>
      <w:kern w:val="2"/>
      <w:sz w:val="18"/>
      <w:szCs w:val="18"/>
    </w:rPr>
  </w:style>
  <w:style w:type="character" w:customStyle="1" w:styleId="419">
    <w:name w:val="页眉 字符1"/>
    <w:basedOn w:val="59"/>
    <w:semiHidden/>
    <w:qFormat/>
    <w:uiPriority w:val="0"/>
    <w:rPr>
      <w:kern w:val="2"/>
      <w:sz w:val="18"/>
      <w:szCs w:val="18"/>
    </w:rPr>
  </w:style>
  <w:style w:type="character" w:customStyle="1" w:styleId="420">
    <w:name w:val="日期 字符1"/>
    <w:basedOn w:val="59"/>
    <w:semiHidden/>
    <w:qFormat/>
    <w:uiPriority w:val="0"/>
    <w:rPr>
      <w:kern w:val="2"/>
      <w:sz w:val="21"/>
      <w:szCs w:val="22"/>
    </w:rPr>
  </w:style>
  <w:style w:type="character" w:customStyle="1" w:styleId="421">
    <w:name w:val="正文文本 字符1"/>
    <w:basedOn w:val="59"/>
    <w:semiHidden/>
    <w:qFormat/>
    <w:uiPriority w:val="0"/>
    <w:rPr>
      <w:kern w:val="2"/>
      <w:sz w:val="21"/>
      <w:szCs w:val="22"/>
    </w:rPr>
  </w:style>
  <w:style w:type="character" w:customStyle="1" w:styleId="422">
    <w:name w:val="标题 字符1"/>
    <w:basedOn w:val="59"/>
    <w:qFormat/>
    <w:uiPriority w:val="0"/>
    <w:rPr>
      <w:rFonts w:asciiTheme="majorHAnsi" w:hAnsiTheme="majorHAnsi" w:eastAsiaTheme="majorEastAsia" w:cstheme="majorBidi"/>
      <w:b/>
      <w:bCs/>
      <w:kern w:val="2"/>
      <w:sz w:val="32"/>
      <w:szCs w:val="32"/>
    </w:rPr>
  </w:style>
  <w:style w:type="character" w:customStyle="1" w:styleId="423">
    <w:name w:val="副标题 字符1"/>
    <w:basedOn w:val="59"/>
    <w:qFormat/>
    <w:uiPriority w:val="0"/>
    <w:rPr>
      <w:rFonts w:asciiTheme="minorHAnsi" w:hAnsiTheme="minorHAnsi" w:eastAsiaTheme="minorEastAsia" w:cstheme="minorBidi"/>
      <w:b/>
      <w:bCs/>
      <w:kern w:val="28"/>
      <w:sz w:val="32"/>
      <w:szCs w:val="32"/>
    </w:rPr>
  </w:style>
  <w:style w:type="character" w:customStyle="1" w:styleId="424">
    <w:name w:val="未处理的提及1"/>
    <w:basedOn w:val="59"/>
    <w:semiHidden/>
    <w:unhideWhenUsed/>
    <w:qFormat/>
    <w:uiPriority w:val="99"/>
    <w:rPr>
      <w:color w:val="605E5C"/>
      <w:shd w:val="clear" w:color="auto" w:fill="E1DFDD"/>
    </w:rPr>
  </w:style>
  <w:style w:type="character" w:customStyle="1" w:styleId="425">
    <w:name w:val="明显引用 Char"/>
    <w:qFormat/>
    <w:locked/>
    <w:uiPriority w:val="99"/>
    <w:rPr>
      <w:b/>
      <w:bCs/>
      <w:i/>
      <w:iCs/>
      <w:color w:val="4F81BD"/>
    </w:rPr>
  </w:style>
  <w:style w:type="character" w:customStyle="1" w:styleId="426">
    <w:name w:val="引用 Char"/>
    <w:qFormat/>
    <w:locked/>
    <w:uiPriority w:val="99"/>
    <w:rPr>
      <w:i/>
      <w:iCs/>
      <w:color w:val="000000"/>
    </w:rPr>
  </w:style>
  <w:style w:type="character" w:customStyle="1" w:styleId="427">
    <w:name w:val="批注文字 Char"/>
    <w:qFormat/>
    <w:uiPriority w:val="99"/>
    <w:rPr>
      <w:kern w:val="2"/>
      <w:sz w:val="24"/>
      <w:szCs w:val="24"/>
    </w:rPr>
  </w:style>
  <w:style w:type="paragraph" w:customStyle="1" w:styleId="428">
    <w:name w:val="Body text|1"/>
    <w:basedOn w:val="1"/>
    <w:qFormat/>
    <w:uiPriority w:val="0"/>
    <w:pPr>
      <w:spacing w:line="360" w:lineRule="auto"/>
      <w:ind w:firstLine="400"/>
    </w:pPr>
    <w:rPr>
      <w:rFonts w:ascii="宋体" w:hAnsi="宋体" w:eastAsia="宋体" w:cs="宋体"/>
      <w:szCs w:val="20"/>
      <w:lang w:val="zh-CN" w:bidi="zh-CN"/>
    </w:rPr>
  </w:style>
  <w:style w:type="paragraph" w:customStyle="1" w:styleId="429">
    <w:name w:val="表格方字"/>
    <w:basedOn w:val="1"/>
    <w:qFormat/>
    <w:uiPriority w:val="0"/>
    <w:pPr>
      <w:adjustRightInd w:val="0"/>
      <w:spacing w:before="60" w:after="60" w:line="420" w:lineRule="atLeast"/>
      <w:textAlignment w:val="baseline"/>
    </w:pPr>
    <w:rPr>
      <w:rFonts w:ascii="Times New Roman" w:hAnsi="Times New Roman" w:eastAsia="宋体" w:cs="Times New Roman"/>
      <w:szCs w:val="20"/>
    </w:rPr>
  </w:style>
  <w:style w:type="paragraph" w:customStyle="1" w:styleId="430">
    <w:name w:val="表格1"/>
    <w:basedOn w:val="1"/>
    <w:qFormat/>
    <w:uiPriority w:val="0"/>
    <w:pPr>
      <w:adjustRightInd w:val="0"/>
      <w:spacing w:line="420" w:lineRule="atLeast"/>
      <w:ind w:left="284"/>
      <w:textAlignment w:val="baseline"/>
    </w:pPr>
    <w:rPr>
      <w:rFonts w:ascii="Times New Roman" w:hAnsi="Times New Roman" w:eastAsia="宋体" w:cs="Times New Roman"/>
      <w:szCs w:val="20"/>
    </w:rPr>
  </w:style>
  <w:style w:type="paragraph" w:customStyle="1" w:styleId="431">
    <w:name w:val="表格3"/>
    <w:basedOn w:val="1"/>
    <w:qFormat/>
    <w:uiPriority w:val="0"/>
    <w:pPr>
      <w:adjustRightInd w:val="0"/>
      <w:spacing w:line="420" w:lineRule="atLeast"/>
      <w:textAlignment w:val="baseline"/>
    </w:pPr>
    <w:rPr>
      <w:rFonts w:ascii="Times New Roman" w:hAnsi="Times New Roman" w:eastAsia="楷体" w:cs="Times New Roman"/>
      <w:szCs w:val="20"/>
    </w:rPr>
  </w:style>
  <w:style w:type="character" w:customStyle="1" w:styleId="432">
    <w:name w:val="数字"/>
    <w:qFormat/>
    <w:uiPriority w:val="0"/>
    <w:rPr>
      <w:rFonts w:eastAsia="黑体"/>
      <w:b/>
      <w:sz w:val="21"/>
    </w:rPr>
  </w:style>
  <w:style w:type="paragraph" w:customStyle="1" w:styleId="433">
    <w:name w:val="表格5"/>
    <w:basedOn w:val="300"/>
    <w:qFormat/>
    <w:uiPriority w:val="0"/>
    <w:pPr>
      <w:spacing w:before="0" w:after="0" w:line="420" w:lineRule="atLeast"/>
      <w:ind w:left="1021" w:hanging="284"/>
      <w:jc w:val="both"/>
      <w:textAlignment w:val="baseline"/>
    </w:pPr>
    <w:rPr>
      <w:color w:val="auto"/>
      <w:kern w:val="2"/>
      <w:sz w:val="21"/>
    </w:rPr>
  </w:style>
  <w:style w:type="paragraph" w:customStyle="1" w:styleId="434">
    <w:name w:val="表格4"/>
    <w:basedOn w:val="1"/>
    <w:qFormat/>
    <w:uiPriority w:val="0"/>
    <w:pPr>
      <w:adjustRightInd w:val="0"/>
      <w:spacing w:line="420" w:lineRule="atLeast"/>
      <w:ind w:left="1021"/>
      <w:textAlignment w:val="baseline"/>
    </w:pPr>
    <w:rPr>
      <w:rFonts w:ascii="Times New Roman" w:hAnsi="Times New Roman" w:eastAsia="宋体" w:cs="Times New Roman"/>
      <w:szCs w:val="20"/>
    </w:rPr>
  </w:style>
  <w:style w:type="paragraph" w:customStyle="1" w:styleId="435">
    <w:name w:val="表格6"/>
    <w:basedOn w:val="433"/>
    <w:qFormat/>
    <w:uiPriority w:val="0"/>
    <w:pPr>
      <w:ind w:left="737" w:firstLine="0"/>
    </w:pPr>
  </w:style>
  <w:style w:type="table" w:customStyle="1" w:styleId="436">
    <w:name w:val="网格型1"/>
    <w:basedOn w:val="57"/>
    <w:qFormat/>
    <w:uiPriority w:val="0"/>
    <w:pPr>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7">
    <w:name w:val="表中"/>
    <w:basedOn w:val="1"/>
    <w:qFormat/>
    <w:uiPriority w:val="0"/>
    <w:pPr>
      <w:adjustRightInd w:val="0"/>
      <w:spacing w:line="360" w:lineRule="atLeast"/>
      <w:jc w:val="center"/>
      <w:textAlignment w:val="baseline"/>
    </w:pPr>
    <w:rPr>
      <w:rFonts w:ascii="Times New Roman" w:hAnsi="Times New Roman" w:eastAsia="宋体" w:cs="Times New Roman"/>
      <w:szCs w:val="20"/>
    </w:rPr>
  </w:style>
  <w:style w:type="paragraph" w:customStyle="1" w:styleId="438">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kern w:val="0"/>
      <w:sz w:val="21"/>
      <w:szCs w:val="20"/>
      <w:lang w:val="en-US" w:eastAsia="zh-CN" w:bidi="ar-SA"/>
    </w:rPr>
  </w:style>
  <w:style w:type="character" w:customStyle="1" w:styleId="439">
    <w:name w:val="尾注文本 字符"/>
    <w:basedOn w:val="59"/>
    <w:link w:val="33"/>
    <w:semiHidden/>
    <w:qFormat/>
    <w:uiPriority w:val="0"/>
    <w:rPr>
      <w:rFonts w:ascii="Times New Roman" w:hAnsi="Times New Roman" w:eastAsia="宋体" w:cs="Times New Roman"/>
      <w:szCs w:val="24"/>
    </w:rPr>
  </w:style>
  <w:style w:type="paragraph" w:customStyle="1" w:styleId="440">
    <w:name w:val="Char Char Char Char Char Char Char Char Char Char Char Char Char Char Char Char Char Char1 Char Char Char Char"/>
    <w:basedOn w:val="1"/>
    <w:qFormat/>
    <w:uiPriority w:val="0"/>
    <w:rPr>
      <w:rFonts w:ascii="Times New Roman" w:hAnsi="Times New Roman" w:eastAsia="宋体" w:cs="Times New Roman"/>
      <w:szCs w:val="24"/>
    </w:rPr>
  </w:style>
  <w:style w:type="character" w:customStyle="1" w:styleId="441">
    <w:name w:val="H001 Char"/>
    <w:link w:val="442"/>
    <w:qFormat/>
    <w:uiPriority w:val="0"/>
    <w:rPr>
      <w:rFonts w:eastAsia="黑体"/>
      <w:bCs/>
      <w:kern w:val="44"/>
      <w:sz w:val="24"/>
      <w:szCs w:val="44"/>
    </w:rPr>
  </w:style>
  <w:style w:type="paragraph" w:customStyle="1" w:styleId="442">
    <w:name w:val="H001"/>
    <w:basedOn w:val="4"/>
    <w:link w:val="441"/>
    <w:qFormat/>
    <w:uiPriority w:val="0"/>
    <w:pPr>
      <w:spacing w:before="240" w:after="240" w:line="240" w:lineRule="exact"/>
    </w:pPr>
    <w:rPr>
      <w:rFonts w:eastAsia="黑体" w:asciiTheme="minorHAnsi" w:hAnsiTheme="minorHAnsi" w:cstheme="minorBidi"/>
      <w:b w:val="0"/>
      <w:sz w:val="24"/>
    </w:rPr>
  </w:style>
  <w:style w:type="character" w:customStyle="1" w:styleId="443">
    <w:name w:val="脚注文本 字符1"/>
    <w:qFormat/>
    <w:locked/>
    <w:uiPriority w:val="0"/>
    <w:rPr>
      <w:kern w:val="2"/>
      <w:sz w:val="18"/>
      <w:szCs w:val="18"/>
    </w:rPr>
  </w:style>
  <w:style w:type="character" w:customStyle="1" w:styleId="444">
    <w:name w:val="未处理的提及11"/>
    <w:semiHidden/>
    <w:unhideWhenUsed/>
    <w:qFormat/>
    <w:uiPriority w:val="99"/>
    <w:rPr>
      <w:color w:val="808080"/>
      <w:shd w:val="clear" w:color="auto" w:fill="E6E6E6"/>
    </w:rPr>
  </w:style>
  <w:style w:type="character" w:customStyle="1" w:styleId="445">
    <w:name w:val="附件正文ffff Char"/>
    <w:link w:val="446"/>
    <w:qFormat/>
    <w:locked/>
    <w:uiPriority w:val="0"/>
    <w:rPr>
      <w:rFonts w:ascii="方正宋三简体" w:eastAsia="方正宋三简体"/>
      <w:spacing w:val="4"/>
    </w:rPr>
  </w:style>
  <w:style w:type="paragraph" w:customStyle="1" w:styleId="446">
    <w:name w:val="附件正文ffff"/>
    <w:basedOn w:val="1"/>
    <w:link w:val="445"/>
    <w:qFormat/>
    <w:uiPriority w:val="0"/>
    <w:pPr>
      <w:spacing w:line="340" w:lineRule="exact"/>
      <w:ind w:firstLine="436" w:firstLineChars="200"/>
    </w:pPr>
    <w:rPr>
      <w:rFonts w:ascii="方正宋三简体" w:eastAsia="方正宋三简体"/>
      <w:spacing w:val="4"/>
    </w:rPr>
  </w:style>
  <w:style w:type="character" w:customStyle="1" w:styleId="447">
    <w:name w:val="正文文本 (2) + 10 pt37"/>
    <w:qFormat/>
    <w:uiPriority w:val="99"/>
    <w:rPr>
      <w:rFonts w:ascii="MingLiU" w:eastAsia="MingLiU" w:cs="MingLiU"/>
      <w:spacing w:val="0"/>
      <w:sz w:val="20"/>
      <w:szCs w:val="20"/>
      <w:u w:val="none"/>
    </w:rPr>
  </w:style>
  <w:style w:type="character" w:customStyle="1" w:styleId="448">
    <w:name w:val="脚注文本 Char1"/>
    <w:qFormat/>
    <w:uiPriority w:val="0"/>
    <w:rPr>
      <w:rFonts w:ascii="Times New Roman" w:hAnsi="Times New Roman" w:eastAsia="宋体"/>
      <w:sz w:val="18"/>
      <w:szCs w:val="20"/>
    </w:rPr>
  </w:style>
  <w:style w:type="character" w:customStyle="1" w:styleId="449">
    <w:name w:val="正文文本 3 字符1"/>
    <w:semiHidden/>
    <w:qFormat/>
    <w:locked/>
    <w:uiPriority w:val="0"/>
    <w:rPr>
      <w:rFonts w:ascii="宋体"/>
      <w:kern w:val="2"/>
      <w:sz w:val="24"/>
    </w:rPr>
  </w:style>
  <w:style w:type="character" w:customStyle="1" w:styleId="450">
    <w:name w:val="未处理的提及2"/>
    <w:semiHidden/>
    <w:unhideWhenUsed/>
    <w:qFormat/>
    <w:uiPriority w:val="99"/>
    <w:rPr>
      <w:color w:val="605E5C"/>
      <w:shd w:val="clear" w:color="auto" w:fill="E1DFDD"/>
    </w:rPr>
  </w:style>
  <w:style w:type="character" w:customStyle="1" w:styleId="451">
    <w:name w:val="脚注文本 Char2"/>
    <w:qFormat/>
    <w:uiPriority w:val="0"/>
    <w:rPr>
      <w:kern w:val="2"/>
      <w:sz w:val="18"/>
    </w:rPr>
  </w:style>
  <w:style w:type="table" w:customStyle="1" w:styleId="452">
    <w:name w:val="Table Normal1"/>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53">
    <w:name w:val="正文_2"/>
    <w:next w:val="4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4">
    <w:name w:val="纯文本_1"/>
    <w:basedOn w:val="453"/>
    <w:qFormat/>
    <w:uiPriority w:val="0"/>
    <w:rPr>
      <w:rFonts w:ascii="宋体" w:hAnsi="Courier New"/>
      <w:szCs w:val="20"/>
    </w:rPr>
  </w:style>
  <w:style w:type="paragraph" w:customStyle="1" w:styleId="45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Normal_2"/>
    <w:qFormat/>
    <w:uiPriority w:val="0"/>
    <w:rPr>
      <w:rFonts w:ascii="Times New Roman" w:hAnsi="Times New Roman" w:eastAsia="Times New Roman" w:cs="Times New Roman"/>
      <w:kern w:val="0"/>
      <w:sz w:val="24"/>
      <w:szCs w:val="24"/>
      <w:lang w:val="en-US" w:eastAsia="zh-CN" w:bidi="ar-SA"/>
    </w:rPr>
  </w:style>
  <w:style w:type="paragraph" w:customStyle="1" w:styleId="457">
    <w:name w:val="Normal_0"/>
    <w:qFormat/>
    <w:uiPriority w:val="0"/>
    <w:rPr>
      <w:rFonts w:ascii="Times New Roman" w:hAnsi="Times New Roman" w:eastAsia="Times New Roman" w:cs="Times New Roman"/>
      <w:kern w:val="0"/>
      <w:sz w:val="24"/>
      <w:szCs w:val="24"/>
      <w:lang w:val="en-US" w:eastAsia="zh-CN" w:bidi="ar-SA"/>
    </w:rPr>
  </w:style>
  <w:style w:type="paragraph" w:customStyle="1" w:styleId="458">
    <w:name w:val="Normal_1"/>
    <w:qFormat/>
    <w:uiPriority w:val="0"/>
    <w:rPr>
      <w:rFonts w:ascii="Times New Roman" w:hAnsi="Times New Roman" w:eastAsia="Times New Roman" w:cs="Times New Roman"/>
      <w:kern w:val="0"/>
      <w:sz w:val="24"/>
      <w:szCs w:val="24"/>
      <w:lang w:val="en-US" w:eastAsia="zh-CN" w:bidi="ar-SA"/>
    </w:rPr>
  </w:style>
  <w:style w:type="paragraph" w:customStyle="1" w:styleId="459">
    <w:name w:val="Normal_0_0"/>
    <w:qFormat/>
    <w:uiPriority w:val="0"/>
    <w:rPr>
      <w:rFonts w:ascii="Times New Roman" w:hAnsi="Times New Roman" w:eastAsia="Times New Roman" w:cs="Times New Roman"/>
      <w:kern w:val="0"/>
      <w:sz w:val="24"/>
      <w:szCs w:val="24"/>
      <w:lang w:val="en-US" w:eastAsia="zh-CN" w:bidi="ar-SA"/>
    </w:rPr>
  </w:style>
  <w:style w:type="paragraph" w:customStyle="1" w:styleId="460">
    <w:name w:val="Normal_3"/>
    <w:qFormat/>
    <w:uiPriority w:val="0"/>
    <w:rPr>
      <w:rFonts w:ascii="Times New Roman" w:hAnsi="Times New Roman" w:eastAsia="Times New Roman" w:cs="Times New Roman"/>
      <w:kern w:val="0"/>
      <w:sz w:val="24"/>
      <w:szCs w:val="24"/>
      <w:lang w:val="en-US" w:eastAsia="zh-CN" w:bidi="ar-SA"/>
    </w:rPr>
  </w:style>
  <w:style w:type="paragraph" w:customStyle="1" w:styleId="461">
    <w:name w:val="Normal_0_1"/>
    <w:qFormat/>
    <w:uiPriority w:val="0"/>
    <w:rPr>
      <w:rFonts w:ascii="Times New Roman" w:hAnsi="Times New Roman" w:eastAsia="Times New Roman" w:cs="Times New Roman"/>
      <w:kern w:val="0"/>
      <w:sz w:val="24"/>
      <w:szCs w:val="24"/>
      <w:lang w:val="en-US" w:eastAsia="zh-CN" w:bidi="ar-SA"/>
    </w:rPr>
  </w:style>
  <w:style w:type="paragraph" w:customStyle="1" w:styleId="46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3">
    <w:name w:val="Normal_1_0"/>
    <w:qFormat/>
    <w:uiPriority w:val="0"/>
    <w:rPr>
      <w:rFonts w:ascii="Times New Roman" w:hAnsi="Times New Roman" w:eastAsia="Times New Roman" w:cs="Times New Roman"/>
      <w:kern w:val="0"/>
      <w:sz w:val="24"/>
      <w:szCs w:val="24"/>
      <w:lang w:val="en-US" w:eastAsia="zh-CN" w:bidi="ar-SA"/>
    </w:rPr>
  </w:style>
  <w:style w:type="paragraph" w:customStyle="1" w:styleId="464">
    <w:name w:val="Normal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5">
    <w:name w:val="Normal_3_0"/>
    <w:qFormat/>
    <w:uiPriority w:val="0"/>
    <w:rPr>
      <w:rFonts w:ascii="Times New Roman" w:hAnsi="Times New Roman" w:eastAsia="Times New Roman" w:cs="Times New Roman"/>
      <w:kern w:val="0"/>
      <w:sz w:val="24"/>
      <w:szCs w:val="24"/>
      <w:lang w:val="en-US" w:eastAsia="zh-CN" w:bidi="ar-SA"/>
    </w:rPr>
  </w:style>
  <w:style w:type="paragraph" w:customStyle="1" w:styleId="466">
    <w:name w:val="Normal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7">
    <w:name w:val="Normal_5"/>
    <w:qFormat/>
    <w:uiPriority w:val="0"/>
    <w:rPr>
      <w:rFonts w:ascii="Times New Roman" w:hAnsi="Times New Roman" w:eastAsia="Times New Roman" w:cs="Times New Roman"/>
      <w:kern w:val="0"/>
      <w:sz w:val="24"/>
      <w:szCs w:val="24"/>
      <w:lang w:val="en-US" w:eastAsia="zh-CN" w:bidi="ar-SA"/>
    </w:rPr>
  </w:style>
  <w:style w:type="paragraph" w:customStyle="1" w:styleId="46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9">
    <w:name w:val="Normal_6"/>
    <w:qFormat/>
    <w:uiPriority w:val="0"/>
    <w:rPr>
      <w:rFonts w:ascii="Times New Roman" w:hAnsi="Times New Roman" w:eastAsia="Times New Roman" w:cs="Times New Roman"/>
      <w:kern w:val="0"/>
      <w:sz w:val="24"/>
      <w:szCs w:val="24"/>
      <w:lang w:val="en-US" w:eastAsia="zh-CN" w:bidi="ar-SA"/>
    </w:rPr>
  </w:style>
  <w:style w:type="paragraph" w:customStyle="1" w:styleId="47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1">
    <w:name w:val="Normal_7"/>
    <w:qFormat/>
    <w:uiPriority w:val="0"/>
    <w:rPr>
      <w:rFonts w:ascii="Times New Roman" w:hAnsi="Times New Roman" w:eastAsia="Times New Roman" w:cs="Times New Roman"/>
      <w:kern w:val="0"/>
      <w:sz w:val="24"/>
      <w:szCs w:val="24"/>
      <w:lang w:val="en-US" w:eastAsia="zh-CN" w:bidi="ar-SA"/>
    </w:rPr>
  </w:style>
  <w:style w:type="paragraph" w:customStyle="1" w:styleId="47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3">
    <w:name w:val="Normal_8"/>
    <w:qFormat/>
    <w:uiPriority w:val="0"/>
    <w:rPr>
      <w:rFonts w:ascii="Times New Roman" w:hAnsi="Times New Roman" w:eastAsia="Times New Roman" w:cs="Times New Roman"/>
      <w:kern w:val="0"/>
      <w:sz w:val="24"/>
      <w:szCs w:val="24"/>
      <w:lang w:val="en-US" w:eastAsia="zh-CN" w:bidi="ar-SA"/>
    </w:rPr>
  </w:style>
  <w:style w:type="paragraph" w:customStyle="1" w:styleId="474">
    <w:name w:val="Normal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5">
    <w:name w:val="Normal_0_3"/>
    <w:qFormat/>
    <w:uiPriority w:val="0"/>
    <w:rPr>
      <w:rFonts w:ascii="Times New Roman" w:hAnsi="Times New Roman" w:eastAsia="Times New Roman" w:cs="Times New Roman"/>
      <w:kern w:val="0"/>
      <w:sz w:val="24"/>
      <w:szCs w:val="24"/>
      <w:lang w:val="en-US" w:eastAsia="zh-CN" w:bidi="ar-SA"/>
    </w:rPr>
  </w:style>
  <w:style w:type="paragraph" w:customStyle="1" w:styleId="476">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7">
    <w:name w:val="Normal_2_1"/>
    <w:qFormat/>
    <w:uiPriority w:val="0"/>
    <w:rPr>
      <w:rFonts w:ascii="Times New Roman" w:hAnsi="Times New Roman" w:eastAsia="Times New Roman" w:cs="Times New Roman"/>
      <w:kern w:val="0"/>
      <w:sz w:val="24"/>
      <w:szCs w:val="24"/>
      <w:lang w:val="en-US" w:eastAsia="zh-CN" w:bidi="ar-SA"/>
    </w:rPr>
  </w:style>
  <w:style w:type="paragraph" w:customStyle="1" w:styleId="47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9">
    <w:name w:val="正文文本_0"/>
    <w:basedOn w:val="478"/>
    <w:link w:val="480"/>
    <w:semiHidden/>
    <w:unhideWhenUsed/>
    <w:qFormat/>
    <w:uiPriority w:val="99"/>
    <w:pPr>
      <w:spacing w:after="120"/>
    </w:pPr>
  </w:style>
  <w:style w:type="character" w:customStyle="1" w:styleId="480">
    <w:name w:val="正文文本 Char_0"/>
    <w:link w:val="479"/>
    <w:semiHidden/>
    <w:qFormat/>
    <w:uiPriority w:val="99"/>
    <w:rPr>
      <w:rFonts w:ascii="Calibri" w:hAnsi="Calibri" w:eastAsia="宋体" w:cs="Times New Roman"/>
    </w:rPr>
  </w:style>
  <w:style w:type="paragraph" w:customStyle="1" w:styleId="481">
    <w:name w:val="Normal_3_1"/>
    <w:qFormat/>
    <w:uiPriority w:val="0"/>
    <w:rPr>
      <w:rFonts w:ascii="Times New Roman" w:hAnsi="Times New Roman" w:eastAsia="Times New Roman" w:cs="Times New Roman"/>
      <w:kern w:val="0"/>
      <w:sz w:val="24"/>
      <w:szCs w:val="24"/>
      <w:lang w:val="en-US" w:eastAsia="zh-CN" w:bidi="ar-SA"/>
    </w:rPr>
  </w:style>
  <w:style w:type="paragraph" w:customStyle="1" w:styleId="48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3">
    <w:name w:val="Normal_4_0"/>
    <w:qFormat/>
    <w:uiPriority w:val="0"/>
    <w:rPr>
      <w:rFonts w:ascii="Times New Roman" w:hAnsi="Times New Roman" w:eastAsia="Times New Roman" w:cs="Times New Roman"/>
      <w:kern w:val="0"/>
      <w:sz w:val="24"/>
      <w:szCs w:val="24"/>
      <w:lang w:val="en-US" w:eastAsia="zh-CN" w:bidi="ar-SA"/>
    </w:rPr>
  </w:style>
  <w:style w:type="paragraph" w:customStyle="1" w:styleId="484">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5">
    <w:name w:val="Normal_5_0"/>
    <w:qFormat/>
    <w:uiPriority w:val="0"/>
    <w:rPr>
      <w:rFonts w:ascii="Times New Roman" w:hAnsi="Times New Roman" w:eastAsia="Times New Roman" w:cs="Times New Roman"/>
      <w:kern w:val="0"/>
      <w:sz w:val="24"/>
      <w:szCs w:val="24"/>
      <w:lang w:val="en-US" w:eastAsia="zh-CN" w:bidi="ar-SA"/>
    </w:rPr>
  </w:style>
  <w:style w:type="paragraph" w:customStyle="1" w:styleId="486">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Normal_6_0"/>
    <w:qFormat/>
    <w:uiPriority w:val="0"/>
    <w:rPr>
      <w:rFonts w:ascii="Times New Roman" w:hAnsi="Times New Roman" w:eastAsia="Times New Roman" w:cs="Times New Roman"/>
      <w:kern w:val="0"/>
      <w:sz w:val="24"/>
      <w:szCs w:val="24"/>
      <w:lang w:val="en-US" w:eastAsia="zh-CN" w:bidi="ar-SA"/>
    </w:rPr>
  </w:style>
  <w:style w:type="paragraph" w:customStyle="1" w:styleId="488">
    <w:name w:val="Normal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9">
    <w:name w:val="Normal_8_0"/>
    <w:qFormat/>
    <w:uiPriority w:val="0"/>
    <w:rPr>
      <w:rFonts w:ascii="Times New Roman" w:hAnsi="Times New Roman" w:eastAsia="Times New Roman" w:cs="Times New Roman"/>
      <w:kern w:val="0"/>
      <w:sz w:val="24"/>
      <w:szCs w:val="24"/>
      <w:lang w:val="en-US" w:eastAsia="zh-CN" w:bidi="ar-SA"/>
    </w:rPr>
  </w:style>
  <w:style w:type="paragraph" w:customStyle="1" w:styleId="490">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1">
    <w:name w:val="Normal_9"/>
    <w:qFormat/>
    <w:uiPriority w:val="0"/>
    <w:rPr>
      <w:rFonts w:ascii="Times New Roman" w:hAnsi="Times New Roman" w:eastAsia="Times New Roman" w:cs="Times New Roman"/>
      <w:kern w:val="0"/>
      <w:sz w:val="24"/>
      <w:szCs w:val="24"/>
      <w:lang w:val="en-US" w:eastAsia="zh-CN" w:bidi="ar-SA"/>
    </w:rPr>
  </w:style>
  <w:style w:type="paragraph" w:customStyle="1" w:styleId="492">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Normal_10"/>
    <w:qFormat/>
    <w:uiPriority w:val="0"/>
    <w:rPr>
      <w:rFonts w:ascii="Times New Roman" w:hAnsi="Times New Roman" w:eastAsia="Times New Roman" w:cs="Times New Roman"/>
      <w:kern w:val="0"/>
      <w:sz w:val="24"/>
      <w:szCs w:val="24"/>
      <w:lang w:val="en-US" w:eastAsia="zh-CN" w:bidi="ar-SA"/>
    </w:rPr>
  </w:style>
  <w:style w:type="paragraph" w:customStyle="1" w:styleId="494">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5">
    <w:name w:val="Normal_11"/>
    <w:qFormat/>
    <w:uiPriority w:val="0"/>
    <w:rPr>
      <w:rFonts w:ascii="Times New Roman" w:hAnsi="Times New Roman" w:eastAsia="Times New Roman" w:cs="Times New Roman"/>
      <w:kern w:val="0"/>
      <w:sz w:val="24"/>
      <w:szCs w:val="24"/>
      <w:lang w:val="en-US" w:eastAsia="zh-CN" w:bidi="ar-SA"/>
    </w:rPr>
  </w:style>
  <w:style w:type="paragraph" w:customStyle="1" w:styleId="496">
    <w:name w:val="Normal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Normal_13"/>
    <w:qFormat/>
    <w:uiPriority w:val="0"/>
    <w:rPr>
      <w:rFonts w:ascii="Times New Roman" w:hAnsi="Times New Roman" w:eastAsia="Times New Roman" w:cs="Times New Roman"/>
      <w:kern w:val="0"/>
      <w:sz w:val="24"/>
      <w:szCs w:val="24"/>
      <w:lang w:val="en-US" w:eastAsia="zh-CN" w:bidi="ar-SA"/>
    </w:rPr>
  </w:style>
  <w:style w:type="paragraph" w:customStyle="1" w:styleId="498">
    <w:name w:val="Table Paragraph_0"/>
    <w:basedOn w:val="499"/>
    <w:qFormat/>
    <w:uiPriority w:val="1"/>
  </w:style>
  <w:style w:type="paragraph" w:customStyle="1" w:styleId="499">
    <w:name w:val="正文_6"/>
    <w:qFormat/>
    <w:uiPriority w:val="1"/>
    <w:pPr>
      <w:widowControl w:val="0"/>
      <w:autoSpaceDE w:val="0"/>
      <w:autoSpaceDN w:val="0"/>
    </w:pPr>
    <w:rPr>
      <w:rFonts w:ascii="宋体" w:hAnsi="宋体" w:eastAsia="宋体" w:cs="宋体"/>
      <w:kern w:val="0"/>
      <w:sz w:val="22"/>
      <w:szCs w:val="22"/>
      <w:lang w:val="zh-CN" w:eastAsia="zh-CN" w:bidi="zh-CN"/>
    </w:rPr>
  </w:style>
  <w:style w:type="paragraph" w:customStyle="1" w:styleId="500">
    <w:name w:val="Normal_14"/>
    <w:qFormat/>
    <w:uiPriority w:val="0"/>
    <w:rPr>
      <w:rFonts w:ascii="Times New Roman" w:hAnsi="Times New Roman" w:eastAsia="Times New Roman" w:cs="Times New Roman"/>
      <w:kern w:val="0"/>
      <w:sz w:val="24"/>
      <w:szCs w:val="24"/>
      <w:lang w:val="en-US" w:eastAsia="zh-CN" w:bidi="ar-SA"/>
    </w:rPr>
  </w:style>
  <w:style w:type="paragraph" w:customStyle="1" w:styleId="50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2">
    <w:name w:val="Normal_15"/>
    <w:qFormat/>
    <w:uiPriority w:val="0"/>
    <w:rPr>
      <w:rFonts w:ascii="Times New Roman" w:hAnsi="Times New Roman" w:eastAsia="Times New Roman" w:cs="Times New Roman"/>
      <w:kern w:val="0"/>
      <w:sz w:val="24"/>
      <w:szCs w:val="24"/>
      <w:lang w:val="en-US" w:eastAsia="zh-CN" w:bidi="ar-SA"/>
    </w:rPr>
  </w:style>
  <w:style w:type="paragraph" w:customStyle="1" w:styleId="503">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4">
    <w:name w:val="正文文本_1"/>
    <w:basedOn w:val="503"/>
    <w:link w:val="505"/>
    <w:semiHidden/>
    <w:unhideWhenUsed/>
    <w:qFormat/>
    <w:uiPriority w:val="99"/>
    <w:pPr>
      <w:spacing w:after="120"/>
    </w:pPr>
  </w:style>
  <w:style w:type="character" w:customStyle="1" w:styleId="505">
    <w:name w:val="正文文本 Char_1"/>
    <w:link w:val="504"/>
    <w:semiHidden/>
    <w:qFormat/>
    <w:uiPriority w:val="99"/>
    <w:rPr>
      <w:rFonts w:ascii="Calibri" w:hAnsi="Calibri" w:eastAsia="宋体" w:cs="Times New Roman"/>
    </w:rPr>
  </w:style>
  <w:style w:type="paragraph" w:customStyle="1" w:styleId="506">
    <w:name w:val="Normal_16"/>
    <w:qFormat/>
    <w:uiPriority w:val="0"/>
    <w:rPr>
      <w:rFonts w:ascii="Times New Roman" w:hAnsi="Times New Roman" w:eastAsia="Times New Roman" w:cs="Times New Roman"/>
      <w:kern w:val="0"/>
      <w:sz w:val="24"/>
      <w:szCs w:val="24"/>
      <w:lang w:val="en-US" w:eastAsia="zh-CN" w:bidi="ar-SA"/>
    </w:rPr>
  </w:style>
  <w:style w:type="paragraph" w:customStyle="1" w:styleId="507">
    <w:name w:val="Normal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Normal_18"/>
    <w:qFormat/>
    <w:uiPriority w:val="0"/>
    <w:rPr>
      <w:rFonts w:ascii="Times New Roman" w:hAnsi="Times New Roman" w:eastAsia="Times New Roman" w:cs="Times New Roman"/>
      <w:kern w:val="0"/>
      <w:sz w:val="24"/>
      <w:szCs w:val="24"/>
      <w:lang w:val="en-US" w:eastAsia="zh-CN" w:bidi="ar-SA"/>
    </w:rPr>
  </w:style>
  <w:style w:type="paragraph" w:customStyle="1" w:styleId="509">
    <w:name w:val="Normal_19"/>
    <w:qFormat/>
    <w:uiPriority w:val="0"/>
    <w:rPr>
      <w:rFonts w:ascii="Times New Roman" w:hAnsi="Times New Roman" w:eastAsia="Times New Roman" w:cs="Times New Roman"/>
      <w:kern w:val="0"/>
      <w:sz w:val="24"/>
      <w:szCs w:val="24"/>
      <w:lang w:val="en-US" w:eastAsia="zh-CN" w:bidi="ar-SA"/>
    </w:rPr>
  </w:style>
  <w:style w:type="paragraph" w:customStyle="1" w:styleId="510">
    <w:name w:val="Normal_20"/>
    <w:qFormat/>
    <w:uiPriority w:val="0"/>
    <w:rPr>
      <w:rFonts w:ascii="Times New Roman" w:hAnsi="Times New Roman" w:eastAsia="Times New Roman" w:cs="Times New Roman"/>
      <w:kern w:val="0"/>
      <w:sz w:val="24"/>
      <w:szCs w:val="24"/>
      <w:lang w:val="en-US" w:eastAsia="zh-CN" w:bidi="ar-SA"/>
    </w:rPr>
  </w:style>
  <w:style w:type="paragraph" w:customStyle="1" w:styleId="511">
    <w:name w:val="Normal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2">
    <w:name w:val="Normal_22"/>
    <w:qFormat/>
    <w:uiPriority w:val="0"/>
    <w:rPr>
      <w:rFonts w:ascii="Times New Roman" w:hAnsi="Times New Roman" w:eastAsia="Times New Roman" w:cs="Times New Roman"/>
      <w:kern w:val="0"/>
      <w:sz w:val="24"/>
      <w:szCs w:val="24"/>
      <w:lang w:val="en-US" w:eastAsia="zh-CN" w:bidi="ar-SA"/>
    </w:rPr>
  </w:style>
  <w:style w:type="paragraph" w:customStyle="1" w:styleId="513">
    <w:name w:val="Normal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4">
    <w:name w:val="Normal_24"/>
    <w:qFormat/>
    <w:uiPriority w:val="0"/>
    <w:rPr>
      <w:rFonts w:ascii="Times New Roman" w:hAnsi="Times New Roman" w:eastAsia="Times New Roman" w:cs="Times New Roman"/>
      <w:kern w:val="0"/>
      <w:sz w:val="24"/>
      <w:szCs w:val="24"/>
      <w:lang w:val="en-US" w:eastAsia="zh-CN" w:bidi="ar-SA"/>
    </w:rPr>
  </w:style>
  <w:style w:type="paragraph" w:customStyle="1" w:styleId="51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6">
    <w:name w:val="Normal_25"/>
    <w:qFormat/>
    <w:uiPriority w:val="0"/>
    <w:rPr>
      <w:rFonts w:ascii="Times New Roman" w:hAnsi="Times New Roman" w:eastAsia="Times New Roman" w:cs="Times New Roman"/>
      <w:kern w:val="0"/>
      <w:sz w:val="24"/>
      <w:szCs w:val="24"/>
      <w:lang w:val="en-US" w:eastAsia="zh-CN" w:bidi="ar-SA"/>
    </w:rPr>
  </w:style>
  <w:style w:type="paragraph" w:customStyle="1" w:styleId="517">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8">
    <w:name w:val="Normal_26"/>
    <w:qFormat/>
    <w:uiPriority w:val="0"/>
    <w:rPr>
      <w:rFonts w:ascii="Times New Roman" w:hAnsi="Times New Roman" w:eastAsia="Times New Roman" w:cs="Times New Roman"/>
      <w:kern w:val="0"/>
      <w:sz w:val="24"/>
      <w:szCs w:val="24"/>
      <w:lang w:val="en-US" w:eastAsia="zh-CN" w:bidi="ar-SA"/>
    </w:rPr>
  </w:style>
  <w:style w:type="paragraph" w:customStyle="1" w:styleId="51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0">
    <w:name w:val="Normal_27"/>
    <w:qFormat/>
    <w:uiPriority w:val="0"/>
    <w:rPr>
      <w:rFonts w:ascii="Times New Roman" w:hAnsi="Times New Roman" w:eastAsia="Times New Roman" w:cs="Times New Roman"/>
      <w:kern w:val="0"/>
      <w:sz w:val="24"/>
      <w:szCs w:val="24"/>
      <w:lang w:val="en-US" w:eastAsia="zh-CN" w:bidi="ar-SA"/>
    </w:rPr>
  </w:style>
  <w:style w:type="paragraph" w:customStyle="1" w:styleId="521">
    <w:name w:val="正文文本_2"/>
    <w:basedOn w:val="522"/>
    <w:qFormat/>
    <w:uiPriority w:val="0"/>
    <w:rPr>
      <w:sz w:val="24"/>
      <w:szCs w:val="24"/>
    </w:rPr>
  </w:style>
  <w:style w:type="paragraph" w:customStyle="1" w:styleId="522">
    <w:name w:val="正文_12"/>
    <w:qFormat/>
    <w:uiPriority w:val="1"/>
    <w:pPr>
      <w:widowControl w:val="0"/>
      <w:autoSpaceDE w:val="0"/>
      <w:autoSpaceDN w:val="0"/>
    </w:pPr>
    <w:rPr>
      <w:rFonts w:ascii="宋体" w:hAnsi="宋体" w:eastAsia="宋体" w:cs="宋体"/>
      <w:kern w:val="0"/>
      <w:sz w:val="22"/>
      <w:szCs w:val="22"/>
      <w:lang w:val="zh-CN" w:eastAsia="zh-CN" w:bidi="zh-CN"/>
    </w:rPr>
  </w:style>
  <w:style w:type="paragraph" w:customStyle="1" w:styleId="523">
    <w:name w:val="Table Paragraph_0_0"/>
    <w:basedOn w:val="522"/>
    <w:qFormat/>
    <w:uiPriority w:val="1"/>
  </w:style>
  <w:style w:type="table" w:customStyle="1" w:styleId="524">
    <w:name w:val="Table Normal_0"/>
    <w:unhideWhenUsed/>
    <w:qFormat/>
    <w:uiPriority w:val="2"/>
    <w:rPr>
      <w:rFonts w:ascii="宋体" w:hAnsi="宋体" w:eastAsia="宋体" w:cs="宋体"/>
      <w:kern w:val="0"/>
      <w:sz w:val="20"/>
      <w:szCs w:val="20"/>
    </w:rPr>
    <w:tblPr>
      <w:tblCellMar>
        <w:top w:w="0" w:type="dxa"/>
        <w:left w:w="0" w:type="dxa"/>
        <w:bottom w:w="0" w:type="dxa"/>
        <w:right w:w="0" w:type="dxa"/>
      </w:tblCellMar>
    </w:tblPr>
  </w:style>
  <w:style w:type="paragraph" w:customStyle="1" w:styleId="525">
    <w:name w:val="Normal_28"/>
    <w:qFormat/>
    <w:uiPriority w:val="0"/>
    <w:rPr>
      <w:rFonts w:ascii="Times New Roman" w:hAnsi="Times New Roman" w:eastAsia="Times New Roman" w:cs="Times New Roman"/>
      <w:kern w:val="0"/>
      <w:sz w:val="24"/>
      <w:szCs w:val="24"/>
      <w:lang w:val="en-US" w:eastAsia="zh-CN" w:bidi="ar-SA"/>
    </w:rPr>
  </w:style>
  <w:style w:type="paragraph" w:customStyle="1" w:styleId="526">
    <w:name w:val="Normal_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7">
    <w:name w:val="Normal_30"/>
    <w:qFormat/>
    <w:uiPriority w:val="0"/>
    <w:rPr>
      <w:rFonts w:ascii="Times New Roman" w:hAnsi="Times New Roman" w:eastAsia="Times New Roman" w:cs="Times New Roman"/>
      <w:kern w:val="0"/>
      <w:sz w:val="24"/>
      <w:szCs w:val="24"/>
      <w:lang w:val="en-US" w:eastAsia="zh-CN" w:bidi="ar-SA"/>
    </w:rPr>
  </w:style>
  <w:style w:type="paragraph" w:customStyle="1" w:styleId="52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9">
    <w:name w:val="Normal_31"/>
    <w:qFormat/>
    <w:uiPriority w:val="0"/>
    <w:rPr>
      <w:rFonts w:ascii="Times New Roman" w:hAnsi="Times New Roman" w:eastAsia="Times New Roman" w:cs="Times New Roman"/>
      <w:kern w:val="0"/>
      <w:sz w:val="24"/>
      <w:szCs w:val="24"/>
      <w:lang w:val="en-US" w:eastAsia="zh-CN" w:bidi="ar-SA"/>
    </w:rPr>
  </w:style>
  <w:style w:type="paragraph" w:customStyle="1" w:styleId="530">
    <w:name w:val="Normal_0_4"/>
    <w:qFormat/>
    <w:uiPriority w:val="0"/>
    <w:pPr>
      <w:widowControl w:val="0"/>
      <w:jc w:val="both"/>
    </w:pPr>
    <w:rPr>
      <w:rFonts w:ascii="Calibri" w:hAnsi="Calibri" w:eastAsia="宋体" w:cs="Times New Roman"/>
      <w:kern w:val="2"/>
      <w:sz w:val="21"/>
      <w:szCs w:val="22"/>
      <w:lang w:val="en-US" w:eastAsia="zh-CN" w:bidi="ar-SA"/>
    </w:rPr>
  </w:style>
  <w:style w:type="table" w:customStyle="1" w:styleId="531">
    <w:name w:val="网格型2"/>
    <w:basedOn w:val="57"/>
    <w:qFormat/>
    <w:uiPriority w:val="0"/>
    <w:pPr>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3">
    <w:name w:val="正文缩进_0"/>
    <w:basedOn w:val="453"/>
    <w:qFormat/>
    <w:uiPriority w:val="99"/>
    <w:pPr>
      <w:ind w:firstLine="420"/>
    </w:pPr>
    <w:rPr>
      <w:rFonts w:ascii="Times New Roman" w:hAnsi="Times New Roman"/>
      <w:szCs w:val="20"/>
    </w:rPr>
  </w:style>
  <w:style w:type="paragraph" w:customStyle="1" w:styleId="534">
    <w:name w:val="标题 3_0"/>
    <w:basedOn w:val="468"/>
    <w:next w:val="453"/>
    <w:unhideWhenUsed/>
    <w:qFormat/>
    <w:uiPriority w:val="0"/>
    <w:pPr>
      <w:keepNext/>
      <w:keepLines/>
      <w:spacing w:before="260" w:after="260" w:line="416" w:lineRule="auto"/>
      <w:outlineLvl w:val="2"/>
    </w:pPr>
    <w:rPr>
      <w:rFonts w:ascii="Calibri" w:hAnsi="Calibri"/>
      <w:b/>
      <w:bCs/>
      <w:sz w:val="32"/>
      <w:szCs w:val="32"/>
    </w:rPr>
  </w:style>
  <w:style w:type="paragraph" w:customStyle="1" w:styleId="535">
    <w:name w:val="纯文本_0"/>
    <w:basedOn w:val="411"/>
    <w:qFormat/>
    <w:uiPriority w:val="0"/>
    <w:rPr>
      <w:rFonts w:ascii="宋体" w:hAnsi="Courier New"/>
      <w:szCs w:val="24"/>
    </w:rPr>
  </w:style>
  <w:style w:type="paragraph" w:customStyle="1" w:styleId="536">
    <w:name w:val="Table Text"/>
    <w:basedOn w:val="1"/>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140</Pages>
  <Words>17888</Words>
  <Characters>19229</Characters>
  <Lines>2517</Lines>
  <Paragraphs>1743</Paragraphs>
  <TotalTime>159</TotalTime>
  <ScaleCrop>false</ScaleCrop>
  <LinksUpToDate>false</LinksUpToDate>
  <CharactersWithSpaces>19396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2024-03-27T01:55:00Z</dcterms:created>
  <dc:creator>NTKO</dc:creator>
  <cp:lastModifiedBy>可可可</cp:lastModifiedBy>
  <cp:lastPrinted>2023-08-15T03:27:00Z</cp:lastPrinted>
  <dcterms:modified xsi:type="dcterms:W3CDTF">2025-07-23T08:08:44Z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4335E8DC49F644FE9CF664DD6FD2FCAD_13</vt:lpwstr>
  </property>
  <property fmtid="{D5CDD505-2E9C-101B-9397-08002B2CF9AE}" pid="4" name="KSOTemplateDocerSaveRecord">
    <vt:lpwstr>eyJoZGlkIjoiMjdiNWJhMmFlNGNkOGE4ODNjNzc3OGI5ZTUyNDQ2NmIiLCJ1c2VySWQiOiI0NTAyOTgzMTEifQ==</vt:lpwstr>
  </property>
</Properties>
</file>