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A87F4">
      <w:pPr>
        <w:spacing w:line="360" w:lineRule="auto"/>
        <w:jc w:val="center"/>
        <w:rPr>
          <w:color w:val="auto"/>
          <w:highlight w:val="none"/>
        </w:rPr>
      </w:pPr>
      <w:r>
        <w:rPr>
          <w:rFonts w:hint="eastAsia"/>
          <w:color w:val="auto"/>
          <w:highlight w:val="none"/>
        </w:rPr>
        <w:drawing>
          <wp:inline distT="0" distB="0" distL="114300" distR="114300">
            <wp:extent cx="1205230" cy="1190625"/>
            <wp:effectExtent l="0" t="0" r="13970" b="9525"/>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pic:cNvPicPr>
                  </pic:nvPicPr>
                  <pic:blipFill>
                    <a:blip r:embed="rId16"/>
                    <a:stretch>
                      <a:fillRect/>
                    </a:stretch>
                  </pic:blipFill>
                  <pic:spPr>
                    <a:xfrm>
                      <a:off x="0" y="0"/>
                      <a:ext cx="1205230" cy="1190625"/>
                    </a:xfrm>
                    <a:prstGeom prst="rect">
                      <a:avLst/>
                    </a:prstGeom>
                    <a:noFill/>
                    <a:ln>
                      <a:noFill/>
                    </a:ln>
                  </pic:spPr>
                </pic:pic>
              </a:graphicData>
            </a:graphic>
          </wp:inline>
        </w:drawing>
      </w:r>
    </w:p>
    <w:p w14:paraId="5CB7D1BF">
      <w:pPr>
        <w:jc w:val="center"/>
        <w:rPr>
          <w:rFonts w:hint="eastAsia" w:ascii="仿宋" w:hAnsi="仿宋" w:eastAsia="仿宋" w:cs="仿宋"/>
          <w:b/>
          <w:bCs/>
          <w:color w:val="auto"/>
          <w:sz w:val="52"/>
          <w:highlight w:val="none"/>
        </w:rPr>
      </w:pPr>
      <w:r>
        <w:rPr>
          <w:rFonts w:hint="eastAsia" w:ascii="方正行楷简体" w:hAnsi="方正行楷简体" w:eastAsia="方正行楷简体" w:cs="方正行楷简体"/>
          <w:b/>
          <w:bCs/>
          <w:color w:val="auto"/>
          <w:sz w:val="52"/>
          <w:highlight w:val="none"/>
        </w:rPr>
        <w:t>广州金良工程咨询有限公司</w:t>
      </w:r>
    </w:p>
    <w:p w14:paraId="5BAE3CBD">
      <w:pPr>
        <w:pStyle w:val="29"/>
        <w:spacing w:line="360" w:lineRule="auto"/>
        <w:rPr>
          <w:rFonts w:hAnsi="宋体"/>
          <w:color w:val="auto"/>
          <w:sz w:val="30"/>
          <w:szCs w:val="30"/>
          <w:highlight w:val="none"/>
        </w:rPr>
      </w:pPr>
      <w:r>
        <w:rPr>
          <w:rFonts w:hint="eastAsia" w:hAnsi="宋体"/>
          <w:color w:val="auto"/>
          <w:sz w:val="32"/>
          <w:highlight w:val="none"/>
        </w:rPr>
        <mc:AlternateContent>
          <mc:Choice Requires="wps">
            <w:drawing>
              <wp:anchor distT="0" distB="0" distL="114300" distR="114300" simplePos="0" relativeHeight="251665408" behindDoc="0" locked="0" layoutInCell="1" allowOverlap="1">
                <wp:simplePos x="0" y="0"/>
                <wp:positionH relativeFrom="column">
                  <wp:posOffset>42545</wp:posOffset>
                </wp:positionH>
                <wp:positionV relativeFrom="paragraph">
                  <wp:posOffset>99060</wp:posOffset>
                </wp:positionV>
                <wp:extent cx="6162675" cy="635"/>
                <wp:effectExtent l="0" t="19050" r="9525" b="37465"/>
                <wp:wrapNone/>
                <wp:docPr id="4" name="直接连接符 4"/>
                <wp:cNvGraphicFramePr/>
                <a:graphic xmlns:a="http://schemas.openxmlformats.org/drawingml/2006/main">
                  <a:graphicData uri="http://schemas.microsoft.com/office/word/2010/wordprocessingShape">
                    <wps:wsp>
                      <wps:cNvCnPr/>
                      <wps:spPr>
                        <a:xfrm>
                          <a:off x="0" y="0"/>
                          <a:ext cx="6162675" cy="635"/>
                        </a:xfrm>
                        <a:prstGeom prst="line">
                          <a:avLst/>
                        </a:prstGeom>
                        <a:ln w="38100" cap="flat" cmpd="dbl">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35pt;margin-top:7.8pt;height:0.05pt;width:485.25pt;z-index:251665408;mso-width-relative:page;mso-height-relative:page;" filled="f" stroked="t" coordsize="21600,21600" o:gfxdata="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8&#10;SJc91AAAAAcBAAAPAAAAAAAAAAEAIAAAACIAAABkcnMvZG93bnJldi54bWxQSwECFAAUAAAACACH&#10;TuJA47Gj9O8BAADbAwAADgAAAAAAAAABACAAAAAjAQAAZHJzL2Uyb0RvYy54bWxQSwUGAAAAAAYA&#10;BgBZAQAAhAUAAAAA&#10;">
                <v:fill on="f" focussize="0,0"/>
                <v:stroke weight="3pt" color="#000000" linestyle="thinThin" joinstyle="round"/>
                <v:imagedata o:title=""/>
                <o:lock v:ext="edit" aspectratio="f"/>
              </v:line>
            </w:pict>
          </mc:Fallback>
        </mc:AlternateContent>
      </w:r>
    </w:p>
    <w:p w14:paraId="5CD476E7">
      <w:pPr>
        <w:spacing w:line="1400" w:lineRule="exact"/>
        <w:rPr>
          <w:rFonts w:ascii="华文中宋" w:hAnsi="华文中宋" w:eastAsia="华文中宋"/>
          <w:b/>
          <w:color w:val="auto"/>
          <w:spacing w:val="200"/>
          <w:sz w:val="84"/>
          <w:szCs w:val="84"/>
          <w:highlight w:val="none"/>
        </w:rPr>
      </w:pPr>
    </w:p>
    <w:p w14:paraId="0DDF1A35">
      <w:pPr>
        <w:spacing w:line="1400" w:lineRule="exact"/>
        <w:jc w:val="center"/>
        <w:rPr>
          <w:rFonts w:hint="eastAsia" w:ascii="仿宋" w:hAnsi="仿宋" w:eastAsia="仿宋" w:cs="仿宋"/>
          <w:b/>
          <w:color w:val="auto"/>
          <w:spacing w:val="200"/>
          <w:sz w:val="84"/>
          <w:szCs w:val="84"/>
          <w:highlight w:val="none"/>
        </w:rPr>
      </w:pPr>
      <w:r>
        <w:rPr>
          <w:rFonts w:hint="eastAsia" w:ascii="黑体" w:hAnsi="黑体" w:eastAsia="黑体" w:cs="黑体"/>
          <w:b w:val="0"/>
          <w:bCs/>
          <w:color w:val="auto"/>
          <w:sz w:val="84"/>
          <w:szCs w:val="84"/>
          <w:highlight w:val="none"/>
        </w:rPr>
        <w:t>竞争性磋商文件</w:t>
      </w:r>
    </w:p>
    <w:p w14:paraId="068C2AC6">
      <w:pPr>
        <w:spacing w:line="360" w:lineRule="auto"/>
        <w:rPr>
          <w:rFonts w:hint="eastAsia" w:ascii="仿宋" w:hAnsi="仿宋" w:eastAsia="仿宋" w:cs="仿宋"/>
          <w:b/>
          <w:color w:val="auto"/>
          <w:sz w:val="32"/>
          <w:szCs w:val="32"/>
          <w:highlight w:val="none"/>
        </w:rPr>
      </w:pPr>
    </w:p>
    <w:p w14:paraId="25FDC8C6">
      <w:pPr>
        <w:numPr>
          <w:ilvl w:val="5"/>
          <w:numId w:val="0"/>
        </w:numPr>
        <w:outlineLvl w:val="9"/>
        <w:rPr>
          <w:rFonts w:hint="eastAsia" w:ascii="仿宋" w:hAnsi="仿宋" w:eastAsia="仿宋" w:cs="仿宋"/>
          <w:color w:val="auto"/>
          <w:highlight w:val="none"/>
        </w:rPr>
      </w:pPr>
      <w:bookmarkStart w:id="620" w:name="_GoBack"/>
      <w:bookmarkEnd w:id="620"/>
    </w:p>
    <w:p w14:paraId="33E6D9AD">
      <w:pPr>
        <w:rPr>
          <w:rFonts w:hint="eastAsia" w:ascii="仿宋" w:hAnsi="仿宋" w:eastAsia="仿宋" w:cs="仿宋"/>
          <w:color w:val="auto"/>
          <w:highlight w:val="none"/>
        </w:rPr>
      </w:pPr>
    </w:p>
    <w:p w14:paraId="4C4AA00B">
      <w:pPr>
        <w:keepNext w:val="0"/>
        <w:keepLines w:val="0"/>
        <w:pageBreakBefore w:val="0"/>
        <w:widowControl w:val="0"/>
        <w:kinsoku/>
        <w:wordWrap/>
        <w:overflowPunct/>
        <w:topLinePunct w:val="0"/>
        <w:autoSpaceDE/>
        <w:autoSpaceDN/>
        <w:bidi w:val="0"/>
        <w:adjustRightInd/>
        <w:snapToGrid/>
        <w:spacing w:line="600" w:lineRule="auto"/>
        <w:ind w:firstLine="321" w:firstLineChars="100"/>
        <w:jc w:val="both"/>
        <w:textAlignment w:val="auto"/>
        <w:rPr>
          <w:rFonts w:hint="default" w:ascii="仿宋" w:hAnsi="仿宋" w:eastAsia="仿宋" w:cs="仿宋"/>
          <w:b/>
          <w:color w:val="auto"/>
          <w:sz w:val="32"/>
          <w:szCs w:val="32"/>
          <w:highlight w:val="none"/>
          <w:lang w:val="en-US"/>
        </w:rPr>
      </w:pPr>
      <w:r>
        <w:rPr>
          <w:rFonts w:hint="eastAsia" w:ascii="仿宋" w:hAnsi="仿宋" w:eastAsia="仿宋" w:cs="仿宋"/>
          <w:b/>
          <w:color w:val="auto"/>
          <w:sz w:val="32"/>
          <w:szCs w:val="32"/>
          <w:highlight w:val="none"/>
        </w:rPr>
        <w:t>项目名称：</w:t>
      </w:r>
      <w:r>
        <w:rPr>
          <w:rFonts w:hint="eastAsia" w:ascii="仿宋" w:hAnsi="仿宋" w:eastAsia="仿宋" w:cs="仿宋"/>
          <w:b/>
          <w:color w:val="auto"/>
          <w:sz w:val="32"/>
          <w:szCs w:val="32"/>
          <w:highlight w:val="none"/>
          <w:lang w:val="en-US" w:eastAsia="zh-CN"/>
        </w:rPr>
        <w:t>柳州市柳南区人民检察院变压器增容及电路改造工程</w:t>
      </w:r>
    </w:p>
    <w:p w14:paraId="51983C02">
      <w:pPr>
        <w:keepNext w:val="0"/>
        <w:keepLines w:val="0"/>
        <w:pageBreakBefore w:val="0"/>
        <w:widowControl w:val="0"/>
        <w:kinsoku/>
        <w:wordWrap/>
        <w:overflowPunct/>
        <w:topLinePunct w:val="0"/>
        <w:autoSpaceDE/>
        <w:autoSpaceDN/>
        <w:bidi w:val="0"/>
        <w:adjustRightInd/>
        <w:snapToGrid/>
        <w:spacing w:line="600" w:lineRule="auto"/>
        <w:ind w:firstLine="321" w:firstLineChars="100"/>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color w:val="auto"/>
          <w:sz w:val="32"/>
          <w:szCs w:val="32"/>
          <w:highlight w:val="none"/>
        </w:rPr>
        <w:t>项目编号：LZZC2025-C2-990295-GZJL</w:t>
      </w:r>
    </w:p>
    <w:p w14:paraId="7F44541F">
      <w:pPr>
        <w:pStyle w:val="29"/>
        <w:spacing w:line="600" w:lineRule="auto"/>
        <w:rPr>
          <w:rFonts w:hint="eastAsia" w:ascii="仿宋" w:hAnsi="仿宋" w:eastAsia="仿宋" w:cs="仿宋"/>
          <w:color w:val="auto"/>
          <w:sz w:val="32"/>
          <w:szCs w:val="32"/>
          <w:highlight w:val="none"/>
        </w:rPr>
      </w:pPr>
      <w:r>
        <w:rPr>
          <w:rFonts w:hint="eastAsia" w:ascii="仿宋" w:hAnsi="仿宋" w:eastAsia="仿宋" w:cs="仿宋"/>
          <w:b/>
          <w:color w:val="auto"/>
          <w:sz w:val="28"/>
          <w:highlight w:val="none"/>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88900</wp:posOffset>
                </wp:positionV>
                <wp:extent cx="60579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60579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7pt;height:0.05pt;width:477pt;z-index:251666432;mso-width-relative:page;mso-height-relative:page;" filled="f" stroked="t" coordsize="21600,21600" o:gfxdata="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grXlXS&#10;AAAABgEAAA8AAAAAAAAAAQAgAAAAIgAAAGRycy9kb3ducmV2LnhtbFBLAQIUABQAAAAIAIdO4kBv&#10;AcGX7QEAANsDAAAOAAAAAAAAAAEAIAAAACEBAABkcnMvZTJvRG9jLnhtbFBLBQYAAAAABgAGAFkB&#10;AACABQAAAAA=&#10;">
                <v:fill on="f" focussize="0,0"/>
                <v:stroke weight="1.5pt" color="#000000" joinstyle="round"/>
                <v:imagedata o:title=""/>
                <o:lock v:ext="edit" aspectratio="f"/>
              </v:line>
            </w:pict>
          </mc:Fallback>
        </mc:AlternateContent>
      </w:r>
    </w:p>
    <w:p w14:paraId="0D43B66B">
      <w:pPr>
        <w:pStyle w:val="29"/>
        <w:keepNext w:val="0"/>
        <w:keepLines w:val="0"/>
        <w:pageBreakBefore w:val="0"/>
        <w:widowControl w:val="0"/>
        <w:kinsoku/>
        <w:wordWrap/>
        <w:overflowPunct/>
        <w:topLinePunct w:val="0"/>
        <w:autoSpaceDE/>
        <w:autoSpaceDN/>
        <w:bidi w:val="0"/>
        <w:adjustRightInd/>
        <w:snapToGrid/>
        <w:spacing w:line="600" w:lineRule="auto"/>
        <w:ind w:firstLine="1767" w:firstLineChars="550"/>
        <w:jc w:val="both"/>
        <w:textAlignment w:val="auto"/>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2"/>
          <w:highlight w:val="none"/>
        </w:rPr>
        <w:t>采</w:t>
      </w:r>
      <w:r>
        <w:rPr>
          <w:rFonts w:hint="eastAsia" w:ascii="仿宋" w:hAnsi="仿宋" w:eastAsia="仿宋" w:cs="仿宋"/>
          <w:b/>
          <w:color w:val="auto"/>
          <w:sz w:val="32"/>
          <w:szCs w:val="32"/>
          <w:highlight w:val="none"/>
        </w:rPr>
        <w:t>购单位：</w:t>
      </w:r>
      <w:r>
        <w:rPr>
          <w:rFonts w:hint="eastAsia" w:ascii="仿宋" w:hAnsi="仿宋" w:eastAsia="仿宋" w:cs="仿宋"/>
          <w:b/>
          <w:color w:val="auto"/>
          <w:sz w:val="32"/>
          <w:szCs w:val="32"/>
          <w:highlight w:val="none"/>
          <w:lang w:val="en-US" w:eastAsia="zh-CN"/>
        </w:rPr>
        <w:t>柳州市柳南区人民检察院</w:t>
      </w:r>
    </w:p>
    <w:p w14:paraId="7D9140DA">
      <w:pPr>
        <w:pStyle w:val="29"/>
        <w:keepNext w:val="0"/>
        <w:keepLines w:val="0"/>
        <w:pageBreakBefore w:val="0"/>
        <w:widowControl w:val="0"/>
        <w:kinsoku/>
        <w:wordWrap/>
        <w:overflowPunct/>
        <w:topLinePunct w:val="0"/>
        <w:autoSpaceDE/>
        <w:autoSpaceDN/>
        <w:bidi w:val="0"/>
        <w:adjustRightInd/>
        <w:snapToGrid/>
        <w:spacing w:line="600" w:lineRule="auto"/>
        <w:ind w:firstLine="1767" w:firstLineChars="550"/>
        <w:jc w:val="both"/>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采购代理机构：广州金良工程咨询有限公司</w:t>
      </w:r>
    </w:p>
    <w:p w14:paraId="3FF5B11C">
      <w:pPr>
        <w:rPr>
          <w:rFonts w:hint="eastAsia" w:ascii="仿宋" w:hAnsi="仿宋" w:eastAsia="仿宋" w:cs="仿宋"/>
          <w:color w:val="auto"/>
          <w:highlight w:val="none"/>
        </w:rPr>
      </w:pPr>
    </w:p>
    <w:p w14:paraId="5E08B5BD">
      <w:pPr>
        <w:spacing w:line="600" w:lineRule="exact"/>
        <w:jc w:val="center"/>
        <w:rPr>
          <w:rFonts w:hint="eastAsia" w:ascii="仿宋" w:hAnsi="仿宋" w:eastAsia="仿宋" w:cs="仿宋"/>
          <w:b/>
          <w:color w:val="auto"/>
          <w:sz w:val="40"/>
          <w:szCs w:val="40"/>
          <w:highlight w:val="none"/>
        </w:rPr>
      </w:pPr>
      <w:r>
        <w:rPr>
          <w:rFonts w:hint="eastAsia" w:ascii="仿宋" w:hAnsi="仿宋" w:eastAsia="仿宋" w:cs="仿宋"/>
          <w:b/>
          <w:color w:val="auto"/>
          <w:sz w:val="28"/>
          <w:highlight w:val="none"/>
          <w:lang w:val="en-US" w:eastAsia="zh-CN"/>
        </w:rPr>
        <w:t>2025</w:t>
      </w:r>
      <w:r>
        <w:rPr>
          <w:rFonts w:hint="eastAsia" w:ascii="仿宋" w:hAnsi="仿宋" w:eastAsia="仿宋" w:cs="仿宋"/>
          <w:b/>
          <w:color w:val="auto"/>
          <w:sz w:val="28"/>
          <w:highlight w:val="none"/>
        </w:rPr>
        <w:t>年</w:t>
      </w:r>
      <w:r>
        <w:rPr>
          <w:rFonts w:hint="eastAsia" w:ascii="仿宋" w:hAnsi="仿宋" w:eastAsia="仿宋" w:cs="仿宋"/>
          <w:b/>
          <w:color w:val="auto"/>
          <w:sz w:val="28"/>
          <w:highlight w:val="none"/>
          <w:lang w:val="en-US" w:eastAsia="zh-CN"/>
        </w:rPr>
        <w:t>6</w:t>
      </w:r>
      <w:r>
        <w:rPr>
          <w:rFonts w:hint="eastAsia" w:ascii="仿宋" w:hAnsi="仿宋" w:eastAsia="仿宋" w:cs="仿宋"/>
          <w:b/>
          <w:color w:val="auto"/>
          <w:sz w:val="28"/>
          <w:highlight w:val="none"/>
        </w:rPr>
        <w:t>月</w:t>
      </w:r>
    </w:p>
    <w:p w14:paraId="4E74795A">
      <w:pPr>
        <w:pStyle w:val="9"/>
        <w:numPr>
          <w:ilvl w:val="5"/>
          <w:numId w:val="0"/>
        </w:numPr>
        <w:rPr>
          <w:rFonts w:hint="eastAsia" w:ascii="仿宋" w:hAnsi="仿宋" w:eastAsia="仿宋" w:cs="仿宋"/>
          <w:color w:val="auto"/>
          <w:highlight w:val="none"/>
        </w:rPr>
        <w:sectPr>
          <w:headerReference r:id="rId3" w:type="default"/>
          <w:footerReference r:id="rId4" w:type="even"/>
          <w:pgSz w:w="11906" w:h="16838"/>
          <w:pgMar w:top="1440" w:right="1080" w:bottom="1440" w:left="1080" w:header="851" w:footer="992" w:gutter="0"/>
          <w:pgNumType w:start="0"/>
          <w:cols w:space="720" w:num="1"/>
          <w:docGrid w:type="lines" w:linePitch="312" w:charSpace="0"/>
        </w:sectPr>
      </w:pPr>
    </w:p>
    <w:p w14:paraId="224C155E">
      <w:pPr>
        <w:spacing w:line="360" w:lineRule="auto"/>
        <w:jc w:val="center"/>
        <w:rPr>
          <w:rFonts w:ascii="宋体" w:hAnsi="宋体"/>
          <w:b/>
          <w:color w:val="auto"/>
          <w:sz w:val="52"/>
          <w:szCs w:val="52"/>
          <w:highlight w:val="none"/>
        </w:rPr>
      </w:pPr>
    </w:p>
    <w:p w14:paraId="461D474C">
      <w:pPr>
        <w:spacing w:line="360" w:lineRule="auto"/>
        <w:jc w:val="center"/>
        <w:rPr>
          <w:rFonts w:ascii="宋体" w:hAnsi="宋体"/>
          <w:b/>
          <w:color w:val="auto"/>
          <w:sz w:val="52"/>
          <w:szCs w:val="52"/>
          <w:highlight w:val="none"/>
        </w:rPr>
      </w:pPr>
      <w:r>
        <w:rPr>
          <w:rFonts w:hint="eastAsia" w:ascii="宋体" w:hAnsi="宋体"/>
          <w:b/>
          <w:color w:val="auto"/>
          <w:sz w:val="52"/>
          <w:szCs w:val="52"/>
          <w:highlight w:val="none"/>
        </w:rPr>
        <w:t>目  录</w:t>
      </w:r>
    </w:p>
    <w:p w14:paraId="5826CB99">
      <w:pPr>
        <w:spacing w:line="360" w:lineRule="auto"/>
        <w:jc w:val="center"/>
        <w:rPr>
          <w:rFonts w:ascii="仿宋_GB2312" w:hAnsi="仿宋_GB2312" w:eastAsia="仿宋_GB2312" w:cs="仿宋_GB2312"/>
          <w:b/>
          <w:color w:val="auto"/>
          <w:sz w:val="32"/>
          <w:szCs w:val="32"/>
          <w:highlight w:val="none"/>
        </w:rPr>
      </w:pPr>
    </w:p>
    <w:p w14:paraId="717906C2">
      <w:pPr>
        <w:pStyle w:val="36"/>
        <w:tabs>
          <w:tab w:val="right" w:leader="dot" w:pos="9026"/>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TOC \o "1-1" \h \z \u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_Toc11325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lang w:val="en-US" w:eastAsia="zh-CN"/>
        </w:rPr>
        <w:t xml:space="preserve">第一章  </w:t>
      </w:r>
      <w:r>
        <w:rPr>
          <w:rFonts w:hint="eastAsia" w:ascii="仿宋" w:hAnsi="仿宋" w:eastAsia="仿宋" w:cs="仿宋"/>
          <w:b/>
          <w:bCs/>
          <w:color w:val="auto"/>
          <w:sz w:val="28"/>
          <w:szCs w:val="28"/>
          <w:highlight w:val="none"/>
        </w:rPr>
        <w:t>竞争性磋商公告</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_Toc11325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1AD49B93">
      <w:pPr>
        <w:pStyle w:val="36"/>
        <w:tabs>
          <w:tab w:val="right" w:leader="dot" w:pos="9026"/>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_Toc5568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kern w:val="44"/>
          <w:sz w:val="28"/>
          <w:szCs w:val="28"/>
          <w:highlight w:val="none"/>
        </w:rPr>
        <w:t xml:space="preserve">第二章 </w:t>
      </w:r>
      <w:r>
        <w:rPr>
          <w:rFonts w:hint="eastAsia" w:ascii="仿宋" w:hAnsi="仿宋" w:eastAsia="仿宋" w:cs="仿宋"/>
          <w:b/>
          <w:bCs/>
          <w:color w:val="auto"/>
          <w:kern w:val="44"/>
          <w:sz w:val="28"/>
          <w:szCs w:val="28"/>
          <w:highlight w:val="none"/>
          <w:lang w:val="en-US" w:eastAsia="zh-CN"/>
        </w:rPr>
        <w:t xml:space="preserve"> </w:t>
      </w:r>
      <w:r>
        <w:rPr>
          <w:rFonts w:hint="eastAsia" w:ascii="仿宋" w:hAnsi="仿宋" w:eastAsia="仿宋" w:cs="仿宋"/>
          <w:b/>
          <w:bCs/>
          <w:color w:val="auto"/>
          <w:kern w:val="44"/>
          <w:sz w:val="28"/>
          <w:szCs w:val="28"/>
          <w:highlight w:val="none"/>
        </w:rPr>
        <w:t>供应商须知</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_Toc5568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5</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626E667E">
      <w:pPr>
        <w:pStyle w:val="36"/>
        <w:tabs>
          <w:tab w:val="right" w:leader="dot" w:pos="9026"/>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_Toc30132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lang w:val="en-US" w:eastAsia="zh-CN"/>
        </w:rPr>
        <w:t xml:space="preserve">第三章 </w:t>
      </w:r>
      <w:r>
        <w:rPr>
          <w:rFonts w:hint="eastAsia" w:ascii="仿宋" w:hAnsi="仿宋" w:eastAsia="仿宋" w:cs="仿宋"/>
          <w:b/>
          <w:bCs/>
          <w:color w:val="auto"/>
          <w:sz w:val="28"/>
          <w:szCs w:val="28"/>
          <w:highlight w:val="none"/>
        </w:rPr>
        <w:t xml:space="preserve"> 采购需求</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_Toc30132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24</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3B5C86A3">
      <w:pPr>
        <w:pStyle w:val="36"/>
        <w:tabs>
          <w:tab w:val="right" w:leader="dot" w:pos="9026"/>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_Toc3406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第</w:t>
      </w:r>
      <w:r>
        <w:rPr>
          <w:rFonts w:hint="eastAsia" w:ascii="仿宋" w:hAnsi="仿宋" w:eastAsia="仿宋" w:cs="仿宋"/>
          <w:b/>
          <w:bCs/>
          <w:color w:val="auto"/>
          <w:sz w:val="28"/>
          <w:szCs w:val="28"/>
          <w:highlight w:val="none"/>
          <w:lang w:val="en-US" w:eastAsia="zh-CN"/>
        </w:rPr>
        <w:t>四</w:t>
      </w:r>
      <w:r>
        <w:rPr>
          <w:rFonts w:hint="eastAsia" w:ascii="仿宋" w:hAnsi="仿宋" w:eastAsia="仿宋" w:cs="仿宋"/>
          <w:b/>
          <w:bCs/>
          <w:color w:val="auto"/>
          <w:sz w:val="28"/>
          <w:szCs w:val="28"/>
          <w:highlight w:val="none"/>
        </w:rPr>
        <w:t xml:space="preserve">章 </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评</w:t>
      </w:r>
      <w:r>
        <w:rPr>
          <w:rFonts w:hint="eastAsia" w:ascii="仿宋" w:hAnsi="仿宋" w:eastAsia="仿宋" w:cs="仿宋"/>
          <w:b/>
          <w:bCs/>
          <w:color w:val="auto"/>
          <w:sz w:val="28"/>
          <w:szCs w:val="28"/>
          <w:highlight w:val="none"/>
          <w:lang w:val="en-US" w:eastAsia="zh-CN"/>
        </w:rPr>
        <w:t>审</w:t>
      </w:r>
      <w:r>
        <w:rPr>
          <w:rFonts w:hint="eastAsia" w:ascii="仿宋" w:hAnsi="仿宋" w:eastAsia="仿宋" w:cs="仿宋"/>
          <w:b/>
          <w:bCs/>
          <w:color w:val="auto"/>
          <w:sz w:val="28"/>
          <w:szCs w:val="28"/>
          <w:highlight w:val="none"/>
        </w:rPr>
        <w:t>方法及评</w:t>
      </w:r>
      <w:r>
        <w:rPr>
          <w:rFonts w:hint="eastAsia" w:ascii="仿宋" w:hAnsi="仿宋" w:eastAsia="仿宋" w:cs="仿宋"/>
          <w:b/>
          <w:bCs/>
          <w:color w:val="auto"/>
          <w:sz w:val="28"/>
          <w:szCs w:val="28"/>
          <w:highlight w:val="none"/>
          <w:lang w:val="en-US" w:eastAsia="zh-CN"/>
        </w:rPr>
        <w:t>审</w:t>
      </w:r>
      <w:r>
        <w:rPr>
          <w:rFonts w:hint="eastAsia" w:ascii="仿宋" w:hAnsi="仿宋" w:eastAsia="仿宋" w:cs="仿宋"/>
          <w:b/>
          <w:bCs/>
          <w:color w:val="auto"/>
          <w:sz w:val="28"/>
          <w:szCs w:val="28"/>
          <w:highlight w:val="none"/>
        </w:rPr>
        <w:t>标准</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_Toc3406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26</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1862738B">
      <w:pPr>
        <w:pStyle w:val="36"/>
        <w:tabs>
          <w:tab w:val="right" w:leader="dot" w:pos="9026"/>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_Toc14673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lang w:val="en-US" w:eastAsia="zh-CN"/>
        </w:rPr>
        <w:t>第五章  工程量清单及图纸</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_Toc14673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34</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54A8DF81">
      <w:pPr>
        <w:pStyle w:val="36"/>
        <w:tabs>
          <w:tab w:val="right" w:leader="dot" w:pos="9026"/>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_Toc20801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第</w:t>
      </w:r>
      <w:r>
        <w:rPr>
          <w:rFonts w:hint="eastAsia" w:ascii="仿宋" w:hAnsi="仿宋" w:eastAsia="仿宋" w:cs="仿宋"/>
          <w:b/>
          <w:bCs/>
          <w:color w:val="auto"/>
          <w:sz w:val="28"/>
          <w:szCs w:val="28"/>
          <w:highlight w:val="none"/>
          <w:lang w:val="en-US" w:eastAsia="zh-CN"/>
        </w:rPr>
        <w:t>六</w:t>
      </w:r>
      <w:r>
        <w:rPr>
          <w:rFonts w:hint="eastAsia" w:ascii="仿宋" w:hAnsi="仿宋" w:eastAsia="仿宋" w:cs="仿宋"/>
          <w:b/>
          <w:bCs/>
          <w:color w:val="auto"/>
          <w:sz w:val="28"/>
          <w:szCs w:val="28"/>
          <w:highlight w:val="none"/>
        </w:rPr>
        <w:t xml:space="preserve">章 </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响应文件格式</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_Toc20801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39</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092A1744">
      <w:pPr>
        <w:pStyle w:val="36"/>
        <w:tabs>
          <w:tab w:val="right" w:leader="dot" w:pos="9026"/>
        </w:tabs>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_Toc6198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第</w:t>
      </w: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rPr>
        <w:t xml:space="preserve">章 </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合同主要条款及格式</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_Toc6198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79</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24D396C0">
      <w:pPr>
        <w:pStyle w:val="36"/>
        <w:tabs>
          <w:tab w:val="right" w:leader="dot" w:pos="9016"/>
        </w:tabs>
        <w:spacing w:line="360" w:lineRule="auto"/>
        <w:jc w:val="center"/>
        <w:rPr>
          <w:rFonts w:ascii="仿宋_GB2312" w:hAnsi="仿宋_GB2312" w:eastAsia="仿宋_GB2312" w:cs="仿宋_GB2312"/>
          <w:color w:val="auto"/>
          <w:sz w:val="32"/>
          <w:szCs w:val="32"/>
          <w:highlight w:val="none"/>
        </w:rPr>
        <w:sectPr>
          <w:headerReference r:id="rId5" w:type="default"/>
          <w:footerReference r:id="rId6" w:type="default"/>
          <w:pgSz w:w="11906" w:h="16838"/>
          <w:pgMar w:top="1440" w:right="1440" w:bottom="1440" w:left="1440" w:header="851" w:footer="992" w:gutter="0"/>
          <w:pgNumType w:start="0"/>
          <w:cols w:space="720" w:num="1"/>
          <w:docGrid w:type="lines" w:linePitch="312" w:charSpace="0"/>
        </w:sectPr>
      </w:pPr>
      <w:r>
        <w:rPr>
          <w:rFonts w:hint="eastAsia" w:ascii="仿宋" w:hAnsi="仿宋" w:eastAsia="仿宋" w:cs="仿宋"/>
          <w:b/>
          <w:bCs/>
          <w:color w:val="auto"/>
          <w:sz w:val="28"/>
          <w:szCs w:val="28"/>
          <w:highlight w:val="none"/>
        </w:rPr>
        <w:fldChar w:fldCharType="end"/>
      </w:r>
    </w:p>
    <w:p w14:paraId="03316F8F">
      <w:pPr>
        <w:pStyle w:val="36"/>
        <w:numPr>
          <w:ilvl w:val="0"/>
          <w:numId w:val="0"/>
        </w:numPr>
        <w:tabs>
          <w:tab w:val="right" w:leader="dot" w:pos="9016"/>
        </w:tabs>
        <w:spacing w:line="360" w:lineRule="auto"/>
        <w:jc w:val="center"/>
        <w:outlineLvl w:val="0"/>
        <w:rPr>
          <w:rFonts w:hint="eastAsia" w:ascii="宋体" w:hAnsi="宋体"/>
          <w:color w:val="auto"/>
          <w:sz w:val="32"/>
          <w:szCs w:val="32"/>
          <w:highlight w:val="none"/>
        </w:rPr>
      </w:pPr>
      <w:bookmarkStart w:id="0" w:name="_Toc24429"/>
      <w:bookmarkStart w:id="1" w:name="_Toc1458"/>
      <w:bookmarkStart w:id="2" w:name="_Toc21602"/>
      <w:bookmarkStart w:id="3" w:name="_Toc11325"/>
      <w:r>
        <w:rPr>
          <w:rFonts w:hint="eastAsia" w:ascii="宋体" w:hAnsi="宋体"/>
          <w:color w:val="auto"/>
          <w:sz w:val="32"/>
          <w:szCs w:val="32"/>
          <w:highlight w:val="none"/>
          <w:lang w:val="en-US" w:eastAsia="zh-CN"/>
        </w:rPr>
        <w:t xml:space="preserve">第一章  </w:t>
      </w:r>
      <w:r>
        <w:rPr>
          <w:rFonts w:hint="eastAsia" w:ascii="宋体" w:hAnsi="宋体"/>
          <w:color w:val="auto"/>
          <w:sz w:val="32"/>
          <w:szCs w:val="32"/>
          <w:highlight w:val="none"/>
        </w:rPr>
        <w:t>竞争性磋商公告</w:t>
      </w:r>
      <w:bookmarkEnd w:id="0"/>
      <w:bookmarkEnd w:id="1"/>
      <w:bookmarkEnd w:id="2"/>
      <w:bookmarkEnd w:id="3"/>
      <w:bookmarkStart w:id="4" w:name="_Toc28359079"/>
      <w:bookmarkStart w:id="5" w:name="_Toc35393621"/>
      <w:bookmarkStart w:id="6" w:name="_Toc28359002"/>
      <w:bookmarkStart w:id="7" w:name="_Toc35393790"/>
      <w:bookmarkStart w:id="8" w:name="_Hlk24379207"/>
    </w:p>
    <w:p w14:paraId="36B84105">
      <w:pPr>
        <w:numPr>
          <w:ilvl w:val="0"/>
          <w:numId w:val="0"/>
        </w:numPr>
        <w:jc w:val="center"/>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广州金良工程咨询有限公司关于</w:t>
      </w:r>
      <w:r>
        <w:rPr>
          <w:rFonts w:hint="eastAsia" w:ascii="黑体" w:hAnsi="黑体" w:eastAsia="黑体" w:cs="黑体"/>
          <w:b w:val="0"/>
          <w:bCs w:val="0"/>
          <w:color w:val="auto"/>
          <w:sz w:val="32"/>
          <w:szCs w:val="32"/>
          <w:highlight w:val="none"/>
          <w:lang w:val="en-US" w:eastAsia="zh-CN"/>
        </w:rPr>
        <w:t>柳州市柳南区人民检察院变压器增容及电路改造工程（LZZC2025-C2-990295-GZJL）</w:t>
      </w:r>
      <w:r>
        <w:rPr>
          <w:rFonts w:hint="eastAsia" w:ascii="黑体" w:hAnsi="黑体" w:eastAsia="黑体" w:cs="黑体"/>
          <w:b w:val="0"/>
          <w:bCs w:val="0"/>
          <w:color w:val="auto"/>
          <w:sz w:val="32"/>
          <w:szCs w:val="32"/>
          <w:highlight w:val="none"/>
          <w:lang w:val="en-US" w:eastAsia="zh-CN"/>
        </w:rPr>
        <w:t>的竞争性磋商公告</w:t>
      </w:r>
    </w:p>
    <w:tbl>
      <w:tblPr>
        <w:tblStyle w:val="5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4324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14:paraId="4F7D7FF8">
            <w:pPr>
              <w:pStyle w:val="4"/>
              <w:keepNext/>
              <w:keepLines w:val="0"/>
              <w:pageBreakBefore w:val="0"/>
              <w:widowControl w:val="0"/>
              <w:kinsoku/>
              <w:wordWrap/>
              <w:overflowPunct/>
              <w:topLinePunct w:val="0"/>
              <w:autoSpaceDE/>
              <w:autoSpaceDN/>
              <w:bidi w:val="0"/>
              <w:adjustRightInd w:val="0"/>
              <w:snapToGrid/>
              <w:spacing w:before="0" w:line="300" w:lineRule="auto"/>
              <w:ind w:firstLine="482" w:firstLineChars="200"/>
              <w:jc w:val="left"/>
              <w:textAlignment w:val="auto"/>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项目概况</w:t>
            </w:r>
          </w:p>
          <w:p w14:paraId="435930EF">
            <w:pPr>
              <w:pStyle w:val="4"/>
              <w:keepNext/>
              <w:keepLines w:val="0"/>
              <w:pageBreakBefore w:val="0"/>
              <w:widowControl w:val="0"/>
              <w:kinsoku/>
              <w:wordWrap/>
              <w:overflowPunct/>
              <w:topLinePunct w:val="0"/>
              <w:autoSpaceDE/>
              <w:autoSpaceDN/>
              <w:bidi w:val="0"/>
              <w:adjustRightInd w:val="0"/>
              <w:snapToGrid/>
              <w:spacing w:before="0" w:line="300" w:lineRule="auto"/>
              <w:ind w:firstLine="480" w:firstLineChars="200"/>
              <w:jc w:val="left"/>
              <w:textAlignment w:val="auto"/>
              <w:rPr>
                <w:rFonts w:ascii="黑体" w:hAnsi="黑体" w:eastAsia="黑体" w:cs="黑体"/>
                <w:bCs/>
                <w:color w:val="auto"/>
                <w:sz w:val="24"/>
                <w:szCs w:val="24"/>
                <w:highlight w:val="none"/>
              </w:rPr>
            </w:pPr>
            <w:r>
              <w:rPr>
                <w:rFonts w:hint="eastAsia" w:ascii="仿宋_GB2312" w:hAnsi="仿宋_GB2312" w:eastAsia="仿宋_GB2312" w:cs="仿宋_GB2312"/>
                <w:b w:val="0"/>
                <w:color w:val="auto"/>
                <w:sz w:val="24"/>
                <w:szCs w:val="24"/>
                <w:highlight w:val="none"/>
                <w:lang w:val="en-US" w:eastAsia="zh-CN"/>
              </w:rPr>
              <w:t>柳州市柳南区人民检察院变压器增容及电路改造工程</w:t>
            </w:r>
            <w:r>
              <w:rPr>
                <w:rFonts w:hint="eastAsia" w:ascii="仿宋_GB2312" w:hAnsi="仿宋_GB2312" w:eastAsia="仿宋_GB2312" w:cs="仿宋_GB2312"/>
                <w:b w:val="0"/>
                <w:color w:val="auto"/>
                <w:sz w:val="24"/>
                <w:szCs w:val="24"/>
                <w:highlight w:val="none"/>
                <w:lang w:val="en-US" w:eastAsia="zh-CN"/>
              </w:rPr>
              <w:t>采购</w:t>
            </w:r>
            <w:r>
              <w:rPr>
                <w:rFonts w:hint="eastAsia" w:ascii="仿宋_GB2312" w:hAnsi="仿宋_GB2312" w:eastAsia="仿宋_GB2312" w:cs="仿宋_GB2312"/>
                <w:b w:val="0"/>
                <w:color w:val="auto"/>
                <w:sz w:val="24"/>
                <w:szCs w:val="24"/>
                <w:highlight w:val="none"/>
              </w:rPr>
              <w:t>项目的潜在供应商应在</w:t>
            </w:r>
            <w:r>
              <w:rPr>
                <w:rFonts w:hint="eastAsia" w:ascii="仿宋_GB2312" w:hAnsi="仿宋_GB2312" w:eastAsia="仿宋_GB2312" w:cs="仿宋_GB2312"/>
                <w:b w:val="0"/>
                <w:color w:val="auto"/>
                <w:sz w:val="24"/>
                <w:szCs w:val="24"/>
                <w:highlight w:val="none"/>
                <w:lang w:eastAsia="zh-CN"/>
              </w:rPr>
              <w:t>广西政府采购云平台(https://www.gcy.zfcg.gxzf.gov.cn/)</w:t>
            </w:r>
            <w:r>
              <w:rPr>
                <w:rFonts w:hint="eastAsia" w:ascii="仿宋_GB2312" w:hAnsi="仿宋_GB2312" w:eastAsia="仿宋_GB2312" w:cs="仿宋_GB2312"/>
                <w:b w:val="0"/>
                <w:color w:val="auto"/>
                <w:sz w:val="24"/>
                <w:szCs w:val="24"/>
                <w:highlight w:val="none"/>
              </w:rPr>
              <w:t>获取采购文件，并于</w:t>
            </w:r>
            <w:r>
              <w:rPr>
                <w:rFonts w:hint="eastAsia" w:ascii="仿宋_GB2312" w:hAnsi="仿宋_GB2312" w:eastAsia="仿宋_GB2312" w:cs="仿宋_GB2312"/>
                <w:b w:val="0"/>
                <w:color w:val="auto"/>
                <w:sz w:val="24"/>
                <w:szCs w:val="24"/>
                <w:highlight w:val="none"/>
              </w:rPr>
              <w:t>202</w:t>
            </w:r>
            <w:r>
              <w:rPr>
                <w:rFonts w:hint="eastAsia" w:ascii="仿宋_GB2312" w:hAnsi="仿宋_GB2312" w:eastAsia="仿宋_GB2312" w:cs="仿宋_GB2312"/>
                <w:b w:val="0"/>
                <w:color w:val="auto"/>
                <w:sz w:val="24"/>
                <w:szCs w:val="24"/>
                <w:highlight w:val="none"/>
                <w:lang w:val="en-US" w:eastAsia="zh-CN"/>
              </w:rPr>
              <w:t>5</w:t>
            </w:r>
            <w:r>
              <w:rPr>
                <w:rFonts w:hint="eastAsia" w:ascii="仿宋_GB2312" w:hAnsi="仿宋_GB2312" w:eastAsia="仿宋_GB2312" w:cs="仿宋_GB2312"/>
                <w:b w:val="0"/>
                <w:color w:val="auto"/>
                <w:sz w:val="24"/>
                <w:szCs w:val="24"/>
                <w:highlight w:val="none"/>
              </w:rPr>
              <w:t>年</w:t>
            </w:r>
            <w:r>
              <w:rPr>
                <w:rFonts w:hint="eastAsia" w:ascii="仿宋_GB2312" w:hAnsi="仿宋_GB2312" w:eastAsia="仿宋_GB2312" w:cs="仿宋_GB2312"/>
                <w:b w:val="0"/>
                <w:color w:val="auto"/>
                <w:sz w:val="24"/>
                <w:szCs w:val="24"/>
                <w:highlight w:val="none"/>
                <w:lang w:val="en-US" w:eastAsia="zh-CN"/>
              </w:rPr>
              <w:t>6</w:t>
            </w:r>
            <w:r>
              <w:rPr>
                <w:rFonts w:hint="eastAsia" w:ascii="仿宋_GB2312" w:hAnsi="仿宋_GB2312" w:eastAsia="仿宋_GB2312" w:cs="仿宋_GB2312"/>
                <w:b w:val="0"/>
                <w:color w:val="auto"/>
                <w:sz w:val="24"/>
                <w:szCs w:val="24"/>
                <w:highlight w:val="none"/>
              </w:rPr>
              <w:t>月</w:t>
            </w:r>
            <w:r>
              <w:rPr>
                <w:rFonts w:hint="eastAsia" w:ascii="仿宋_GB2312" w:hAnsi="仿宋_GB2312" w:eastAsia="仿宋_GB2312" w:cs="仿宋_GB2312"/>
                <w:b w:val="0"/>
                <w:color w:val="auto"/>
                <w:sz w:val="24"/>
                <w:szCs w:val="24"/>
                <w:highlight w:val="none"/>
                <w:lang w:val="en-US" w:eastAsia="zh-CN"/>
              </w:rPr>
              <w:t>20</w:t>
            </w:r>
            <w:r>
              <w:rPr>
                <w:rFonts w:hint="eastAsia" w:ascii="仿宋_GB2312" w:hAnsi="仿宋_GB2312" w:eastAsia="仿宋_GB2312" w:cs="仿宋_GB2312"/>
                <w:b w:val="0"/>
                <w:color w:val="auto"/>
                <w:sz w:val="24"/>
                <w:szCs w:val="24"/>
                <w:highlight w:val="none"/>
              </w:rPr>
              <w:t>日</w:t>
            </w:r>
            <w:r>
              <w:rPr>
                <w:rFonts w:hint="eastAsia" w:ascii="仿宋_GB2312" w:hAnsi="仿宋_GB2312" w:eastAsia="仿宋_GB2312" w:cs="仿宋_GB2312"/>
                <w:b w:val="0"/>
                <w:color w:val="auto"/>
                <w:sz w:val="24"/>
                <w:szCs w:val="24"/>
                <w:highlight w:val="none"/>
              </w:rPr>
              <w:t>09：</w:t>
            </w:r>
            <w:r>
              <w:rPr>
                <w:rFonts w:hint="eastAsia" w:ascii="仿宋_GB2312" w:hAnsi="仿宋_GB2312" w:eastAsia="仿宋_GB2312" w:cs="仿宋_GB2312"/>
                <w:b w:val="0"/>
                <w:color w:val="auto"/>
                <w:sz w:val="24"/>
                <w:szCs w:val="24"/>
                <w:highlight w:val="none"/>
                <w:lang w:val="en-US" w:eastAsia="zh-CN"/>
              </w:rPr>
              <w:t>20</w:t>
            </w:r>
            <w:r>
              <w:rPr>
                <w:rFonts w:hint="eastAsia" w:ascii="仿宋_GB2312" w:hAnsi="仿宋_GB2312" w:eastAsia="仿宋_GB2312" w:cs="仿宋_GB2312"/>
                <w:b w:val="0"/>
                <w:color w:val="auto"/>
                <w:sz w:val="24"/>
                <w:szCs w:val="24"/>
                <w:highlight w:val="none"/>
              </w:rPr>
              <w:t>（北京时间）前提交响应文件。</w:t>
            </w:r>
          </w:p>
        </w:tc>
      </w:tr>
    </w:tbl>
    <w:p w14:paraId="4176D2FE">
      <w:pPr>
        <w:spacing w:line="420" w:lineRule="exact"/>
        <w:ind w:firstLine="482" w:firstLineChars="200"/>
        <w:rPr>
          <w:rFonts w:ascii="黑体" w:hAnsi="黑体" w:eastAsia="黑体" w:cs="黑体"/>
          <w:b/>
          <w:bCs/>
          <w:color w:val="auto"/>
          <w:sz w:val="24"/>
          <w:szCs w:val="24"/>
          <w:highlight w:val="none"/>
        </w:rPr>
      </w:pPr>
    </w:p>
    <w:p w14:paraId="3A2889DF">
      <w:pPr>
        <w:spacing w:line="420" w:lineRule="exact"/>
        <w:ind w:firstLine="482" w:firstLineChars="200"/>
        <w:rPr>
          <w:rFonts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一、项目基本情况</w:t>
      </w:r>
      <w:bookmarkEnd w:id="4"/>
      <w:bookmarkEnd w:id="5"/>
      <w:bookmarkEnd w:id="6"/>
      <w:bookmarkEnd w:id="7"/>
    </w:p>
    <w:bookmarkEnd w:id="8"/>
    <w:p w14:paraId="5DC8E257">
      <w:pPr>
        <w:spacing w:line="440" w:lineRule="exact"/>
        <w:ind w:firstLine="480" w:firstLineChars="200"/>
        <w:rPr>
          <w:rFonts w:hint="default" w:ascii="仿宋_GB2312" w:hAnsi="仿宋_GB2312" w:eastAsia="仿宋_GB2312" w:cs="仿宋_GB2312"/>
          <w:color w:val="auto"/>
          <w:sz w:val="24"/>
          <w:szCs w:val="24"/>
          <w:highlight w:val="none"/>
          <w:lang w:val="en-US" w:eastAsia="zh-CN"/>
        </w:rPr>
      </w:pPr>
      <w:bookmarkStart w:id="9" w:name="_Toc28359003"/>
      <w:bookmarkStart w:id="10" w:name="_Toc28359080"/>
      <w:bookmarkStart w:id="11" w:name="_Toc35393791"/>
      <w:bookmarkStart w:id="12" w:name="_Toc35393622"/>
      <w:r>
        <w:rPr>
          <w:rFonts w:hint="eastAsia" w:ascii="仿宋_GB2312" w:hAnsi="仿宋_GB2312" w:eastAsia="仿宋_GB2312" w:cs="仿宋_GB2312"/>
          <w:color w:val="auto"/>
          <w:sz w:val="24"/>
          <w:szCs w:val="24"/>
          <w:highlight w:val="none"/>
        </w:rPr>
        <w:t>项目编号：LZZC2025-C2-990295-GZJL</w:t>
      </w:r>
    </w:p>
    <w:p w14:paraId="4B22EFC7">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b w:val="0"/>
          <w:color w:val="auto"/>
          <w:sz w:val="24"/>
          <w:szCs w:val="24"/>
          <w:highlight w:val="none"/>
          <w:lang w:val="en-US" w:eastAsia="zh-CN"/>
        </w:rPr>
        <w:t>柳州市柳南区人民检察院变压器增容及电路改造工程</w:t>
      </w:r>
    </w:p>
    <w:p w14:paraId="06D99A5A">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采购方式：竞争性磋商</w:t>
      </w:r>
    </w:p>
    <w:p w14:paraId="1B9EEEBC">
      <w:pPr>
        <w:spacing w:line="440" w:lineRule="exact"/>
        <w:ind w:firstLine="480" w:firstLineChars="20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预算总金额（元）：</w:t>
      </w:r>
      <w:r>
        <w:rPr>
          <w:rFonts w:hint="eastAsia" w:ascii="仿宋_GB2312" w:hAnsi="仿宋_GB2312" w:eastAsia="仿宋_GB2312" w:cs="仿宋_GB2312"/>
          <w:color w:val="auto"/>
          <w:sz w:val="24"/>
          <w:szCs w:val="24"/>
          <w:highlight w:val="none"/>
          <w:lang w:val="en-US" w:eastAsia="zh-CN"/>
        </w:rPr>
        <w:t>700000</w:t>
      </w:r>
    </w:p>
    <w:p w14:paraId="15A43053">
      <w:pPr>
        <w:spacing w:line="44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采购需求</w:t>
      </w:r>
      <w:r>
        <w:rPr>
          <w:rFonts w:hint="eastAsia" w:ascii="仿宋_GB2312" w:hAnsi="仿宋_GB2312" w:eastAsia="仿宋_GB2312" w:cs="仿宋_GB2312"/>
          <w:color w:val="auto"/>
          <w:sz w:val="24"/>
          <w:szCs w:val="24"/>
          <w:highlight w:val="none"/>
          <w:lang w:eastAsia="zh-CN"/>
        </w:rPr>
        <w:t>：</w:t>
      </w:r>
    </w:p>
    <w:p w14:paraId="7022A782">
      <w:pPr>
        <w:pStyle w:val="47"/>
        <w:spacing w:before="75" w:beforeAutospacing="0" w:after="75" w:afterAutospacing="0" w:line="440" w:lineRule="exact"/>
        <w:rPr>
          <w:rFonts w:hint="default" w:ascii="仿宋" w:hAnsi="仿宋" w:eastAsia="仿宋" w:cs="仿宋"/>
          <w:color w:val="auto"/>
          <w:sz w:val="24"/>
          <w:szCs w:val="24"/>
          <w:highlight w:val="none"/>
        </w:rPr>
      </w:pPr>
      <w:r>
        <w:rPr>
          <w:rFonts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eastAsia="zh-CN"/>
        </w:rPr>
        <w:t>：</w:t>
      </w:r>
      <w:r>
        <w:rPr>
          <w:rFonts w:hint="eastAsia" w:ascii="仿宋_GB2312" w:hAnsi="仿宋_GB2312" w:eastAsia="仿宋_GB2312" w:cs="仿宋_GB2312"/>
          <w:b w:val="0"/>
          <w:color w:val="auto"/>
          <w:sz w:val="24"/>
          <w:szCs w:val="24"/>
          <w:highlight w:val="none"/>
          <w:lang w:val="en-US" w:eastAsia="zh-CN"/>
        </w:rPr>
        <w:t>柳州市柳南区人民检察院变压器增容及电路改造工程</w:t>
      </w:r>
    </w:p>
    <w:p w14:paraId="2EAEB0EA">
      <w:pPr>
        <w:pStyle w:val="47"/>
        <w:spacing w:before="75" w:beforeAutospacing="0" w:after="75" w:afterAutospacing="0" w:line="440" w:lineRule="exact"/>
        <w:rPr>
          <w:rFonts w:hint="eastAsia" w:ascii="仿宋" w:hAnsi="仿宋" w:eastAsia="仿宋" w:cs="仿宋"/>
          <w:color w:val="auto"/>
          <w:sz w:val="24"/>
          <w:szCs w:val="24"/>
          <w:highlight w:val="none"/>
          <w:lang w:val="en-US" w:eastAsia="zh-CN"/>
        </w:rPr>
      </w:pPr>
      <w:r>
        <w:rPr>
          <w:rFonts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p>
    <w:p w14:paraId="27D394DE">
      <w:pPr>
        <w:pStyle w:val="47"/>
        <w:spacing w:before="75" w:beforeAutospacing="0" w:after="75" w:afterAutospacing="0" w:line="440" w:lineRule="exact"/>
        <w:rPr>
          <w:rFonts w:hint="default" w:ascii="仿宋" w:hAnsi="仿宋" w:eastAsia="仿宋" w:cs="仿宋"/>
          <w:color w:val="auto"/>
          <w:sz w:val="24"/>
          <w:szCs w:val="24"/>
          <w:highlight w:val="none"/>
          <w:lang w:val="en-US" w:eastAsia="zh-CN"/>
        </w:rPr>
      </w:pPr>
      <w:r>
        <w:rPr>
          <w:rFonts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700000</w:t>
      </w:r>
    </w:p>
    <w:p w14:paraId="56B4F691">
      <w:pPr>
        <w:pStyle w:val="47"/>
        <w:spacing w:before="75" w:beforeAutospacing="0" w:after="75" w:afterAutospacing="0" w:line="440" w:lineRule="exact"/>
        <w:rPr>
          <w:rFonts w:hint="default" w:eastAsia="仿宋"/>
          <w:color w:val="auto"/>
          <w:sz w:val="24"/>
          <w:szCs w:val="24"/>
          <w:highlight w:val="none"/>
        </w:rPr>
      </w:pPr>
      <w:r>
        <w:rPr>
          <w:rFonts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rPr>
        <w:t>安装一台容量630KVA欧式环网型箱变、电路改造</w:t>
      </w:r>
      <w:r>
        <w:rPr>
          <w:rFonts w:hint="eastAsia" w:ascii="仿宋" w:hAnsi="仿宋" w:eastAsia="仿宋" w:cs="仿宋"/>
          <w:color w:val="auto"/>
          <w:sz w:val="24"/>
          <w:szCs w:val="24"/>
          <w:highlight w:val="none"/>
          <w:lang w:val="en-US" w:eastAsia="zh-CN"/>
        </w:rPr>
        <w:t>，</w:t>
      </w:r>
      <w:r>
        <w:rPr>
          <w:rFonts w:hint="eastAsia" w:ascii="仿宋_GB2312" w:eastAsia="仿宋_GB2312"/>
          <w:color w:val="auto"/>
          <w:sz w:val="24"/>
          <w:szCs w:val="24"/>
          <w:highlight w:val="none"/>
          <w:lang w:val="en-US" w:eastAsia="zh-CN"/>
        </w:rPr>
        <w:t>如需进一步了解详细内容，详见工程量清单及施工图纸</w:t>
      </w:r>
      <w:r>
        <w:rPr>
          <w:rFonts w:hint="eastAsia" w:ascii="仿宋_GB2312" w:eastAsia="仿宋_GB2312"/>
          <w:b w:val="0"/>
          <w:bCs w:val="0"/>
          <w:color w:val="auto"/>
          <w:sz w:val="24"/>
          <w:szCs w:val="24"/>
          <w:highlight w:val="none"/>
        </w:rPr>
        <w:t>。</w:t>
      </w:r>
    </w:p>
    <w:p w14:paraId="25B82CA5">
      <w:pPr>
        <w:pStyle w:val="47"/>
        <w:spacing w:before="75" w:beforeAutospacing="0" w:after="75" w:afterAutospacing="0" w:line="440" w:lineRule="exact"/>
        <w:rPr>
          <w:rFonts w:hint="default" w:eastAsia="仿宋"/>
          <w:color w:val="auto"/>
          <w:sz w:val="24"/>
          <w:szCs w:val="24"/>
          <w:highlight w:val="none"/>
        </w:rPr>
      </w:pPr>
      <w:r>
        <w:rPr>
          <w:rFonts w:ascii="仿宋" w:hAnsi="仿宋" w:eastAsia="仿宋" w:cs="仿宋"/>
          <w:color w:val="auto"/>
          <w:sz w:val="24"/>
          <w:szCs w:val="24"/>
          <w:highlight w:val="none"/>
        </w:rPr>
        <w:t>最高限价（如有）：</w:t>
      </w:r>
      <w:r>
        <w:rPr>
          <w:rFonts w:hint="eastAsia" w:ascii="仿宋_GB2312" w:hAnsi="仿宋_GB2312" w:eastAsia="仿宋_GB2312" w:cs="仿宋_GB2312"/>
          <w:color w:val="auto"/>
          <w:sz w:val="24"/>
          <w:szCs w:val="24"/>
          <w:highlight w:val="none"/>
          <w:lang w:val="en-US" w:eastAsia="zh-CN"/>
        </w:rPr>
        <w:t>677563.27</w:t>
      </w:r>
    </w:p>
    <w:p w14:paraId="3C0A6BE9">
      <w:pPr>
        <w:pStyle w:val="47"/>
        <w:spacing w:before="75" w:beforeAutospacing="0" w:after="75" w:afterAutospacing="0" w:line="440" w:lineRule="exact"/>
        <w:rPr>
          <w:rFonts w:hint="default" w:ascii="仿宋" w:hAnsi="仿宋" w:eastAsia="仿宋" w:cs="仿宋"/>
          <w:color w:val="auto"/>
          <w:sz w:val="24"/>
          <w:szCs w:val="24"/>
          <w:highlight w:val="none"/>
        </w:rPr>
      </w:pPr>
      <w:r>
        <w:rPr>
          <w:rFonts w:ascii="仿宋" w:hAnsi="仿宋" w:eastAsia="仿宋" w:cs="仿宋"/>
          <w:color w:val="auto"/>
          <w:sz w:val="24"/>
          <w:szCs w:val="24"/>
          <w:highlight w:val="none"/>
        </w:rPr>
        <w:t>合同履约期限：</w:t>
      </w:r>
      <w:r>
        <w:rPr>
          <w:rFonts w:hint="eastAsia" w:ascii="仿宋" w:hAnsi="仿宋" w:eastAsia="仿宋" w:cs="仿宋"/>
          <w:color w:val="auto"/>
          <w:sz w:val="24"/>
          <w:szCs w:val="24"/>
          <w:highlight w:val="none"/>
          <w:lang w:val="en-US" w:eastAsia="zh-CN"/>
        </w:rPr>
        <w:t>工期要求90日历天</w:t>
      </w:r>
      <w:r>
        <w:rPr>
          <w:rFonts w:hint="eastAsia" w:ascii="仿宋" w:hAnsi="仿宋" w:eastAsia="仿宋" w:cs="仿宋"/>
          <w:color w:val="auto"/>
          <w:sz w:val="24"/>
          <w:szCs w:val="24"/>
          <w:highlight w:val="none"/>
        </w:rPr>
        <w:t>。</w:t>
      </w:r>
    </w:p>
    <w:p w14:paraId="1DA838EC">
      <w:pPr>
        <w:pStyle w:val="47"/>
        <w:spacing w:before="75" w:beforeAutospacing="0" w:after="75" w:afterAutospacing="0" w:line="440" w:lineRule="exact"/>
        <w:rPr>
          <w:rFonts w:hint="eastAsia" w:ascii="仿宋" w:hAnsi="仿宋" w:eastAsia="仿宋" w:cs="仿宋"/>
          <w:color w:val="auto"/>
          <w:sz w:val="24"/>
          <w:szCs w:val="24"/>
          <w:highlight w:val="none"/>
          <w:lang w:eastAsia="zh-CN"/>
        </w:rPr>
      </w:pPr>
      <w:r>
        <w:rPr>
          <w:rFonts w:ascii="仿宋" w:hAnsi="仿宋" w:eastAsia="仿宋" w:cs="仿宋"/>
          <w:color w:val="auto"/>
          <w:sz w:val="24"/>
          <w:szCs w:val="24"/>
          <w:highlight w:val="none"/>
        </w:rPr>
        <w:t>本标项（</w:t>
      </w:r>
      <w:r>
        <w:rPr>
          <w:rFonts w:hint="eastAsia" w:ascii="仿宋" w:hAnsi="仿宋" w:eastAsia="仿宋" w:cs="仿宋"/>
          <w:color w:val="auto"/>
          <w:sz w:val="24"/>
          <w:szCs w:val="24"/>
          <w:highlight w:val="none"/>
          <w:lang w:val="en-US" w:eastAsia="zh-CN"/>
        </w:rPr>
        <w:t>否</w:t>
      </w:r>
      <w:r>
        <w:rPr>
          <w:rFonts w:ascii="仿宋" w:hAnsi="仿宋" w:eastAsia="仿宋" w:cs="仿宋"/>
          <w:color w:val="auto"/>
          <w:sz w:val="24"/>
          <w:szCs w:val="24"/>
          <w:highlight w:val="none"/>
        </w:rPr>
        <w:t>）接受联合体投标</w:t>
      </w:r>
    </w:p>
    <w:p w14:paraId="77B61DDD">
      <w:pPr>
        <w:pStyle w:val="47"/>
        <w:spacing w:before="75" w:beforeAutospacing="0" w:after="75" w:afterAutospacing="0" w:line="440" w:lineRule="exact"/>
        <w:rPr>
          <w:rFonts w:hint="default" w:eastAsia="仿宋"/>
          <w:color w:val="auto"/>
          <w:sz w:val="24"/>
          <w:szCs w:val="24"/>
          <w:highlight w:val="none"/>
        </w:rPr>
      </w:pPr>
      <w:r>
        <w:rPr>
          <w:rFonts w:ascii="仿宋" w:hAnsi="仿宋" w:eastAsia="仿宋" w:cs="仿宋"/>
          <w:color w:val="auto"/>
          <w:sz w:val="24"/>
          <w:szCs w:val="24"/>
          <w:highlight w:val="none"/>
        </w:rPr>
        <w:t>备注：</w:t>
      </w:r>
      <w:r>
        <w:rPr>
          <w:rFonts w:ascii="仿宋" w:hAnsi="仿宋" w:eastAsia="仿宋" w:cs="仿宋"/>
          <w:b/>
          <w:bCs/>
          <w:color w:val="auto"/>
          <w:sz w:val="24"/>
          <w:szCs w:val="24"/>
          <w:highlight w:val="none"/>
        </w:rPr>
        <w:t>本项目为线上电子招标项目，</w:t>
      </w:r>
      <w:r>
        <w:rPr>
          <w:rFonts w:hint="eastAsia" w:ascii="仿宋" w:hAnsi="仿宋" w:eastAsia="仿宋" w:cs="仿宋"/>
          <w:b/>
          <w:bCs/>
          <w:color w:val="auto"/>
          <w:sz w:val="24"/>
          <w:szCs w:val="24"/>
          <w:highlight w:val="none"/>
        </w:rPr>
        <w:t>采用远程异地评标</w:t>
      </w: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有意向参与本项目的供应商应当做好参与全流程电子招投标交易的充分准备。</w:t>
      </w:r>
    </w:p>
    <w:bookmarkEnd w:id="9"/>
    <w:bookmarkEnd w:id="10"/>
    <w:bookmarkEnd w:id="11"/>
    <w:bookmarkEnd w:id="12"/>
    <w:p w14:paraId="6146651C">
      <w:pPr>
        <w:spacing w:line="440" w:lineRule="exact"/>
        <w:ind w:firstLine="482" w:firstLineChars="200"/>
        <w:jc w:val="both"/>
        <w:outlineLvl w:val="9"/>
        <w:rPr>
          <w:rFonts w:ascii="黑体" w:hAnsi="黑体" w:eastAsia="黑体" w:cs="黑体"/>
          <w:b/>
          <w:bCs w:val="0"/>
          <w:color w:val="auto"/>
          <w:sz w:val="24"/>
          <w:szCs w:val="24"/>
          <w:highlight w:val="none"/>
        </w:rPr>
      </w:pPr>
      <w:r>
        <w:rPr>
          <w:rFonts w:hint="eastAsia" w:ascii="黑体" w:hAnsi="黑体" w:eastAsia="黑体" w:cs="黑体"/>
          <w:b/>
          <w:bCs w:val="0"/>
          <w:color w:val="auto"/>
          <w:sz w:val="24"/>
          <w:szCs w:val="24"/>
          <w:highlight w:val="none"/>
        </w:rPr>
        <w:t>二、申请人的资格要求</w:t>
      </w:r>
    </w:p>
    <w:p w14:paraId="37A607E8">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1.满足《中华人民共和国政府采购法》第二十二条规定；</w:t>
      </w:r>
    </w:p>
    <w:p w14:paraId="2B478F21">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2.落实政府采购政策需满足的资格要求：分标1：</w:t>
      </w:r>
      <w:r>
        <w:rPr>
          <w:rFonts w:hint="eastAsia" w:ascii="仿宋_GB2312" w:hAnsi="仿宋_GB2312" w:eastAsia="仿宋_GB2312" w:cs="仿宋_GB2312"/>
          <w:strike w:val="0"/>
          <w:dstrike w:val="0"/>
          <w:color w:val="auto"/>
          <w:sz w:val="24"/>
          <w:szCs w:val="24"/>
          <w:highlight w:val="none"/>
        </w:rPr>
        <w:t>本项目属于专门面向</w:t>
      </w:r>
      <w:r>
        <w:rPr>
          <w:rFonts w:hint="eastAsia" w:ascii="仿宋_GB2312" w:hAnsi="仿宋_GB2312" w:eastAsia="仿宋_GB2312" w:cs="仿宋_GB2312"/>
          <w:strike w:val="0"/>
          <w:dstrike w:val="0"/>
          <w:color w:val="auto"/>
          <w:sz w:val="24"/>
          <w:szCs w:val="24"/>
          <w:highlight w:val="none"/>
          <w:lang w:val="en-US" w:eastAsia="zh-CN"/>
        </w:rPr>
        <w:t>小微</w:t>
      </w:r>
      <w:r>
        <w:rPr>
          <w:rFonts w:hint="eastAsia" w:ascii="仿宋_GB2312" w:hAnsi="仿宋_GB2312" w:eastAsia="仿宋_GB2312" w:cs="仿宋_GB2312"/>
          <w:strike w:val="0"/>
          <w:dstrike w:val="0"/>
          <w:color w:val="auto"/>
          <w:sz w:val="24"/>
          <w:szCs w:val="24"/>
          <w:highlight w:val="none"/>
        </w:rPr>
        <w:t>企业采购的项目，监狱企业、残疾人福利单位视同小型、微型企业；</w:t>
      </w:r>
      <w:r>
        <w:rPr>
          <w:rFonts w:hint="eastAsia" w:ascii="仿宋_GB2312" w:hAnsi="仿宋_GB2312" w:eastAsia="仿宋_GB2312" w:cs="仿宋_GB2312"/>
          <w:strike w:val="0"/>
          <w:dstrike w:val="0"/>
          <w:color w:val="auto"/>
          <w:sz w:val="24"/>
          <w:szCs w:val="24"/>
          <w:highlight w:val="none"/>
          <w:lang w:val="en-US" w:eastAsia="zh-CN"/>
        </w:rPr>
        <w:t>中小</w:t>
      </w:r>
      <w:r>
        <w:rPr>
          <w:rFonts w:hint="eastAsia" w:ascii="仿宋_GB2312" w:hAnsi="仿宋_GB2312" w:eastAsia="仿宋_GB2312" w:cs="仿宋_GB2312"/>
          <w:strike w:val="0"/>
          <w:dstrike w:val="0"/>
          <w:color w:val="auto"/>
          <w:sz w:val="24"/>
          <w:szCs w:val="24"/>
          <w:highlight w:val="none"/>
        </w:rPr>
        <w:t>企业须符合本项目采购标的所属行业对应的</w:t>
      </w:r>
      <w:r>
        <w:rPr>
          <w:rFonts w:hint="eastAsia" w:ascii="仿宋_GB2312" w:hAnsi="仿宋_GB2312" w:eastAsia="仿宋_GB2312" w:cs="仿宋_GB2312"/>
          <w:strike w:val="0"/>
          <w:dstrike w:val="0"/>
          <w:color w:val="auto"/>
          <w:sz w:val="24"/>
          <w:szCs w:val="24"/>
          <w:highlight w:val="none"/>
          <w:lang w:val="en-US" w:eastAsia="zh-CN"/>
        </w:rPr>
        <w:t>中小</w:t>
      </w:r>
      <w:r>
        <w:rPr>
          <w:rFonts w:hint="eastAsia" w:ascii="仿宋_GB2312" w:hAnsi="仿宋_GB2312" w:eastAsia="仿宋_GB2312" w:cs="仿宋_GB2312"/>
          <w:strike w:val="0"/>
          <w:dstrike w:val="0"/>
          <w:color w:val="auto"/>
          <w:sz w:val="24"/>
          <w:szCs w:val="24"/>
          <w:highlight w:val="none"/>
        </w:rPr>
        <w:t>企业划分标准；</w:t>
      </w:r>
    </w:p>
    <w:p w14:paraId="628942DB">
      <w:pPr>
        <w:spacing w:line="4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3.本项目的特定资格要求：</w:t>
      </w:r>
    </w:p>
    <w:p w14:paraId="2AF23EF2">
      <w:pPr>
        <w:spacing w:line="44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【分标1】</w:t>
      </w:r>
    </w:p>
    <w:p w14:paraId="64510B27">
      <w:pPr>
        <w:spacing w:line="44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供应商须</w:t>
      </w:r>
      <w:r>
        <w:rPr>
          <w:rFonts w:hint="eastAsia" w:ascii="仿宋" w:hAnsi="仿宋" w:eastAsia="仿宋" w:cs="仿宋"/>
          <w:color w:val="auto"/>
          <w:sz w:val="24"/>
          <w:szCs w:val="24"/>
          <w:highlight w:val="none"/>
        </w:rPr>
        <w:t>具</w:t>
      </w:r>
      <w:r>
        <w:rPr>
          <w:rFonts w:hint="eastAsia" w:ascii="仿宋" w:hAnsi="仿宋" w:eastAsia="仿宋" w:cs="仿宋"/>
          <w:color w:val="auto"/>
          <w:sz w:val="24"/>
          <w:szCs w:val="24"/>
          <w:highlight w:val="none"/>
          <w:lang w:val="en-US" w:eastAsia="zh-CN"/>
        </w:rPr>
        <w:t>备有效的</w:t>
      </w:r>
      <w:r>
        <w:rPr>
          <w:rFonts w:hint="eastAsia" w:ascii="仿宋" w:hAnsi="仿宋" w:eastAsia="仿宋" w:cs="仿宋"/>
          <w:color w:val="auto"/>
          <w:sz w:val="24"/>
          <w:szCs w:val="24"/>
          <w:highlight w:val="none"/>
        </w:rPr>
        <w:t>输变电工程专业承包三级（含）以上资质或电力工程施工总承包三级（含）以上资质，具备国家电力监管委员会颁发在《承装（修、试）电力设施许可证》承装类</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级（含）以上资质，并在人员、设备、资金等方面具有相应的施工能力</w:t>
      </w:r>
      <w:r>
        <w:rPr>
          <w:rFonts w:hint="eastAsia" w:ascii="仿宋_GB2312" w:hAnsi="仿宋_GB2312" w:eastAsia="仿宋_GB2312" w:cs="仿宋_GB2312"/>
          <w:color w:val="auto"/>
          <w:sz w:val="24"/>
          <w:szCs w:val="24"/>
          <w:highlight w:val="none"/>
          <w:lang w:val="en-US" w:eastAsia="zh-CN"/>
        </w:rPr>
        <w:t>。</w:t>
      </w:r>
    </w:p>
    <w:p w14:paraId="2734BB91">
      <w:pPr>
        <w:spacing w:line="44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（2）供应商</w:t>
      </w:r>
      <w:r>
        <w:rPr>
          <w:rFonts w:hint="eastAsia" w:ascii="仿宋" w:hAnsi="仿宋" w:eastAsia="仿宋" w:cs="仿宋"/>
          <w:color w:val="auto"/>
          <w:sz w:val="24"/>
          <w:szCs w:val="24"/>
          <w:highlight w:val="none"/>
        </w:rPr>
        <w:t>拟</w:t>
      </w:r>
      <w:r>
        <w:rPr>
          <w:rFonts w:hint="eastAsia" w:ascii="仿宋" w:hAnsi="仿宋" w:eastAsia="仿宋" w:cs="仿宋"/>
          <w:color w:val="auto"/>
          <w:sz w:val="24"/>
          <w:szCs w:val="24"/>
          <w:highlight w:val="none"/>
          <w:lang w:val="en-US" w:eastAsia="zh-CN"/>
        </w:rPr>
        <w:t>派</w:t>
      </w:r>
      <w:r>
        <w:rPr>
          <w:rFonts w:hint="eastAsia" w:ascii="仿宋" w:hAnsi="仿宋" w:eastAsia="仿宋" w:cs="仿宋"/>
          <w:color w:val="auto"/>
          <w:sz w:val="24"/>
          <w:szCs w:val="24"/>
          <w:highlight w:val="none"/>
        </w:rPr>
        <w:t>的项目经理须</w:t>
      </w:r>
      <w:r>
        <w:rPr>
          <w:rFonts w:hint="eastAsia" w:ascii="仿宋" w:hAnsi="仿宋" w:eastAsia="仿宋" w:cs="仿宋"/>
          <w:color w:val="auto"/>
          <w:sz w:val="24"/>
          <w:szCs w:val="24"/>
          <w:highlight w:val="none"/>
          <w:lang w:val="en-US" w:eastAsia="zh-CN"/>
        </w:rPr>
        <w:t>具备有效的</w:t>
      </w:r>
      <w:r>
        <w:rPr>
          <w:rFonts w:hint="eastAsia" w:ascii="仿宋" w:hAnsi="仿宋" w:eastAsia="仿宋" w:cs="仿宋"/>
          <w:color w:val="auto"/>
          <w:sz w:val="24"/>
          <w:szCs w:val="24"/>
          <w:highlight w:val="none"/>
        </w:rPr>
        <w:t>贰级以上（含贰级）的机电工程专业注册建造师资格</w:t>
      </w:r>
      <w:r>
        <w:rPr>
          <w:rFonts w:hint="eastAsia" w:ascii="仿宋" w:hAnsi="仿宋" w:eastAsia="仿宋" w:cs="仿宋"/>
          <w:color w:val="auto"/>
          <w:sz w:val="24"/>
          <w:szCs w:val="24"/>
          <w:highlight w:val="none"/>
          <w:lang w:val="en-US" w:eastAsia="zh-CN"/>
        </w:rPr>
        <w:t>（以建造师注册证书中“专业类别”栏所填写的专业为准）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且</w:t>
      </w:r>
      <w:r>
        <w:rPr>
          <w:rFonts w:hint="eastAsia" w:ascii="仿宋" w:hAnsi="仿宋" w:eastAsia="仿宋" w:cs="仿宋"/>
          <w:color w:val="auto"/>
          <w:sz w:val="24"/>
          <w:szCs w:val="24"/>
          <w:highlight w:val="none"/>
        </w:rPr>
        <w:t>具备有效的安全生产考核合格证书（B类）</w:t>
      </w:r>
      <w:r>
        <w:rPr>
          <w:rFonts w:hint="eastAsia" w:ascii="仿宋" w:hAnsi="仿宋" w:eastAsia="仿宋" w:cs="仿宋"/>
          <w:bCs/>
          <w:color w:val="auto"/>
          <w:sz w:val="24"/>
          <w:szCs w:val="24"/>
          <w:highlight w:val="none"/>
        </w:rPr>
        <w:t>。本项目不接受有在建、已中标未开工或已列为其他项目中标候选人第一名的建造师作为项目经理</w:t>
      </w:r>
      <w:r>
        <w:rPr>
          <w:rFonts w:hint="eastAsia" w:ascii="仿宋_GB2312" w:hAnsi="仿宋_GB2312" w:eastAsia="仿宋_GB2312" w:cs="仿宋_GB2312"/>
          <w:color w:val="auto"/>
          <w:sz w:val="24"/>
          <w:szCs w:val="24"/>
          <w:highlight w:val="none"/>
          <w:lang w:val="en-US" w:eastAsia="zh-CN"/>
        </w:rPr>
        <w:t>。</w:t>
      </w:r>
    </w:p>
    <w:p w14:paraId="3FF502E9">
      <w:pPr>
        <w:spacing w:line="440" w:lineRule="exact"/>
        <w:ind w:firstLine="480" w:firstLineChars="20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供应商拟派专职安全生产管理人员具备有效专职安全生产管理人员安全生产考核合格证书（C类）。人数符合住房和城乡建设部《建筑施工企业安全生产管理机构设置及专职安全生产管理人员配备办法》（建质[2008]91号）的规定不少于1人。</w:t>
      </w:r>
    </w:p>
    <w:p w14:paraId="4FB15F99">
      <w:pPr>
        <w:spacing w:line="440" w:lineRule="exact"/>
        <w:ind w:firstLine="482" w:firstLineChars="200"/>
        <w:jc w:val="both"/>
        <w:outlineLvl w:val="9"/>
        <w:rPr>
          <w:rFonts w:ascii="黑体" w:hAnsi="黑体" w:eastAsia="黑体" w:cs="黑体"/>
          <w:b/>
          <w:bCs w:val="0"/>
          <w:color w:val="auto"/>
          <w:sz w:val="24"/>
          <w:szCs w:val="24"/>
          <w:highlight w:val="none"/>
        </w:rPr>
      </w:pPr>
      <w:bookmarkStart w:id="13" w:name="_Toc35393792"/>
      <w:bookmarkStart w:id="14" w:name="_Toc35393623"/>
      <w:r>
        <w:rPr>
          <w:rFonts w:hint="eastAsia" w:ascii="黑体" w:hAnsi="黑体" w:eastAsia="黑体" w:cs="黑体"/>
          <w:b/>
          <w:bCs w:val="0"/>
          <w:color w:val="auto"/>
          <w:sz w:val="24"/>
          <w:szCs w:val="24"/>
          <w:highlight w:val="none"/>
        </w:rPr>
        <w:t>三、获取采购文件</w:t>
      </w:r>
      <w:bookmarkEnd w:id="13"/>
      <w:bookmarkEnd w:id="14"/>
    </w:p>
    <w:p w14:paraId="70A4DAC0">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时间：</w:t>
      </w:r>
      <w:r>
        <w:rPr>
          <w:rFonts w:hint="eastAsia" w:ascii="仿宋_GB2312" w:hAnsi="仿宋_GB2312" w:eastAsia="仿宋_GB2312" w:cs="仿宋_GB2312"/>
          <w:b w:val="0"/>
          <w:color w:val="auto"/>
          <w:sz w:val="24"/>
          <w:szCs w:val="24"/>
          <w:highlight w:val="none"/>
          <w:u w:val="single"/>
        </w:rPr>
        <w:t>202</w:t>
      </w:r>
      <w:r>
        <w:rPr>
          <w:rFonts w:hint="eastAsia" w:ascii="仿宋_GB2312" w:hAnsi="仿宋_GB2312" w:eastAsia="仿宋_GB2312" w:cs="仿宋_GB2312"/>
          <w:b w:val="0"/>
          <w:color w:val="auto"/>
          <w:sz w:val="24"/>
          <w:szCs w:val="24"/>
          <w:highlight w:val="none"/>
          <w:u w:val="single"/>
          <w:lang w:val="en-US" w:eastAsia="zh-CN"/>
        </w:rPr>
        <w:t>5</w:t>
      </w:r>
      <w:r>
        <w:rPr>
          <w:rFonts w:hint="eastAsia" w:ascii="仿宋_GB2312" w:hAnsi="仿宋_GB2312" w:eastAsia="仿宋_GB2312" w:cs="仿宋_GB2312"/>
          <w:b w:val="0"/>
          <w:color w:val="auto"/>
          <w:sz w:val="24"/>
          <w:szCs w:val="24"/>
          <w:highlight w:val="none"/>
          <w:u w:val="single"/>
        </w:rPr>
        <w:t>年</w:t>
      </w:r>
      <w:r>
        <w:rPr>
          <w:rFonts w:hint="eastAsia" w:ascii="仿宋_GB2312" w:hAnsi="仿宋_GB2312" w:eastAsia="仿宋_GB2312" w:cs="仿宋_GB2312"/>
          <w:b w:val="0"/>
          <w:color w:val="auto"/>
          <w:sz w:val="24"/>
          <w:szCs w:val="24"/>
          <w:highlight w:val="none"/>
          <w:u w:val="single"/>
          <w:lang w:val="en-US" w:eastAsia="zh-CN"/>
        </w:rPr>
        <w:t>6</w:t>
      </w:r>
      <w:r>
        <w:rPr>
          <w:rFonts w:hint="eastAsia" w:ascii="仿宋_GB2312" w:hAnsi="仿宋_GB2312" w:eastAsia="仿宋_GB2312" w:cs="仿宋_GB2312"/>
          <w:b w:val="0"/>
          <w:color w:val="auto"/>
          <w:sz w:val="24"/>
          <w:szCs w:val="24"/>
          <w:highlight w:val="none"/>
          <w:u w:val="single"/>
        </w:rPr>
        <w:t>月</w:t>
      </w:r>
      <w:r>
        <w:rPr>
          <w:rFonts w:hint="eastAsia" w:ascii="仿宋_GB2312" w:hAnsi="仿宋_GB2312" w:eastAsia="仿宋_GB2312" w:cs="仿宋_GB2312"/>
          <w:b w:val="0"/>
          <w:color w:val="auto"/>
          <w:sz w:val="24"/>
          <w:szCs w:val="24"/>
          <w:highlight w:val="none"/>
          <w:u w:val="single"/>
          <w:lang w:val="en-US" w:eastAsia="zh-CN"/>
        </w:rPr>
        <w:t>3</w:t>
      </w:r>
      <w:r>
        <w:rPr>
          <w:rFonts w:hint="eastAsia" w:ascii="仿宋_GB2312" w:hAnsi="仿宋_GB2312" w:eastAsia="仿宋_GB2312" w:cs="仿宋_GB2312"/>
          <w:b w:val="0"/>
          <w:color w:val="auto"/>
          <w:sz w:val="24"/>
          <w:szCs w:val="24"/>
          <w:highlight w:val="none"/>
          <w:u w:val="single"/>
        </w:rPr>
        <w:t>日</w:t>
      </w:r>
      <w:r>
        <w:rPr>
          <w:rFonts w:hint="eastAsia" w:ascii="仿宋_GB2312" w:hAnsi="仿宋_GB2312" w:eastAsia="仿宋_GB2312" w:cs="仿宋_GB2312"/>
          <w:color w:val="auto"/>
          <w:sz w:val="24"/>
          <w:szCs w:val="24"/>
          <w:highlight w:val="none"/>
        </w:rPr>
        <w:t>至</w:t>
      </w:r>
      <w:r>
        <w:rPr>
          <w:rFonts w:hint="eastAsia" w:ascii="仿宋_GB2312" w:hAnsi="仿宋_GB2312" w:eastAsia="仿宋_GB2312" w:cs="仿宋_GB2312"/>
          <w:b w:val="0"/>
          <w:color w:val="auto"/>
          <w:sz w:val="24"/>
          <w:szCs w:val="24"/>
          <w:highlight w:val="none"/>
          <w:u w:val="single"/>
        </w:rPr>
        <w:t>202</w:t>
      </w:r>
      <w:r>
        <w:rPr>
          <w:rFonts w:hint="eastAsia" w:ascii="仿宋_GB2312" w:hAnsi="仿宋_GB2312" w:eastAsia="仿宋_GB2312" w:cs="仿宋_GB2312"/>
          <w:b w:val="0"/>
          <w:color w:val="auto"/>
          <w:sz w:val="24"/>
          <w:szCs w:val="24"/>
          <w:highlight w:val="none"/>
          <w:u w:val="single"/>
          <w:lang w:val="en-US" w:eastAsia="zh-CN"/>
        </w:rPr>
        <w:t>5</w:t>
      </w:r>
      <w:r>
        <w:rPr>
          <w:rFonts w:hint="eastAsia" w:ascii="仿宋_GB2312" w:hAnsi="仿宋_GB2312" w:eastAsia="仿宋_GB2312" w:cs="仿宋_GB2312"/>
          <w:b w:val="0"/>
          <w:color w:val="auto"/>
          <w:sz w:val="24"/>
          <w:szCs w:val="24"/>
          <w:highlight w:val="none"/>
          <w:u w:val="single"/>
        </w:rPr>
        <w:t>年</w:t>
      </w:r>
      <w:r>
        <w:rPr>
          <w:rFonts w:hint="eastAsia" w:ascii="仿宋_GB2312" w:hAnsi="仿宋_GB2312" w:eastAsia="仿宋_GB2312" w:cs="仿宋_GB2312"/>
          <w:b w:val="0"/>
          <w:color w:val="auto"/>
          <w:sz w:val="24"/>
          <w:szCs w:val="24"/>
          <w:highlight w:val="none"/>
          <w:u w:val="single"/>
          <w:lang w:val="en-US" w:eastAsia="zh-CN"/>
        </w:rPr>
        <w:t>6</w:t>
      </w:r>
      <w:r>
        <w:rPr>
          <w:rFonts w:hint="eastAsia" w:ascii="仿宋_GB2312" w:hAnsi="仿宋_GB2312" w:eastAsia="仿宋_GB2312" w:cs="仿宋_GB2312"/>
          <w:b w:val="0"/>
          <w:color w:val="auto"/>
          <w:sz w:val="24"/>
          <w:szCs w:val="24"/>
          <w:highlight w:val="none"/>
          <w:u w:val="single"/>
        </w:rPr>
        <w:t>月</w:t>
      </w:r>
      <w:r>
        <w:rPr>
          <w:rFonts w:hint="eastAsia" w:ascii="仿宋_GB2312" w:hAnsi="仿宋_GB2312" w:eastAsia="仿宋_GB2312" w:cs="仿宋_GB2312"/>
          <w:b w:val="0"/>
          <w:color w:val="auto"/>
          <w:sz w:val="24"/>
          <w:szCs w:val="24"/>
          <w:highlight w:val="none"/>
          <w:u w:val="single"/>
          <w:lang w:val="en-US" w:eastAsia="zh-CN"/>
        </w:rPr>
        <w:t>10</w:t>
      </w:r>
      <w:r>
        <w:rPr>
          <w:rFonts w:hint="eastAsia" w:ascii="仿宋_GB2312" w:hAnsi="仿宋_GB2312" w:eastAsia="仿宋_GB2312" w:cs="仿宋_GB2312"/>
          <w:b w:val="0"/>
          <w:color w:val="auto"/>
          <w:sz w:val="24"/>
          <w:szCs w:val="24"/>
          <w:highlight w:val="none"/>
          <w:u w:val="single"/>
        </w:rPr>
        <w:t>日</w:t>
      </w:r>
      <w:r>
        <w:rPr>
          <w:rFonts w:hint="eastAsia" w:ascii="仿宋_GB2312" w:hAnsi="仿宋_GB2312" w:eastAsia="仿宋_GB2312" w:cs="仿宋_GB2312"/>
          <w:color w:val="auto"/>
          <w:sz w:val="24"/>
          <w:szCs w:val="24"/>
          <w:highlight w:val="none"/>
        </w:rPr>
        <w:t>，每天上午08:</w:t>
      </w:r>
      <w:r>
        <w:rPr>
          <w:rFonts w:hint="eastAsia" w:ascii="仿宋_GB2312" w:hAnsi="仿宋_GB2312" w:eastAsia="仿宋_GB2312" w:cs="仿宋_GB2312"/>
          <w:color w:val="auto"/>
          <w:sz w:val="24"/>
          <w:szCs w:val="24"/>
          <w:highlight w:val="none"/>
          <w:lang w:val="en-US" w:eastAsia="zh-CN"/>
        </w:rPr>
        <w:t>30</w:t>
      </w:r>
      <w:r>
        <w:rPr>
          <w:rFonts w:hint="eastAsia" w:ascii="仿宋_GB2312" w:hAnsi="仿宋_GB2312" w:eastAsia="仿宋_GB2312" w:cs="仿宋_GB2312"/>
          <w:color w:val="auto"/>
          <w:sz w:val="24"/>
          <w:szCs w:val="24"/>
          <w:highlight w:val="none"/>
        </w:rPr>
        <w:t>至12:00，下午12:00至1</w:t>
      </w:r>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rPr>
        <w:t>0（北京时间，法定节假日除外）</w:t>
      </w:r>
    </w:p>
    <w:p w14:paraId="5BF1BE7F">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地点（网址）：广西政府采购云平台(https://www.gcy.zfcg.gxzf.gov.cn/)</w:t>
      </w:r>
    </w:p>
    <w:p w14:paraId="08508A32">
      <w:pPr>
        <w:spacing w:line="4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方式：线上获取。登录广西政府采购云平台(https://www.gcy.zfcg.gxzf.gov.cn/)，在“工作台”—“项目采购”—“获取采购文件”选择本项目，点击“申请获取采购文件”进行申请提交后，在已申请栏中选择下载本项目采购文件。</w:t>
      </w:r>
    </w:p>
    <w:p w14:paraId="2DE03356">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14:paraId="14D78D80">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售价（元）：0</w:t>
      </w:r>
    </w:p>
    <w:p w14:paraId="1D99F20B">
      <w:pPr>
        <w:spacing w:line="440" w:lineRule="exact"/>
        <w:ind w:firstLine="482" w:firstLineChars="200"/>
        <w:rPr>
          <w:rFonts w:ascii="黑体" w:hAnsi="黑体" w:eastAsia="黑体" w:cs="黑体"/>
          <w:b/>
          <w:bCs/>
          <w:color w:val="auto"/>
          <w:sz w:val="24"/>
          <w:szCs w:val="24"/>
          <w:highlight w:val="none"/>
        </w:rPr>
      </w:pPr>
      <w:bookmarkStart w:id="15" w:name="_Toc35393624"/>
      <w:bookmarkStart w:id="16" w:name="_Toc28359082"/>
      <w:bookmarkStart w:id="17" w:name="_Toc35393793"/>
      <w:bookmarkStart w:id="18" w:name="_Toc28359005"/>
      <w:r>
        <w:rPr>
          <w:rFonts w:hint="eastAsia" w:ascii="黑体" w:hAnsi="黑体" w:eastAsia="黑体" w:cs="黑体"/>
          <w:b/>
          <w:bCs/>
          <w:color w:val="auto"/>
          <w:sz w:val="24"/>
          <w:szCs w:val="24"/>
          <w:highlight w:val="none"/>
        </w:rPr>
        <w:t>四、</w:t>
      </w:r>
      <w:bookmarkEnd w:id="15"/>
      <w:bookmarkEnd w:id="16"/>
      <w:bookmarkEnd w:id="17"/>
      <w:bookmarkEnd w:id="18"/>
      <w:r>
        <w:rPr>
          <w:rFonts w:hint="eastAsia" w:ascii="黑体" w:hAnsi="黑体" w:eastAsia="黑体" w:cs="黑体"/>
          <w:b/>
          <w:bCs/>
          <w:color w:val="auto"/>
          <w:sz w:val="24"/>
          <w:szCs w:val="24"/>
          <w:highlight w:val="none"/>
        </w:rPr>
        <w:t>响应文件提交</w:t>
      </w:r>
    </w:p>
    <w:p w14:paraId="4163F67A">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截止时间：</w:t>
      </w:r>
      <w:r>
        <w:rPr>
          <w:rFonts w:hint="eastAsia" w:ascii="仿宋_GB2312" w:hAnsi="仿宋_GB2312" w:eastAsia="仿宋_GB2312" w:cs="仿宋_GB2312"/>
          <w:b w:val="0"/>
          <w:color w:val="auto"/>
          <w:sz w:val="24"/>
          <w:szCs w:val="24"/>
          <w:highlight w:val="none"/>
          <w:u w:val="single"/>
        </w:rPr>
        <w:t>202</w:t>
      </w:r>
      <w:r>
        <w:rPr>
          <w:rFonts w:hint="eastAsia" w:ascii="仿宋_GB2312" w:hAnsi="仿宋_GB2312" w:eastAsia="仿宋_GB2312" w:cs="仿宋_GB2312"/>
          <w:b w:val="0"/>
          <w:color w:val="auto"/>
          <w:sz w:val="24"/>
          <w:szCs w:val="24"/>
          <w:highlight w:val="none"/>
          <w:u w:val="single"/>
          <w:lang w:val="en-US" w:eastAsia="zh-CN"/>
        </w:rPr>
        <w:t>5</w:t>
      </w:r>
      <w:r>
        <w:rPr>
          <w:rFonts w:hint="eastAsia" w:ascii="仿宋_GB2312" w:hAnsi="仿宋_GB2312" w:eastAsia="仿宋_GB2312" w:cs="仿宋_GB2312"/>
          <w:b w:val="0"/>
          <w:color w:val="auto"/>
          <w:sz w:val="24"/>
          <w:szCs w:val="24"/>
          <w:highlight w:val="none"/>
          <w:u w:val="single"/>
        </w:rPr>
        <w:t>年</w:t>
      </w:r>
      <w:r>
        <w:rPr>
          <w:rFonts w:hint="eastAsia" w:ascii="仿宋_GB2312" w:hAnsi="仿宋_GB2312" w:eastAsia="仿宋_GB2312" w:cs="仿宋_GB2312"/>
          <w:b w:val="0"/>
          <w:color w:val="auto"/>
          <w:sz w:val="24"/>
          <w:szCs w:val="24"/>
          <w:highlight w:val="none"/>
          <w:u w:val="single"/>
          <w:lang w:val="en-US" w:eastAsia="zh-CN"/>
        </w:rPr>
        <w:t>6</w:t>
      </w:r>
      <w:r>
        <w:rPr>
          <w:rFonts w:hint="eastAsia" w:ascii="仿宋_GB2312" w:hAnsi="仿宋_GB2312" w:eastAsia="仿宋_GB2312" w:cs="仿宋_GB2312"/>
          <w:b w:val="0"/>
          <w:color w:val="auto"/>
          <w:sz w:val="24"/>
          <w:szCs w:val="24"/>
          <w:highlight w:val="none"/>
          <w:u w:val="single"/>
        </w:rPr>
        <w:t>月</w:t>
      </w:r>
      <w:r>
        <w:rPr>
          <w:rFonts w:hint="eastAsia" w:ascii="仿宋_GB2312" w:hAnsi="仿宋_GB2312" w:eastAsia="仿宋_GB2312" w:cs="仿宋_GB2312"/>
          <w:b w:val="0"/>
          <w:color w:val="auto"/>
          <w:sz w:val="24"/>
          <w:szCs w:val="24"/>
          <w:highlight w:val="none"/>
          <w:u w:val="single"/>
          <w:lang w:val="en-US" w:eastAsia="zh-CN"/>
        </w:rPr>
        <w:t>20</w:t>
      </w:r>
      <w:r>
        <w:rPr>
          <w:rFonts w:hint="eastAsia" w:ascii="仿宋_GB2312" w:hAnsi="仿宋_GB2312" w:eastAsia="仿宋_GB2312" w:cs="仿宋_GB2312"/>
          <w:b w:val="0"/>
          <w:color w:val="auto"/>
          <w:sz w:val="24"/>
          <w:szCs w:val="24"/>
          <w:highlight w:val="none"/>
          <w:u w:val="single"/>
        </w:rPr>
        <w:t>日</w:t>
      </w:r>
      <w:r>
        <w:rPr>
          <w:rFonts w:hint="eastAsia" w:ascii="仿宋_GB2312" w:hAnsi="仿宋_GB2312" w:eastAsia="仿宋_GB2312" w:cs="仿宋_GB2312"/>
          <w:color w:val="auto"/>
          <w:sz w:val="24"/>
          <w:szCs w:val="24"/>
          <w:highlight w:val="none"/>
        </w:rPr>
        <w:t>09:</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0（北京时间）</w:t>
      </w:r>
    </w:p>
    <w:p w14:paraId="73FCE4A5">
      <w:pPr>
        <w:spacing w:line="440" w:lineRule="exact"/>
        <w:ind w:firstLine="480" w:firstLineChars="200"/>
        <w:rPr>
          <w:rFonts w:ascii="仿宋" w:hAnsi="仿宋" w:eastAsia="仿宋" w:cs="仿宋"/>
          <w:color w:val="auto"/>
          <w:sz w:val="24"/>
          <w:szCs w:val="24"/>
          <w:highlight w:val="none"/>
        </w:rPr>
      </w:pPr>
      <w:r>
        <w:rPr>
          <w:rFonts w:hint="eastAsia" w:ascii="仿宋_GB2312" w:hAnsi="仿宋_GB2312" w:eastAsia="仿宋_GB2312" w:cs="仿宋_GB2312"/>
          <w:color w:val="auto"/>
          <w:sz w:val="24"/>
          <w:szCs w:val="24"/>
          <w:highlight w:val="none"/>
        </w:rPr>
        <w:t>地点（网址）：广西政府采购云平台(https://www.gcy.zfcg.gxzf.gov.cn/)（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未按规定编制并加密的电子响应文件，将被广西政府采购云平台拒收）。</w:t>
      </w:r>
    </w:p>
    <w:p w14:paraId="574B7604">
      <w:pPr>
        <w:spacing w:line="440" w:lineRule="exact"/>
        <w:ind w:firstLine="482" w:firstLineChars="200"/>
        <w:rPr>
          <w:rFonts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五、响应文件开启</w:t>
      </w:r>
    </w:p>
    <w:p w14:paraId="1A899A8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开启时间：</w:t>
      </w:r>
      <w:r>
        <w:rPr>
          <w:rFonts w:hint="eastAsia" w:ascii="仿宋_GB2312" w:hAnsi="仿宋_GB2312" w:eastAsia="仿宋_GB2312" w:cs="仿宋_GB2312"/>
          <w:b w:val="0"/>
          <w:color w:val="auto"/>
          <w:sz w:val="24"/>
          <w:szCs w:val="24"/>
          <w:highlight w:val="none"/>
          <w:u w:val="single"/>
        </w:rPr>
        <w:t>202</w:t>
      </w:r>
      <w:r>
        <w:rPr>
          <w:rFonts w:hint="eastAsia" w:ascii="仿宋_GB2312" w:hAnsi="仿宋_GB2312" w:eastAsia="仿宋_GB2312" w:cs="仿宋_GB2312"/>
          <w:b w:val="0"/>
          <w:color w:val="auto"/>
          <w:sz w:val="24"/>
          <w:szCs w:val="24"/>
          <w:highlight w:val="none"/>
          <w:u w:val="single"/>
          <w:lang w:val="en-US" w:eastAsia="zh-CN"/>
        </w:rPr>
        <w:t>5</w:t>
      </w:r>
      <w:r>
        <w:rPr>
          <w:rFonts w:hint="eastAsia" w:ascii="仿宋_GB2312" w:hAnsi="仿宋_GB2312" w:eastAsia="仿宋_GB2312" w:cs="仿宋_GB2312"/>
          <w:b w:val="0"/>
          <w:color w:val="auto"/>
          <w:sz w:val="24"/>
          <w:szCs w:val="24"/>
          <w:highlight w:val="none"/>
          <w:u w:val="single"/>
        </w:rPr>
        <w:t>年</w:t>
      </w:r>
      <w:r>
        <w:rPr>
          <w:rFonts w:hint="eastAsia" w:ascii="仿宋_GB2312" w:hAnsi="仿宋_GB2312" w:eastAsia="仿宋_GB2312" w:cs="仿宋_GB2312"/>
          <w:b w:val="0"/>
          <w:color w:val="auto"/>
          <w:sz w:val="24"/>
          <w:szCs w:val="24"/>
          <w:highlight w:val="none"/>
          <w:u w:val="single"/>
          <w:lang w:val="en-US" w:eastAsia="zh-CN"/>
        </w:rPr>
        <w:t>6</w:t>
      </w:r>
      <w:r>
        <w:rPr>
          <w:rFonts w:hint="eastAsia" w:ascii="仿宋_GB2312" w:hAnsi="仿宋_GB2312" w:eastAsia="仿宋_GB2312" w:cs="仿宋_GB2312"/>
          <w:b w:val="0"/>
          <w:color w:val="auto"/>
          <w:sz w:val="24"/>
          <w:szCs w:val="24"/>
          <w:highlight w:val="none"/>
          <w:u w:val="single"/>
        </w:rPr>
        <w:t>月</w:t>
      </w:r>
      <w:r>
        <w:rPr>
          <w:rFonts w:hint="eastAsia" w:ascii="仿宋_GB2312" w:hAnsi="仿宋_GB2312" w:eastAsia="仿宋_GB2312" w:cs="仿宋_GB2312"/>
          <w:b w:val="0"/>
          <w:color w:val="auto"/>
          <w:sz w:val="24"/>
          <w:szCs w:val="24"/>
          <w:highlight w:val="none"/>
          <w:u w:val="single"/>
          <w:lang w:val="en-US" w:eastAsia="zh-CN"/>
        </w:rPr>
        <w:t>20</w:t>
      </w:r>
      <w:r>
        <w:rPr>
          <w:rFonts w:hint="eastAsia" w:ascii="仿宋_GB2312" w:hAnsi="仿宋_GB2312" w:eastAsia="仿宋_GB2312" w:cs="仿宋_GB2312"/>
          <w:b w:val="0"/>
          <w:color w:val="auto"/>
          <w:sz w:val="24"/>
          <w:szCs w:val="24"/>
          <w:highlight w:val="none"/>
          <w:u w:val="single"/>
        </w:rPr>
        <w:t>日</w:t>
      </w:r>
      <w:r>
        <w:rPr>
          <w:rFonts w:hint="eastAsia" w:ascii="仿宋_GB2312" w:hAnsi="仿宋_GB2312" w:eastAsia="仿宋_GB2312" w:cs="仿宋_GB2312"/>
          <w:color w:val="auto"/>
          <w:sz w:val="24"/>
          <w:szCs w:val="24"/>
          <w:highlight w:val="none"/>
        </w:rPr>
        <w:t>09:</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0（北京时间）</w:t>
      </w:r>
    </w:p>
    <w:p w14:paraId="3BBE4A2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地点：广西政府采购云平台(https://www.gcy.zfcg.gxzf.gov.cn/)</w:t>
      </w:r>
    </w:p>
    <w:p w14:paraId="42DFA14F">
      <w:pPr>
        <w:spacing w:line="440" w:lineRule="exact"/>
        <w:ind w:firstLine="482" w:firstLineChars="200"/>
        <w:jc w:val="both"/>
        <w:outlineLvl w:val="9"/>
        <w:rPr>
          <w:rFonts w:ascii="黑体" w:hAnsi="黑体" w:eastAsia="黑体" w:cs="黑体"/>
          <w:b/>
          <w:bCs w:val="0"/>
          <w:color w:val="auto"/>
          <w:sz w:val="24"/>
          <w:szCs w:val="24"/>
          <w:highlight w:val="none"/>
        </w:rPr>
      </w:pPr>
      <w:bookmarkStart w:id="19" w:name="_Toc28359084"/>
      <w:bookmarkStart w:id="20" w:name="_Toc35393794"/>
      <w:bookmarkStart w:id="21" w:name="_Toc28359007"/>
      <w:bookmarkStart w:id="22" w:name="_Toc35393625"/>
      <w:r>
        <w:rPr>
          <w:rFonts w:hint="eastAsia" w:ascii="黑体" w:hAnsi="黑体" w:eastAsia="黑体" w:cs="黑体"/>
          <w:b/>
          <w:bCs w:val="0"/>
          <w:color w:val="auto"/>
          <w:sz w:val="24"/>
          <w:szCs w:val="24"/>
          <w:highlight w:val="none"/>
        </w:rPr>
        <w:t>六、公告期限</w:t>
      </w:r>
      <w:bookmarkEnd w:id="19"/>
      <w:bookmarkEnd w:id="20"/>
      <w:bookmarkEnd w:id="21"/>
      <w:bookmarkEnd w:id="22"/>
    </w:p>
    <w:p w14:paraId="5C3E720E">
      <w:pPr>
        <w:spacing w:line="440" w:lineRule="exact"/>
        <w:ind w:firstLine="480" w:firstLineChars="200"/>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自本公告发布之日起</w:t>
      </w:r>
      <w:r>
        <w:rPr>
          <w:rFonts w:hint="eastAsia" w:ascii="仿宋_GB2312" w:hAnsi="仿宋_GB2312" w:eastAsia="仿宋_GB2312" w:cs="仿宋_GB2312"/>
          <w:color w:val="auto"/>
          <w:kern w:val="0"/>
          <w:sz w:val="24"/>
          <w:szCs w:val="24"/>
          <w:highlight w:val="none"/>
          <w:lang w:val="en-US" w:eastAsia="zh-CN"/>
        </w:rPr>
        <w:t>5</w:t>
      </w:r>
      <w:r>
        <w:rPr>
          <w:rFonts w:hint="eastAsia" w:ascii="仿宋_GB2312" w:hAnsi="仿宋_GB2312" w:eastAsia="仿宋_GB2312" w:cs="仿宋_GB2312"/>
          <w:color w:val="auto"/>
          <w:kern w:val="0"/>
          <w:sz w:val="24"/>
          <w:szCs w:val="24"/>
          <w:highlight w:val="none"/>
        </w:rPr>
        <w:t>个工作日。</w:t>
      </w:r>
    </w:p>
    <w:p w14:paraId="430E8E07">
      <w:pPr>
        <w:spacing w:line="420" w:lineRule="exact"/>
        <w:ind w:firstLine="482" w:firstLineChars="200"/>
        <w:jc w:val="both"/>
        <w:outlineLvl w:val="9"/>
        <w:rPr>
          <w:rFonts w:ascii="仿宋_GB2312" w:hAnsi="仿宋_GB2312" w:eastAsia="仿宋_GB2312" w:cs="仿宋_GB2312"/>
          <w:b/>
          <w:bCs w:val="0"/>
          <w:color w:val="auto"/>
          <w:sz w:val="24"/>
          <w:szCs w:val="24"/>
          <w:highlight w:val="none"/>
        </w:rPr>
      </w:pPr>
      <w:bookmarkStart w:id="23" w:name="_Toc35393626"/>
      <w:bookmarkStart w:id="24" w:name="_Toc35393795"/>
      <w:r>
        <w:rPr>
          <w:rFonts w:hint="eastAsia" w:ascii="黑体" w:hAnsi="黑体" w:eastAsia="黑体" w:cs="黑体"/>
          <w:b/>
          <w:bCs w:val="0"/>
          <w:color w:val="auto"/>
          <w:sz w:val="24"/>
          <w:szCs w:val="24"/>
          <w:highlight w:val="none"/>
        </w:rPr>
        <w:t>七、其他补充事宜</w:t>
      </w:r>
      <w:bookmarkEnd w:id="23"/>
      <w:bookmarkEnd w:id="24"/>
    </w:p>
    <w:p w14:paraId="1035996C">
      <w:pPr>
        <w:spacing w:line="400" w:lineRule="exact"/>
        <w:ind w:right="-470" w:rightChars="-224" w:firstLine="480" w:firstLineChars="200"/>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（一）</w:t>
      </w:r>
      <w:r>
        <w:rPr>
          <w:rFonts w:hint="eastAsia" w:ascii="仿宋_GB2312" w:hAnsi="仿宋_GB2312" w:eastAsia="仿宋_GB2312" w:cs="仿宋_GB2312"/>
          <w:b w:val="0"/>
          <w:bCs w:val="0"/>
          <w:color w:val="auto"/>
          <w:sz w:val="24"/>
          <w:szCs w:val="24"/>
          <w:highlight w:val="none"/>
        </w:rPr>
        <w:t>磋商保证金：本项目无需提交磋商保证金。</w:t>
      </w:r>
    </w:p>
    <w:p w14:paraId="73B50C22">
      <w:pPr>
        <w:pStyle w:val="163"/>
        <w:spacing w:line="420" w:lineRule="exact"/>
        <w:ind w:firstLine="560"/>
        <w:rPr>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（二）</w:t>
      </w:r>
      <w:r>
        <w:rPr>
          <w:rFonts w:ascii="仿宋_GB2312" w:hAnsi="仿宋_GB2312" w:eastAsia="仿宋_GB2312" w:cs="仿宋_GB2312"/>
          <w:color w:val="auto"/>
          <w:sz w:val="24"/>
          <w:szCs w:val="24"/>
          <w:highlight w:val="none"/>
        </w:rPr>
        <w:t>本项目需要落实的政府采购政策：落实促进中小企业发展政策、支持监狱企业发展政策、促进残疾人就业政府采购政策。如需进一步了解详细内容，详见</w:t>
      </w:r>
      <w:r>
        <w:rPr>
          <w:rFonts w:hint="eastAsia" w:ascii="仿宋_GB2312" w:hAnsi="仿宋_GB2312" w:eastAsia="仿宋_GB2312" w:cs="仿宋_GB2312"/>
          <w:color w:val="auto"/>
          <w:sz w:val="24"/>
          <w:szCs w:val="24"/>
          <w:highlight w:val="none"/>
        </w:rPr>
        <w:t>竞争性磋商</w:t>
      </w:r>
      <w:r>
        <w:rPr>
          <w:rFonts w:ascii="仿宋_GB2312" w:hAnsi="仿宋_GB2312" w:eastAsia="仿宋_GB2312" w:cs="仿宋_GB2312"/>
          <w:color w:val="auto"/>
          <w:sz w:val="24"/>
          <w:szCs w:val="24"/>
          <w:highlight w:val="none"/>
        </w:rPr>
        <w:t>文件第</w:t>
      </w:r>
      <w:r>
        <w:rPr>
          <w:rFonts w:hint="eastAsia" w:ascii="仿宋_GB2312" w:hAnsi="仿宋_GB2312" w:eastAsia="仿宋_GB2312" w:cs="仿宋_GB2312"/>
          <w:color w:val="auto"/>
          <w:sz w:val="24"/>
          <w:szCs w:val="24"/>
          <w:highlight w:val="none"/>
        </w:rPr>
        <w:t>三</w:t>
      </w:r>
      <w:r>
        <w:rPr>
          <w:rFonts w:ascii="仿宋_GB2312" w:hAnsi="仿宋_GB2312" w:eastAsia="仿宋_GB2312" w:cs="仿宋_GB2312"/>
          <w:color w:val="auto"/>
          <w:sz w:val="24"/>
          <w:szCs w:val="24"/>
          <w:highlight w:val="none"/>
        </w:rPr>
        <w:t>章《采购需求》及第</w:t>
      </w:r>
      <w:r>
        <w:rPr>
          <w:rFonts w:hint="eastAsia" w:ascii="仿宋_GB2312" w:hAnsi="仿宋_GB2312" w:eastAsia="仿宋_GB2312" w:cs="仿宋_GB2312"/>
          <w:color w:val="auto"/>
          <w:sz w:val="24"/>
          <w:szCs w:val="24"/>
          <w:highlight w:val="none"/>
          <w:lang w:val="en-US" w:eastAsia="zh-CN"/>
        </w:rPr>
        <w:t>七</w:t>
      </w:r>
      <w:r>
        <w:rPr>
          <w:rFonts w:ascii="仿宋_GB2312" w:hAnsi="仿宋_GB2312" w:eastAsia="仿宋_GB2312" w:cs="仿宋_GB2312"/>
          <w:color w:val="auto"/>
          <w:sz w:val="24"/>
          <w:szCs w:val="24"/>
          <w:highlight w:val="none"/>
        </w:rPr>
        <w:t>章《评标方法及评标标准》。</w:t>
      </w:r>
    </w:p>
    <w:p w14:paraId="61E43F16">
      <w:pPr>
        <w:numPr>
          <w:ilvl w:val="0"/>
          <w:numId w:val="0"/>
        </w:numPr>
        <w:spacing w:line="42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（三）</w:t>
      </w:r>
      <w:r>
        <w:rPr>
          <w:rFonts w:hint="eastAsia" w:ascii="仿宋_GB2312" w:hAnsi="仿宋_GB2312" w:eastAsia="仿宋_GB2312" w:cs="仿宋_GB2312"/>
          <w:color w:val="auto"/>
          <w:sz w:val="24"/>
          <w:szCs w:val="24"/>
          <w:highlight w:val="none"/>
          <w:lang w:val="en-US" w:eastAsia="zh-CN"/>
        </w:rPr>
        <w:t>供应商有以下情形之一的不得参加政府采购活动：1.对在“信用中国”网站(www.creditchina.gov.cn)、中国政府采购网(www.ccgp.gov.cn)等渠道列入失信被执行人、重大税收违法案件当事人名单、政府采购严重违法失信行为记录名单的供应商，不得参与政府采购活动。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678EC98">
      <w:pPr>
        <w:pStyle w:val="163"/>
        <w:spacing w:line="420" w:lineRule="exact"/>
        <w:ind w:firstLine="562"/>
        <w:rPr>
          <w:rFonts w:hint="default"/>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（四）</w:t>
      </w:r>
      <w:r>
        <w:rPr>
          <w:rFonts w:hint="eastAsia" w:ascii="仿宋_GB2312" w:hAnsi="仿宋_GB2312" w:eastAsia="仿宋_GB2312" w:cs="仿宋_GB2312"/>
          <w:b w:val="0"/>
          <w:bCs w:val="0"/>
          <w:color w:val="auto"/>
          <w:sz w:val="24"/>
          <w:szCs w:val="24"/>
          <w:highlight w:val="none"/>
        </w:rPr>
        <w:t>发布媒体：中国政府采购网（www.ccgp.gov.cn）</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广西壮族自治区政府采购网（zfcg.gxzf.gov.cn）、柳州市政府采购网（zfcg.lzscz.liuzhou.gov.cn）</w:t>
      </w:r>
      <w:r>
        <w:rPr>
          <w:rFonts w:hint="eastAsia" w:ascii="仿宋_GB2312" w:hAnsi="仿宋_GB2312" w:eastAsia="仿宋_GB2312" w:cs="仿宋_GB2312"/>
          <w:color w:val="auto"/>
          <w:sz w:val="24"/>
          <w:szCs w:val="24"/>
          <w:highlight w:val="none"/>
        </w:rPr>
        <w:t>。</w:t>
      </w:r>
    </w:p>
    <w:p w14:paraId="7B3403C6">
      <w:pPr>
        <w:numPr>
          <w:ilvl w:val="0"/>
          <w:numId w:val="0"/>
        </w:numPr>
        <w:spacing w:line="42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（五）</w:t>
      </w:r>
      <w:r>
        <w:rPr>
          <w:rFonts w:hint="eastAsia" w:ascii="仿宋_GB2312" w:hAnsi="仿宋_GB2312" w:eastAsia="仿宋_GB2312" w:cs="仿宋_GB2312"/>
          <w:color w:val="auto"/>
          <w:sz w:val="24"/>
          <w:szCs w:val="24"/>
          <w:highlight w:val="none"/>
          <w:lang w:val="en-US" w:eastAsia="zh-CN"/>
        </w:rPr>
        <w:t>根据《柳州市财政局 人民银行柳州市中心支行 关于进一步做好线上“政采贷”融资工作的通知》（柳财采〔2022〕19号），供应商可凭成交通知书、政府采购合同，通过中征应收账款融资服务平台向银行在线申请“政采贷”融资。</w:t>
      </w:r>
    </w:p>
    <w:p w14:paraId="6995286A">
      <w:pPr>
        <w:numPr>
          <w:ilvl w:val="0"/>
          <w:numId w:val="0"/>
        </w:numPr>
        <w:spacing w:line="420" w:lineRule="exact"/>
        <w:ind w:firstLine="480" w:firstLineChars="20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（六）</w:t>
      </w:r>
      <w:r>
        <w:rPr>
          <w:rFonts w:hint="eastAsia" w:ascii="仿宋_GB2312" w:hAnsi="仿宋_GB2312" w:eastAsia="仿宋_GB2312" w:cs="仿宋_GB2312"/>
          <w:b w:val="0"/>
          <w:bCs w:val="0"/>
          <w:color w:val="auto"/>
          <w:sz w:val="24"/>
          <w:szCs w:val="24"/>
          <w:highlight w:val="none"/>
        </w:rPr>
        <w:t>供应商参与电子投标特别说明</w:t>
      </w:r>
    </w:p>
    <w:p w14:paraId="359CF69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_GB2312" w:hAnsi="Times New Roman" w:eastAsia="仿宋_GB2312" w:cs="Times New Roman"/>
          <w:b w:val="0"/>
          <w:bCs w:val="0"/>
          <w:color w:val="auto"/>
          <w:sz w:val="24"/>
          <w:szCs w:val="24"/>
          <w:highlight w:val="none"/>
          <w:lang w:val="en-US" w:eastAsia="zh-CN"/>
        </w:rPr>
      </w:pPr>
      <w:bookmarkStart w:id="25" w:name="_Toc28359085"/>
      <w:bookmarkStart w:id="26" w:name="_Toc35393627"/>
      <w:bookmarkStart w:id="27" w:name="_Toc35393796"/>
      <w:bookmarkStart w:id="28" w:name="_Toc28359008"/>
      <w:r>
        <w:rPr>
          <w:rFonts w:hint="eastAsia" w:ascii="仿宋_GB2312" w:hAnsi="Times New Roman" w:eastAsia="仿宋_GB2312" w:cs="Times New Roman"/>
          <w:b w:val="0"/>
          <w:bCs w:val="0"/>
          <w:color w:val="auto"/>
          <w:sz w:val="24"/>
          <w:szCs w:val="24"/>
          <w:highlight w:val="none"/>
          <w:lang w:val="en-US" w:eastAsia="zh-CN"/>
        </w:rPr>
        <w:t>1.本项目通过广西政府采购云平台实行电子投标，供应商应按照本项目竞争性磋商文件和广西政府采购云平台的要求，通过“广西政府采购云平台电子标系统”编制、加密并提交电子响应文件。</w:t>
      </w:r>
    </w:p>
    <w:p w14:paraId="1F4ED29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2.参与电子标的供应商必须为广西政府采购云平台的正式供应商且申领CA证书，</w:t>
      </w:r>
      <w:r>
        <w:rPr>
          <w:rFonts w:hint="eastAsia" w:ascii="仿宋_GB2312" w:hAnsi="Times New Roman" w:eastAsia="仿宋_GB2312" w:cs="Times New Roman"/>
          <w:b/>
          <w:bCs/>
          <w:color w:val="auto"/>
          <w:sz w:val="24"/>
          <w:szCs w:val="24"/>
          <w:highlight w:val="none"/>
          <w:lang w:val="en-US" w:eastAsia="zh-CN"/>
        </w:rPr>
        <w:t>各供应商应在开标前及时完成</w:t>
      </w:r>
      <w:r>
        <w:rPr>
          <w:rFonts w:hint="eastAsia" w:ascii="仿宋_GB2312" w:hAnsi="Times New Roman" w:eastAsia="仿宋_GB2312" w:cs="Times New Roman"/>
          <w:b w:val="0"/>
          <w:bCs w:val="0"/>
          <w:color w:val="auto"/>
          <w:sz w:val="24"/>
          <w:szCs w:val="24"/>
          <w:highlight w:val="none"/>
          <w:lang w:val="en-US" w:eastAsia="zh-CN"/>
        </w:rPr>
        <w:t>平台注册、CA证书申领、CA证书绑定、下载投标客户端，熟悉并掌握广西政府采购云平台电子标系统操作。</w:t>
      </w:r>
      <w:r>
        <w:rPr>
          <w:rFonts w:hint="eastAsia" w:ascii="仿宋_GB2312" w:hAnsi="Times New Roman" w:eastAsia="仿宋_GB2312" w:cs="Times New Roman"/>
          <w:b/>
          <w:bCs/>
          <w:color w:val="auto"/>
          <w:sz w:val="24"/>
          <w:szCs w:val="24"/>
          <w:highlight w:val="none"/>
          <w:lang w:val="en-US" w:eastAsia="zh-CN"/>
        </w:rPr>
        <w:t>原在政采云平台注册的临时供应商，以及政采云平台暂停线上业务办理期间（2024年1月1日-2月17日），通过线下办理注册登记的潜在供应商，仍需在广西政府采购云平台重新注册登记。</w:t>
      </w:r>
    </w:p>
    <w:p w14:paraId="7CCE5BC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（1）供应商应及时熟悉掌握电子标系统操作指南（见广西政府采购云平台电子卖场首页—服务中心—帮助中心—项目采购）</w:t>
      </w:r>
    </w:p>
    <w:p w14:paraId="19CC73D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（2）供应商应及时完成CA申领和绑定（见广西壮族自治区政府采购网—办事服务—下载专区-政采云CA证书办理操作指南）：</w:t>
      </w:r>
    </w:p>
    <w:p w14:paraId="6C8DDD4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http://www.ccgp-guangxi.gov.cn/luban/detail?parentId=66479&amp;articleId=giG2hxujOLVnOuVjZr6wgQ</w:t>
      </w:r>
    </w:p>
    <w:p w14:paraId="3129A14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（3）</w:t>
      </w:r>
      <w:r>
        <w:rPr>
          <w:rFonts w:hint="eastAsia" w:ascii="仿宋_GB2312" w:hAnsi="Times New Roman" w:eastAsia="仿宋_GB2312" w:cs="Times New Roman"/>
          <w:b/>
          <w:bCs/>
          <w:color w:val="auto"/>
          <w:sz w:val="24"/>
          <w:szCs w:val="24"/>
          <w:highlight w:val="none"/>
          <w:lang w:val="en-US" w:eastAsia="zh-CN"/>
        </w:rPr>
        <w:t>各供应商通过新平台参与政府采购项目投标需下载使用新版客户端，广西政府采购云平台客户端</w:t>
      </w:r>
      <w:r>
        <w:rPr>
          <w:rFonts w:hint="eastAsia" w:ascii="仿宋_GB2312" w:hAnsi="Times New Roman" w:eastAsia="仿宋_GB2312" w:cs="Times New Roman"/>
          <w:b w:val="0"/>
          <w:bCs w:val="0"/>
          <w:color w:val="auto"/>
          <w:sz w:val="24"/>
          <w:szCs w:val="24"/>
          <w:highlight w:val="none"/>
          <w:lang w:val="en-US" w:eastAsia="zh-CN"/>
        </w:rPr>
        <w:t>软件请供应商自行前往下载并安装：</w:t>
      </w:r>
    </w:p>
    <w:p w14:paraId="40FFFA1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http://www.ccgp-guangxi.gov.cn/site/detail?parentId=66479&amp;articleId=+06E5n62B1RzrGh0ew1OFg==&amp;utm=site.site-PC-38919.1024-pc-wsg-secondLevelPage-front.1.5057b2c0cef811ee9fd599f289f082d5</w:t>
      </w:r>
    </w:p>
    <w:p w14:paraId="4DE52B8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3.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14:paraId="41813DD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_GB2312" w:hAnsi="Times New Roman" w:eastAsia="仿宋_GB2312" w:cs="Times New Roman"/>
          <w:b/>
          <w:bCs/>
          <w:color w:val="auto"/>
          <w:sz w:val="24"/>
          <w:szCs w:val="24"/>
          <w:highlight w:val="none"/>
          <w:lang w:val="en-US" w:eastAsia="zh-CN"/>
        </w:rPr>
      </w:pPr>
      <w:r>
        <w:rPr>
          <w:rFonts w:hint="eastAsia" w:ascii="仿宋_GB2312" w:hAnsi="Times New Roman" w:eastAsia="仿宋_GB2312" w:cs="Times New Roman"/>
          <w:b/>
          <w:bCs/>
          <w:color w:val="auto"/>
          <w:sz w:val="24"/>
          <w:szCs w:val="24"/>
          <w:highlight w:val="none"/>
          <w:lang w:val="en-US" w:eastAsia="zh-CN"/>
        </w:rPr>
        <w:t>4.因未注册广西政府采购云平台、未办理CA证书、CA证书故障、操作不当等原因造成无法投标或投标失败等后果由供应商自行承担；</w:t>
      </w:r>
    </w:p>
    <w:p w14:paraId="10F2CB4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仿宋_GB2312" w:hAnsi="Times New Roman" w:eastAsia="仿宋_GB2312" w:cs="Times New Roman"/>
          <w:b/>
          <w:bCs/>
          <w:color w:val="auto"/>
          <w:sz w:val="24"/>
          <w:szCs w:val="24"/>
          <w:highlight w:val="none"/>
          <w:lang w:val="en-US" w:eastAsia="zh-CN"/>
        </w:rPr>
      </w:pPr>
      <w:r>
        <w:rPr>
          <w:rFonts w:hint="eastAsia" w:ascii="仿宋_GB2312" w:hAnsi="Times New Roman" w:eastAsia="仿宋_GB2312" w:cs="Times New Roman"/>
          <w:b/>
          <w:bCs/>
          <w:color w:val="auto"/>
          <w:sz w:val="24"/>
          <w:szCs w:val="24"/>
          <w:highlight w:val="none"/>
          <w:lang w:val="en-US" w:eastAsia="zh-CN"/>
        </w:rPr>
        <w:t>5.供应商在使用广西政府采购云平台参与投标过程中遇到涉及平台使用的任何问题，可致电广西政府采购云平台技术支持热线咨询，联系方式：95763。</w:t>
      </w:r>
    </w:p>
    <w:p w14:paraId="0EC4034A">
      <w:pPr>
        <w:pStyle w:val="163"/>
        <w:spacing w:line="420" w:lineRule="exact"/>
        <w:ind w:firstLine="562"/>
        <w:rPr>
          <w:rFonts w:ascii="黑体" w:hAnsi="黑体" w:eastAsia="黑体" w:cs="黑体"/>
          <w:b/>
          <w:bCs w:val="0"/>
          <w:color w:val="auto"/>
          <w:sz w:val="24"/>
          <w:szCs w:val="24"/>
          <w:highlight w:val="none"/>
        </w:rPr>
      </w:pPr>
      <w:r>
        <w:rPr>
          <w:rFonts w:hint="eastAsia" w:ascii="黑体" w:hAnsi="黑体" w:eastAsia="黑体" w:cs="黑体"/>
          <w:b/>
          <w:bCs w:val="0"/>
          <w:color w:val="auto"/>
          <w:sz w:val="24"/>
          <w:szCs w:val="24"/>
          <w:highlight w:val="none"/>
        </w:rPr>
        <w:t>八、对本次招标提出询问，请按以下方式联系</w:t>
      </w:r>
      <w:bookmarkEnd w:id="25"/>
      <w:bookmarkEnd w:id="26"/>
      <w:bookmarkEnd w:id="27"/>
      <w:bookmarkEnd w:id="28"/>
    </w:p>
    <w:p w14:paraId="0F52839A">
      <w:pPr>
        <w:tabs>
          <w:tab w:val="left" w:pos="851"/>
        </w:tabs>
        <w:spacing w:line="420" w:lineRule="exact"/>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1.采购人信息</w:t>
      </w:r>
    </w:p>
    <w:p w14:paraId="796187B5">
      <w:pPr>
        <w:tabs>
          <w:tab w:val="left" w:pos="851"/>
        </w:tabs>
        <w:spacing w:line="420" w:lineRule="exact"/>
        <w:ind w:firstLine="480" w:firstLineChars="200"/>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名称：柳州市柳南区人民检察院</w:t>
      </w:r>
    </w:p>
    <w:p w14:paraId="723890AA">
      <w:pPr>
        <w:tabs>
          <w:tab w:val="left" w:pos="851"/>
        </w:tabs>
        <w:spacing w:line="420" w:lineRule="exact"/>
        <w:ind w:firstLine="480" w:firstLineChars="200"/>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地址：柳州市柳南区红桥路8号</w:t>
      </w:r>
    </w:p>
    <w:p w14:paraId="3A672C35">
      <w:pPr>
        <w:tabs>
          <w:tab w:val="left" w:pos="851"/>
        </w:tabs>
        <w:spacing w:line="420" w:lineRule="exact"/>
        <w:ind w:firstLine="480" w:firstLineChars="200"/>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项目联系人：覃柳春</w:t>
      </w:r>
    </w:p>
    <w:p w14:paraId="6CFF0F9A">
      <w:pPr>
        <w:tabs>
          <w:tab w:val="left" w:pos="851"/>
        </w:tabs>
        <w:spacing w:line="420" w:lineRule="exact"/>
        <w:ind w:firstLine="480" w:firstLineChars="200"/>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项目联系方式：</w:t>
      </w:r>
      <w:bookmarkStart w:id="29" w:name="_Toc28359086"/>
      <w:bookmarkStart w:id="30" w:name="_Toc28359009"/>
      <w:r>
        <w:rPr>
          <w:rFonts w:hint="eastAsia" w:ascii="仿宋_GB2312" w:eastAsia="仿宋_GB2312"/>
          <w:color w:val="auto"/>
          <w:sz w:val="24"/>
          <w:szCs w:val="24"/>
          <w:highlight w:val="none"/>
          <w:lang w:val="en-US" w:eastAsia="zh-CN"/>
        </w:rPr>
        <w:t>0772-8855256</w:t>
      </w:r>
    </w:p>
    <w:p w14:paraId="261DA883">
      <w:pPr>
        <w:tabs>
          <w:tab w:val="left" w:pos="851"/>
        </w:tabs>
        <w:spacing w:line="420" w:lineRule="exact"/>
        <w:ind w:firstLine="480" w:firstLineChars="200"/>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2.采购代理机构信息</w:t>
      </w:r>
      <w:bookmarkEnd w:id="29"/>
      <w:bookmarkEnd w:id="30"/>
    </w:p>
    <w:p w14:paraId="1508733D">
      <w:pPr>
        <w:tabs>
          <w:tab w:val="left" w:pos="851"/>
        </w:tabs>
        <w:spacing w:line="420" w:lineRule="exact"/>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名称：</w:t>
      </w:r>
      <w:r>
        <w:rPr>
          <w:rFonts w:hint="eastAsia" w:ascii="仿宋_GB2312" w:eastAsia="仿宋_GB2312"/>
          <w:color w:val="auto"/>
          <w:sz w:val="24"/>
          <w:szCs w:val="24"/>
          <w:highlight w:val="none"/>
          <w:lang w:val="en-US" w:eastAsia="zh-CN"/>
        </w:rPr>
        <w:t>广州金良工程咨询有限公司</w:t>
      </w:r>
    </w:p>
    <w:p w14:paraId="684DC19E">
      <w:pPr>
        <w:tabs>
          <w:tab w:val="left" w:pos="851"/>
        </w:tabs>
        <w:spacing w:line="420" w:lineRule="exact"/>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地址：柳州市鱼峰区柳东路220号工业博物馆3号楼柳州螺蛳粉电子商务产业园5层508号</w:t>
      </w:r>
    </w:p>
    <w:p w14:paraId="2C10C2DA">
      <w:pPr>
        <w:tabs>
          <w:tab w:val="left" w:pos="851"/>
        </w:tabs>
        <w:spacing w:line="420" w:lineRule="exact"/>
        <w:ind w:firstLine="480" w:firstLineChars="200"/>
        <w:rPr>
          <w:rFonts w:hint="default" w:ascii="仿宋_GB2312" w:eastAsia="仿宋_GB2312"/>
          <w:color w:val="auto"/>
          <w:sz w:val="24"/>
          <w:szCs w:val="24"/>
          <w:highlight w:val="none"/>
          <w:lang w:val="en-US"/>
        </w:rPr>
      </w:pPr>
      <w:r>
        <w:rPr>
          <w:rFonts w:hint="eastAsia" w:ascii="仿宋_GB2312" w:eastAsia="仿宋_GB2312"/>
          <w:color w:val="auto"/>
          <w:sz w:val="24"/>
          <w:szCs w:val="24"/>
          <w:highlight w:val="none"/>
        </w:rPr>
        <w:t>项目联系人：</w:t>
      </w:r>
      <w:r>
        <w:rPr>
          <w:rFonts w:hint="eastAsia" w:ascii="仿宋_GB2312" w:eastAsia="仿宋_GB2312"/>
          <w:color w:val="auto"/>
          <w:sz w:val="24"/>
          <w:szCs w:val="24"/>
          <w:highlight w:val="none"/>
          <w:lang w:val="en-US" w:eastAsia="zh-CN"/>
        </w:rPr>
        <w:t>余静 谢舜尧</w:t>
      </w:r>
    </w:p>
    <w:p w14:paraId="1EA4DB65">
      <w:pPr>
        <w:tabs>
          <w:tab w:val="left" w:pos="851"/>
        </w:tabs>
        <w:spacing w:line="420" w:lineRule="exact"/>
        <w:ind w:firstLine="480" w:firstLineChars="200"/>
        <w:rPr>
          <w:rFonts w:hint="default" w:ascii="仿宋_GB2312" w:eastAsia="仿宋_GB2312"/>
          <w:color w:val="auto"/>
          <w:sz w:val="24"/>
          <w:szCs w:val="24"/>
          <w:highlight w:val="none"/>
          <w:lang w:val="en-US"/>
        </w:rPr>
      </w:pPr>
      <w:r>
        <w:rPr>
          <w:rFonts w:hint="eastAsia" w:ascii="仿宋_GB2312" w:eastAsia="仿宋_GB2312"/>
          <w:color w:val="auto"/>
          <w:sz w:val="24"/>
          <w:szCs w:val="24"/>
          <w:highlight w:val="none"/>
          <w:lang w:val="en-US" w:eastAsia="zh-CN"/>
        </w:rPr>
        <w:t>项目</w:t>
      </w:r>
      <w:r>
        <w:rPr>
          <w:rFonts w:hint="eastAsia" w:ascii="仿宋_GB2312" w:eastAsia="仿宋_GB2312"/>
          <w:color w:val="auto"/>
          <w:sz w:val="24"/>
          <w:szCs w:val="24"/>
          <w:highlight w:val="none"/>
        </w:rPr>
        <w:t>联系方式：</w:t>
      </w:r>
      <w:bookmarkStart w:id="31" w:name="_Toc28359087"/>
      <w:bookmarkStart w:id="32" w:name="_Toc28359010"/>
      <w:r>
        <w:rPr>
          <w:rFonts w:hint="eastAsia" w:ascii="仿宋_GB2312" w:eastAsia="仿宋_GB2312"/>
          <w:color w:val="auto"/>
          <w:sz w:val="24"/>
          <w:szCs w:val="24"/>
          <w:highlight w:val="none"/>
          <w:lang w:val="en-US" w:eastAsia="zh-CN"/>
        </w:rPr>
        <w:t>0772-2811999/18907723788</w:t>
      </w:r>
    </w:p>
    <w:bookmarkEnd w:id="31"/>
    <w:bookmarkEnd w:id="32"/>
    <w:p w14:paraId="78AAB65B">
      <w:pPr>
        <w:tabs>
          <w:tab w:val="left" w:pos="851"/>
        </w:tabs>
        <w:spacing w:line="420" w:lineRule="exact"/>
        <w:ind w:firstLine="560" w:firstLineChars="200"/>
        <w:rPr>
          <w:rFonts w:ascii="仿宋_GB2312" w:eastAsia="仿宋_GB2312"/>
          <w:color w:val="auto"/>
          <w:sz w:val="28"/>
          <w:szCs w:val="28"/>
          <w:highlight w:val="none"/>
        </w:rPr>
      </w:pPr>
    </w:p>
    <w:p w14:paraId="1BF3B1A5">
      <w:pPr>
        <w:tabs>
          <w:tab w:val="left" w:pos="9660"/>
          <w:tab w:val="left" w:pos="9870"/>
        </w:tabs>
        <w:spacing w:line="420" w:lineRule="exact"/>
        <w:ind w:right="80"/>
        <w:jc w:val="center"/>
        <w:outlineLvl w:val="0"/>
        <w:rPr>
          <w:color w:val="auto"/>
          <w:sz w:val="32"/>
          <w:szCs w:val="32"/>
          <w:highlight w:val="none"/>
        </w:rPr>
      </w:pPr>
      <w:r>
        <w:rPr>
          <w:rFonts w:hint="eastAsia" w:ascii="仿宋_GB2312" w:hAnsi="仿宋_GB2312" w:eastAsia="仿宋_GB2312" w:cs="仿宋_GB2312"/>
          <w:color w:val="auto"/>
          <w:sz w:val="28"/>
          <w:szCs w:val="28"/>
          <w:highlight w:val="none"/>
        </w:rPr>
        <w:br w:type="page"/>
      </w:r>
      <w:bookmarkStart w:id="33" w:name="_Toc28100"/>
      <w:bookmarkStart w:id="34" w:name="_Toc5568"/>
      <w:bookmarkStart w:id="35" w:name="_Toc15341"/>
      <w:bookmarkStart w:id="36" w:name="_Toc23713"/>
      <w:bookmarkStart w:id="37" w:name="_Toc2902"/>
      <w:r>
        <w:rPr>
          <w:rFonts w:hint="eastAsia" w:ascii="宋体" w:hAnsi="宋体"/>
          <w:b/>
          <w:bCs/>
          <w:color w:val="auto"/>
          <w:kern w:val="44"/>
          <w:sz w:val="32"/>
          <w:szCs w:val="32"/>
          <w:highlight w:val="none"/>
        </w:rPr>
        <w:t xml:space="preserve">第二章 </w:t>
      </w:r>
      <w:r>
        <w:rPr>
          <w:rFonts w:hint="eastAsia" w:ascii="宋体" w:hAnsi="宋体"/>
          <w:b/>
          <w:bCs/>
          <w:color w:val="auto"/>
          <w:kern w:val="44"/>
          <w:sz w:val="32"/>
          <w:szCs w:val="32"/>
          <w:highlight w:val="none"/>
          <w:lang w:val="en-US" w:eastAsia="zh-CN"/>
        </w:rPr>
        <w:t xml:space="preserve"> </w:t>
      </w:r>
      <w:r>
        <w:rPr>
          <w:rFonts w:hint="eastAsia" w:ascii="宋体" w:hAnsi="宋体"/>
          <w:b/>
          <w:bCs/>
          <w:color w:val="auto"/>
          <w:kern w:val="44"/>
          <w:sz w:val="32"/>
          <w:szCs w:val="32"/>
          <w:highlight w:val="none"/>
        </w:rPr>
        <w:t>供应商须知</w:t>
      </w:r>
      <w:bookmarkEnd w:id="33"/>
      <w:bookmarkEnd w:id="34"/>
      <w:bookmarkEnd w:id="35"/>
      <w:bookmarkEnd w:id="36"/>
      <w:bookmarkEnd w:id="37"/>
    </w:p>
    <w:p w14:paraId="7B64199B">
      <w:pPr>
        <w:spacing w:line="540" w:lineRule="exact"/>
        <w:jc w:val="center"/>
        <w:rPr>
          <w:b/>
          <w:color w:val="auto"/>
          <w:sz w:val="32"/>
          <w:szCs w:val="32"/>
          <w:highlight w:val="none"/>
        </w:rPr>
      </w:pPr>
      <w:r>
        <w:rPr>
          <w:rFonts w:hint="eastAsia" w:ascii="仿宋_GB2312" w:eastAsia="仿宋_GB2312"/>
          <w:b/>
          <w:color w:val="auto"/>
          <w:sz w:val="28"/>
          <w:szCs w:val="28"/>
          <w:highlight w:val="none"/>
          <w:lang w:val="en-US" w:eastAsia="zh-CN"/>
        </w:rPr>
        <w:t>供应商须知</w:t>
      </w:r>
      <w:r>
        <w:rPr>
          <w:rFonts w:hint="eastAsia" w:ascii="仿宋_GB2312" w:eastAsia="仿宋_GB2312"/>
          <w:b/>
          <w:color w:val="auto"/>
          <w:sz w:val="28"/>
          <w:szCs w:val="28"/>
          <w:highlight w:val="none"/>
        </w:rPr>
        <w:t>前附表</w:t>
      </w:r>
    </w:p>
    <w:tbl>
      <w:tblPr>
        <w:tblStyle w:val="52"/>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14:paraId="3F700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tcPr>
          <w:p w14:paraId="1993397D">
            <w:pPr>
              <w:spacing w:line="440" w:lineRule="exact"/>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序号</w:t>
            </w:r>
          </w:p>
        </w:tc>
        <w:tc>
          <w:tcPr>
            <w:tcW w:w="8232" w:type="dxa"/>
          </w:tcPr>
          <w:p w14:paraId="13B548FC">
            <w:pPr>
              <w:spacing w:line="440" w:lineRule="exact"/>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内    容</w:t>
            </w:r>
          </w:p>
        </w:tc>
      </w:tr>
      <w:tr w14:paraId="293C6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2A891BA">
            <w:pPr>
              <w:spacing w:line="44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1</w:t>
            </w:r>
          </w:p>
        </w:tc>
        <w:tc>
          <w:tcPr>
            <w:tcW w:w="8232" w:type="dxa"/>
            <w:vAlign w:val="center"/>
          </w:tcPr>
          <w:p w14:paraId="3EBE2C39">
            <w:pPr>
              <w:spacing w:line="440" w:lineRule="exact"/>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rPr>
              <w:t>项目名称：</w:t>
            </w:r>
            <w:r>
              <w:rPr>
                <w:rFonts w:hint="eastAsia" w:ascii="仿宋_GB2312" w:hAnsi="仿宋_GB2312" w:eastAsia="仿宋_GB2312" w:cs="仿宋_GB2312"/>
                <w:b w:val="0"/>
                <w:color w:val="auto"/>
                <w:sz w:val="24"/>
                <w:szCs w:val="24"/>
                <w:highlight w:val="none"/>
                <w:lang w:val="en-US" w:eastAsia="zh-CN"/>
              </w:rPr>
              <w:t>柳州市柳南区人民检察院变压器增容及电路改造工程</w:t>
            </w:r>
          </w:p>
          <w:p w14:paraId="56BB3896">
            <w:pPr>
              <w:spacing w:line="440" w:lineRule="exact"/>
              <w:rPr>
                <w:rFonts w:hint="default" w:ascii="仿宋_GB2312" w:hAnsi="宋体" w:eastAsia="仿宋_GB2312"/>
                <w:color w:val="auto"/>
                <w:sz w:val="24"/>
                <w:highlight w:val="none"/>
                <w:lang w:val="en-US" w:eastAsia="zh-CN"/>
              </w:rPr>
            </w:pPr>
            <w:r>
              <w:rPr>
                <w:rFonts w:hint="eastAsia" w:ascii="仿宋_GB2312" w:hAnsi="宋体" w:eastAsia="仿宋_GB2312"/>
                <w:color w:val="auto"/>
                <w:sz w:val="24"/>
                <w:highlight w:val="none"/>
              </w:rPr>
              <w:t>项目编号：LZZC2025-C2-990295-GZJL</w:t>
            </w:r>
          </w:p>
          <w:p w14:paraId="25AA1B2E">
            <w:pPr>
              <w:spacing w:line="440" w:lineRule="exact"/>
              <w:rPr>
                <w:rFonts w:hint="default"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建设地点：</w:t>
            </w:r>
            <w:r>
              <w:rPr>
                <w:rFonts w:hint="eastAsia" w:ascii="仿宋_GB2312" w:hAnsi="仿宋_GB2312" w:eastAsia="仿宋_GB2312" w:cs="仿宋_GB2312"/>
                <w:b w:val="0"/>
                <w:color w:val="auto"/>
                <w:sz w:val="24"/>
                <w:szCs w:val="24"/>
                <w:highlight w:val="none"/>
                <w:lang w:val="en-US" w:eastAsia="zh-CN"/>
              </w:rPr>
              <w:t>柳州市柳南区人民检察院内</w:t>
            </w:r>
          </w:p>
          <w:p w14:paraId="28CE9E58">
            <w:pPr>
              <w:spacing w:line="440" w:lineRule="exact"/>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工程概况：</w:t>
            </w:r>
            <w:r>
              <w:rPr>
                <w:rFonts w:hint="eastAsia" w:ascii="仿宋" w:hAnsi="仿宋" w:eastAsia="仿宋" w:cs="仿宋"/>
                <w:color w:val="auto"/>
                <w:sz w:val="24"/>
                <w:szCs w:val="24"/>
                <w:highlight w:val="none"/>
              </w:rPr>
              <w:t>安装一台容量630KVA欧式环网型箱变、电路改造</w:t>
            </w:r>
            <w:r>
              <w:rPr>
                <w:rFonts w:hint="eastAsia" w:ascii="仿宋_GB2312" w:eastAsia="仿宋_GB2312"/>
                <w:b w:val="0"/>
                <w:bCs w:val="0"/>
                <w:color w:val="auto"/>
                <w:sz w:val="24"/>
                <w:szCs w:val="24"/>
                <w:highlight w:val="none"/>
              </w:rPr>
              <w:t>。</w:t>
            </w:r>
          </w:p>
          <w:p w14:paraId="5CD4EEB6">
            <w:pPr>
              <w:spacing w:line="440" w:lineRule="exact"/>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质量标准：达到国家施工验收规范的合格标准。</w:t>
            </w:r>
          </w:p>
          <w:p w14:paraId="026B73C0">
            <w:pPr>
              <w:spacing w:line="440" w:lineRule="exact"/>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竞标范围：施工图及工程量清单包含的所有内容。</w:t>
            </w:r>
          </w:p>
          <w:p w14:paraId="707B98FB">
            <w:pPr>
              <w:spacing w:line="440" w:lineRule="exact"/>
              <w:rPr>
                <w:rFonts w:hint="default"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要求工期：90日历天</w:t>
            </w:r>
          </w:p>
        </w:tc>
      </w:tr>
      <w:tr w14:paraId="30B49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jc w:val="center"/>
        </w:trPr>
        <w:tc>
          <w:tcPr>
            <w:tcW w:w="817" w:type="dxa"/>
            <w:vAlign w:val="center"/>
          </w:tcPr>
          <w:p w14:paraId="51AFB1F7">
            <w:pPr>
              <w:spacing w:line="44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2</w:t>
            </w:r>
          </w:p>
        </w:tc>
        <w:tc>
          <w:tcPr>
            <w:tcW w:w="8232" w:type="dxa"/>
            <w:vAlign w:val="center"/>
          </w:tcPr>
          <w:p w14:paraId="2A689685">
            <w:pPr>
              <w:spacing w:line="440" w:lineRule="exact"/>
              <w:rPr>
                <w:rFonts w:hint="default" w:ascii="仿宋_GB2312" w:hAnsi="宋体" w:eastAsia="仿宋_GB2312"/>
                <w:color w:val="auto"/>
                <w:sz w:val="24"/>
                <w:highlight w:val="none"/>
                <w:lang w:val="en-US"/>
              </w:rPr>
            </w:pPr>
            <w:r>
              <w:rPr>
                <w:rFonts w:hint="eastAsia" w:ascii="仿宋_GB2312" w:hAnsi="宋体" w:eastAsia="仿宋_GB2312"/>
                <w:color w:val="auto"/>
                <w:sz w:val="24"/>
                <w:highlight w:val="none"/>
                <w:lang w:val="en-US" w:eastAsia="zh-CN"/>
              </w:rPr>
              <w:t>1.</w:t>
            </w:r>
            <w:r>
              <w:rPr>
                <w:rFonts w:hint="eastAsia" w:ascii="仿宋_GB2312" w:hAnsi="宋体" w:eastAsia="仿宋_GB2312"/>
                <w:color w:val="auto"/>
                <w:sz w:val="24"/>
                <w:highlight w:val="none"/>
              </w:rPr>
              <w:t>采购资金来源：财政性资金</w:t>
            </w:r>
          </w:p>
          <w:p w14:paraId="6AE975F9">
            <w:pPr>
              <w:spacing w:line="440" w:lineRule="exact"/>
              <w:rPr>
                <w:rFonts w:hint="eastAsia" w:ascii="仿宋_GB2312" w:hAnsi="宋体" w:eastAsia="仿宋_GB2312"/>
                <w:color w:val="auto"/>
                <w:sz w:val="24"/>
                <w:highlight w:val="none"/>
              </w:rPr>
            </w:pPr>
            <w:r>
              <w:rPr>
                <w:rFonts w:hint="eastAsia" w:ascii="仿宋_GB2312" w:hAnsi="宋体" w:eastAsia="仿宋_GB2312"/>
                <w:color w:val="auto"/>
                <w:sz w:val="24"/>
                <w:highlight w:val="none"/>
                <w:lang w:val="en-US" w:eastAsia="zh-CN"/>
              </w:rPr>
              <w:t>2.</w:t>
            </w:r>
            <w:r>
              <w:rPr>
                <w:rFonts w:hint="eastAsia" w:ascii="仿宋_GB2312" w:hAnsi="宋体" w:eastAsia="仿宋_GB2312"/>
                <w:color w:val="auto"/>
                <w:sz w:val="24"/>
                <w:highlight w:val="none"/>
              </w:rPr>
              <w:t>预算金额：</w:t>
            </w:r>
          </w:p>
          <w:p w14:paraId="63FBCA3D">
            <w:pPr>
              <w:spacing w:line="440" w:lineRule="exact"/>
              <w:rPr>
                <w:rFonts w:hint="eastAsia" w:ascii="仿宋_GB2312" w:hAnsi="宋体" w:eastAsia="仿宋_GB2312"/>
                <w:strike w:val="0"/>
                <w:dstrike w:val="0"/>
                <w:color w:val="auto"/>
                <w:sz w:val="24"/>
                <w:highlight w:val="none"/>
              </w:rPr>
            </w:pPr>
            <w:r>
              <w:rPr>
                <w:rFonts w:hint="eastAsia" w:ascii="仿宋_GB2312" w:hAnsi="宋体" w:eastAsia="仿宋_GB2312"/>
                <w:strike w:val="0"/>
                <w:dstrike w:val="0"/>
                <w:color w:val="auto"/>
                <w:sz w:val="24"/>
                <w:highlight w:val="none"/>
                <w:lang w:val="en-US" w:eastAsia="zh-CN"/>
              </w:rPr>
              <w:t>签约合同价：</w:t>
            </w:r>
            <w:r>
              <w:rPr>
                <w:rFonts w:hint="eastAsia" w:ascii="仿宋_GB2312" w:hAnsi="宋体" w:eastAsia="仿宋_GB2312"/>
                <w:strike w:val="0"/>
                <w:dstrike w:val="0"/>
                <w:color w:val="auto"/>
                <w:sz w:val="24"/>
                <w:highlight w:val="none"/>
              </w:rPr>
              <w:t>人民币</w:t>
            </w:r>
            <w:r>
              <w:rPr>
                <w:rFonts w:hint="eastAsia" w:ascii="仿宋_GB2312" w:hAnsi="宋体" w:eastAsia="仿宋_GB2312"/>
                <w:strike w:val="0"/>
                <w:dstrike w:val="0"/>
                <w:color w:val="auto"/>
                <w:sz w:val="24"/>
                <w:highlight w:val="none"/>
                <w:lang w:val="en-US" w:eastAsia="zh-CN"/>
              </w:rPr>
              <w:t>陆拾柒万柒仟伍佰陆拾叁元贰角柒分</w:t>
            </w:r>
            <w:r>
              <w:rPr>
                <w:rFonts w:hint="eastAsia" w:ascii="仿宋_GB2312" w:hAnsi="宋体" w:eastAsia="仿宋_GB2312"/>
                <w:strike w:val="0"/>
                <w:dstrike w:val="0"/>
                <w:color w:val="auto"/>
                <w:sz w:val="24"/>
                <w:highlight w:val="none"/>
              </w:rPr>
              <w:t>（</w:t>
            </w:r>
            <w:r>
              <w:rPr>
                <w:rFonts w:hint="eastAsia" w:ascii="仿宋_GB2312" w:eastAsia="仿宋_GB2312"/>
                <w:strike w:val="0"/>
                <w:dstrike w:val="0"/>
                <w:color w:val="auto"/>
                <w:sz w:val="24"/>
                <w:highlight w:val="none"/>
              </w:rPr>
              <w:t>¥677563.27</w:t>
            </w:r>
            <w:r>
              <w:rPr>
                <w:rFonts w:hint="eastAsia" w:ascii="仿宋_GB2312" w:hAnsi="宋体" w:eastAsia="仿宋_GB2312"/>
                <w:strike w:val="0"/>
                <w:dstrike w:val="0"/>
                <w:color w:val="auto"/>
                <w:sz w:val="24"/>
                <w:highlight w:val="none"/>
              </w:rPr>
              <w:t>）</w:t>
            </w:r>
          </w:p>
          <w:p w14:paraId="7A0A3A0A">
            <w:pPr>
              <w:spacing w:line="440" w:lineRule="exact"/>
              <w:rPr>
                <w:rFonts w:hint="eastAsia" w:ascii="仿宋_GB2312" w:hAnsi="宋体" w:eastAsia="仿宋_GB2312"/>
                <w:strike w:val="0"/>
                <w:dstrike w:val="0"/>
                <w:color w:val="auto"/>
                <w:sz w:val="24"/>
                <w:highlight w:val="none"/>
                <w:lang w:eastAsia="zh-CN"/>
              </w:rPr>
            </w:pPr>
            <w:r>
              <w:rPr>
                <w:rFonts w:hint="eastAsia" w:ascii="仿宋_GB2312" w:hAnsi="宋体" w:eastAsia="仿宋_GB2312"/>
                <w:strike w:val="0"/>
                <w:dstrike w:val="0"/>
                <w:color w:val="auto"/>
                <w:sz w:val="24"/>
                <w:highlight w:val="none"/>
              </w:rPr>
              <w:t>(注：含暂列金额、材料和工程设备暂估价、专业工程暂估价、安全生产责任保险费暂估价）</w:t>
            </w:r>
            <w:r>
              <w:rPr>
                <w:rFonts w:hint="eastAsia" w:ascii="仿宋_GB2312" w:hAnsi="宋体" w:eastAsia="仿宋_GB2312"/>
                <w:strike w:val="0"/>
                <w:dstrike w:val="0"/>
                <w:color w:val="auto"/>
                <w:sz w:val="24"/>
                <w:highlight w:val="none"/>
                <w:lang w:eastAsia="zh-CN"/>
              </w:rPr>
              <w:t>；</w:t>
            </w:r>
          </w:p>
          <w:p w14:paraId="38EFED7F">
            <w:pPr>
              <w:spacing w:line="440" w:lineRule="exact"/>
              <w:rPr>
                <w:rFonts w:hint="eastAsia" w:ascii="仿宋_GB2312" w:hAnsi="宋体" w:eastAsia="仿宋_GB2312"/>
                <w:strike w:val="0"/>
                <w:dstrike w:val="0"/>
                <w:color w:val="auto"/>
                <w:sz w:val="24"/>
                <w:highlight w:val="none"/>
                <w:lang w:val="en-US" w:eastAsia="zh-CN"/>
              </w:rPr>
            </w:pPr>
            <w:r>
              <w:rPr>
                <w:rFonts w:hint="eastAsia" w:ascii="仿宋_GB2312" w:hAnsi="宋体" w:eastAsia="仿宋_GB2312"/>
                <w:strike w:val="0"/>
                <w:dstrike w:val="0"/>
                <w:color w:val="auto"/>
                <w:sz w:val="24"/>
                <w:highlight w:val="none"/>
                <w:lang w:val="en-US" w:eastAsia="zh-CN"/>
              </w:rPr>
              <w:t>合同价：人民币陆拾肆万玖仟零壹拾柒元零伍分（</w:t>
            </w:r>
            <w:r>
              <w:rPr>
                <w:rFonts w:hint="eastAsia" w:ascii="仿宋_GB2312" w:eastAsia="仿宋_GB2312"/>
                <w:strike w:val="0"/>
                <w:dstrike w:val="0"/>
                <w:color w:val="auto"/>
                <w:sz w:val="24"/>
                <w:highlight w:val="none"/>
              </w:rPr>
              <w:t>¥649017.05</w:t>
            </w:r>
            <w:r>
              <w:rPr>
                <w:rFonts w:hint="eastAsia" w:ascii="仿宋_GB2312" w:hAnsi="宋体" w:eastAsia="仿宋_GB2312"/>
                <w:strike w:val="0"/>
                <w:dstrike w:val="0"/>
                <w:color w:val="auto"/>
                <w:sz w:val="24"/>
                <w:highlight w:val="none"/>
                <w:lang w:val="en-US" w:eastAsia="zh-CN"/>
              </w:rPr>
              <w:t>）</w:t>
            </w:r>
          </w:p>
          <w:p w14:paraId="1D965A0E">
            <w:pPr>
              <w:spacing w:line="440" w:lineRule="exact"/>
              <w:rPr>
                <w:color w:val="auto"/>
                <w:highlight w:val="none"/>
              </w:rPr>
            </w:pPr>
            <w:r>
              <w:rPr>
                <w:rFonts w:hint="eastAsia" w:ascii="仿宋_GB2312" w:hAnsi="宋体" w:eastAsia="仿宋_GB2312"/>
                <w:strike w:val="0"/>
                <w:dstrike w:val="0"/>
                <w:color w:val="auto"/>
                <w:sz w:val="24"/>
                <w:highlight w:val="none"/>
                <w:lang w:val="en-US" w:eastAsia="zh-CN"/>
              </w:rPr>
              <w:t>（注：不含暂列金额、材料和工程设备暂估价、专业工程暂估价、安全生产责任保险费暂估价）</w:t>
            </w:r>
          </w:p>
        </w:tc>
      </w:tr>
      <w:tr w14:paraId="6EDC0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3EE2CFC">
            <w:pPr>
              <w:spacing w:line="44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3</w:t>
            </w:r>
          </w:p>
        </w:tc>
        <w:tc>
          <w:tcPr>
            <w:tcW w:w="8232" w:type="dxa"/>
            <w:vAlign w:val="center"/>
          </w:tcPr>
          <w:p w14:paraId="5BD53DCB">
            <w:pPr>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响应报价及费用：</w:t>
            </w:r>
          </w:p>
          <w:p w14:paraId="77614EB8">
            <w:pPr>
              <w:spacing w:line="440" w:lineRule="exact"/>
              <w:rPr>
                <w:rFonts w:ascii="仿宋_GB2312" w:hAnsi="宋体" w:eastAsia="仿宋_GB2312"/>
                <w:color w:val="auto"/>
                <w:sz w:val="24"/>
                <w:highlight w:val="none"/>
              </w:rPr>
            </w:pPr>
            <w:r>
              <w:rPr>
                <w:rFonts w:hint="eastAsia" w:ascii="仿宋_GB2312" w:eastAsia="仿宋_GB2312"/>
                <w:color w:val="auto"/>
                <w:sz w:val="24"/>
                <w:highlight w:val="none"/>
              </w:rPr>
              <w:t>1.本项目</w:t>
            </w:r>
            <w:r>
              <w:rPr>
                <w:rFonts w:hint="eastAsia" w:ascii="仿宋_GB2312" w:eastAsia="仿宋_GB2312"/>
                <w:color w:val="auto"/>
                <w:sz w:val="24"/>
                <w:highlight w:val="none"/>
                <w:lang w:val="en-US" w:eastAsia="zh-CN"/>
              </w:rPr>
              <w:t>采用工程量清单报价</w:t>
            </w:r>
            <w:r>
              <w:rPr>
                <w:rFonts w:hint="eastAsia" w:ascii="仿宋_GB2312" w:eastAsia="仿宋_GB2312"/>
                <w:color w:val="auto"/>
                <w:sz w:val="24"/>
                <w:highlight w:val="none"/>
              </w:rPr>
              <w:t>；</w:t>
            </w:r>
          </w:p>
          <w:p w14:paraId="41B090B3">
            <w:pPr>
              <w:spacing w:line="440" w:lineRule="exact"/>
              <w:rPr>
                <w:rFonts w:hint="default" w:ascii="仿宋_GB2312" w:hAnsi="宋体" w:eastAsia="仿宋_GB2312"/>
                <w:color w:val="auto"/>
                <w:sz w:val="24"/>
                <w:highlight w:val="none"/>
                <w:lang w:val="en-US" w:eastAsia="zh-CN"/>
              </w:rPr>
            </w:pPr>
            <w:r>
              <w:rPr>
                <w:rFonts w:hint="eastAsia" w:ascii="仿宋_GB2312" w:hAnsi="宋体" w:eastAsia="仿宋_GB2312"/>
                <w:color w:val="auto"/>
                <w:sz w:val="24"/>
                <w:highlight w:val="none"/>
              </w:rPr>
              <w:t>2.供应商须就第三章《采购需求》中的所有内容作完整唯一报价</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报价是以</w:t>
            </w:r>
            <w:r>
              <w:rPr>
                <w:rFonts w:hint="eastAsia" w:ascii="仿宋_GB2312" w:hAnsi="宋体" w:eastAsia="仿宋_GB2312"/>
                <w:color w:val="auto"/>
                <w:sz w:val="24"/>
                <w:highlight w:val="none"/>
                <w:lang w:val="en-US" w:eastAsia="zh-CN"/>
              </w:rPr>
              <w:t>签约合同价</w:t>
            </w:r>
            <w:r>
              <w:rPr>
                <w:rFonts w:hint="eastAsia" w:ascii="仿宋_GB2312" w:eastAsia="仿宋_GB2312"/>
                <w:strike w:val="0"/>
                <w:dstrike w:val="0"/>
                <w:color w:val="auto"/>
                <w:sz w:val="24"/>
                <w:highlight w:val="none"/>
              </w:rPr>
              <w:t>677563.27</w:t>
            </w:r>
            <w:r>
              <w:rPr>
                <w:rFonts w:hint="eastAsia" w:ascii="仿宋_GB2312" w:hAnsi="宋体" w:eastAsia="仿宋_GB2312"/>
                <w:color w:val="auto"/>
                <w:sz w:val="24"/>
                <w:highlight w:val="none"/>
                <w:lang w:val="en-US" w:eastAsia="zh-CN"/>
              </w:rPr>
              <w:t>元，合同价</w:t>
            </w:r>
            <w:r>
              <w:rPr>
                <w:rFonts w:hint="eastAsia" w:ascii="仿宋_GB2312" w:eastAsia="仿宋_GB2312"/>
                <w:strike w:val="0"/>
                <w:dstrike w:val="0"/>
                <w:color w:val="auto"/>
                <w:sz w:val="24"/>
                <w:highlight w:val="none"/>
              </w:rPr>
              <w:t>649017.05</w:t>
            </w:r>
            <w:r>
              <w:rPr>
                <w:rFonts w:hint="eastAsia" w:ascii="仿宋_GB2312" w:eastAsia="仿宋_GB2312"/>
                <w:color w:val="auto"/>
                <w:sz w:val="24"/>
                <w:highlight w:val="none"/>
                <w:lang w:val="en-US" w:eastAsia="zh-CN"/>
              </w:rPr>
              <w:t>元</w:t>
            </w:r>
            <w:r>
              <w:rPr>
                <w:rFonts w:hint="eastAsia" w:ascii="仿宋_GB2312" w:hAnsi="宋体" w:eastAsia="仿宋_GB2312"/>
                <w:color w:val="auto"/>
                <w:sz w:val="24"/>
                <w:highlight w:val="none"/>
                <w:lang w:val="en-US" w:eastAsia="zh-CN"/>
              </w:rPr>
              <w:t>为最高限价</w:t>
            </w:r>
            <w:r>
              <w:rPr>
                <w:rFonts w:hint="eastAsia" w:ascii="仿宋_GB2312" w:hAnsi="宋体" w:eastAsia="仿宋_GB2312"/>
                <w:color w:val="auto"/>
                <w:sz w:val="24"/>
                <w:highlight w:val="none"/>
                <w:lang w:val="en-US" w:eastAsia="zh-CN"/>
              </w:rPr>
              <w:t>，当某个磋商供应商的竞标报价（包含首次报价、最后报价）高于政府采购预算价最高限价时，为无效报价，磋商小组不予评审。当全部最终竞标报价均超出政府采购预算价且采购人不能支付的，将按政府采购管理的有关规定处理。</w:t>
            </w:r>
          </w:p>
          <w:p w14:paraId="5A415BCA">
            <w:pPr>
              <w:spacing w:line="440" w:lineRule="exact"/>
              <w:rPr>
                <w:rFonts w:ascii="仿宋_GB2312" w:hAnsi="宋体" w:eastAsia="仿宋_GB2312"/>
                <w:color w:val="auto"/>
                <w:sz w:val="24"/>
                <w:highlight w:val="none"/>
              </w:rPr>
            </w:pPr>
            <w:r>
              <w:rPr>
                <w:rFonts w:hint="eastAsia" w:ascii="仿宋_GB2312" w:eastAsia="仿宋_GB2312"/>
                <w:color w:val="auto"/>
                <w:sz w:val="24"/>
                <w:highlight w:val="none"/>
              </w:rPr>
              <w:t>3.不论磋商结果如何，供应商均应自行承担所有与磋商有关的全部费用。</w:t>
            </w:r>
          </w:p>
        </w:tc>
      </w:tr>
      <w:tr w14:paraId="16409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2D3519D">
            <w:pPr>
              <w:spacing w:line="440" w:lineRule="exact"/>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4</w:t>
            </w:r>
          </w:p>
        </w:tc>
        <w:tc>
          <w:tcPr>
            <w:tcW w:w="8232" w:type="dxa"/>
            <w:vAlign w:val="center"/>
          </w:tcPr>
          <w:p w14:paraId="35F8271D">
            <w:pPr>
              <w:spacing w:line="440" w:lineRule="exact"/>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本工程增值税计税方法：</w:t>
            </w:r>
            <w:r>
              <w:rPr>
                <w:rFonts w:hint="eastAsia" w:ascii="宋体" w:hAnsi="宋体" w:eastAsia="宋体" w:cs="宋体"/>
                <w:color w:val="auto"/>
                <w:sz w:val="24"/>
                <w:highlight w:val="none"/>
                <w:lang w:val="en-US" w:eastAsia="zh-CN"/>
              </w:rPr>
              <w:t>■</w:t>
            </w:r>
            <w:r>
              <w:rPr>
                <w:rFonts w:hint="eastAsia" w:ascii="仿宋_GB2312" w:eastAsia="仿宋_GB2312"/>
                <w:color w:val="auto"/>
                <w:sz w:val="24"/>
                <w:highlight w:val="none"/>
                <w:lang w:val="en-US" w:eastAsia="zh-CN"/>
              </w:rPr>
              <w:t>一般计税法；</w:t>
            </w:r>
            <w:r>
              <w:rPr>
                <w:rFonts w:hint="eastAsia" w:ascii="仿宋_GB2312" w:eastAsia="仿宋_GB2312"/>
                <w:color w:val="auto"/>
                <w:sz w:val="24"/>
                <w:highlight w:val="none"/>
                <w:lang w:val="en-US" w:eastAsia="zh-CN"/>
              </w:rPr>
              <w:sym w:font="Wingdings" w:char="00A8"/>
            </w:r>
            <w:r>
              <w:rPr>
                <w:rFonts w:hint="eastAsia" w:ascii="仿宋_GB2312" w:eastAsia="仿宋_GB2312"/>
                <w:color w:val="auto"/>
                <w:sz w:val="24"/>
                <w:highlight w:val="none"/>
                <w:lang w:val="en-US" w:eastAsia="zh-CN"/>
              </w:rPr>
              <w:t>简易计税法</w:t>
            </w:r>
          </w:p>
        </w:tc>
      </w:tr>
      <w:tr w14:paraId="51EB6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38AE372">
            <w:pPr>
              <w:spacing w:line="440" w:lineRule="exact"/>
              <w:jc w:val="center"/>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5</w:t>
            </w:r>
          </w:p>
        </w:tc>
        <w:tc>
          <w:tcPr>
            <w:tcW w:w="8232" w:type="dxa"/>
            <w:vAlign w:val="center"/>
          </w:tcPr>
          <w:p w14:paraId="0819A819">
            <w:pPr>
              <w:spacing w:line="420" w:lineRule="exact"/>
              <w:jc w:val="left"/>
              <w:rPr>
                <w:rFonts w:hint="eastAsia" w:eastAsia="仿宋_GB2312"/>
                <w:color w:val="auto"/>
                <w:highlight w:val="none"/>
                <w:lang w:eastAsia="zh-CN"/>
              </w:rPr>
            </w:pPr>
            <w:r>
              <w:rPr>
                <w:rFonts w:hint="eastAsia" w:ascii="仿宋_GB2312" w:eastAsia="仿宋_GB2312"/>
                <w:color w:val="auto"/>
                <w:sz w:val="24"/>
                <w:highlight w:val="none"/>
              </w:rPr>
              <w:t>磋商保证金为：</w:t>
            </w:r>
            <w:r>
              <w:rPr>
                <w:rFonts w:hint="eastAsia" w:ascii="仿宋_GB2312" w:hAnsi="宋体" w:eastAsia="仿宋_GB2312"/>
                <w:color w:val="auto"/>
                <w:sz w:val="24"/>
                <w:highlight w:val="none"/>
              </w:rPr>
              <w:t>本项目无需提交磋商保证金。</w:t>
            </w:r>
          </w:p>
        </w:tc>
      </w:tr>
      <w:tr w14:paraId="5527F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170F639">
            <w:pPr>
              <w:spacing w:line="440" w:lineRule="exact"/>
              <w:jc w:val="center"/>
              <w:rPr>
                <w:rFonts w:hint="default"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6</w:t>
            </w:r>
          </w:p>
        </w:tc>
        <w:tc>
          <w:tcPr>
            <w:tcW w:w="8232" w:type="dxa"/>
            <w:vAlign w:val="center"/>
          </w:tcPr>
          <w:p w14:paraId="349EB6BB">
            <w:pPr>
              <w:spacing w:line="440" w:lineRule="exact"/>
              <w:rPr>
                <w:rFonts w:hint="eastAsia" w:ascii="仿宋_GB2312" w:hAnsi="宋体" w:eastAsia="仿宋_GB2312" w:cs="Times New Roman"/>
                <w:b/>
                <w:bCs/>
                <w:color w:val="auto"/>
                <w:sz w:val="24"/>
                <w:highlight w:val="none"/>
                <w:lang w:eastAsia="zh-CN"/>
              </w:rPr>
            </w:pPr>
            <w:r>
              <w:rPr>
                <w:rFonts w:hint="eastAsia" w:ascii="仿宋_GB2312" w:hAnsi="宋体" w:eastAsia="仿宋_GB2312" w:cs="Times New Roman"/>
                <w:b/>
                <w:bCs/>
                <w:color w:val="auto"/>
                <w:sz w:val="24"/>
                <w:highlight w:val="none"/>
              </w:rPr>
              <w:t>本项目属于专门面向</w:t>
            </w:r>
            <w:r>
              <w:rPr>
                <w:rFonts w:hint="eastAsia" w:ascii="仿宋_GB2312" w:hAnsi="宋体" w:eastAsia="仿宋_GB2312" w:cs="Times New Roman"/>
                <w:b/>
                <w:bCs/>
                <w:color w:val="auto"/>
                <w:sz w:val="24"/>
                <w:highlight w:val="none"/>
                <w:lang w:val="en-US" w:eastAsia="zh-CN"/>
              </w:rPr>
              <w:t>小微</w:t>
            </w:r>
            <w:r>
              <w:rPr>
                <w:rFonts w:hint="eastAsia" w:ascii="仿宋_GB2312" w:hAnsi="宋体" w:eastAsia="仿宋_GB2312" w:cs="Times New Roman"/>
                <w:b/>
                <w:bCs/>
                <w:color w:val="auto"/>
                <w:sz w:val="24"/>
                <w:highlight w:val="none"/>
              </w:rPr>
              <w:t>企业采购的项目，监狱企业、残疾人福利单位视同小型、微型企业：</w:t>
            </w:r>
          </w:p>
          <w:p w14:paraId="1402C6B5">
            <w:pPr>
              <w:spacing w:line="440" w:lineRule="exact"/>
              <w:rPr>
                <w:rFonts w:hint="eastAsia" w:ascii="仿宋_GB2312" w:hAnsi="宋体" w:eastAsia="仿宋_GB2312" w:cs="Times New Roman"/>
                <w:color w:val="auto"/>
                <w:sz w:val="24"/>
                <w:highlight w:val="none"/>
                <w:lang w:eastAsia="zh-CN"/>
              </w:rPr>
            </w:pPr>
            <w:r>
              <w:rPr>
                <w:rFonts w:hint="eastAsia" w:ascii="仿宋_GB2312" w:hAnsi="宋体" w:eastAsia="仿宋_GB2312" w:cs="Times New Roman"/>
                <w:color w:val="auto"/>
                <w:sz w:val="24"/>
                <w:highlight w:val="none"/>
              </w:rPr>
              <w:t>1.</w:t>
            </w:r>
            <w:r>
              <w:rPr>
                <w:rFonts w:hint="eastAsia" w:ascii="仿宋_GB2312" w:hAnsi="宋体" w:eastAsia="仿宋_GB2312" w:cs="Times New Roman"/>
                <w:color w:val="auto"/>
                <w:sz w:val="24"/>
                <w:highlight w:val="none"/>
                <w:lang w:val="en-US" w:eastAsia="zh-CN"/>
              </w:rPr>
              <w:t>中小</w:t>
            </w:r>
            <w:r>
              <w:rPr>
                <w:rFonts w:hint="eastAsia" w:ascii="仿宋_GB2312" w:hAnsi="宋体" w:eastAsia="仿宋_GB2312" w:cs="Times New Roman"/>
                <w:color w:val="auto"/>
                <w:sz w:val="24"/>
                <w:highlight w:val="none"/>
              </w:rPr>
              <w:t>企业以供应商填写的《中小企业声明函》为判定标准（格式见竞争性磋商文件第</w:t>
            </w:r>
            <w:r>
              <w:rPr>
                <w:rFonts w:hint="eastAsia" w:ascii="仿宋_GB2312" w:hAnsi="宋体" w:eastAsia="仿宋_GB2312" w:cs="Times New Roman"/>
                <w:color w:val="auto"/>
                <w:sz w:val="24"/>
                <w:highlight w:val="none"/>
                <w:lang w:val="en-US" w:eastAsia="zh-CN"/>
              </w:rPr>
              <w:t>五</w:t>
            </w:r>
            <w:r>
              <w:rPr>
                <w:rFonts w:hint="eastAsia" w:ascii="仿宋_GB2312" w:hAnsi="宋体" w:eastAsia="仿宋_GB2312" w:cs="Times New Roman"/>
                <w:color w:val="auto"/>
                <w:sz w:val="24"/>
                <w:highlight w:val="none"/>
              </w:rPr>
              <w:t>章）；</w:t>
            </w:r>
          </w:p>
          <w:p w14:paraId="3691804B">
            <w:pPr>
              <w:spacing w:line="440" w:lineRule="exact"/>
              <w:rPr>
                <w:rFonts w:hint="eastAsia" w:ascii="仿宋_GB2312" w:hAnsi="宋体" w:eastAsia="仿宋_GB2312" w:cs="Times New Roman"/>
                <w:color w:val="auto"/>
                <w:sz w:val="24"/>
                <w:highlight w:val="none"/>
                <w:lang w:eastAsia="zh-CN"/>
              </w:rPr>
            </w:pPr>
            <w:r>
              <w:rPr>
                <w:rFonts w:hint="eastAsia" w:ascii="仿宋_GB2312" w:hAnsi="宋体" w:eastAsia="仿宋_GB2312" w:cs="Times New Roman"/>
                <w:color w:val="auto"/>
                <w:sz w:val="24"/>
                <w:highlight w:val="none"/>
              </w:rPr>
              <w:t>2.残疾人福利性单位以供应商提供的《残疾人福利性单位声明函》为判定标准（格式见竞争性磋商文件第</w:t>
            </w:r>
            <w:r>
              <w:rPr>
                <w:rFonts w:hint="eastAsia" w:ascii="仿宋_GB2312" w:hAnsi="宋体" w:eastAsia="仿宋_GB2312" w:cs="Times New Roman"/>
                <w:color w:val="auto"/>
                <w:sz w:val="24"/>
                <w:highlight w:val="none"/>
                <w:lang w:val="en-US" w:eastAsia="zh-CN"/>
              </w:rPr>
              <w:t>五</w:t>
            </w:r>
            <w:r>
              <w:rPr>
                <w:rFonts w:hint="eastAsia" w:ascii="仿宋_GB2312" w:hAnsi="宋体" w:eastAsia="仿宋_GB2312" w:cs="Times New Roman"/>
                <w:color w:val="auto"/>
                <w:sz w:val="24"/>
                <w:highlight w:val="none"/>
              </w:rPr>
              <w:t>章）；</w:t>
            </w:r>
          </w:p>
          <w:p w14:paraId="729EDC3B">
            <w:pPr>
              <w:spacing w:line="420" w:lineRule="exact"/>
              <w:jc w:val="left"/>
              <w:rPr>
                <w:rFonts w:hint="eastAsia" w:ascii="仿宋_GB2312" w:eastAsia="仿宋_GB2312"/>
                <w:color w:val="auto"/>
                <w:sz w:val="24"/>
                <w:highlight w:val="none"/>
              </w:rPr>
            </w:pPr>
            <w:r>
              <w:rPr>
                <w:rFonts w:hint="eastAsia" w:ascii="仿宋_GB2312" w:hAnsi="宋体" w:eastAsia="仿宋_GB2312" w:cs="Times New Roman"/>
                <w:color w:val="auto"/>
                <w:sz w:val="24"/>
                <w:highlight w:val="none"/>
              </w:rPr>
              <w:t>3.监狱企业以供应商提供由省级以上监狱管理局、戒毒管理局（含新疆生产建设兵团）出具的属于监狱企业的证明文件为判定标准。</w:t>
            </w:r>
          </w:p>
        </w:tc>
      </w:tr>
      <w:tr w14:paraId="00D8C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7754883">
            <w:pPr>
              <w:spacing w:line="440" w:lineRule="exact"/>
              <w:jc w:val="center"/>
              <w:rPr>
                <w:rFonts w:hint="default"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7</w:t>
            </w:r>
          </w:p>
        </w:tc>
        <w:tc>
          <w:tcPr>
            <w:tcW w:w="8232" w:type="dxa"/>
            <w:vAlign w:val="center"/>
          </w:tcPr>
          <w:p w14:paraId="6846A7D9">
            <w:pPr>
              <w:spacing w:line="440" w:lineRule="exact"/>
              <w:rPr>
                <w:rFonts w:hint="eastAsia" w:ascii="仿宋_GB2312" w:hAnsi="宋体" w:eastAsia="仿宋_GB2312" w:cs="Times New Roman"/>
                <w:b/>
                <w:bCs/>
                <w:color w:val="auto"/>
                <w:sz w:val="24"/>
                <w:highlight w:val="none"/>
              </w:rPr>
            </w:pPr>
            <w:r>
              <w:rPr>
                <w:rFonts w:hint="eastAsia" w:ascii="仿宋_GB2312" w:hAnsi="宋体" w:eastAsia="仿宋_GB2312" w:cs="Times New Roman"/>
                <w:b/>
                <w:bCs/>
                <w:color w:val="auto"/>
                <w:sz w:val="24"/>
                <w:highlight w:val="none"/>
              </w:rPr>
              <w:t>电子响应文件（必须提供）：</w:t>
            </w:r>
          </w:p>
          <w:p w14:paraId="733C84AB">
            <w:pPr>
              <w:spacing w:line="440" w:lineRule="exact"/>
              <w:rPr>
                <w:rFonts w:hint="eastAsia" w:ascii="仿宋_GB2312" w:hAnsi="宋体" w:eastAsia="仿宋_GB2312" w:cs="Times New Roman"/>
                <w:color w:val="auto"/>
                <w:sz w:val="24"/>
                <w:highlight w:val="none"/>
                <w:lang w:eastAsia="zh-CN"/>
              </w:rPr>
            </w:pPr>
            <w:r>
              <w:rPr>
                <w:rFonts w:hint="eastAsia" w:ascii="仿宋_GB2312" w:hAnsi="宋体" w:eastAsia="仿宋_GB2312" w:cs="Times New Roman"/>
                <w:color w:val="auto"/>
                <w:sz w:val="24"/>
                <w:highlight w:val="none"/>
              </w:rPr>
              <w:t>1.供应商应按照本项目竞争性磋商文件和</w:t>
            </w:r>
            <w:r>
              <w:rPr>
                <w:rFonts w:hint="eastAsia" w:ascii="仿宋_GB2312" w:hAnsi="宋体" w:eastAsia="仿宋_GB2312" w:cs="Times New Roman"/>
                <w:color w:val="auto"/>
                <w:sz w:val="24"/>
                <w:highlight w:val="none"/>
                <w:lang w:eastAsia="zh-CN"/>
              </w:rPr>
              <w:t>广西政府采购云平台</w:t>
            </w:r>
            <w:r>
              <w:rPr>
                <w:rFonts w:hint="eastAsia" w:ascii="仿宋_GB2312" w:hAnsi="宋体" w:eastAsia="仿宋_GB2312" w:cs="Times New Roman"/>
                <w:color w:val="auto"/>
                <w:sz w:val="24"/>
                <w:highlight w:val="none"/>
              </w:rPr>
              <w:t>的要求，通过“</w:t>
            </w:r>
            <w:r>
              <w:rPr>
                <w:rFonts w:hint="eastAsia" w:ascii="仿宋_GB2312" w:hAnsi="宋体" w:eastAsia="仿宋_GB2312" w:cs="Times New Roman"/>
                <w:color w:val="auto"/>
                <w:sz w:val="24"/>
                <w:highlight w:val="none"/>
                <w:lang w:eastAsia="zh-CN"/>
              </w:rPr>
              <w:t>广西政府采购云平台客户端</w:t>
            </w:r>
            <w:r>
              <w:rPr>
                <w:rFonts w:hint="eastAsia" w:ascii="仿宋_GB2312" w:hAnsi="宋体" w:eastAsia="仿宋_GB2312" w:cs="Times New Roman"/>
                <w:color w:val="auto"/>
                <w:sz w:val="24"/>
                <w:highlight w:val="none"/>
              </w:rPr>
              <w:t>”编制、加密电子响应文件，并于提交响应文件截止时间前在</w:t>
            </w:r>
            <w:r>
              <w:rPr>
                <w:rFonts w:hint="eastAsia" w:ascii="仿宋_GB2312" w:hAnsi="宋体" w:eastAsia="仿宋_GB2312" w:cs="Times New Roman"/>
                <w:color w:val="auto"/>
                <w:sz w:val="24"/>
                <w:highlight w:val="none"/>
                <w:lang w:eastAsia="zh-CN"/>
              </w:rPr>
              <w:t>广西政府采购云平台</w:t>
            </w:r>
            <w:r>
              <w:rPr>
                <w:rFonts w:hint="eastAsia" w:ascii="仿宋_GB2312" w:hAnsi="宋体" w:eastAsia="仿宋_GB2312" w:cs="Times New Roman"/>
                <w:color w:val="auto"/>
                <w:sz w:val="24"/>
                <w:highlight w:val="none"/>
              </w:rPr>
              <w:t>上提交加密的电子响应文件。</w:t>
            </w:r>
          </w:p>
          <w:p w14:paraId="36502E5F">
            <w:pPr>
              <w:spacing w:line="440" w:lineRule="exact"/>
              <w:rPr>
                <w:rFonts w:hint="eastAsia" w:ascii="仿宋_GB2312" w:hAnsi="宋体" w:eastAsia="仿宋_GB2312" w:cs="Times New Roman"/>
                <w:color w:val="auto"/>
                <w:sz w:val="24"/>
                <w:highlight w:val="none"/>
                <w:lang w:eastAsia="zh-CN"/>
              </w:rPr>
            </w:pPr>
            <w:r>
              <w:rPr>
                <w:rFonts w:hint="eastAsia" w:ascii="仿宋_GB2312" w:hAnsi="宋体" w:eastAsia="仿宋_GB2312" w:cs="Times New Roman"/>
                <w:color w:val="auto"/>
                <w:sz w:val="24"/>
                <w:highlight w:val="none"/>
              </w:rPr>
              <w:t>2.未按规定传输提交电子响应文件的将被</w:t>
            </w:r>
            <w:r>
              <w:rPr>
                <w:rFonts w:hint="eastAsia" w:ascii="仿宋_GB2312" w:hAnsi="宋体" w:eastAsia="仿宋_GB2312" w:cs="Times New Roman"/>
                <w:color w:val="auto"/>
                <w:sz w:val="24"/>
                <w:highlight w:val="none"/>
                <w:lang w:eastAsia="zh-CN"/>
              </w:rPr>
              <w:t>广西政府采购云平台</w:t>
            </w:r>
            <w:r>
              <w:rPr>
                <w:rFonts w:hint="eastAsia" w:ascii="仿宋_GB2312" w:hAnsi="宋体" w:eastAsia="仿宋_GB2312" w:cs="Times New Roman"/>
                <w:color w:val="auto"/>
                <w:sz w:val="24"/>
                <w:highlight w:val="none"/>
              </w:rPr>
              <w:t>拒绝。</w:t>
            </w:r>
          </w:p>
          <w:p w14:paraId="2E92711D">
            <w:pPr>
              <w:spacing w:line="440" w:lineRule="exact"/>
              <w:rPr>
                <w:rFonts w:hint="eastAsia" w:ascii="仿宋_GB2312" w:hAnsi="宋体" w:eastAsia="仿宋_GB2312" w:cs="Times New Roman"/>
                <w:color w:val="auto"/>
                <w:sz w:val="24"/>
                <w:highlight w:val="none"/>
              </w:rPr>
            </w:pPr>
            <w:r>
              <w:rPr>
                <w:rFonts w:hint="eastAsia" w:ascii="仿宋_GB2312" w:hAnsi="宋体" w:eastAsia="仿宋_GB2312" w:cs="Times New Roman"/>
                <w:color w:val="auto"/>
                <w:sz w:val="24"/>
                <w:highlight w:val="none"/>
              </w:rPr>
              <w:t>3.电子响应文件成功提交后，供应商可自行打印响应文件接收回执。</w:t>
            </w:r>
          </w:p>
        </w:tc>
      </w:tr>
      <w:tr w14:paraId="619D3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817" w:type="dxa"/>
            <w:vAlign w:val="center"/>
          </w:tcPr>
          <w:p w14:paraId="02CB9184">
            <w:pPr>
              <w:spacing w:line="440" w:lineRule="exact"/>
              <w:jc w:val="center"/>
              <w:rPr>
                <w:rFonts w:hint="default"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8</w:t>
            </w:r>
          </w:p>
        </w:tc>
        <w:tc>
          <w:tcPr>
            <w:tcW w:w="8232" w:type="dxa"/>
            <w:vAlign w:val="center"/>
          </w:tcPr>
          <w:p w14:paraId="3D5276B3">
            <w:pPr>
              <w:spacing w:line="440" w:lineRule="exact"/>
              <w:ind w:left="24" w:hanging="24" w:hangingChars="1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响应文件递交截止时间：详见竞争性磋商公告</w:t>
            </w:r>
          </w:p>
        </w:tc>
      </w:tr>
      <w:tr w14:paraId="21981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1172EB1">
            <w:pPr>
              <w:spacing w:line="440" w:lineRule="exact"/>
              <w:jc w:val="center"/>
              <w:rPr>
                <w:rFonts w:hint="default"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9</w:t>
            </w:r>
          </w:p>
        </w:tc>
        <w:tc>
          <w:tcPr>
            <w:tcW w:w="8232" w:type="dxa"/>
            <w:vAlign w:val="center"/>
          </w:tcPr>
          <w:p w14:paraId="4DB16B5D">
            <w:pPr>
              <w:spacing w:line="420" w:lineRule="exact"/>
              <w:rPr>
                <w:rFonts w:ascii="仿宋_GB2312" w:eastAsia="仿宋_GB2312"/>
                <w:color w:val="auto"/>
                <w:sz w:val="24"/>
                <w:highlight w:val="none"/>
              </w:rPr>
            </w:pPr>
            <w:r>
              <w:rPr>
                <w:rFonts w:hint="eastAsia" w:ascii="仿宋_GB2312" w:eastAsia="仿宋_GB2312"/>
                <w:color w:val="auto"/>
                <w:sz w:val="24"/>
                <w:highlight w:val="none"/>
              </w:rPr>
              <w:t>磋商时间：首次电子响应文件递交截止时间后，具体时间由采购代理机构另行通知；</w:t>
            </w:r>
          </w:p>
          <w:p w14:paraId="0433BF3A">
            <w:pPr>
              <w:spacing w:line="420" w:lineRule="exact"/>
              <w:jc w:val="left"/>
              <w:rPr>
                <w:rFonts w:hint="eastAsia" w:ascii="仿宋_GB2312" w:hAnsi="宋体" w:eastAsia="仿宋_GB2312"/>
                <w:color w:val="auto"/>
                <w:sz w:val="24"/>
                <w:highlight w:val="none"/>
              </w:rPr>
            </w:pPr>
            <w:r>
              <w:rPr>
                <w:rFonts w:hint="eastAsia" w:ascii="仿宋_GB2312" w:eastAsia="仿宋_GB2312"/>
                <w:color w:val="auto"/>
                <w:sz w:val="24"/>
                <w:highlight w:val="none"/>
              </w:rPr>
              <w:t>磋商地点：通过</w:t>
            </w:r>
            <w:r>
              <w:rPr>
                <w:rFonts w:hint="eastAsia" w:ascii="仿宋_GB2312" w:eastAsia="仿宋_GB2312"/>
                <w:color w:val="auto"/>
                <w:sz w:val="24"/>
                <w:highlight w:val="none"/>
                <w:lang w:eastAsia="zh-CN"/>
              </w:rPr>
              <w:t>广西政府采购云平台</w:t>
            </w:r>
            <w:r>
              <w:rPr>
                <w:rFonts w:hint="eastAsia" w:ascii="仿宋_GB2312" w:eastAsia="仿宋_GB2312"/>
                <w:color w:val="auto"/>
                <w:sz w:val="24"/>
                <w:highlight w:val="none"/>
              </w:rPr>
              <w:t>实行在线磋商</w:t>
            </w:r>
            <w:r>
              <w:rPr>
                <w:rFonts w:hint="eastAsia" w:ascii="仿宋_GB2312" w:hAnsi="宋体" w:eastAsia="仿宋_GB2312"/>
                <w:color w:val="auto"/>
                <w:sz w:val="24"/>
                <w:highlight w:val="none"/>
              </w:rPr>
              <w:t>。</w:t>
            </w:r>
          </w:p>
          <w:p w14:paraId="6874224A">
            <w:pPr>
              <w:spacing w:line="420" w:lineRule="exact"/>
              <w:jc w:val="left"/>
              <w:rPr>
                <w:rFonts w:hint="eastAsia" w:ascii="仿宋_GB2312" w:hAnsi="宋体" w:eastAsia="仿宋_GB2312"/>
                <w:color w:val="auto"/>
                <w:sz w:val="24"/>
                <w:highlight w:val="none"/>
              </w:rPr>
            </w:pPr>
            <w:r>
              <w:rPr>
                <w:rFonts w:hint="eastAsia" w:ascii="仿宋_GB2312" w:hAnsi="宋体" w:eastAsia="仿宋_GB2312"/>
                <w:b/>
                <w:bCs/>
                <w:color w:val="auto"/>
                <w:sz w:val="24"/>
                <w:highlight w:val="none"/>
              </w:rPr>
              <w:t>供应商应在电子响应文件递交截止时间后在广西政府采购云平台上在线等候磋商，如由于供应商未在线等候造成未能够参加磋商的后果由供应商自负。</w:t>
            </w:r>
          </w:p>
        </w:tc>
      </w:tr>
      <w:tr w14:paraId="6A211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DA4C22D">
            <w:pPr>
              <w:spacing w:line="440" w:lineRule="exact"/>
              <w:jc w:val="center"/>
              <w:rPr>
                <w:rFonts w:hint="default"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10</w:t>
            </w:r>
          </w:p>
        </w:tc>
        <w:tc>
          <w:tcPr>
            <w:tcW w:w="8232" w:type="dxa"/>
            <w:vAlign w:val="center"/>
          </w:tcPr>
          <w:p w14:paraId="3FC26D3C">
            <w:pPr>
              <w:spacing w:line="420" w:lineRule="exact"/>
              <w:jc w:val="left"/>
              <w:rPr>
                <w:rFonts w:ascii="仿宋_GB2312" w:eastAsia="仿宋_GB2312"/>
                <w:color w:val="auto"/>
                <w:sz w:val="24"/>
                <w:highlight w:val="none"/>
              </w:rPr>
            </w:pPr>
            <w:r>
              <w:rPr>
                <w:rFonts w:hint="eastAsia" w:ascii="仿宋_GB2312" w:eastAsia="仿宋_GB2312"/>
                <w:color w:val="auto"/>
                <w:sz w:val="24"/>
                <w:highlight w:val="none"/>
              </w:rPr>
              <w:t>电子响应文件解密时间：</w:t>
            </w:r>
          </w:p>
          <w:p w14:paraId="0FFF8BB4">
            <w:pPr>
              <w:spacing w:line="420" w:lineRule="exact"/>
              <w:jc w:val="left"/>
              <w:rPr>
                <w:rFonts w:ascii="仿宋_GB2312" w:eastAsia="仿宋_GB2312"/>
                <w:color w:val="auto"/>
                <w:sz w:val="24"/>
                <w:highlight w:val="none"/>
              </w:rPr>
            </w:pPr>
            <w:r>
              <w:rPr>
                <w:rFonts w:hint="eastAsia" w:ascii="仿宋_GB2312" w:hAnsi="宋体" w:eastAsia="仿宋_GB2312"/>
                <w:color w:val="auto"/>
                <w:sz w:val="24"/>
                <w:highlight w:val="none"/>
              </w:rPr>
              <w:t>采购代理机构开启解密标书后30分钟内，供应商必须在此时间段内登录</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，用“项目采购-开标评标”功能完成电子响应文件的解密。若供应商在规定时间内未按时解密的，视为响应无效。</w:t>
            </w:r>
          </w:p>
        </w:tc>
      </w:tr>
      <w:tr w14:paraId="05164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20FA94E">
            <w:pPr>
              <w:spacing w:line="440" w:lineRule="exact"/>
              <w:jc w:val="center"/>
              <w:rPr>
                <w:rFonts w:hint="default"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11</w:t>
            </w:r>
          </w:p>
        </w:tc>
        <w:tc>
          <w:tcPr>
            <w:tcW w:w="8232" w:type="dxa"/>
            <w:vAlign w:val="center"/>
          </w:tcPr>
          <w:p w14:paraId="5852F949">
            <w:pPr>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评标方法：综合评分法（详见第</w:t>
            </w:r>
            <w:r>
              <w:rPr>
                <w:rFonts w:hint="eastAsia" w:ascii="仿宋_GB2312" w:hAnsi="宋体" w:eastAsia="仿宋_GB2312"/>
                <w:color w:val="auto"/>
                <w:sz w:val="24"/>
                <w:highlight w:val="none"/>
                <w:lang w:val="en-US" w:eastAsia="zh-CN"/>
              </w:rPr>
              <w:t>七</w:t>
            </w:r>
            <w:r>
              <w:rPr>
                <w:rFonts w:hint="eastAsia" w:ascii="仿宋_GB2312" w:hAnsi="宋体" w:eastAsia="仿宋_GB2312"/>
                <w:color w:val="auto"/>
                <w:sz w:val="24"/>
                <w:highlight w:val="none"/>
              </w:rPr>
              <w:t>章）</w:t>
            </w:r>
          </w:p>
        </w:tc>
      </w:tr>
      <w:tr w14:paraId="27655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631A550">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rPr>
              <w:t>1</w:t>
            </w:r>
            <w:r>
              <w:rPr>
                <w:rFonts w:hint="eastAsia" w:ascii="仿宋_GB2312" w:hAnsi="宋体" w:eastAsia="仿宋_GB2312"/>
                <w:color w:val="auto"/>
                <w:sz w:val="24"/>
                <w:highlight w:val="none"/>
                <w:lang w:val="en-US" w:eastAsia="zh-CN"/>
              </w:rPr>
              <w:t>2</w:t>
            </w:r>
          </w:p>
        </w:tc>
        <w:tc>
          <w:tcPr>
            <w:tcW w:w="8232" w:type="dxa"/>
            <w:vAlign w:val="center"/>
          </w:tcPr>
          <w:p w14:paraId="61BE8D91">
            <w:pPr>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发布媒体：中国政府采购网（www.ccgp.gov.cn）</w:t>
            </w:r>
            <w:r>
              <w:rPr>
                <w:rFonts w:hint="eastAsia" w:ascii="仿宋_GB2312" w:hAnsi="宋体" w:eastAsia="仿宋_GB2312"/>
                <w:color w:val="auto"/>
                <w:sz w:val="24"/>
                <w:highlight w:val="none"/>
                <w:lang w:eastAsia="zh-CN"/>
              </w:rPr>
              <w:t>、</w:t>
            </w:r>
            <w:r>
              <w:rPr>
                <w:rFonts w:hint="eastAsia" w:ascii="仿宋_GB2312" w:hAnsi="仿宋_GB2312" w:eastAsia="仿宋_GB2312" w:cs="仿宋_GB2312"/>
                <w:b w:val="0"/>
                <w:bCs w:val="0"/>
                <w:color w:val="auto"/>
                <w:sz w:val="24"/>
                <w:szCs w:val="24"/>
                <w:highlight w:val="none"/>
              </w:rPr>
              <w:t>广西壮族自治区政府采购网（zfcg.gxzf.gov.cn）、柳州市政府采购网（zfcg.lzscz.liuzhou.gov.cn）</w:t>
            </w:r>
            <w:r>
              <w:rPr>
                <w:rFonts w:hint="eastAsia" w:ascii="仿宋_GB2312" w:hAnsi="宋体" w:eastAsia="仿宋_GB2312"/>
                <w:color w:val="auto"/>
                <w:sz w:val="24"/>
                <w:highlight w:val="none"/>
              </w:rPr>
              <w:t>。</w:t>
            </w:r>
          </w:p>
        </w:tc>
      </w:tr>
      <w:tr w14:paraId="49C61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17C9025">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rPr>
              <w:t>1</w:t>
            </w:r>
            <w:r>
              <w:rPr>
                <w:rFonts w:hint="eastAsia" w:ascii="仿宋_GB2312" w:hAnsi="宋体" w:eastAsia="仿宋_GB2312"/>
                <w:color w:val="auto"/>
                <w:sz w:val="24"/>
                <w:highlight w:val="none"/>
                <w:lang w:val="en-US" w:eastAsia="zh-CN"/>
              </w:rPr>
              <w:t>3</w:t>
            </w:r>
          </w:p>
        </w:tc>
        <w:tc>
          <w:tcPr>
            <w:tcW w:w="8232" w:type="dxa"/>
            <w:vAlign w:val="center"/>
          </w:tcPr>
          <w:p w14:paraId="60BA78CA">
            <w:pPr>
              <w:spacing w:line="44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一、信用信息使用规则：</w:t>
            </w:r>
          </w:p>
          <w:p w14:paraId="3650219B">
            <w:pPr>
              <w:spacing w:line="440" w:lineRule="exact"/>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25F4CAF">
            <w:pPr>
              <w:spacing w:line="44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二、甄别方式：</w:t>
            </w:r>
          </w:p>
          <w:p w14:paraId="4CDA738A">
            <w:pPr>
              <w:spacing w:line="440" w:lineRule="exact"/>
              <w:rPr>
                <w:rFonts w:ascii="仿宋_GB2312" w:hAnsi="宋体" w:eastAsia="仿宋_GB2312"/>
                <w:b w:val="0"/>
                <w:bCs w:val="0"/>
                <w:color w:val="auto"/>
                <w:sz w:val="24"/>
                <w:highlight w:val="none"/>
              </w:rPr>
            </w:pPr>
            <w:r>
              <w:rPr>
                <w:rFonts w:hint="eastAsia" w:ascii="仿宋_GB2312" w:hAnsi="宋体" w:eastAsia="仿宋_GB2312"/>
                <w:b w:val="0"/>
                <w:bCs w:val="0"/>
                <w:color w:val="auto"/>
                <w:sz w:val="24"/>
                <w:highlight w:val="none"/>
              </w:rPr>
              <w:t>1.</w:t>
            </w:r>
            <w:r>
              <w:rPr>
                <w:rFonts w:hint="eastAsia" w:ascii="仿宋_GB2312" w:eastAsia="仿宋_GB2312"/>
                <w:b w:val="0"/>
                <w:bCs w:val="0"/>
                <w:color w:val="auto"/>
                <w:sz w:val="24"/>
                <w:highlight w:val="none"/>
              </w:rPr>
              <w:t>在本项目资格性审查时，采购人将对供应商信用进行查询，并按照以上信用信息使用规则处理；</w:t>
            </w:r>
          </w:p>
          <w:p w14:paraId="1CC788CB">
            <w:pPr>
              <w:spacing w:line="440" w:lineRule="exact"/>
              <w:rPr>
                <w:rFonts w:ascii="仿宋_GB2312" w:hAnsi="宋体" w:eastAsia="仿宋_GB2312"/>
                <w:b w:val="0"/>
                <w:bCs w:val="0"/>
                <w:color w:val="auto"/>
                <w:sz w:val="24"/>
                <w:highlight w:val="none"/>
              </w:rPr>
            </w:pPr>
            <w:r>
              <w:rPr>
                <w:rFonts w:hint="eastAsia" w:ascii="仿宋_GB2312" w:hAnsi="宋体" w:eastAsia="仿宋_GB2312"/>
                <w:b w:val="0"/>
                <w:bCs w:val="0"/>
                <w:color w:val="auto"/>
                <w:sz w:val="24"/>
                <w:highlight w:val="none"/>
              </w:rPr>
              <w:t>2.在成交通知书发出前，采购人或者采购代理机构将对成交供应商信用进行查询，并按照以上信用信息使用规则处理；</w:t>
            </w:r>
          </w:p>
          <w:p w14:paraId="66282301">
            <w:pPr>
              <w:spacing w:line="440" w:lineRule="exact"/>
              <w:rPr>
                <w:rFonts w:ascii="仿宋_GB2312" w:hAnsi="宋体" w:eastAsia="仿宋_GB2312"/>
                <w:color w:val="auto"/>
                <w:sz w:val="24"/>
                <w:highlight w:val="none"/>
              </w:rPr>
            </w:pPr>
            <w:r>
              <w:rPr>
                <w:rFonts w:hint="eastAsia" w:ascii="仿宋_GB2312" w:hAnsi="宋体" w:eastAsia="仿宋_GB2312"/>
                <w:b w:val="0"/>
                <w:bCs w:val="0"/>
                <w:color w:val="auto"/>
                <w:sz w:val="24"/>
                <w:highlight w:val="none"/>
              </w:rPr>
              <w:t>3.</w:t>
            </w:r>
            <w:r>
              <w:rPr>
                <w:rFonts w:hint="eastAsia" w:ascii="仿宋_GB2312" w:eastAsia="仿宋_GB2312"/>
                <w:b w:val="0"/>
                <w:bCs w:val="0"/>
                <w:color w:val="auto"/>
                <w:sz w:val="24"/>
                <w:highlight w:val="none"/>
              </w:rPr>
              <w:t>根据财政部</w:t>
            </w:r>
            <w:bookmarkStart w:id="38" w:name="sendNo"/>
            <w:r>
              <w:rPr>
                <w:rFonts w:hint="eastAsia" w:ascii="仿宋_GB2312" w:eastAsia="仿宋_GB2312"/>
                <w:b w:val="0"/>
                <w:bCs w:val="0"/>
                <w:color w:val="auto"/>
                <w:sz w:val="24"/>
                <w:highlight w:val="none"/>
              </w:rPr>
              <w:t>《财政部关于〈中华人民共和国政府采购法实施条例〉第十九条第一款“较大数额罚款”具体适用问题的意见》（财库〔202</w:t>
            </w:r>
            <w:bookmarkEnd w:id="38"/>
            <w:r>
              <w:rPr>
                <w:rFonts w:hint="eastAsia" w:ascii="仿宋_GB2312" w:eastAsia="仿宋_GB2312"/>
                <w:b w:val="0"/>
                <w:bCs w:val="0"/>
                <w:color w:val="auto"/>
                <w:sz w:val="24"/>
                <w:highlight w:val="none"/>
              </w:rPr>
              <w:t>2〕3号），“较大数额罚款”认定为200万元以上的罚款，法律、行政法规以及国务院有关部门明确规定相关领域“较大数额罚款”标准高于200万元的，从其规定。</w:t>
            </w:r>
          </w:p>
        </w:tc>
      </w:tr>
      <w:tr w14:paraId="4A92B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2774AF0">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rPr>
              <w:t>1</w:t>
            </w:r>
            <w:r>
              <w:rPr>
                <w:rFonts w:hint="eastAsia" w:ascii="仿宋_GB2312" w:hAnsi="宋体" w:eastAsia="仿宋_GB2312"/>
                <w:color w:val="auto"/>
                <w:sz w:val="24"/>
                <w:highlight w:val="none"/>
                <w:lang w:val="en-US" w:eastAsia="zh-CN"/>
              </w:rPr>
              <w:t>4</w:t>
            </w:r>
          </w:p>
        </w:tc>
        <w:tc>
          <w:tcPr>
            <w:tcW w:w="8232" w:type="dxa"/>
            <w:vAlign w:val="center"/>
          </w:tcPr>
          <w:p w14:paraId="7E25C76E">
            <w:pPr>
              <w:spacing w:line="440" w:lineRule="exact"/>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成交公告及成交通知书：采购代理机构在采购人依法确认成交供应商后两个工作日内发布成交公告和成交通知书。</w:t>
            </w:r>
          </w:p>
          <w:p w14:paraId="232D6036">
            <w:pPr>
              <w:spacing w:line="440" w:lineRule="exact"/>
              <w:rPr>
                <w:rFonts w:hint="eastAsia" w:ascii="仿宋_GB2312" w:hAnsi="宋体" w:eastAsia="仿宋_GB2312"/>
                <w:color w:val="auto"/>
                <w:sz w:val="24"/>
                <w:highlight w:val="none"/>
              </w:rPr>
            </w:pPr>
            <w:r>
              <w:rPr>
                <w:rFonts w:hint="eastAsia" w:ascii="仿宋_GB2312" w:hAnsi="宋体" w:eastAsia="仿宋_GB2312"/>
                <w:b/>
                <w:bCs/>
                <w:color w:val="auto"/>
                <w:sz w:val="24"/>
                <w:highlight w:val="none"/>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14:paraId="7C30A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E39D9F2">
            <w:pPr>
              <w:spacing w:line="440" w:lineRule="exact"/>
              <w:jc w:val="center"/>
              <w:rPr>
                <w:rFonts w:hint="default"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lang w:val="en-US" w:eastAsia="zh-CN"/>
              </w:rPr>
              <w:t>15</w:t>
            </w:r>
          </w:p>
        </w:tc>
        <w:tc>
          <w:tcPr>
            <w:tcW w:w="8232" w:type="dxa"/>
            <w:vAlign w:val="center"/>
          </w:tcPr>
          <w:p w14:paraId="392F40B6">
            <w:pPr>
              <w:spacing w:line="440" w:lineRule="exact"/>
              <w:rPr>
                <w:rFonts w:ascii="仿宋_GB2312" w:hAnsi="宋体" w:eastAsia="仿宋_GB2312"/>
                <w:color w:val="auto"/>
                <w:sz w:val="24"/>
                <w:highlight w:val="none"/>
              </w:rPr>
            </w:pPr>
            <w:r>
              <w:rPr>
                <w:rFonts w:hint="eastAsia" w:ascii="仿宋_GB2312" w:hAnsi="宋体" w:eastAsia="仿宋_GB2312"/>
                <w:b w:val="0"/>
                <w:bCs w:val="0"/>
                <w:color w:val="auto"/>
                <w:sz w:val="24"/>
                <w:highlight w:val="none"/>
              </w:rPr>
              <w:t>签订合同时间：成交通知书发出后</w:t>
            </w:r>
            <w:r>
              <w:rPr>
                <w:rFonts w:hint="eastAsia" w:ascii="仿宋_GB2312" w:hAnsi="宋体" w:eastAsia="仿宋_GB2312"/>
                <w:b w:val="0"/>
                <w:bCs w:val="0"/>
                <w:color w:val="auto"/>
                <w:sz w:val="24"/>
                <w:highlight w:val="none"/>
                <w:u w:val="single"/>
              </w:rPr>
              <w:t>25</w:t>
            </w:r>
            <w:r>
              <w:rPr>
                <w:rFonts w:hint="eastAsia" w:ascii="仿宋_GB2312" w:hAnsi="宋体" w:eastAsia="仿宋_GB2312"/>
                <w:b w:val="0"/>
                <w:bCs w:val="0"/>
                <w:color w:val="auto"/>
                <w:sz w:val="24"/>
                <w:highlight w:val="none"/>
              </w:rPr>
              <w:t>日内。</w:t>
            </w:r>
          </w:p>
        </w:tc>
      </w:tr>
      <w:tr w14:paraId="30214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A68DCFE">
            <w:pPr>
              <w:spacing w:line="440" w:lineRule="exact"/>
              <w:jc w:val="center"/>
              <w:rPr>
                <w:rFonts w:hint="default"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lang w:val="en-US" w:eastAsia="zh-CN"/>
              </w:rPr>
              <w:t>16</w:t>
            </w:r>
          </w:p>
        </w:tc>
        <w:tc>
          <w:tcPr>
            <w:tcW w:w="8232" w:type="dxa"/>
            <w:vAlign w:val="center"/>
          </w:tcPr>
          <w:p w14:paraId="18E5979D">
            <w:pPr>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响应文件有效期：首次响应文件提交截止日期后</w:t>
            </w:r>
            <w:r>
              <w:rPr>
                <w:rFonts w:hint="eastAsia" w:ascii="仿宋_GB2312" w:hAnsi="宋体" w:eastAsia="仿宋_GB2312"/>
                <w:color w:val="auto"/>
                <w:sz w:val="24"/>
                <w:highlight w:val="none"/>
                <w:lang w:val="en-US" w:eastAsia="zh-CN"/>
              </w:rPr>
              <w:t>不得少于</w:t>
            </w:r>
            <w:r>
              <w:rPr>
                <w:rFonts w:hint="eastAsia" w:ascii="仿宋_GB2312" w:hAnsi="宋体" w:eastAsia="仿宋_GB2312"/>
                <w:color w:val="auto"/>
                <w:sz w:val="24"/>
                <w:highlight w:val="none"/>
                <w:u w:val="single"/>
              </w:rPr>
              <w:t>60天</w:t>
            </w:r>
            <w:r>
              <w:rPr>
                <w:rFonts w:hint="eastAsia" w:ascii="仿宋_GB2312" w:hAnsi="宋体" w:eastAsia="仿宋_GB2312"/>
                <w:color w:val="auto"/>
                <w:sz w:val="24"/>
                <w:highlight w:val="none"/>
              </w:rPr>
              <w:t>。</w:t>
            </w:r>
          </w:p>
        </w:tc>
      </w:tr>
      <w:tr w14:paraId="2A32C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9D7AAE8">
            <w:pPr>
              <w:spacing w:line="440" w:lineRule="exact"/>
              <w:jc w:val="center"/>
              <w:rPr>
                <w:rFonts w:hint="default"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lang w:val="en-US" w:eastAsia="zh-CN"/>
              </w:rPr>
              <w:t>17</w:t>
            </w:r>
          </w:p>
        </w:tc>
        <w:tc>
          <w:tcPr>
            <w:tcW w:w="8232" w:type="dxa"/>
            <w:vAlign w:val="center"/>
          </w:tcPr>
          <w:p w14:paraId="17901E04">
            <w:pPr>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解释：本竞争性磋商文件的解释权属于采购代理机构。</w:t>
            </w:r>
          </w:p>
        </w:tc>
      </w:tr>
      <w:tr w14:paraId="342ED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93C6E40">
            <w:pPr>
              <w:spacing w:line="440" w:lineRule="exact"/>
              <w:jc w:val="center"/>
              <w:rPr>
                <w:rFonts w:hint="default"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18</w:t>
            </w:r>
          </w:p>
        </w:tc>
        <w:tc>
          <w:tcPr>
            <w:tcW w:w="8232" w:type="dxa"/>
            <w:vAlign w:val="center"/>
          </w:tcPr>
          <w:p w14:paraId="034CE4B0">
            <w:pPr>
              <w:spacing w:line="440" w:lineRule="exact"/>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帐户，也可以使用银行保函。工程竣工验收结算经审定后，按照规定程序，将农民工工资保证金没有使用或剩余的金额退还给承包人。</w:t>
            </w:r>
          </w:p>
        </w:tc>
      </w:tr>
      <w:tr w14:paraId="2E3D9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449F1DA">
            <w:pPr>
              <w:spacing w:line="440" w:lineRule="exact"/>
              <w:jc w:val="center"/>
              <w:rPr>
                <w:rFonts w:hint="default"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19</w:t>
            </w:r>
          </w:p>
        </w:tc>
        <w:tc>
          <w:tcPr>
            <w:tcW w:w="8232" w:type="dxa"/>
            <w:vAlign w:val="center"/>
          </w:tcPr>
          <w:p w14:paraId="2EF80C40">
            <w:pPr>
              <w:snapToGrid w:val="0"/>
              <w:spacing w:line="440" w:lineRule="exact"/>
              <w:rPr>
                <w:rFonts w:ascii="仿宋_GB2312" w:hAnsi="宋体" w:eastAsia="仿宋_GB2312" w:cs="宋体"/>
                <w:b/>
                <w:color w:val="auto"/>
                <w:sz w:val="24"/>
                <w:highlight w:val="none"/>
              </w:rPr>
            </w:pPr>
            <w:r>
              <w:rPr>
                <w:rFonts w:hint="eastAsia" w:ascii="仿宋_GB2312" w:hAnsi="宋体" w:eastAsia="仿宋_GB2312"/>
                <w:color w:val="auto"/>
                <w:sz w:val="24"/>
                <w:highlight w:val="none"/>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14:paraId="4AF70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D865299">
            <w:pPr>
              <w:spacing w:line="440" w:lineRule="exact"/>
              <w:jc w:val="center"/>
              <w:rPr>
                <w:rFonts w:hint="default"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20</w:t>
            </w:r>
          </w:p>
        </w:tc>
        <w:tc>
          <w:tcPr>
            <w:tcW w:w="8232" w:type="dxa"/>
            <w:vAlign w:val="center"/>
          </w:tcPr>
          <w:p w14:paraId="480C5579">
            <w:pPr>
              <w:snapToGrid w:val="0"/>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1.本竞争性磋商文件中描述供应商的“公章”是指供应商通过指定电子化政府采购平台办理数字证书（CA认证证书）获得的以法定主体行为名称制作的电子印章。</w:t>
            </w:r>
          </w:p>
          <w:p w14:paraId="74C78712">
            <w:pPr>
              <w:snapToGrid w:val="0"/>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2.本竞争性磋商文件所涉及的法定代表人或授权委托代理人签字或盖章的内容，如果供应商没有法定代表人或授权委托代理人电子签章，涉及到法定代表人或授权委托代理人签字或盖章的内容，供应商可以线下签字或盖章后扫描上传。</w:t>
            </w:r>
          </w:p>
        </w:tc>
      </w:tr>
      <w:tr w14:paraId="52F39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9AC3A48">
            <w:pPr>
              <w:spacing w:line="440" w:lineRule="exact"/>
              <w:jc w:val="center"/>
              <w:rPr>
                <w:rFonts w:hint="default"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21</w:t>
            </w:r>
          </w:p>
        </w:tc>
        <w:tc>
          <w:tcPr>
            <w:tcW w:w="8232" w:type="dxa"/>
            <w:vAlign w:val="center"/>
          </w:tcPr>
          <w:p w14:paraId="523361E2">
            <w:pPr>
              <w:snapToGrid w:val="0"/>
              <w:spacing w:line="440" w:lineRule="exact"/>
              <w:rPr>
                <w:rFonts w:ascii="仿宋_GB2312" w:hAnsi="宋体" w:eastAsia="仿宋_GB2312"/>
                <w:color w:val="auto"/>
                <w:sz w:val="24"/>
                <w:highlight w:val="none"/>
              </w:rPr>
            </w:pPr>
            <w:r>
              <w:rPr>
                <w:rFonts w:hint="eastAsia" w:ascii="仿宋_GB2312" w:eastAsia="仿宋_GB2312"/>
                <w:color w:val="auto"/>
                <w:sz w:val="24"/>
                <w:highlight w:val="none"/>
              </w:rPr>
              <w:t>代理服务费：代理服务费</w:t>
            </w:r>
            <w:r>
              <w:rPr>
                <w:rFonts w:hint="eastAsia" w:ascii="仿宋_GB2312" w:eastAsia="仿宋_GB2312"/>
                <w:color w:val="auto"/>
                <w:sz w:val="24"/>
                <w:highlight w:val="none"/>
                <w:lang w:val="en-US" w:eastAsia="zh-CN"/>
              </w:rPr>
              <w:t>参照国家发展计划委员会文件计价格（2002）1980号“国家计委关于印发《招标代理服务收费管理暂行办法》的通知”规定的工程类标准向成交人收取</w:t>
            </w:r>
            <w:r>
              <w:rPr>
                <w:rFonts w:hint="eastAsia" w:ascii="仿宋_GB2312" w:eastAsia="仿宋_GB2312"/>
                <w:color w:val="auto"/>
                <w:sz w:val="24"/>
                <w:highlight w:val="none"/>
              </w:rPr>
              <w:t>。成交通知书发出前，成交供应商应向采购代理机构一次付清招标代理服务费。</w:t>
            </w:r>
          </w:p>
        </w:tc>
      </w:tr>
    </w:tbl>
    <w:p w14:paraId="23088159">
      <w:pPr>
        <w:spacing w:line="480" w:lineRule="auto"/>
        <w:jc w:val="center"/>
        <w:rPr>
          <w:rFonts w:hint="eastAsia" w:ascii="宋体" w:hAnsi="宋体" w:eastAsia="宋体"/>
          <w:b/>
          <w:color w:val="auto"/>
          <w:sz w:val="32"/>
          <w:szCs w:val="32"/>
          <w:highlight w:val="none"/>
          <w:lang w:val="en-US" w:eastAsia="zh-CN"/>
        </w:rPr>
      </w:pPr>
      <w:r>
        <w:rPr>
          <w:rFonts w:ascii="宋体" w:hAnsi="宋体"/>
          <w:b/>
          <w:color w:val="auto"/>
          <w:sz w:val="32"/>
          <w:szCs w:val="32"/>
          <w:highlight w:val="none"/>
        </w:rPr>
        <w:br w:type="page"/>
      </w:r>
      <w:r>
        <w:rPr>
          <w:rFonts w:hint="eastAsia" w:ascii="宋体" w:hAnsi="宋体"/>
          <w:b/>
          <w:color w:val="auto"/>
          <w:sz w:val="32"/>
          <w:szCs w:val="32"/>
          <w:highlight w:val="none"/>
        </w:rPr>
        <w:t>供应商须知</w:t>
      </w:r>
      <w:r>
        <w:rPr>
          <w:rFonts w:hint="eastAsia" w:ascii="宋体" w:hAnsi="宋体"/>
          <w:b/>
          <w:color w:val="auto"/>
          <w:sz w:val="32"/>
          <w:szCs w:val="32"/>
          <w:highlight w:val="none"/>
          <w:lang w:val="en-US" w:eastAsia="zh-CN"/>
        </w:rPr>
        <w:t>正文</w:t>
      </w:r>
    </w:p>
    <w:p w14:paraId="18043F9B">
      <w:pPr>
        <w:pStyle w:val="29"/>
        <w:snapToGrid w:val="0"/>
        <w:spacing w:line="420" w:lineRule="exact"/>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一、总  则</w:t>
      </w:r>
    </w:p>
    <w:p w14:paraId="2F84445A">
      <w:pPr>
        <w:snapToGrid w:val="0"/>
        <w:spacing w:line="420" w:lineRule="exact"/>
        <w:jc w:val="left"/>
        <w:outlineLvl w:val="9"/>
        <w:rPr>
          <w:rFonts w:ascii="仿宋_GB2312" w:hAnsi="宋体" w:eastAsia="仿宋_GB2312"/>
          <w:b/>
          <w:color w:val="auto"/>
          <w:sz w:val="24"/>
          <w:highlight w:val="none"/>
        </w:rPr>
      </w:pPr>
      <w:bookmarkStart w:id="39" w:name="_Toc254970668"/>
      <w:bookmarkStart w:id="40" w:name="_Toc254970527"/>
      <w:r>
        <w:rPr>
          <w:rFonts w:hint="eastAsia" w:ascii="仿宋_GB2312" w:hAnsi="宋体" w:eastAsia="仿宋_GB2312"/>
          <w:b/>
          <w:color w:val="auto"/>
          <w:sz w:val="24"/>
          <w:highlight w:val="none"/>
        </w:rPr>
        <w:t>1.适用范围</w:t>
      </w:r>
      <w:bookmarkEnd w:id="39"/>
      <w:bookmarkEnd w:id="40"/>
    </w:p>
    <w:p w14:paraId="4C4EE10D">
      <w:pPr>
        <w:snapToGrid w:val="0"/>
        <w:spacing w:line="420" w:lineRule="exact"/>
        <w:ind w:firstLine="240" w:firstLineChars="100"/>
        <w:jc w:val="left"/>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691B881E">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1.2本竞争性磋商文件（以下简称磋商文件）适用于本项目的所有采购程序和环节（法律、法规另有规定的，从其规定）。</w:t>
      </w:r>
    </w:p>
    <w:p w14:paraId="0973E8DC">
      <w:pPr>
        <w:snapToGrid w:val="0"/>
        <w:spacing w:line="420" w:lineRule="exact"/>
        <w:jc w:val="left"/>
        <w:outlineLvl w:val="9"/>
        <w:rPr>
          <w:rFonts w:ascii="仿宋_GB2312" w:hAnsi="宋体" w:eastAsia="仿宋_GB2312"/>
          <w:b/>
          <w:color w:val="auto"/>
          <w:sz w:val="24"/>
          <w:highlight w:val="none"/>
        </w:rPr>
      </w:pPr>
      <w:bookmarkStart w:id="41" w:name="_Toc254970528"/>
      <w:bookmarkStart w:id="42" w:name="_Toc254970669"/>
      <w:r>
        <w:rPr>
          <w:rFonts w:hint="eastAsia" w:ascii="仿宋_GB2312" w:hAnsi="宋体" w:eastAsia="仿宋_GB2312"/>
          <w:b/>
          <w:color w:val="auto"/>
          <w:sz w:val="24"/>
          <w:highlight w:val="none"/>
        </w:rPr>
        <w:t>2.定义</w:t>
      </w:r>
      <w:bookmarkEnd w:id="41"/>
      <w:bookmarkEnd w:id="42"/>
    </w:p>
    <w:p w14:paraId="17BB6511">
      <w:pPr>
        <w:snapToGrid w:val="0"/>
        <w:spacing w:line="420" w:lineRule="exact"/>
        <w:ind w:firstLine="240" w:firstLineChars="100"/>
        <w:jc w:val="left"/>
        <w:outlineLvl w:val="9"/>
        <w:rPr>
          <w:rFonts w:ascii="仿宋_GB2312" w:hAnsi="宋体" w:eastAsia="仿宋_GB2312"/>
          <w:b/>
          <w:color w:val="auto"/>
          <w:sz w:val="24"/>
          <w:highlight w:val="none"/>
        </w:rPr>
      </w:pPr>
      <w:r>
        <w:rPr>
          <w:rFonts w:hint="eastAsia" w:ascii="仿宋_GB2312" w:hAnsi="宋体" w:eastAsia="仿宋_GB2312" w:cs="Courier New"/>
          <w:bCs/>
          <w:color w:val="auto"/>
          <w:sz w:val="24"/>
          <w:highlight w:val="none"/>
        </w:rPr>
        <w:t>2.1</w:t>
      </w:r>
      <w:r>
        <w:rPr>
          <w:rFonts w:hint="eastAsia" w:ascii="仿宋_GB2312" w:hAnsi="宋体" w:eastAsia="仿宋_GB2312"/>
          <w:color w:val="auto"/>
          <w:sz w:val="24"/>
          <w:highlight w:val="none"/>
        </w:rPr>
        <w:t>“采购人”是指</w:t>
      </w:r>
      <w:r>
        <w:rPr>
          <w:rFonts w:hint="eastAsia" w:ascii="仿宋_GB2312" w:hAnsi="宋体" w:eastAsia="仿宋_GB2312"/>
          <w:color w:val="auto"/>
          <w:sz w:val="24"/>
          <w:highlight w:val="none"/>
          <w:u w:val="single"/>
          <w:lang w:val="en-US" w:eastAsia="zh-CN"/>
        </w:rPr>
        <w:t>柳州市柳南区人民检察院</w:t>
      </w:r>
      <w:r>
        <w:rPr>
          <w:rFonts w:hint="eastAsia" w:ascii="仿宋_GB2312" w:hAnsi="宋体" w:eastAsia="仿宋_GB2312"/>
          <w:color w:val="auto"/>
          <w:sz w:val="24"/>
          <w:highlight w:val="none"/>
        </w:rPr>
        <w:t>；“采购代理机构”</w:t>
      </w:r>
      <w:r>
        <w:rPr>
          <w:rFonts w:hint="eastAsia" w:ascii="仿宋_GB2312" w:hAnsi="宋体" w:eastAsia="仿宋_GB2312" w:cs="Courier New"/>
          <w:bCs/>
          <w:color w:val="auto"/>
          <w:sz w:val="24"/>
          <w:highlight w:val="none"/>
        </w:rPr>
        <w:t>是</w:t>
      </w:r>
      <w:r>
        <w:rPr>
          <w:rFonts w:hint="eastAsia" w:ascii="仿宋_GB2312" w:hAnsi="宋体" w:eastAsia="仿宋_GB2312"/>
          <w:color w:val="auto"/>
          <w:sz w:val="24"/>
          <w:highlight w:val="none"/>
        </w:rPr>
        <w:t>指</w:t>
      </w:r>
      <w:r>
        <w:rPr>
          <w:rFonts w:hint="eastAsia" w:ascii="仿宋_GB2312" w:hAnsi="宋体" w:eastAsia="仿宋_GB2312"/>
          <w:color w:val="auto"/>
          <w:sz w:val="24"/>
          <w:highlight w:val="none"/>
          <w:u w:val="single"/>
        </w:rPr>
        <w:t>广州金良工程咨询有限公司</w:t>
      </w:r>
      <w:r>
        <w:rPr>
          <w:rFonts w:hint="eastAsia" w:ascii="仿宋_GB2312" w:hAnsi="宋体" w:eastAsia="仿宋_GB2312"/>
          <w:color w:val="auto"/>
          <w:sz w:val="24"/>
          <w:highlight w:val="none"/>
        </w:rPr>
        <w:t>。</w:t>
      </w:r>
    </w:p>
    <w:p w14:paraId="66914883">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s="Courier New"/>
          <w:bCs/>
          <w:color w:val="auto"/>
          <w:sz w:val="24"/>
          <w:highlight w:val="none"/>
        </w:rPr>
        <w:t>2.2</w:t>
      </w:r>
      <w:r>
        <w:rPr>
          <w:rFonts w:hint="eastAsia" w:ascii="仿宋_GB2312" w:hAnsi="宋体" w:eastAsia="仿宋_GB2312"/>
          <w:color w:val="auto"/>
          <w:sz w:val="24"/>
          <w:highlight w:val="none"/>
        </w:rPr>
        <w:t>“供应商”</w:t>
      </w:r>
      <w:r>
        <w:rPr>
          <w:rFonts w:hint="eastAsia" w:ascii="仿宋_GB2312" w:hAnsi="宋体" w:eastAsia="仿宋_GB2312" w:cs="Courier New"/>
          <w:bCs/>
          <w:color w:val="auto"/>
          <w:sz w:val="24"/>
          <w:highlight w:val="none"/>
        </w:rPr>
        <w:t>系</w:t>
      </w:r>
      <w:r>
        <w:rPr>
          <w:rFonts w:hint="eastAsia" w:ascii="仿宋_GB2312" w:hAnsi="宋体" w:eastAsia="仿宋_GB2312"/>
          <w:color w:val="auto"/>
          <w:sz w:val="24"/>
          <w:highlight w:val="none"/>
        </w:rPr>
        <w:t>指响应本磋商文件要求，参加磋商的法人或其他组织或自然人。如果该供应商在本次磋商中成交，即成为“成交供应商”。</w:t>
      </w:r>
    </w:p>
    <w:p w14:paraId="20E5C826">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s="Courier New"/>
          <w:bCs/>
          <w:color w:val="auto"/>
          <w:sz w:val="24"/>
          <w:highlight w:val="none"/>
        </w:rPr>
        <w:t>2.</w:t>
      </w:r>
      <w:r>
        <w:rPr>
          <w:rFonts w:hint="eastAsia" w:ascii="仿宋_GB2312" w:hAnsi="宋体" w:eastAsia="仿宋_GB2312" w:cs="Courier New"/>
          <w:bCs/>
          <w:color w:val="auto"/>
          <w:sz w:val="24"/>
          <w:highlight w:val="none"/>
          <w:lang w:val="en-US" w:eastAsia="zh-CN"/>
        </w:rPr>
        <w:t>3</w:t>
      </w:r>
      <w:r>
        <w:rPr>
          <w:rFonts w:hint="eastAsia" w:ascii="仿宋_GB2312" w:hAnsi="宋体" w:eastAsia="仿宋_GB2312" w:cs="Courier New"/>
          <w:bCs/>
          <w:color w:val="auto"/>
          <w:sz w:val="24"/>
          <w:highlight w:val="none"/>
        </w:rPr>
        <w:t>“工程”是指建设工程，包括建筑物和构筑物的新建、改建、扩建、装修、拆除、修缮等。</w:t>
      </w:r>
    </w:p>
    <w:p w14:paraId="4313F20D">
      <w:pPr>
        <w:snapToGrid w:val="0"/>
        <w:spacing w:line="420" w:lineRule="exact"/>
        <w:ind w:firstLine="240" w:firstLineChars="100"/>
        <w:jc w:val="left"/>
        <w:rPr>
          <w:rFonts w:hint="eastAsia" w:ascii="仿宋_GB2312" w:hAnsi="宋体" w:eastAsia="仿宋_GB2312" w:cs="Courier New"/>
          <w:bCs/>
          <w:color w:val="auto"/>
          <w:sz w:val="24"/>
          <w:highlight w:val="none"/>
        </w:rPr>
      </w:pPr>
      <w:r>
        <w:rPr>
          <w:rFonts w:hint="eastAsia" w:ascii="仿宋_GB2312" w:hAnsi="宋体" w:eastAsia="仿宋_GB2312" w:cs="Courier New"/>
          <w:bCs/>
          <w:color w:val="auto"/>
          <w:sz w:val="24"/>
          <w:highlight w:val="none"/>
        </w:rPr>
        <w:t>2.</w:t>
      </w:r>
      <w:r>
        <w:rPr>
          <w:rFonts w:hint="eastAsia" w:ascii="仿宋_GB2312" w:hAnsi="宋体" w:eastAsia="仿宋_GB2312" w:cs="Courier New"/>
          <w:bCs/>
          <w:color w:val="auto"/>
          <w:sz w:val="24"/>
          <w:highlight w:val="none"/>
          <w:lang w:val="en-US" w:eastAsia="zh-CN"/>
        </w:rPr>
        <w:t>4</w:t>
      </w:r>
      <w:r>
        <w:rPr>
          <w:rFonts w:hint="eastAsia" w:ascii="仿宋_GB2312" w:hAnsi="宋体" w:eastAsia="仿宋_GB2312" w:cs="Courier New"/>
          <w:bCs/>
          <w:color w:val="auto"/>
          <w:sz w:val="24"/>
          <w:highlight w:val="none"/>
        </w:rPr>
        <w:t>“竞标”是指供应商按照本项目竞争性磋商公告或者邀请函规定的方式获取磋商文件、提交响应文件并希望获得标的的行为。</w:t>
      </w:r>
    </w:p>
    <w:p w14:paraId="2E51F267">
      <w:pPr>
        <w:snapToGrid w:val="0"/>
        <w:spacing w:line="420" w:lineRule="exact"/>
        <w:ind w:firstLine="240" w:firstLineChars="100"/>
        <w:jc w:val="left"/>
        <w:rPr>
          <w:rFonts w:hint="eastAsia" w:ascii="仿宋_GB2312" w:hAnsi="宋体" w:eastAsia="仿宋_GB2312" w:cs="Courier New"/>
          <w:bCs/>
          <w:color w:val="auto"/>
          <w:sz w:val="24"/>
          <w:highlight w:val="none"/>
        </w:rPr>
      </w:pPr>
      <w:r>
        <w:rPr>
          <w:rFonts w:hint="eastAsia" w:ascii="仿宋_GB2312" w:hAnsi="宋体" w:eastAsia="仿宋_GB2312" w:cs="Courier New"/>
          <w:bCs/>
          <w:color w:val="auto"/>
          <w:sz w:val="24"/>
          <w:highlight w:val="none"/>
        </w:rPr>
        <w:t>2.</w:t>
      </w:r>
      <w:r>
        <w:rPr>
          <w:rFonts w:hint="eastAsia" w:ascii="仿宋_GB2312" w:hAnsi="宋体" w:eastAsia="仿宋_GB2312" w:cs="Courier New"/>
          <w:bCs/>
          <w:color w:val="auto"/>
          <w:sz w:val="24"/>
          <w:highlight w:val="none"/>
          <w:lang w:val="en-US" w:eastAsia="zh-CN"/>
        </w:rPr>
        <w:t>5</w:t>
      </w:r>
      <w:r>
        <w:rPr>
          <w:rFonts w:hint="eastAsia" w:ascii="仿宋_GB2312" w:hAnsi="宋体" w:eastAsia="仿宋_GB2312" w:cs="Courier New"/>
          <w:bCs/>
          <w:color w:val="auto"/>
          <w:sz w:val="24"/>
          <w:highlight w:val="none"/>
        </w:rPr>
        <w:t>“书面形式”是指合同书、信件和数据电文（包括电报、电传、传真、电子数据交换和电子邮件）等可以有形地表现所载内容的形式。</w:t>
      </w:r>
    </w:p>
    <w:p w14:paraId="030D16EB">
      <w:pPr>
        <w:snapToGrid w:val="0"/>
        <w:spacing w:line="420" w:lineRule="exact"/>
        <w:ind w:firstLine="240" w:firstLineChars="100"/>
        <w:jc w:val="left"/>
        <w:rPr>
          <w:rFonts w:hint="eastAsia" w:ascii="仿宋_GB2312" w:hAnsi="宋体" w:eastAsia="仿宋_GB2312" w:cs="Courier New"/>
          <w:bCs/>
          <w:color w:val="auto"/>
          <w:sz w:val="24"/>
          <w:highlight w:val="none"/>
        </w:rPr>
      </w:pPr>
      <w:r>
        <w:rPr>
          <w:rFonts w:hint="eastAsia" w:ascii="仿宋_GB2312" w:hAnsi="宋体" w:eastAsia="仿宋_GB2312" w:cs="Courier New"/>
          <w:bCs/>
          <w:color w:val="auto"/>
          <w:sz w:val="24"/>
          <w:highlight w:val="none"/>
        </w:rPr>
        <w:t>2.</w:t>
      </w:r>
      <w:r>
        <w:rPr>
          <w:rFonts w:hint="eastAsia" w:ascii="仿宋_GB2312" w:hAnsi="宋体" w:eastAsia="仿宋_GB2312" w:cs="Courier New"/>
          <w:bCs/>
          <w:color w:val="auto"/>
          <w:sz w:val="24"/>
          <w:highlight w:val="none"/>
          <w:lang w:val="en-US" w:eastAsia="zh-CN"/>
        </w:rPr>
        <w:t>6</w:t>
      </w:r>
      <w:r>
        <w:rPr>
          <w:rFonts w:hint="eastAsia" w:ascii="仿宋_GB2312" w:hAnsi="宋体" w:eastAsia="仿宋_GB2312" w:cs="Courier New"/>
          <w:bCs/>
          <w:color w:val="auto"/>
          <w:sz w:val="24"/>
          <w:highlight w:val="none"/>
        </w:rPr>
        <w:t>“响应文件”是指：供应商根据本磋商文件要求，编制包含资格证明、报价、商务技术等所有内容的文件。</w:t>
      </w:r>
    </w:p>
    <w:p w14:paraId="592B3C5D">
      <w:pPr>
        <w:snapToGrid w:val="0"/>
        <w:spacing w:line="420" w:lineRule="exact"/>
        <w:ind w:firstLine="240" w:firstLineChars="100"/>
        <w:jc w:val="left"/>
        <w:rPr>
          <w:rFonts w:hint="eastAsia" w:ascii="仿宋_GB2312" w:hAnsi="宋体" w:eastAsia="仿宋_GB2312" w:cs="Courier New"/>
          <w:bCs/>
          <w:color w:val="auto"/>
          <w:sz w:val="24"/>
          <w:highlight w:val="none"/>
        </w:rPr>
      </w:pPr>
      <w:r>
        <w:rPr>
          <w:rFonts w:hint="eastAsia" w:ascii="仿宋_GB2312" w:hAnsi="宋体" w:eastAsia="仿宋_GB2312" w:cs="Courier New"/>
          <w:bCs/>
          <w:color w:val="auto"/>
          <w:sz w:val="24"/>
          <w:highlight w:val="none"/>
        </w:rPr>
        <w:t>2.</w:t>
      </w:r>
      <w:r>
        <w:rPr>
          <w:rFonts w:hint="eastAsia" w:ascii="仿宋_GB2312" w:hAnsi="宋体" w:eastAsia="仿宋_GB2312" w:cs="Courier New"/>
          <w:bCs/>
          <w:color w:val="auto"/>
          <w:sz w:val="24"/>
          <w:highlight w:val="none"/>
          <w:lang w:val="en-US" w:eastAsia="zh-CN"/>
        </w:rPr>
        <w:t>7</w:t>
      </w:r>
      <w:r>
        <w:rPr>
          <w:rFonts w:hint="eastAsia" w:ascii="仿宋_GB2312" w:hAnsi="宋体" w:eastAsia="仿宋_GB2312" w:cs="Courier New"/>
          <w:bCs/>
          <w:color w:val="auto"/>
          <w:sz w:val="24"/>
          <w:highlight w:val="none"/>
        </w:rPr>
        <w:t>“实质性要求”是指磋商文件中已经指明不满足则响应文件按无效处理的条款，或者不能负偏离的条款，或者采购需求中带“▲”的条款。</w:t>
      </w:r>
    </w:p>
    <w:p w14:paraId="028F3A3E">
      <w:pPr>
        <w:snapToGrid w:val="0"/>
        <w:spacing w:line="420" w:lineRule="exact"/>
        <w:ind w:firstLine="240" w:firstLineChars="100"/>
        <w:jc w:val="left"/>
        <w:rPr>
          <w:rFonts w:hint="eastAsia" w:ascii="仿宋_GB2312" w:hAnsi="宋体" w:eastAsia="仿宋_GB2312" w:cs="Courier New"/>
          <w:bCs/>
          <w:color w:val="auto"/>
          <w:sz w:val="24"/>
          <w:highlight w:val="none"/>
        </w:rPr>
      </w:pPr>
      <w:r>
        <w:rPr>
          <w:rFonts w:hint="eastAsia" w:ascii="仿宋_GB2312" w:hAnsi="宋体" w:eastAsia="仿宋_GB2312" w:cs="Courier New"/>
          <w:bCs/>
          <w:color w:val="auto"/>
          <w:sz w:val="24"/>
          <w:highlight w:val="none"/>
        </w:rPr>
        <w:t>2.</w:t>
      </w:r>
      <w:r>
        <w:rPr>
          <w:rFonts w:hint="eastAsia" w:ascii="仿宋_GB2312" w:hAnsi="宋体" w:eastAsia="仿宋_GB2312" w:cs="Courier New"/>
          <w:bCs/>
          <w:color w:val="auto"/>
          <w:sz w:val="24"/>
          <w:highlight w:val="none"/>
          <w:lang w:val="en-US" w:eastAsia="zh-CN"/>
        </w:rPr>
        <w:t>8</w:t>
      </w:r>
      <w:r>
        <w:rPr>
          <w:rFonts w:hint="eastAsia" w:ascii="仿宋_GB2312" w:hAnsi="宋体" w:eastAsia="仿宋_GB2312" w:cs="Courier New"/>
          <w:bCs/>
          <w:color w:val="auto"/>
          <w:sz w:val="24"/>
          <w:highlight w:val="none"/>
        </w:rPr>
        <w:t>“正偏离”，是指响应文件对磋商文件“采购需求”中有关条款作出的响应优于条款要求并有利于采购人的情形。</w:t>
      </w:r>
    </w:p>
    <w:p w14:paraId="5BC828C8">
      <w:pPr>
        <w:snapToGrid w:val="0"/>
        <w:spacing w:line="420" w:lineRule="exact"/>
        <w:ind w:firstLine="240" w:firstLineChars="100"/>
        <w:jc w:val="left"/>
        <w:rPr>
          <w:rFonts w:hint="eastAsia" w:ascii="仿宋_GB2312" w:hAnsi="宋体" w:eastAsia="仿宋_GB2312" w:cs="Courier New"/>
          <w:bCs/>
          <w:color w:val="auto"/>
          <w:sz w:val="24"/>
          <w:highlight w:val="none"/>
        </w:rPr>
      </w:pPr>
      <w:r>
        <w:rPr>
          <w:rFonts w:hint="eastAsia" w:ascii="仿宋_GB2312" w:hAnsi="宋体" w:eastAsia="仿宋_GB2312" w:cs="Courier New"/>
          <w:bCs/>
          <w:color w:val="auto"/>
          <w:sz w:val="24"/>
          <w:highlight w:val="none"/>
        </w:rPr>
        <w:t>2.</w:t>
      </w:r>
      <w:r>
        <w:rPr>
          <w:rFonts w:hint="eastAsia" w:ascii="仿宋_GB2312" w:hAnsi="宋体" w:eastAsia="仿宋_GB2312" w:cs="Courier New"/>
          <w:bCs/>
          <w:color w:val="auto"/>
          <w:sz w:val="24"/>
          <w:highlight w:val="none"/>
          <w:lang w:val="en-US" w:eastAsia="zh-CN"/>
        </w:rPr>
        <w:t>9</w:t>
      </w:r>
      <w:r>
        <w:rPr>
          <w:rFonts w:hint="eastAsia" w:ascii="仿宋_GB2312" w:hAnsi="宋体" w:eastAsia="仿宋_GB2312" w:cs="Courier New"/>
          <w:bCs/>
          <w:color w:val="auto"/>
          <w:sz w:val="24"/>
          <w:highlight w:val="none"/>
        </w:rPr>
        <w:t>“负偏离”，是指响应文件对磋商文件“采购需求”中有关条款作出的响应不满足条款要求，导致采购人要求不能得到满足的情形。</w:t>
      </w:r>
    </w:p>
    <w:p w14:paraId="29C1D082">
      <w:pPr>
        <w:snapToGrid w:val="0"/>
        <w:spacing w:line="420" w:lineRule="exact"/>
        <w:ind w:firstLine="240" w:firstLineChars="100"/>
        <w:jc w:val="left"/>
        <w:rPr>
          <w:rFonts w:hint="eastAsia" w:ascii="仿宋_GB2312" w:hAnsi="宋体" w:eastAsia="仿宋_GB2312" w:cs="Courier New"/>
          <w:bCs/>
          <w:color w:val="auto"/>
          <w:sz w:val="24"/>
          <w:highlight w:val="none"/>
        </w:rPr>
      </w:pPr>
      <w:r>
        <w:rPr>
          <w:rFonts w:hint="eastAsia" w:ascii="仿宋_GB2312" w:hAnsi="宋体" w:eastAsia="仿宋_GB2312" w:cs="Courier New"/>
          <w:bCs/>
          <w:color w:val="auto"/>
          <w:sz w:val="24"/>
          <w:highlight w:val="none"/>
        </w:rPr>
        <w:t>2.1</w:t>
      </w:r>
      <w:r>
        <w:rPr>
          <w:rFonts w:hint="eastAsia" w:ascii="仿宋_GB2312" w:hAnsi="宋体" w:eastAsia="仿宋_GB2312" w:cs="Courier New"/>
          <w:bCs/>
          <w:color w:val="auto"/>
          <w:sz w:val="24"/>
          <w:highlight w:val="none"/>
          <w:lang w:val="en-US" w:eastAsia="zh-CN"/>
        </w:rPr>
        <w:t>0</w:t>
      </w:r>
      <w:r>
        <w:rPr>
          <w:rFonts w:hint="eastAsia" w:ascii="仿宋_GB2312" w:hAnsi="宋体" w:eastAsia="仿宋_GB2312" w:cs="Courier New"/>
          <w:bCs/>
          <w:color w:val="auto"/>
          <w:sz w:val="24"/>
          <w:highlight w:val="none"/>
        </w:rPr>
        <w:t>“允许负偏离的条款”是指采购需求中的不属于“实质性要求”的条款。</w:t>
      </w:r>
    </w:p>
    <w:p w14:paraId="36DFDB87">
      <w:pPr>
        <w:snapToGrid w:val="0"/>
        <w:spacing w:line="420" w:lineRule="exact"/>
        <w:ind w:firstLine="240" w:firstLineChars="100"/>
        <w:jc w:val="left"/>
        <w:rPr>
          <w:rFonts w:hint="eastAsia" w:ascii="仿宋_GB2312" w:hAnsi="宋体" w:eastAsia="仿宋_GB2312" w:cs="Courier New"/>
          <w:bCs/>
          <w:color w:val="auto"/>
          <w:sz w:val="24"/>
          <w:highlight w:val="none"/>
        </w:rPr>
      </w:pPr>
      <w:r>
        <w:rPr>
          <w:rFonts w:hint="eastAsia" w:ascii="仿宋_GB2312" w:hAnsi="宋体" w:eastAsia="仿宋_GB2312" w:cs="Courier New"/>
          <w:bCs/>
          <w:color w:val="auto"/>
          <w:sz w:val="24"/>
          <w:highlight w:val="none"/>
        </w:rPr>
        <w:t>2.1</w:t>
      </w:r>
      <w:r>
        <w:rPr>
          <w:rFonts w:hint="eastAsia" w:ascii="仿宋_GB2312" w:hAnsi="宋体" w:eastAsia="仿宋_GB2312" w:cs="Courier New"/>
          <w:bCs/>
          <w:color w:val="auto"/>
          <w:sz w:val="24"/>
          <w:highlight w:val="none"/>
          <w:lang w:val="en-US" w:eastAsia="zh-CN"/>
        </w:rPr>
        <w:t>1</w:t>
      </w:r>
      <w:r>
        <w:rPr>
          <w:rFonts w:hint="eastAsia" w:ascii="仿宋_GB2312" w:hAnsi="宋体" w:eastAsia="仿宋_GB2312" w:cs="Courier New"/>
          <w:bCs/>
          <w:color w:val="auto"/>
          <w:sz w:val="24"/>
          <w:highlight w:val="none"/>
        </w:rPr>
        <w:t>“首次报价”是指供应商提交的首次响应文件中的报价。</w:t>
      </w:r>
    </w:p>
    <w:p w14:paraId="0F900C36">
      <w:pPr>
        <w:snapToGrid w:val="0"/>
        <w:spacing w:line="420" w:lineRule="exact"/>
        <w:ind w:firstLine="240" w:firstLineChars="100"/>
        <w:jc w:val="left"/>
        <w:rPr>
          <w:rFonts w:ascii="仿宋_GB2312" w:hAnsi="宋体" w:eastAsia="仿宋_GB2312"/>
          <w:bCs/>
          <w:color w:val="auto"/>
          <w:sz w:val="24"/>
          <w:highlight w:val="none"/>
        </w:rPr>
      </w:pPr>
      <w:r>
        <w:rPr>
          <w:rFonts w:hint="eastAsia" w:ascii="仿宋_GB2312" w:hAnsi="宋体" w:eastAsia="仿宋_GB2312" w:cs="Courier New"/>
          <w:color w:val="auto"/>
          <w:sz w:val="24"/>
          <w:highlight w:val="none"/>
        </w:rPr>
        <w:t>2.</w:t>
      </w:r>
      <w:r>
        <w:rPr>
          <w:rFonts w:hint="eastAsia" w:ascii="仿宋_GB2312" w:hAnsi="宋体" w:eastAsia="仿宋_GB2312" w:cs="Courier New"/>
          <w:color w:val="auto"/>
          <w:sz w:val="24"/>
          <w:highlight w:val="none"/>
          <w:lang w:val="en-US" w:eastAsia="zh-CN"/>
        </w:rPr>
        <w:t>12</w:t>
      </w:r>
      <w:r>
        <w:rPr>
          <w:rFonts w:hint="eastAsia" w:ascii="仿宋_GB2312" w:hAnsi="宋体" w:eastAsia="仿宋_GB2312" w:cs="Courier New"/>
          <w:color w:val="auto"/>
          <w:sz w:val="24"/>
          <w:highlight w:val="none"/>
        </w:rPr>
        <w:t>“签字”</w:t>
      </w:r>
      <w:bookmarkStart w:id="43" w:name="_Toc254970529"/>
      <w:bookmarkStart w:id="44" w:name="_Toc254970670"/>
      <w:r>
        <w:rPr>
          <w:rFonts w:hint="eastAsia" w:ascii="仿宋_GB2312" w:hAnsi="宋体" w:eastAsia="仿宋_GB2312" w:cs="Courier New"/>
          <w:color w:val="auto"/>
          <w:sz w:val="24"/>
          <w:highlight w:val="none"/>
        </w:rPr>
        <w:t>系指</w:t>
      </w:r>
      <w:r>
        <w:rPr>
          <w:rFonts w:hint="eastAsia" w:ascii="仿宋_GB2312" w:hAnsi="宋体" w:eastAsia="仿宋_GB2312" w:cs="Courier New"/>
          <w:color w:val="auto"/>
          <w:sz w:val="24"/>
          <w:highlight w:val="none"/>
          <w:lang w:val="en-US" w:eastAsia="zh-CN"/>
        </w:rPr>
        <w:t>供</w:t>
      </w:r>
      <w:r>
        <w:rPr>
          <w:rFonts w:hint="eastAsia" w:ascii="仿宋_GB2312" w:hAnsi="宋体" w:eastAsia="仿宋_GB2312" w:cs="Courier New"/>
          <w:color w:val="auto"/>
          <w:sz w:val="24"/>
          <w:highlight w:val="none"/>
        </w:rPr>
        <w:t>应商通过指定电子化政府采购平台办理数字证书（CA认证证书）获得的以供应商法定代表人或者委托代理人姓名制作的个人电子印章或手写签字。没有办理个人CA证书的，可以为手写签字的形式，表示同意、认可、承担责任或义务的行为。</w:t>
      </w:r>
    </w:p>
    <w:p w14:paraId="3AE80EF6">
      <w:pPr>
        <w:snapToGrid w:val="0"/>
        <w:spacing w:line="440" w:lineRule="exact"/>
        <w:ind w:firstLine="240" w:firstLineChars="100"/>
        <w:jc w:val="left"/>
        <w:rPr>
          <w:color w:val="auto"/>
          <w:highlight w:val="none"/>
        </w:rPr>
      </w:pPr>
      <w:r>
        <w:rPr>
          <w:rFonts w:hint="eastAsia" w:ascii="仿宋_GB2312" w:hAnsi="宋体" w:eastAsia="仿宋_GB2312"/>
          <w:bCs/>
          <w:color w:val="auto"/>
          <w:sz w:val="24"/>
          <w:szCs w:val="21"/>
          <w:highlight w:val="none"/>
        </w:rPr>
        <w:t>2.1</w:t>
      </w:r>
      <w:r>
        <w:rPr>
          <w:rFonts w:hint="eastAsia" w:ascii="仿宋_GB2312" w:hAnsi="宋体" w:eastAsia="仿宋_GB2312"/>
          <w:bCs/>
          <w:color w:val="auto"/>
          <w:sz w:val="24"/>
          <w:szCs w:val="21"/>
          <w:highlight w:val="none"/>
          <w:lang w:val="en-US" w:eastAsia="zh-CN"/>
        </w:rPr>
        <w:t>3</w:t>
      </w:r>
      <w:r>
        <w:rPr>
          <w:rFonts w:hint="eastAsia" w:ascii="仿宋_GB2312" w:hAnsi="宋体" w:eastAsia="仿宋_GB2312"/>
          <w:bCs/>
          <w:color w:val="auto"/>
          <w:sz w:val="24"/>
          <w:szCs w:val="21"/>
          <w:highlight w:val="none"/>
        </w:rPr>
        <w:t>“法定代表人”系指供应商的法定代表人、负责人或自然人。</w:t>
      </w:r>
    </w:p>
    <w:p w14:paraId="6A2048E8">
      <w:pPr>
        <w:snapToGrid w:val="0"/>
        <w:spacing w:line="42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3.采购方式</w:t>
      </w:r>
      <w:bookmarkEnd w:id="43"/>
      <w:bookmarkEnd w:id="44"/>
    </w:p>
    <w:p w14:paraId="416EC9BA">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3.1竞争性磋商方式。</w:t>
      </w:r>
    </w:p>
    <w:p w14:paraId="02CEA0BC">
      <w:pPr>
        <w:snapToGrid w:val="0"/>
        <w:spacing w:line="420" w:lineRule="exact"/>
        <w:jc w:val="left"/>
        <w:outlineLvl w:val="9"/>
        <w:rPr>
          <w:rFonts w:ascii="仿宋_GB2312" w:hAnsi="宋体" w:eastAsia="仿宋_GB2312"/>
          <w:b/>
          <w:color w:val="auto"/>
          <w:sz w:val="24"/>
          <w:highlight w:val="none"/>
        </w:rPr>
      </w:pPr>
      <w:bookmarkStart w:id="45" w:name="_Toc254970530"/>
      <w:bookmarkStart w:id="46" w:name="_Toc254970671"/>
      <w:r>
        <w:rPr>
          <w:rFonts w:hint="eastAsia" w:ascii="仿宋_GB2312" w:hAnsi="宋体" w:eastAsia="仿宋_GB2312"/>
          <w:b/>
          <w:color w:val="auto"/>
          <w:sz w:val="24"/>
          <w:highlight w:val="none"/>
        </w:rPr>
        <w:t>4.磋商委托</w:t>
      </w:r>
      <w:bookmarkEnd w:id="45"/>
      <w:bookmarkEnd w:id="46"/>
    </w:p>
    <w:p w14:paraId="7A0CD4F5">
      <w:pPr>
        <w:pStyle w:val="21"/>
        <w:snapToGrid w:val="0"/>
        <w:spacing w:line="420" w:lineRule="exact"/>
        <w:ind w:left="0" w:leftChars="0" w:firstLine="240" w:firstLineChars="1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4.1如供应商代表不是法定代表人，须有法定代表人出具的授权委托书（格式见第</w:t>
      </w:r>
      <w:r>
        <w:rPr>
          <w:rFonts w:hint="eastAsia" w:ascii="仿宋_GB2312" w:hAnsi="宋体" w:eastAsia="仿宋_GB2312"/>
          <w:color w:val="auto"/>
          <w:sz w:val="24"/>
          <w:highlight w:val="none"/>
          <w:lang w:val="en-US" w:eastAsia="zh-CN"/>
        </w:rPr>
        <w:t>五</w:t>
      </w:r>
      <w:r>
        <w:rPr>
          <w:rFonts w:hint="eastAsia" w:ascii="仿宋_GB2312" w:hAnsi="宋体" w:eastAsia="仿宋_GB2312"/>
          <w:color w:val="auto"/>
          <w:sz w:val="24"/>
          <w:highlight w:val="none"/>
        </w:rPr>
        <w:t>章响应文件格式）。</w:t>
      </w:r>
    </w:p>
    <w:p w14:paraId="56FC03FF">
      <w:pPr>
        <w:snapToGrid w:val="0"/>
        <w:spacing w:line="420" w:lineRule="exact"/>
        <w:jc w:val="left"/>
        <w:outlineLvl w:val="9"/>
        <w:rPr>
          <w:rFonts w:ascii="仿宋_GB2312" w:hAnsi="宋体" w:eastAsia="仿宋_GB2312"/>
          <w:b/>
          <w:color w:val="auto"/>
          <w:sz w:val="24"/>
          <w:highlight w:val="none"/>
        </w:rPr>
      </w:pPr>
      <w:bookmarkStart w:id="47" w:name="_Toc254970531"/>
      <w:bookmarkStart w:id="48" w:name="_Toc254970672"/>
      <w:r>
        <w:rPr>
          <w:rFonts w:hint="eastAsia" w:ascii="仿宋_GB2312" w:hAnsi="宋体" w:eastAsia="仿宋_GB2312"/>
          <w:b/>
          <w:color w:val="auto"/>
          <w:sz w:val="24"/>
          <w:highlight w:val="none"/>
        </w:rPr>
        <w:t>5.磋商费用</w:t>
      </w:r>
      <w:bookmarkEnd w:id="47"/>
      <w:bookmarkEnd w:id="48"/>
    </w:p>
    <w:p w14:paraId="3BD83865">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5.1供应商均应自行承担所有与磋商有关的全部费用（竞争性磋商文件有相关规定的除外）。</w:t>
      </w:r>
    </w:p>
    <w:p w14:paraId="00753A80">
      <w:pPr>
        <w:snapToGrid w:val="0"/>
        <w:spacing w:line="420" w:lineRule="exact"/>
        <w:jc w:val="left"/>
        <w:outlineLvl w:val="9"/>
        <w:rPr>
          <w:rFonts w:ascii="仿宋_GB2312" w:hAnsi="宋体" w:eastAsia="仿宋_GB2312"/>
          <w:b/>
          <w:color w:val="auto"/>
          <w:sz w:val="24"/>
          <w:highlight w:val="none"/>
        </w:rPr>
      </w:pPr>
      <w:r>
        <w:rPr>
          <w:rFonts w:hint="eastAsia" w:ascii="仿宋_GB2312" w:hAnsi="宋体" w:eastAsia="仿宋_GB2312"/>
          <w:b/>
          <w:color w:val="auto"/>
          <w:sz w:val="24"/>
          <w:highlight w:val="none"/>
        </w:rPr>
        <w:t>6.联合体磋商</w:t>
      </w:r>
    </w:p>
    <w:p w14:paraId="390CC42E">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6.1本项目</w:t>
      </w:r>
      <w:r>
        <w:rPr>
          <w:rFonts w:hint="eastAsia" w:ascii="仿宋_GB2312" w:hAnsi="宋体" w:eastAsia="仿宋_GB2312"/>
          <w:color w:val="auto"/>
          <w:sz w:val="24"/>
          <w:highlight w:val="none"/>
          <w:u w:val="single"/>
          <w:lang w:val="en-US" w:eastAsia="zh-CN"/>
        </w:rPr>
        <w:t>不</w:t>
      </w:r>
      <w:r>
        <w:rPr>
          <w:rFonts w:hint="eastAsia" w:ascii="仿宋_GB2312" w:hAnsi="宋体" w:eastAsia="仿宋_GB2312"/>
          <w:color w:val="auto"/>
          <w:sz w:val="24"/>
          <w:highlight w:val="none"/>
          <w:u w:val="single"/>
        </w:rPr>
        <w:t>接受</w:t>
      </w:r>
      <w:r>
        <w:rPr>
          <w:rFonts w:hint="eastAsia" w:ascii="仿宋_GB2312" w:hAnsi="宋体" w:eastAsia="仿宋_GB2312"/>
          <w:color w:val="auto"/>
          <w:sz w:val="24"/>
          <w:highlight w:val="none"/>
        </w:rPr>
        <w:t>联合体磋商。</w:t>
      </w:r>
    </w:p>
    <w:p w14:paraId="7039E03C">
      <w:pPr>
        <w:snapToGrid w:val="0"/>
        <w:spacing w:line="420" w:lineRule="exact"/>
        <w:rPr>
          <w:rFonts w:ascii="仿宋_GB2312" w:hAnsi="宋体" w:eastAsia="仿宋_GB2312" w:cs="宋体"/>
          <w:b/>
          <w:color w:val="auto"/>
          <w:kern w:val="0"/>
          <w:sz w:val="24"/>
          <w:highlight w:val="none"/>
        </w:rPr>
      </w:pPr>
      <w:r>
        <w:rPr>
          <w:rFonts w:hint="eastAsia" w:ascii="仿宋_GB2312" w:hAnsi="宋体" w:eastAsia="仿宋_GB2312"/>
          <w:b/>
          <w:color w:val="auto"/>
          <w:sz w:val="24"/>
          <w:highlight w:val="none"/>
        </w:rPr>
        <w:t>7.</w:t>
      </w:r>
      <w:r>
        <w:rPr>
          <w:rFonts w:hint="eastAsia" w:ascii="仿宋_GB2312" w:hAnsi="宋体" w:eastAsia="仿宋_GB2312" w:cs="宋体"/>
          <w:b/>
          <w:color w:val="auto"/>
          <w:kern w:val="0"/>
          <w:sz w:val="24"/>
          <w:highlight w:val="none"/>
        </w:rPr>
        <w:t>转包与分包</w:t>
      </w:r>
    </w:p>
    <w:p w14:paraId="53C0C71F">
      <w:pPr>
        <w:snapToGrid w:val="0"/>
        <w:spacing w:line="420" w:lineRule="exact"/>
        <w:ind w:firstLine="240" w:firstLineChars="100"/>
        <w:rPr>
          <w:rFonts w:ascii="仿宋_GB2312" w:hAnsi="宋体" w:eastAsia="仿宋_GB2312" w:cs="宋体"/>
          <w:color w:val="auto"/>
          <w:kern w:val="0"/>
          <w:sz w:val="24"/>
          <w:highlight w:val="none"/>
        </w:rPr>
      </w:pPr>
      <w:r>
        <w:rPr>
          <w:rFonts w:hint="eastAsia" w:ascii="仿宋_GB2312" w:hAnsi="宋体" w:eastAsia="仿宋_GB2312" w:cs="Courier New"/>
          <w:bCs/>
          <w:color w:val="auto"/>
          <w:sz w:val="24"/>
          <w:highlight w:val="none"/>
        </w:rPr>
        <w:t>7.1</w:t>
      </w:r>
      <w:r>
        <w:rPr>
          <w:rFonts w:hint="eastAsia" w:ascii="仿宋_GB2312" w:hAnsi="宋体" w:eastAsia="仿宋_GB2312" w:cs="宋体"/>
          <w:color w:val="auto"/>
          <w:kern w:val="0"/>
          <w:sz w:val="24"/>
          <w:highlight w:val="none"/>
        </w:rPr>
        <w:t>本项目不允许转包。</w:t>
      </w:r>
    </w:p>
    <w:p w14:paraId="068835D4">
      <w:pPr>
        <w:snapToGrid w:val="0"/>
        <w:spacing w:line="420" w:lineRule="exact"/>
        <w:ind w:firstLine="240" w:firstLineChars="100"/>
        <w:rPr>
          <w:rFonts w:ascii="仿宋_GB2312" w:hAnsi="宋体" w:eastAsia="仿宋_GB2312" w:cs="宋体"/>
          <w:color w:val="auto"/>
          <w:kern w:val="0"/>
          <w:sz w:val="24"/>
          <w:highlight w:val="none"/>
        </w:rPr>
      </w:pPr>
      <w:r>
        <w:rPr>
          <w:rFonts w:hint="eastAsia" w:ascii="仿宋_GB2312" w:hAnsi="宋体" w:eastAsia="仿宋_GB2312" w:cs="Courier New"/>
          <w:bCs/>
          <w:color w:val="auto"/>
          <w:sz w:val="24"/>
          <w:highlight w:val="none"/>
        </w:rPr>
        <w:t>7.2</w:t>
      </w:r>
      <w:r>
        <w:rPr>
          <w:rFonts w:hint="eastAsia" w:ascii="仿宋_GB2312" w:hAnsi="宋体" w:eastAsia="仿宋_GB2312" w:cs="宋体"/>
          <w:color w:val="auto"/>
          <w:kern w:val="0"/>
          <w:sz w:val="24"/>
          <w:highlight w:val="none"/>
        </w:rPr>
        <w:t>本项目不可以分包。</w:t>
      </w:r>
    </w:p>
    <w:p w14:paraId="402860D2">
      <w:pPr>
        <w:pStyle w:val="29"/>
        <w:snapToGrid w:val="0"/>
        <w:spacing w:line="400" w:lineRule="exact"/>
        <w:ind w:firstLine="240" w:firstLineChars="1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7.2.1享受扶持政策获得政府采购合同的，小微企业不得将合同分包给大中型企业，中型企业不得将合同分包给大型企业。</w:t>
      </w:r>
    </w:p>
    <w:p w14:paraId="1E57973C">
      <w:pPr>
        <w:snapToGrid w:val="0"/>
        <w:spacing w:line="420" w:lineRule="exact"/>
        <w:ind w:firstLine="240" w:firstLineChars="1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7.3本项目不允许挂靠。</w:t>
      </w:r>
    </w:p>
    <w:p w14:paraId="23328AB6">
      <w:pPr>
        <w:snapToGrid w:val="0"/>
        <w:spacing w:line="420" w:lineRule="exact"/>
        <w:jc w:val="left"/>
        <w:outlineLvl w:val="9"/>
        <w:rPr>
          <w:rFonts w:ascii="仿宋_GB2312" w:hAnsi="宋体" w:eastAsia="仿宋_GB2312"/>
          <w:b/>
          <w:color w:val="auto"/>
          <w:sz w:val="24"/>
          <w:highlight w:val="none"/>
        </w:rPr>
      </w:pPr>
      <w:bookmarkStart w:id="49" w:name="_Toc254970673"/>
      <w:bookmarkStart w:id="50" w:name="_Toc254970532"/>
      <w:r>
        <w:rPr>
          <w:rFonts w:hint="eastAsia" w:ascii="仿宋_GB2312" w:hAnsi="宋体" w:eastAsia="仿宋_GB2312"/>
          <w:b/>
          <w:color w:val="auto"/>
          <w:sz w:val="24"/>
          <w:highlight w:val="none"/>
        </w:rPr>
        <w:t>8.特别说明</w:t>
      </w:r>
      <w:bookmarkEnd w:id="49"/>
      <w:bookmarkEnd w:id="50"/>
    </w:p>
    <w:p w14:paraId="7D364779">
      <w:pPr>
        <w:widowControl/>
        <w:spacing w:line="420" w:lineRule="exact"/>
        <w:ind w:firstLine="240" w:firstLineChars="100"/>
        <w:jc w:val="left"/>
        <w:rPr>
          <w:rFonts w:ascii="仿宋_GB2312" w:hAnsi="宋体" w:eastAsia="仿宋_GB2312" w:cs="Courier New"/>
          <w:bCs/>
          <w:color w:val="auto"/>
          <w:sz w:val="24"/>
          <w:highlight w:val="none"/>
        </w:rPr>
      </w:pPr>
      <w:bookmarkStart w:id="51" w:name="_Toc254970674"/>
      <w:bookmarkStart w:id="52" w:name="_Toc254970533"/>
      <w:r>
        <w:rPr>
          <w:rFonts w:hint="eastAsia" w:ascii="仿宋_GB2312" w:hAnsi="宋体" w:eastAsia="仿宋_GB2312" w:cs="Courier New"/>
          <w:bCs/>
          <w:color w:val="auto"/>
          <w:sz w:val="24"/>
          <w:highlight w:val="none"/>
        </w:rPr>
        <w:t>8.1供应商响应所使用的资格、信誉、荣誉、业绩与企业认证必须为供应商所拥有。供应商响应的采购项目负责人必须为供应商员工（或必须本供应商或其控股公司员工）。</w:t>
      </w:r>
    </w:p>
    <w:p w14:paraId="06EDAACE">
      <w:pPr>
        <w:pStyle w:val="29"/>
        <w:snapToGrid w:val="0"/>
        <w:spacing w:line="420" w:lineRule="exact"/>
        <w:ind w:left="2" w:leftChars="1" w:firstLine="240" w:firstLineChars="1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8.2供应商应仔细阅读竞争性磋商文件的所有内容，按照竞争性磋商文件的要求提交响应文件，并对所提供的全部资料的真实性承担法律责任。</w:t>
      </w:r>
    </w:p>
    <w:p w14:paraId="0061C692">
      <w:pPr>
        <w:pStyle w:val="29"/>
        <w:snapToGrid w:val="0"/>
        <w:spacing w:line="420" w:lineRule="exact"/>
        <w:ind w:firstLine="240" w:firstLineChars="100"/>
        <w:outlineLvl w:val="9"/>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8.3关联供应商不得参加同一合同项下政府采购活动，否则响应文件将被视为无效：</w:t>
      </w:r>
    </w:p>
    <w:p w14:paraId="3CDC4255">
      <w:pPr>
        <w:pStyle w:val="29"/>
        <w:snapToGrid w:val="0"/>
        <w:spacing w:line="420" w:lineRule="exact"/>
        <w:ind w:firstLine="470" w:firstLineChars="196"/>
        <w:outlineLvl w:val="9"/>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8.3.1单位负责人为同一人或者存在直接控股、管理关系的不同的供应商，不得参加同一合同项下的政府采购活动。</w:t>
      </w:r>
    </w:p>
    <w:p w14:paraId="1FEC33D5">
      <w:pPr>
        <w:pStyle w:val="29"/>
        <w:snapToGrid w:val="0"/>
        <w:spacing w:line="420" w:lineRule="exact"/>
        <w:ind w:firstLine="240" w:firstLineChars="100"/>
        <w:outlineLvl w:val="9"/>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8.4除单一来源采购项目外，为采购项目提供整体设计、规范编制或者项目管理、监理、检测等服务的供应商，不得再参加该采购项目的其他采购活动。</w:t>
      </w:r>
    </w:p>
    <w:bookmarkEnd w:id="51"/>
    <w:bookmarkEnd w:id="52"/>
    <w:p w14:paraId="1BFBA08D">
      <w:pPr>
        <w:pStyle w:val="29"/>
        <w:snapToGrid w:val="0"/>
        <w:spacing w:line="420" w:lineRule="exact"/>
        <w:rPr>
          <w:rFonts w:ascii="仿宋_GB2312" w:hAnsi="宋体" w:eastAsia="仿宋_GB2312"/>
          <w:b/>
          <w:color w:val="auto"/>
          <w:sz w:val="24"/>
          <w:szCs w:val="24"/>
          <w:highlight w:val="none"/>
        </w:rPr>
      </w:pPr>
      <w:bookmarkStart w:id="53" w:name="_Toc254970534"/>
      <w:bookmarkStart w:id="54" w:name="_Toc254970675"/>
      <w:r>
        <w:rPr>
          <w:rFonts w:hint="eastAsia" w:ascii="仿宋_GB2312" w:hAnsi="宋体" w:eastAsia="仿宋_GB2312"/>
          <w:b/>
          <w:color w:val="auto"/>
          <w:sz w:val="24"/>
          <w:szCs w:val="24"/>
          <w:highlight w:val="none"/>
        </w:rPr>
        <w:t>二、竞争性磋商文件</w:t>
      </w:r>
      <w:bookmarkEnd w:id="53"/>
      <w:bookmarkEnd w:id="54"/>
    </w:p>
    <w:p w14:paraId="67ED3FB3">
      <w:pPr>
        <w:snapToGrid w:val="0"/>
        <w:spacing w:line="420" w:lineRule="exact"/>
        <w:jc w:val="left"/>
        <w:rPr>
          <w:rFonts w:ascii="仿宋_GB2312" w:hAnsi="宋体" w:eastAsia="仿宋_GB2312"/>
          <w:b/>
          <w:color w:val="auto"/>
          <w:sz w:val="24"/>
          <w:highlight w:val="none"/>
        </w:rPr>
      </w:pPr>
      <w:r>
        <w:rPr>
          <w:rFonts w:hint="eastAsia" w:ascii="仿宋_GB2312" w:hAnsi="宋体" w:eastAsia="仿宋_GB2312" w:cs="Courier New"/>
          <w:b/>
          <w:color w:val="auto"/>
          <w:sz w:val="24"/>
          <w:highlight w:val="none"/>
        </w:rPr>
        <w:t>9.竞争性磋商文件的构成</w:t>
      </w:r>
    </w:p>
    <w:p w14:paraId="12ED1DE2">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s="Courier New"/>
          <w:bCs/>
          <w:color w:val="auto"/>
          <w:sz w:val="24"/>
          <w:highlight w:val="none"/>
        </w:rPr>
        <w:t>（1）</w:t>
      </w:r>
      <w:r>
        <w:rPr>
          <w:rFonts w:hint="eastAsia" w:ascii="仿宋_GB2312" w:hAnsi="宋体" w:eastAsia="仿宋_GB2312"/>
          <w:color w:val="auto"/>
          <w:sz w:val="24"/>
          <w:highlight w:val="none"/>
        </w:rPr>
        <w:t>竞争性磋商公告；</w:t>
      </w:r>
    </w:p>
    <w:p w14:paraId="755C0F4B">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s="Courier New"/>
          <w:bCs/>
          <w:color w:val="auto"/>
          <w:sz w:val="24"/>
          <w:highlight w:val="none"/>
        </w:rPr>
        <w:t>（2）</w:t>
      </w:r>
      <w:r>
        <w:rPr>
          <w:rFonts w:hint="eastAsia" w:ascii="仿宋_GB2312" w:hAnsi="宋体" w:eastAsia="仿宋_GB2312"/>
          <w:color w:val="auto"/>
          <w:sz w:val="24"/>
          <w:highlight w:val="none"/>
        </w:rPr>
        <w:t>供应商须知；</w:t>
      </w:r>
    </w:p>
    <w:p w14:paraId="36A4EE7F">
      <w:pPr>
        <w:snapToGrid w:val="0"/>
        <w:spacing w:line="420" w:lineRule="exact"/>
        <w:ind w:firstLine="240" w:firstLineChars="100"/>
        <w:jc w:val="left"/>
        <w:rPr>
          <w:rFonts w:hint="eastAsia" w:ascii="仿宋_GB2312" w:hAnsi="宋体" w:eastAsia="仿宋_GB2312" w:cs="Courier New"/>
          <w:bCs/>
          <w:color w:val="auto"/>
          <w:sz w:val="24"/>
          <w:highlight w:val="none"/>
        </w:rPr>
      </w:pPr>
      <w:r>
        <w:rPr>
          <w:rFonts w:hint="eastAsia" w:ascii="仿宋_GB2312" w:hAnsi="宋体" w:eastAsia="仿宋_GB2312" w:cs="Courier New"/>
          <w:bCs/>
          <w:color w:val="auto"/>
          <w:sz w:val="24"/>
          <w:highlight w:val="none"/>
        </w:rPr>
        <w:t>（3）采购需求；</w:t>
      </w:r>
    </w:p>
    <w:p w14:paraId="61B47444">
      <w:pPr>
        <w:snapToGrid w:val="0"/>
        <w:spacing w:line="420" w:lineRule="exact"/>
        <w:ind w:firstLine="240" w:firstLineChars="100"/>
        <w:jc w:val="left"/>
        <w:rPr>
          <w:rFonts w:hint="eastAsia" w:ascii="仿宋_GB2312" w:hAnsi="宋体" w:eastAsia="仿宋_GB2312" w:cs="Courier New"/>
          <w:bCs/>
          <w:color w:val="auto"/>
          <w:sz w:val="24"/>
          <w:highlight w:val="none"/>
        </w:rPr>
      </w:pPr>
      <w:r>
        <w:rPr>
          <w:rFonts w:hint="eastAsia" w:ascii="仿宋_GB2312" w:hAnsi="宋体" w:eastAsia="仿宋_GB2312" w:cs="Courier New"/>
          <w:bCs/>
          <w:color w:val="auto"/>
          <w:sz w:val="24"/>
          <w:highlight w:val="none"/>
        </w:rPr>
        <w:t>（</w:t>
      </w:r>
      <w:r>
        <w:rPr>
          <w:rFonts w:hint="eastAsia" w:ascii="仿宋_GB2312" w:hAnsi="宋体" w:eastAsia="仿宋_GB2312" w:cs="Courier New"/>
          <w:bCs/>
          <w:color w:val="auto"/>
          <w:sz w:val="24"/>
          <w:highlight w:val="none"/>
          <w:lang w:val="en-US" w:eastAsia="zh-CN"/>
        </w:rPr>
        <w:t>4</w:t>
      </w:r>
      <w:r>
        <w:rPr>
          <w:rFonts w:hint="eastAsia" w:ascii="仿宋_GB2312" w:hAnsi="宋体" w:eastAsia="仿宋_GB2312" w:cs="Courier New"/>
          <w:bCs/>
          <w:color w:val="auto"/>
          <w:sz w:val="24"/>
          <w:highlight w:val="none"/>
        </w:rPr>
        <w:t>）评</w:t>
      </w:r>
      <w:r>
        <w:rPr>
          <w:rFonts w:hint="eastAsia" w:ascii="仿宋_GB2312" w:hAnsi="宋体" w:eastAsia="仿宋_GB2312" w:cs="Courier New"/>
          <w:bCs/>
          <w:color w:val="auto"/>
          <w:sz w:val="24"/>
          <w:highlight w:val="none"/>
          <w:lang w:val="en-US" w:eastAsia="zh-CN"/>
        </w:rPr>
        <w:t>审</w:t>
      </w:r>
      <w:r>
        <w:rPr>
          <w:rFonts w:hint="eastAsia" w:ascii="仿宋_GB2312" w:hAnsi="宋体" w:eastAsia="仿宋_GB2312" w:cs="Courier New"/>
          <w:bCs/>
          <w:color w:val="auto"/>
          <w:sz w:val="24"/>
          <w:highlight w:val="none"/>
        </w:rPr>
        <w:t>方法及评</w:t>
      </w:r>
      <w:r>
        <w:rPr>
          <w:rFonts w:hint="eastAsia" w:ascii="仿宋_GB2312" w:hAnsi="宋体" w:eastAsia="仿宋_GB2312" w:cs="Courier New"/>
          <w:bCs/>
          <w:color w:val="auto"/>
          <w:sz w:val="24"/>
          <w:highlight w:val="none"/>
          <w:lang w:val="en-US" w:eastAsia="zh-CN"/>
        </w:rPr>
        <w:t>审</w:t>
      </w:r>
      <w:r>
        <w:rPr>
          <w:rFonts w:hint="eastAsia" w:ascii="仿宋_GB2312" w:hAnsi="宋体" w:eastAsia="仿宋_GB2312" w:cs="Courier New"/>
          <w:bCs/>
          <w:color w:val="auto"/>
          <w:sz w:val="24"/>
          <w:highlight w:val="none"/>
        </w:rPr>
        <w:t>标准；</w:t>
      </w:r>
    </w:p>
    <w:p w14:paraId="4E69DEB7">
      <w:pPr>
        <w:snapToGrid w:val="0"/>
        <w:spacing w:line="420" w:lineRule="exact"/>
        <w:ind w:firstLine="240" w:firstLineChars="100"/>
        <w:jc w:val="left"/>
        <w:rPr>
          <w:rFonts w:hint="default" w:ascii="仿宋_GB2312" w:hAnsi="宋体" w:eastAsia="仿宋_GB2312" w:cs="Courier New"/>
          <w:bCs/>
          <w:color w:val="auto"/>
          <w:sz w:val="24"/>
          <w:highlight w:val="none"/>
          <w:lang w:val="en-US" w:eastAsia="zh-CN"/>
        </w:rPr>
      </w:pPr>
      <w:r>
        <w:rPr>
          <w:rFonts w:hint="eastAsia" w:ascii="仿宋_GB2312" w:hAnsi="宋体" w:eastAsia="仿宋_GB2312" w:cs="Courier New"/>
          <w:bCs/>
          <w:color w:val="auto"/>
          <w:sz w:val="24"/>
          <w:highlight w:val="none"/>
        </w:rPr>
        <w:t>（</w:t>
      </w:r>
      <w:r>
        <w:rPr>
          <w:rFonts w:hint="eastAsia" w:ascii="仿宋_GB2312" w:hAnsi="宋体" w:eastAsia="仿宋_GB2312" w:cs="Courier New"/>
          <w:bCs/>
          <w:color w:val="auto"/>
          <w:sz w:val="24"/>
          <w:highlight w:val="none"/>
          <w:lang w:val="en-US" w:eastAsia="zh-CN"/>
        </w:rPr>
        <w:t>5</w:t>
      </w:r>
      <w:r>
        <w:rPr>
          <w:rFonts w:hint="eastAsia" w:ascii="仿宋_GB2312" w:hAnsi="宋体" w:eastAsia="仿宋_GB2312" w:cs="Courier New"/>
          <w:bCs/>
          <w:color w:val="auto"/>
          <w:sz w:val="24"/>
          <w:highlight w:val="none"/>
        </w:rPr>
        <w:t>）</w:t>
      </w:r>
      <w:r>
        <w:rPr>
          <w:rFonts w:hint="eastAsia" w:ascii="仿宋_GB2312" w:hAnsi="宋体" w:eastAsia="仿宋_GB2312" w:cs="Courier New"/>
          <w:bCs/>
          <w:color w:val="auto"/>
          <w:sz w:val="24"/>
          <w:highlight w:val="none"/>
          <w:lang w:val="en-US" w:eastAsia="zh-CN"/>
        </w:rPr>
        <w:t>工程量清单及图纸</w:t>
      </w:r>
      <w:r>
        <w:rPr>
          <w:rFonts w:hint="eastAsia" w:ascii="仿宋_GB2312" w:hAnsi="宋体" w:eastAsia="仿宋_GB2312" w:cs="Courier New"/>
          <w:bCs/>
          <w:color w:val="auto"/>
          <w:sz w:val="24"/>
          <w:highlight w:val="none"/>
        </w:rPr>
        <w:t>；</w:t>
      </w:r>
    </w:p>
    <w:p w14:paraId="763B6D5C">
      <w:pPr>
        <w:snapToGrid w:val="0"/>
        <w:spacing w:line="420" w:lineRule="exact"/>
        <w:ind w:firstLine="240" w:firstLineChars="100"/>
        <w:jc w:val="left"/>
        <w:rPr>
          <w:rFonts w:ascii="仿宋_GB2312" w:hAnsi="宋体" w:eastAsia="仿宋_GB2312" w:cs="Courier New"/>
          <w:bCs/>
          <w:color w:val="auto"/>
          <w:sz w:val="24"/>
          <w:highlight w:val="none"/>
        </w:rPr>
      </w:pPr>
      <w:r>
        <w:rPr>
          <w:rFonts w:hint="eastAsia" w:ascii="仿宋_GB2312" w:hAnsi="宋体" w:eastAsia="仿宋_GB2312" w:cs="Courier New"/>
          <w:bCs/>
          <w:color w:val="auto"/>
          <w:sz w:val="24"/>
          <w:highlight w:val="none"/>
        </w:rPr>
        <w:t>（</w:t>
      </w:r>
      <w:r>
        <w:rPr>
          <w:rFonts w:hint="eastAsia" w:ascii="仿宋_GB2312" w:hAnsi="宋体" w:eastAsia="仿宋_GB2312" w:cs="Courier New"/>
          <w:bCs/>
          <w:color w:val="auto"/>
          <w:sz w:val="24"/>
          <w:highlight w:val="none"/>
          <w:lang w:val="en-US" w:eastAsia="zh-CN"/>
        </w:rPr>
        <w:t>6</w:t>
      </w:r>
      <w:r>
        <w:rPr>
          <w:rFonts w:hint="eastAsia" w:ascii="仿宋_GB2312" w:hAnsi="宋体" w:eastAsia="仿宋_GB2312" w:cs="Courier New"/>
          <w:bCs/>
          <w:color w:val="auto"/>
          <w:sz w:val="24"/>
          <w:highlight w:val="none"/>
        </w:rPr>
        <w:t>）响应文件格式；</w:t>
      </w:r>
    </w:p>
    <w:p w14:paraId="5E1819BD">
      <w:pPr>
        <w:snapToGrid w:val="0"/>
        <w:spacing w:line="420" w:lineRule="exact"/>
        <w:ind w:firstLine="240" w:firstLineChars="100"/>
        <w:jc w:val="left"/>
        <w:rPr>
          <w:rFonts w:ascii="仿宋_GB2312" w:hAnsi="宋体" w:eastAsia="仿宋_GB2312" w:cs="Courier New"/>
          <w:bCs/>
          <w:color w:val="auto"/>
          <w:sz w:val="24"/>
          <w:highlight w:val="none"/>
        </w:rPr>
      </w:pPr>
      <w:r>
        <w:rPr>
          <w:rFonts w:hint="eastAsia" w:ascii="仿宋_GB2312" w:hAnsi="宋体" w:eastAsia="仿宋_GB2312" w:cs="Courier New"/>
          <w:bCs/>
          <w:color w:val="auto"/>
          <w:sz w:val="24"/>
          <w:highlight w:val="none"/>
        </w:rPr>
        <w:t>（</w:t>
      </w:r>
      <w:r>
        <w:rPr>
          <w:rFonts w:hint="eastAsia" w:ascii="仿宋_GB2312" w:hAnsi="宋体" w:eastAsia="仿宋_GB2312" w:cs="Courier New"/>
          <w:bCs/>
          <w:color w:val="auto"/>
          <w:sz w:val="24"/>
          <w:highlight w:val="none"/>
          <w:lang w:val="en-US" w:eastAsia="zh-CN"/>
        </w:rPr>
        <w:t>7</w:t>
      </w:r>
      <w:r>
        <w:rPr>
          <w:rFonts w:hint="eastAsia" w:ascii="仿宋_GB2312" w:hAnsi="宋体" w:eastAsia="仿宋_GB2312" w:cs="Courier New"/>
          <w:bCs/>
          <w:color w:val="auto"/>
          <w:sz w:val="24"/>
          <w:highlight w:val="none"/>
        </w:rPr>
        <w:t>）合同主要条款及格式。</w:t>
      </w:r>
    </w:p>
    <w:p w14:paraId="1B94E3BC">
      <w:pPr>
        <w:snapToGrid w:val="0"/>
        <w:spacing w:line="420" w:lineRule="exact"/>
        <w:jc w:val="left"/>
        <w:rPr>
          <w:rFonts w:ascii="仿宋_GB2312" w:hAnsi="宋体" w:eastAsia="仿宋_GB2312" w:cs="Courier New"/>
          <w:b/>
          <w:color w:val="auto"/>
          <w:sz w:val="24"/>
          <w:highlight w:val="none"/>
        </w:rPr>
      </w:pPr>
      <w:r>
        <w:rPr>
          <w:rFonts w:hint="eastAsia" w:ascii="仿宋_GB2312" w:hAnsi="宋体" w:eastAsia="仿宋_GB2312" w:cs="Courier New"/>
          <w:b/>
          <w:color w:val="auto"/>
          <w:sz w:val="24"/>
          <w:highlight w:val="none"/>
        </w:rPr>
        <w:t>10.供应商的风险</w:t>
      </w:r>
    </w:p>
    <w:p w14:paraId="3C99A08A">
      <w:pPr>
        <w:snapToGrid w:val="0"/>
        <w:spacing w:line="420" w:lineRule="exact"/>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10.1供应商没有按照竞争性磋商文件要求提供全部资料，或者供应商没有对竞争性磋商文件在各方面作出实质性响应是供应商的风险，并可能导致其响应被拒绝。</w:t>
      </w:r>
    </w:p>
    <w:p w14:paraId="4486027C">
      <w:pPr>
        <w:snapToGrid w:val="0"/>
        <w:spacing w:line="420" w:lineRule="exact"/>
        <w:jc w:val="left"/>
        <w:rPr>
          <w:rFonts w:ascii="仿宋_GB2312" w:hAnsi="宋体" w:eastAsia="仿宋_GB2312"/>
          <w:b/>
          <w:color w:val="auto"/>
          <w:sz w:val="24"/>
          <w:highlight w:val="none"/>
        </w:rPr>
      </w:pPr>
      <w:r>
        <w:rPr>
          <w:rFonts w:hint="eastAsia" w:ascii="仿宋_GB2312" w:hAnsi="宋体" w:eastAsia="仿宋_GB2312" w:cs="Courier New"/>
          <w:b/>
          <w:color w:val="auto"/>
          <w:sz w:val="24"/>
          <w:highlight w:val="none"/>
        </w:rPr>
        <w:t>11.竞争性磋商文件的澄清与修改</w:t>
      </w:r>
    </w:p>
    <w:p w14:paraId="4FE13A12">
      <w:pPr>
        <w:pStyle w:val="29"/>
        <w:snapToGrid w:val="0"/>
        <w:spacing w:line="420" w:lineRule="exact"/>
        <w:ind w:firstLine="360" w:firstLineChars="15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14:paraId="2E101E78">
      <w:pPr>
        <w:snapToGrid w:val="0"/>
        <w:spacing w:line="420" w:lineRule="exact"/>
        <w:jc w:val="left"/>
        <w:rPr>
          <w:rFonts w:ascii="仿宋_GB2312" w:hAnsi="宋体" w:eastAsia="仿宋_GB2312" w:cs="Courier New"/>
          <w:b/>
          <w:color w:val="auto"/>
          <w:sz w:val="24"/>
          <w:highlight w:val="none"/>
        </w:rPr>
      </w:pPr>
      <w:bookmarkStart w:id="55" w:name="_Toc254970535"/>
      <w:bookmarkStart w:id="56" w:name="_Toc254970676"/>
      <w:r>
        <w:rPr>
          <w:rFonts w:hint="eastAsia" w:ascii="仿宋_GB2312" w:hAnsi="宋体" w:eastAsia="仿宋_GB2312" w:cs="Courier New"/>
          <w:b/>
          <w:color w:val="auto"/>
          <w:sz w:val="24"/>
          <w:highlight w:val="none"/>
        </w:rPr>
        <w:t>三、竞争性磋商电子响应文件的编制</w:t>
      </w:r>
      <w:bookmarkEnd w:id="55"/>
      <w:bookmarkEnd w:id="56"/>
    </w:p>
    <w:p w14:paraId="6F317A91">
      <w:pPr>
        <w:snapToGrid w:val="0"/>
        <w:spacing w:line="420" w:lineRule="exact"/>
        <w:ind w:firstLine="240" w:firstLineChars="100"/>
        <w:jc w:val="left"/>
        <w:rPr>
          <w:rFonts w:ascii="仿宋_GB2312" w:hAnsi="宋体" w:eastAsia="仿宋_GB2312"/>
          <w:color w:val="auto"/>
          <w:sz w:val="24"/>
          <w:highlight w:val="none"/>
        </w:rPr>
      </w:pPr>
      <w:bookmarkStart w:id="57" w:name="_Toc254970536"/>
      <w:bookmarkStart w:id="58" w:name="_Toc254970677"/>
      <w:r>
        <w:rPr>
          <w:rFonts w:hint="eastAsia" w:ascii="仿宋_GB2312" w:hAnsi="宋体" w:eastAsia="仿宋_GB2312"/>
          <w:color w:val="auto"/>
          <w:sz w:val="24"/>
          <w:highlight w:val="none"/>
        </w:rPr>
        <w:t>12.竞争性磋商响应文件编制基本要求</w:t>
      </w:r>
    </w:p>
    <w:p w14:paraId="483AF046">
      <w:pPr>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12.1磋商供应商提交的竞争性磋商电子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w:t>
      </w:r>
    </w:p>
    <w:p w14:paraId="330B801A">
      <w:pPr>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12.2磋商供应商应认真阅读、并充分理解本文件的全部内容（包括所有的澄清、更改、补充、答疑等内容），承诺并履行本文件中各项条款规定及要求。</w:t>
      </w:r>
    </w:p>
    <w:p w14:paraId="14F0F23B">
      <w:pPr>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12.3竞争性磋商响应文件必须按本文件的全部内容，包括所有的澄清、更改、补充、答疑等内容及附件进行编制。</w:t>
      </w:r>
    </w:p>
    <w:p w14:paraId="5656D31D">
      <w:pPr>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12.4如因磋商供应商只填写和提供了本文件要求的部分内容和附件，而给磋商小组评审造成困难，其可能导致的结果和责任由磋商供应商自行承担。</w:t>
      </w:r>
    </w:p>
    <w:bookmarkEnd w:id="57"/>
    <w:bookmarkEnd w:id="58"/>
    <w:p w14:paraId="01D167F4">
      <w:pPr>
        <w:snapToGrid w:val="0"/>
        <w:spacing w:line="460" w:lineRule="exact"/>
        <w:ind w:firstLine="482" w:firstLineChars="200"/>
        <w:jc w:val="lef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12.5电子竞争性磋商响应文件的组成：由资格文件、报价要求文件、商务技术文件三个部分组成。</w:t>
      </w:r>
    </w:p>
    <w:p w14:paraId="5710FA4D">
      <w:pPr>
        <w:snapToGrid w:val="0"/>
        <w:spacing w:line="420" w:lineRule="exact"/>
        <w:ind w:firstLine="713" w:firstLineChars="296"/>
        <w:jc w:val="left"/>
        <w:rPr>
          <w:rFonts w:ascii="仿宋_GB2312" w:eastAsia="仿宋_GB2312"/>
          <w:b/>
          <w:bCs/>
          <w:color w:val="auto"/>
          <w:sz w:val="24"/>
          <w:highlight w:val="none"/>
        </w:rPr>
      </w:pPr>
      <w:r>
        <w:rPr>
          <w:rFonts w:hint="eastAsia" w:ascii="仿宋_GB2312" w:hAnsi="宋体" w:eastAsia="仿宋_GB2312"/>
          <w:b/>
          <w:color w:val="auto"/>
          <w:sz w:val="24"/>
          <w:highlight w:val="none"/>
        </w:rPr>
        <w:t>12.5.1</w:t>
      </w:r>
      <w:r>
        <w:rPr>
          <w:rFonts w:hint="eastAsia" w:ascii="仿宋_GB2312" w:eastAsia="仿宋_GB2312"/>
          <w:b/>
          <w:bCs/>
          <w:color w:val="auto"/>
          <w:sz w:val="24"/>
          <w:highlight w:val="none"/>
        </w:rPr>
        <w:t>资格文件</w:t>
      </w:r>
    </w:p>
    <w:p w14:paraId="141BFC63">
      <w:pPr>
        <w:snapToGrid w:val="0"/>
        <w:spacing w:line="360" w:lineRule="auto"/>
        <w:ind w:firstLine="472" w:firstLineChars="196"/>
        <w:jc w:val="left"/>
        <w:rPr>
          <w:rFonts w:ascii="仿宋_GB2312" w:hAnsi="宋体" w:eastAsia="仿宋_GB2312"/>
          <w:b/>
          <w:color w:val="auto"/>
          <w:sz w:val="24"/>
          <w:highlight w:val="none"/>
        </w:rPr>
      </w:pPr>
      <w:r>
        <w:rPr>
          <w:rFonts w:hint="eastAsia" w:ascii="仿宋_GB2312" w:hAnsi="宋体" w:eastAsia="仿宋_GB2312"/>
          <w:b/>
          <w:bCs/>
          <w:color w:val="auto"/>
          <w:sz w:val="24"/>
          <w:highlight w:val="none"/>
        </w:rPr>
        <w:t>注：</w:t>
      </w:r>
      <w:r>
        <w:rPr>
          <w:rFonts w:hint="eastAsia" w:ascii="仿宋_GB2312" w:hAnsi="宋体" w:eastAsia="仿宋_GB2312"/>
          <w:b/>
          <w:color w:val="auto"/>
          <w:sz w:val="24"/>
          <w:highlight w:val="none"/>
        </w:rPr>
        <w:t>以下各项有必须提供字眼的</w:t>
      </w:r>
      <w:r>
        <w:rPr>
          <w:rFonts w:hint="eastAsia" w:ascii="仿宋_GB2312" w:hAnsi="宋体" w:eastAsia="仿宋_GB2312"/>
          <w:b/>
          <w:color w:val="auto"/>
          <w:sz w:val="24"/>
          <w:highlight w:val="none"/>
          <w:lang w:val="en-US" w:eastAsia="zh-CN"/>
        </w:rPr>
        <w:t>一定要提供</w:t>
      </w:r>
      <w:r>
        <w:rPr>
          <w:rFonts w:hint="eastAsia" w:ascii="仿宋_GB2312" w:hAnsi="宋体" w:eastAsia="仿宋_GB2312"/>
          <w:b/>
          <w:color w:val="auto"/>
          <w:sz w:val="24"/>
          <w:highlight w:val="none"/>
        </w:rPr>
        <w:t>，</w:t>
      </w:r>
      <w:r>
        <w:rPr>
          <w:rFonts w:hint="eastAsia" w:ascii="仿宋_GB2312" w:hAnsi="宋体" w:eastAsia="仿宋_GB2312"/>
          <w:b/>
          <w:color w:val="auto"/>
          <w:sz w:val="24"/>
          <w:highlight w:val="none"/>
          <w:lang w:val="en-US" w:eastAsia="zh-CN"/>
        </w:rPr>
        <w:t>同时</w:t>
      </w:r>
      <w:r>
        <w:rPr>
          <w:rFonts w:hint="eastAsia" w:ascii="仿宋_GB2312" w:hAnsi="宋体" w:eastAsia="仿宋_GB2312"/>
          <w:b/>
          <w:color w:val="auto"/>
          <w:sz w:val="24"/>
          <w:highlight w:val="none"/>
        </w:rPr>
        <w:t>加盖供应商</w:t>
      </w:r>
      <w:r>
        <w:rPr>
          <w:rFonts w:hint="eastAsia" w:ascii="仿宋_GB2312" w:hAnsi="宋体" w:eastAsia="仿宋_GB2312"/>
          <w:b/>
          <w:bCs/>
          <w:color w:val="auto"/>
          <w:sz w:val="24"/>
          <w:highlight w:val="none"/>
        </w:rPr>
        <w:t>CA电子签章</w:t>
      </w:r>
      <w:r>
        <w:rPr>
          <w:rFonts w:hint="eastAsia" w:ascii="仿宋_GB2312" w:hAnsi="宋体" w:eastAsia="仿宋_GB2312"/>
          <w:b/>
          <w:color w:val="auto"/>
          <w:sz w:val="24"/>
          <w:highlight w:val="none"/>
        </w:rPr>
        <w:t>，</w:t>
      </w:r>
      <w:r>
        <w:rPr>
          <w:rFonts w:hint="eastAsia" w:ascii="仿宋_GB2312" w:eastAsia="仿宋_GB2312"/>
          <w:b/>
          <w:bCs/>
          <w:color w:val="auto"/>
          <w:sz w:val="24"/>
          <w:highlight w:val="none"/>
        </w:rPr>
        <w:t>按照第</w:t>
      </w:r>
      <w:r>
        <w:rPr>
          <w:rFonts w:hint="eastAsia" w:ascii="仿宋_GB2312" w:eastAsia="仿宋_GB2312"/>
          <w:b/>
          <w:bCs/>
          <w:color w:val="auto"/>
          <w:sz w:val="24"/>
          <w:highlight w:val="none"/>
          <w:lang w:val="en-US" w:eastAsia="zh-CN"/>
        </w:rPr>
        <w:t>五</w:t>
      </w:r>
      <w:r>
        <w:rPr>
          <w:rFonts w:hint="eastAsia" w:ascii="仿宋_GB2312" w:eastAsia="仿宋_GB2312"/>
          <w:b/>
          <w:bCs/>
          <w:color w:val="auto"/>
          <w:sz w:val="24"/>
          <w:highlight w:val="none"/>
        </w:rPr>
        <w:t>章格式要求签字</w:t>
      </w:r>
      <w:r>
        <w:rPr>
          <w:rFonts w:hint="eastAsia" w:ascii="仿宋_GB2312" w:hAnsi="宋体" w:eastAsia="仿宋_GB2312"/>
          <w:b/>
          <w:color w:val="auto"/>
          <w:sz w:val="24"/>
          <w:highlight w:val="none"/>
        </w:rPr>
        <w:t>，其余各项如有请提供，同时要加盖供应商CA电子签章，否则其响应无效。</w:t>
      </w:r>
    </w:p>
    <w:p w14:paraId="0B700938">
      <w:pPr>
        <w:tabs>
          <w:tab w:val="left" w:pos="3870"/>
          <w:tab w:val="left" w:pos="4085"/>
        </w:tabs>
        <w:snapToGrid w:val="0"/>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（1）法定代表人身份证明书（</w:t>
      </w:r>
      <w:r>
        <w:rPr>
          <w:rFonts w:hint="eastAsia" w:ascii="仿宋_GB2312" w:hAnsi="宋体" w:eastAsia="仿宋_GB2312"/>
          <w:b/>
          <w:color w:val="auto"/>
          <w:sz w:val="24"/>
          <w:highlight w:val="none"/>
          <w:lang w:bidi="ar"/>
        </w:rPr>
        <w:t>必须提供，</w:t>
      </w:r>
      <w:r>
        <w:rPr>
          <w:rFonts w:hint="eastAsia" w:ascii="仿宋_GB2312" w:hAnsi="宋体" w:eastAsia="仿宋_GB2312"/>
          <w:color w:val="auto"/>
          <w:sz w:val="24"/>
          <w:highlight w:val="none"/>
        </w:rPr>
        <w:t>格式见第</w:t>
      </w:r>
      <w:r>
        <w:rPr>
          <w:rFonts w:hint="eastAsia" w:ascii="仿宋_GB2312" w:hAnsi="宋体" w:eastAsia="仿宋_GB2312"/>
          <w:color w:val="auto"/>
          <w:sz w:val="24"/>
          <w:highlight w:val="none"/>
          <w:lang w:val="en-US" w:eastAsia="zh-CN"/>
        </w:rPr>
        <w:t>五</w:t>
      </w:r>
      <w:r>
        <w:rPr>
          <w:rFonts w:hint="eastAsia" w:ascii="仿宋_GB2312" w:hAnsi="宋体" w:eastAsia="仿宋_GB2312"/>
          <w:color w:val="auto"/>
          <w:sz w:val="24"/>
          <w:highlight w:val="none"/>
        </w:rPr>
        <w:t>章）；</w:t>
      </w:r>
    </w:p>
    <w:p w14:paraId="703978DE">
      <w:pPr>
        <w:tabs>
          <w:tab w:val="left" w:pos="3870"/>
          <w:tab w:val="left" w:pos="4085"/>
        </w:tabs>
        <w:snapToGrid w:val="0"/>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（2）法定代表人授权委托书（</w:t>
      </w:r>
      <w:r>
        <w:rPr>
          <w:rFonts w:hint="eastAsia" w:ascii="仿宋_GB2312" w:hAnsi="宋体" w:eastAsia="仿宋_GB2312"/>
          <w:b/>
          <w:bCs/>
          <w:color w:val="auto"/>
          <w:sz w:val="24"/>
          <w:highlight w:val="none"/>
        </w:rPr>
        <w:t>委托代理时必须提供，</w:t>
      </w:r>
      <w:r>
        <w:rPr>
          <w:rFonts w:hint="eastAsia" w:ascii="仿宋_GB2312" w:hAnsi="宋体" w:eastAsia="仿宋_GB2312"/>
          <w:color w:val="auto"/>
          <w:sz w:val="24"/>
          <w:highlight w:val="none"/>
        </w:rPr>
        <w:t>格式见第</w:t>
      </w:r>
      <w:r>
        <w:rPr>
          <w:rFonts w:hint="eastAsia" w:ascii="仿宋_GB2312" w:hAnsi="宋体" w:eastAsia="仿宋_GB2312"/>
          <w:color w:val="auto"/>
          <w:sz w:val="24"/>
          <w:highlight w:val="none"/>
          <w:lang w:val="en-US" w:eastAsia="zh-CN"/>
        </w:rPr>
        <w:t>五</w:t>
      </w:r>
      <w:r>
        <w:rPr>
          <w:rFonts w:hint="eastAsia" w:ascii="仿宋_GB2312" w:hAnsi="宋体" w:eastAsia="仿宋_GB2312"/>
          <w:color w:val="auto"/>
          <w:sz w:val="24"/>
          <w:highlight w:val="none"/>
        </w:rPr>
        <w:t>章）；</w:t>
      </w:r>
    </w:p>
    <w:p w14:paraId="33D76E90">
      <w:pPr>
        <w:tabs>
          <w:tab w:val="left" w:pos="3870"/>
          <w:tab w:val="left" w:pos="4085"/>
        </w:tabs>
        <w:snapToGrid w:val="0"/>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（3）供应商资格声明函（</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格式见第</w:t>
      </w:r>
      <w:r>
        <w:rPr>
          <w:rFonts w:hint="eastAsia" w:ascii="仿宋_GB2312" w:eastAsia="仿宋_GB2312"/>
          <w:color w:val="auto"/>
          <w:sz w:val="24"/>
          <w:highlight w:val="none"/>
          <w:lang w:val="en-US" w:eastAsia="zh-CN"/>
        </w:rPr>
        <w:t>五</w:t>
      </w:r>
      <w:r>
        <w:rPr>
          <w:rFonts w:hint="eastAsia" w:ascii="仿宋_GB2312" w:eastAsia="仿宋_GB2312"/>
          <w:color w:val="auto"/>
          <w:sz w:val="24"/>
          <w:highlight w:val="none"/>
        </w:rPr>
        <w:t>章）；</w:t>
      </w:r>
    </w:p>
    <w:p w14:paraId="1A6581A5">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360" w:lineRule="auto"/>
        <w:ind w:firstLine="480" w:firstLineChars="200"/>
        <w:jc w:val="left"/>
        <w:textAlignment w:val="auto"/>
        <w:rPr>
          <w:rFonts w:hint="eastAsia" w:ascii="仿宋_GB2312" w:eastAsia="仿宋_GB2312"/>
          <w:color w:val="auto"/>
          <w:sz w:val="24"/>
          <w:highlight w:val="none"/>
        </w:rPr>
      </w:pPr>
      <w:r>
        <w:rPr>
          <w:rFonts w:hint="eastAsia" w:ascii="仿宋_GB2312" w:eastAsia="仿宋_GB2312"/>
          <w:color w:val="auto"/>
          <w:sz w:val="24"/>
          <w:highlight w:val="none"/>
        </w:rPr>
        <w:t>（4）供应商</w:t>
      </w:r>
      <w:r>
        <w:rPr>
          <w:rFonts w:hint="eastAsia" w:ascii="仿宋_GB2312" w:eastAsia="仿宋_GB2312"/>
          <w:color w:val="auto"/>
          <w:sz w:val="24"/>
          <w:highlight w:val="none"/>
          <w:lang w:val="en-US" w:eastAsia="zh-CN"/>
        </w:rPr>
        <w:t>有效</w:t>
      </w:r>
      <w:r>
        <w:rPr>
          <w:rFonts w:hint="eastAsia" w:ascii="仿宋_GB2312" w:eastAsia="仿宋_GB2312"/>
          <w:color w:val="auto"/>
          <w:sz w:val="24"/>
          <w:highlight w:val="none"/>
        </w:rPr>
        <w:t>主体资格证明（如营业执照、事业单位法人证书、执业许可证、自然人身份证等）（</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w:t>
      </w:r>
    </w:p>
    <w:p w14:paraId="1CA0368E">
      <w:pPr>
        <w:tabs>
          <w:tab w:val="left" w:pos="3870"/>
          <w:tab w:val="left" w:pos="4085"/>
        </w:tabs>
        <w:snapToGrid w:val="0"/>
        <w:spacing w:line="360" w:lineRule="auto"/>
        <w:ind w:firstLine="482" w:firstLineChars="200"/>
        <w:jc w:val="left"/>
        <w:rPr>
          <w:rFonts w:hint="eastAsia" w:ascii="仿宋_GB2312" w:eastAsia="仿宋_GB2312"/>
          <w:b/>
          <w:bCs/>
          <w:color w:val="auto"/>
          <w:sz w:val="24"/>
          <w:highlight w:val="none"/>
          <w:lang w:val="en-US" w:eastAsia="zh-CN"/>
        </w:rPr>
      </w:pPr>
      <w:r>
        <w:rPr>
          <w:rFonts w:hint="eastAsia" w:ascii="仿宋_GB2312" w:eastAsia="仿宋_GB2312"/>
          <w:b/>
          <w:bCs/>
          <w:color w:val="auto"/>
          <w:sz w:val="24"/>
          <w:highlight w:val="none"/>
        </w:rPr>
        <w:t>（</w:t>
      </w:r>
      <w:r>
        <w:rPr>
          <w:rFonts w:hint="eastAsia" w:ascii="仿宋_GB2312" w:eastAsia="仿宋_GB2312"/>
          <w:b/>
          <w:bCs/>
          <w:color w:val="auto"/>
          <w:sz w:val="24"/>
          <w:highlight w:val="none"/>
          <w:lang w:val="en-US" w:eastAsia="zh-CN"/>
        </w:rPr>
        <w:t>5）本项目属于专门面向</w:t>
      </w:r>
      <w:r>
        <w:rPr>
          <w:rFonts w:hint="eastAsia" w:ascii="仿宋_GB2312" w:eastAsia="仿宋_GB2312"/>
          <w:b/>
          <w:bCs/>
          <w:color w:val="auto"/>
          <w:sz w:val="24"/>
          <w:highlight w:val="none"/>
          <w:lang w:val="en-US" w:eastAsia="zh-CN"/>
        </w:rPr>
        <w:t>小微</w:t>
      </w:r>
      <w:r>
        <w:rPr>
          <w:rFonts w:hint="eastAsia" w:ascii="仿宋_GB2312" w:eastAsia="仿宋_GB2312"/>
          <w:b/>
          <w:bCs/>
          <w:color w:val="auto"/>
          <w:sz w:val="24"/>
          <w:highlight w:val="none"/>
          <w:lang w:val="en-US" w:eastAsia="zh-CN"/>
        </w:rPr>
        <w:t>企业采购的项目，供应商必须提供以下中小企业证明材料之一：</w:t>
      </w:r>
    </w:p>
    <w:p w14:paraId="7514E010">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360" w:lineRule="auto"/>
        <w:ind w:firstLine="720" w:firstLineChars="300"/>
        <w:jc w:val="left"/>
        <w:textAlignment w:val="auto"/>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①中小企业声明函（工程由</w:t>
      </w:r>
      <w:r>
        <w:rPr>
          <w:rFonts w:hint="eastAsia" w:ascii="仿宋_GB2312" w:eastAsia="仿宋_GB2312"/>
          <w:color w:val="auto"/>
          <w:sz w:val="24"/>
          <w:highlight w:val="none"/>
          <w:lang w:val="en-US" w:eastAsia="zh-CN"/>
        </w:rPr>
        <w:t>小微</w:t>
      </w:r>
      <w:r>
        <w:rPr>
          <w:rFonts w:hint="eastAsia" w:ascii="仿宋_GB2312" w:eastAsia="仿宋_GB2312"/>
          <w:color w:val="auto"/>
          <w:sz w:val="24"/>
          <w:highlight w:val="none"/>
          <w:lang w:val="en-US" w:eastAsia="zh-CN"/>
        </w:rPr>
        <w:t>企业承建的必须提供，格式见第五章）；</w:t>
      </w:r>
    </w:p>
    <w:p w14:paraId="6E71BBF5">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360" w:lineRule="auto"/>
        <w:ind w:firstLine="720" w:firstLineChars="300"/>
        <w:jc w:val="left"/>
        <w:textAlignment w:val="auto"/>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②残疾人福利性单位声明函（工程由残疾人福利性单位承建的必须提供，格式见第五章）；</w:t>
      </w:r>
    </w:p>
    <w:p w14:paraId="3CCEE4FD">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360" w:lineRule="auto"/>
        <w:ind w:firstLine="720" w:firstLineChars="300"/>
        <w:jc w:val="left"/>
        <w:textAlignment w:val="auto"/>
        <w:rPr>
          <w:rFonts w:hint="eastAsia" w:ascii="仿宋_GB2312" w:hAnsi="Times New Roman" w:eastAsia="仿宋_GB2312" w:cs="Times New Roman"/>
          <w:color w:val="auto"/>
          <w:sz w:val="24"/>
          <w:highlight w:val="none"/>
          <w:lang w:val="en-US" w:eastAsia="zh-CN"/>
        </w:rPr>
      </w:pPr>
      <w:r>
        <w:rPr>
          <w:rFonts w:hint="eastAsia" w:ascii="仿宋_GB2312" w:hAnsi="Times New Roman" w:eastAsia="仿宋_GB2312" w:cs="Times New Roman"/>
          <w:color w:val="auto"/>
          <w:sz w:val="24"/>
          <w:highlight w:val="none"/>
          <w:lang w:val="en-US" w:eastAsia="zh-CN"/>
        </w:rPr>
        <w:t>③监狱企业由省级以上监狱管理局、戒毒管理局（含新疆生产建设兵团）出具的属于监狱企业的证明文件（工程由监狱企业承建的必须提供）；</w:t>
      </w:r>
    </w:p>
    <w:p w14:paraId="5462F300">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360" w:lineRule="auto"/>
        <w:ind w:firstLine="480" w:firstLineChars="200"/>
        <w:jc w:val="left"/>
        <w:textAlignment w:val="auto"/>
        <w:rPr>
          <w:rFonts w:hint="eastAsia"/>
          <w:color w:val="auto"/>
          <w:highlight w:val="none"/>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6</w:t>
      </w: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供应商直接控股、管理关系信息表</w:t>
      </w:r>
      <w:r>
        <w:rPr>
          <w:rFonts w:hint="eastAsia" w:ascii="仿宋_GB2312" w:eastAsia="仿宋_GB2312"/>
          <w:color w:val="auto"/>
          <w:sz w:val="24"/>
          <w:highlight w:val="none"/>
        </w:rPr>
        <w:t>（</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格式见第</w:t>
      </w:r>
      <w:r>
        <w:rPr>
          <w:rFonts w:hint="eastAsia" w:ascii="仿宋_GB2312" w:eastAsia="仿宋_GB2312"/>
          <w:color w:val="auto"/>
          <w:sz w:val="24"/>
          <w:highlight w:val="none"/>
          <w:lang w:val="en-US" w:eastAsia="zh-CN"/>
        </w:rPr>
        <w:t>五</w:t>
      </w:r>
      <w:r>
        <w:rPr>
          <w:rFonts w:hint="eastAsia" w:ascii="仿宋_GB2312" w:eastAsia="仿宋_GB2312"/>
          <w:color w:val="auto"/>
          <w:sz w:val="24"/>
          <w:highlight w:val="none"/>
        </w:rPr>
        <w:t>章）；</w:t>
      </w:r>
    </w:p>
    <w:p w14:paraId="005C84F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（7）本项目的特定资格要求证明材料：</w:t>
      </w:r>
      <w:r>
        <w:rPr>
          <w:rFonts w:hint="eastAsia" w:ascii="仿宋_GB2312" w:eastAsia="仿宋_GB2312"/>
          <w:color w:val="auto"/>
          <w:sz w:val="24"/>
          <w:highlight w:val="none"/>
        </w:rPr>
        <w:t>（</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否则响应文件按无效处理</w:t>
      </w:r>
      <w:r>
        <w:rPr>
          <w:rFonts w:hint="eastAsia" w:ascii="仿宋_GB2312" w:eastAsia="仿宋_GB2312"/>
          <w:color w:val="auto"/>
          <w:sz w:val="24"/>
          <w:highlight w:val="none"/>
        </w:rPr>
        <w:t>）；</w:t>
      </w:r>
    </w:p>
    <w:p w14:paraId="56D72D5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①供应商须</w:t>
      </w:r>
      <w:r>
        <w:rPr>
          <w:rFonts w:hint="eastAsia" w:ascii="仿宋" w:hAnsi="仿宋" w:eastAsia="仿宋" w:cs="仿宋"/>
          <w:color w:val="auto"/>
          <w:sz w:val="24"/>
          <w:szCs w:val="24"/>
          <w:highlight w:val="none"/>
        </w:rPr>
        <w:t>具</w:t>
      </w:r>
      <w:r>
        <w:rPr>
          <w:rFonts w:hint="eastAsia" w:ascii="仿宋" w:hAnsi="仿宋" w:eastAsia="仿宋" w:cs="仿宋"/>
          <w:color w:val="auto"/>
          <w:sz w:val="24"/>
          <w:szCs w:val="24"/>
          <w:highlight w:val="none"/>
          <w:lang w:val="en-US" w:eastAsia="zh-CN"/>
        </w:rPr>
        <w:t>备有效的</w:t>
      </w:r>
      <w:r>
        <w:rPr>
          <w:rFonts w:hint="eastAsia" w:ascii="仿宋" w:hAnsi="仿宋" w:eastAsia="仿宋" w:cs="仿宋"/>
          <w:color w:val="auto"/>
          <w:sz w:val="24"/>
          <w:szCs w:val="24"/>
          <w:highlight w:val="none"/>
        </w:rPr>
        <w:t>输变电工程专业承包三级（含）以上资质或电力工程施工总承包三级（含）以上资质，具备国家电力监管委员会颁发在《承装（修、试）电力设施许可证》承装类</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级（含）以上</w:t>
      </w:r>
      <w:r>
        <w:rPr>
          <w:rFonts w:hint="eastAsia" w:ascii="仿宋_GB2312" w:hAnsi="仿宋_GB2312" w:eastAsia="仿宋_GB2312" w:cs="仿宋_GB2312"/>
          <w:color w:val="auto"/>
          <w:sz w:val="24"/>
          <w:szCs w:val="24"/>
          <w:highlight w:val="none"/>
          <w:lang w:val="en-US" w:eastAsia="zh-CN"/>
        </w:rPr>
        <w:t>资质证书复印件</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且同时具有省级或以上建设行政主管部门颁发的建筑施工企业安全生产许可证复印件。</w:t>
      </w:r>
    </w:p>
    <w:p w14:paraId="5C0022EE">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360" w:lineRule="auto"/>
        <w:ind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②供应商</w:t>
      </w:r>
      <w:r>
        <w:rPr>
          <w:rFonts w:hint="eastAsia" w:ascii="仿宋" w:hAnsi="仿宋" w:eastAsia="仿宋" w:cs="仿宋"/>
          <w:color w:val="auto"/>
          <w:sz w:val="24"/>
          <w:szCs w:val="24"/>
          <w:highlight w:val="none"/>
        </w:rPr>
        <w:t>拟</w:t>
      </w:r>
      <w:r>
        <w:rPr>
          <w:rFonts w:hint="eastAsia" w:ascii="仿宋" w:hAnsi="仿宋" w:eastAsia="仿宋" w:cs="仿宋"/>
          <w:color w:val="auto"/>
          <w:sz w:val="24"/>
          <w:szCs w:val="24"/>
          <w:highlight w:val="none"/>
          <w:lang w:val="en-US" w:eastAsia="zh-CN"/>
        </w:rPr>
        <w:t>派</w:t>
      </w:r>
      <w:r>
        <w:rPr>
          <w:rFonts w:hint="eastAsia" w:ascii="仿宋" w:hAnsi="仿宋" w:eastAsia="仿宋" w:cs="仿宋"/>
          <w:color w:val="auto"/>
          <w:sz w:val="24"/>
          <w:szCs w:val="24"/>
          <w:highlight w:val="none"/>
        </w:rPr>
        <w:t>的项目经理须</w:t>
      </w:r>
      <w:r>
        <w:rPr>
          <w:rFonts w:hint="eastAsia" w:ascii="仿宋" w:hAnsi="仿宋" w:eastAsia="仿宋" w:cs="仿宋"/>
          <w:color w:val="auto"/>
          <w:sz w:val="24"/>
          <w:szCs w:val="24"/>
          <w:highlight w:val="none"/>
          <w:lang w:val="en-US" w:eastAsia="zh-CN"/>
        </w:rPr>
        <w:t>具备有效的</w:t>
      </w:r>
      <w:r>
        <w:rPr>
          <w:rFonts w:hint="eastAsia" w:ascii="仿宋" w:hAnsi="仿宋" w:eastAsia="仿宋" w:cs="仿宋"/>
          <w:color w:val="auto"/>
          <w:sz w:val="24"/>
          <w:szCs w:val="24"/>
          <w:highlight w:val="none"/>
        </w:rPr>
        <w:t>贰级以上（含贰级）的机电工程专业（以建造师注册证书中“专业类别”栏所填写的专业为准）</w:t>
      </w:r>
      <w:r>
        <w:rPr>
          <w:rFonts w:hint="eastAsia" w:ascii="仿宋_GB2312" w:hAnsi="仿宋_GB2312" w:eastAsia="仿宋_GB2312" w:cs="仿宋_GB2312"/>
          <w:color w:val="auto"/>
          <w:sz w:val="24"/>
          <w:szCs w:val="24"/>
          <w:highlight w:val="none"/>
          <w:lang w:val="en-US" w:eastAsia="zh-CN"/>
        </w:rPr>
        <w:t>注册建造师证书复印件，且具备有效的B类安全生产考核合格证复印件</w:t>
      </w:r>
      <w:r>
        <w:rPr>
          <w:rFonts w:hint="eastAsia" w:ascii="仿宋_GB2312" w:hAnsi="仿宋_GB2312" w:eastAsia="仿宋_GB2312" w:cs="仿宋_GB2312"/>
          <w:color w:val="auto"/>
          <w:sz w:val="24"/>
          <w:szCs w:val="24"/>
          <w:highlight w:val="none"/>
        </w:rPr>
        <w:t>。</w:t>
      </w:r>
    </w:p>
    <w:p w14:paraId="4ECFDAD1">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③</w:t>
      </w:r>
      <w:r>
        <w:rPr>
          <w:rFonts w:hint="eastAsia" w:ascii="仿宋" w:hAnsi="仿宋" w:eastAsia="仿宋" w:cs="仿宋"/>
          <w:color w:val="auto"/>
          <w:sz w:val="24"/>
          <w:szCs w:val="24"/>
          <w:highlight w:val="none"/>
        </w:rPr>
        <w:t>拟</w:t>
      </w:r>
      <w:r>
        <w:rPr>
          <w:rFonts w:hint="eastAsia" w:ascii="仿宋" w:hAnsi="仿宋" w:eastAsia="仿宋" w:cs="仿宋"/>
          <w:color w:val="auto"/>
          <w:sz w:val="24"/>
          <w:szCs w:val="24"/>
          <w:highlight w:val="none"/>
          <w:lang w:val="en-US" w:eastAsia="zh-CN"/>
        </w:rPr>
        <w:t>派</w:t>
      </w:r>
      <w:r>
        <w:rPr>
          <w:rFonts w:hint="eastAsia" w:ascii="仿宋" w:hAnsi="仿宋" w:eastAsia="仿宋" w:cs="仿宋"/>
          <w:color w:val="auto"/>
          <w:sz w:val="24"/>
          <w:szCs w:val="24"/>
          <w:highlight w:val="none"/>
        </w:rPr>
        <w:t>的</w:t>
      </w:r>
      <w:r>
        <w:rPr>
          <w:rFonts w:hint="eastAsia" w:ascii="仿宋_GB2312" w:hAnsi="仿宋_GB2312" w:eastAsia="仿宋_GB2312" w:cs="仿宋_GB2312"/>
          <w:color w:val="auto"/>
          <w:sz w:val="24"/>
          <w:szCs w:val="24"/>
          <w:highlight w:val="none"/>
          <w:lang w:val="en-US" w:eastAsia="zh-CN"/>
        </w:rPr>
        <w:t>项目经理三年内无重大安全生产事故和无在建工程承诺书（格式见第五章）。</w:t>
      </w:r>
    </w:p>
    <w:p w14:paraId="719D9704">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④</w:t>
      </w:r>
      <w:r>
        <w:rPr>
          <w:rFonts w:hint="eastAsia" w:ascii="仿宋" w:hAnsi="仿宋" w:eastAsia="仿宋" w:cs="仿宋"/>
          <w:color w:val="auto"/>
          <w:sz w:val="24"/>
          <w:szCs w:val="24"/>
          <w:highlight w:val="none"/>
        </w:rPr>
        <w:t>拟</w:t>
      </w:r>
      <w:r>
        <w:rPr>
          <w:rFonts w:hint="eastAsia" w:ascii="仿宋" w:hAnsi="仿宋" w:eastAsia="仿宋" w:cs="仿宋"/>
          <w:color w:val="auto"/>
          <w:sz w:val="24"/>
          <w:szCs w:val="24"/>
          <w:highlight w:val="none"/>
          <w:lang w:val="en-US" w:eastAsia="zh-CN"/>
        </w:rPr>
        <w:t>派的专职安全员有效的C类安全生产考核合格证书复印件。</w:t>
      </w:r>
    </w:p>
    <w:p w14:paraId="27799DE5">
      <w:pPr>
        <w:keepNext w:val="0"/>
        <w:keepLines w:val="0"/>
        <w:pageBreakBefore w:val="0"/>
        <w:widowControl w:val="0"/>
        <w:numPr>
          <w:ilvl w:val="0"/>
          <w:numId w:val="0"/>
        </w:numPr>
        <w:tabs>
          <w:tab w:val="left" w:pos="3870"/>
          <w:tab w:val="left" w:pos="4085"/>
        </w:tabs>
        <w:kinsoku/>
        <w:wordWrap/>
        <w:overflowPunct/>
        <w:topLinePunct w:val="0"/>
        <w:autoSpaceDE/>
        <w:autoSpaceDN/>
        <w:bidi w:val="0"/>
        <w:adjustRightInd/>
        <w:snapToGrid w:val="0"/>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（8）供应商认为资格审查需要提供的其他材料（如有）。</w:t>
      </w:r>
    </w:p>
    <w:p w14:paraId="449C2780">
      <w:pPr>
        <w:keepNext w:val="0"/>
        <w:keepLines w:val="0"/>
        <w:pageBreakBefore w:val="0"/>
        <w:widowControl w:val="0"/>
        <w:numPr>
          <w:ilvl w:val="0"/>
          <w:numId w:val="0"/>
        </w:numPr>
        <w:tabs>
          <w:tab w:val="left" w:pos="3870"/>
          <w:tab w:val="left" w:pos="4085"/>
        </w:tabs>
        <w:kinsoku/>
        <w:wordWrap/>
        <w:overflowPunct/>
        <w:topLinePunct w:val="0"/>
        <w:autoSpaceDE/>
        <w:autoSpaceDN/>
        <w:bidi w:val="0"/>
        <w:adjustRightInd/>
        <w:snapToGrid w:val="0"/>
        <w:spacing w:line="360" w:lineRule="auto"/>
        <w:ind w:firstLine="480" w:firstLineChars="20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注：供应商如为分支机构竞标的，须提供其总公司“营业执照”副本复印件和总公司对供应商的授权书，否则按无效响应处理。</w:t>
      </w:r>
    </w:p>
    <w:p w14:paraId="077B3FBE">
      <w:pPr>
        <w:keepNext w:val="0"/>
        <w:keepLines w:val="0"/>
        <w:pageBreakBefore w:val="0"/>
        <w:widowControl w:val="0"/>
        <w:kinsoku/>
        <w:wordWrap/>
        <w:overflowPunct/>
        <w:topLinePunct w:val="0"/>
        <w:autoSpaceDE/>
        <w:autoSpaceDN/>
        <w:bidi w:val="0"/>
        <w:adjustRightInd/>
        <w:snapToGrid w:val="0"/>
        <w:spacing w:line="360" w:lineRule="auto"/>
        <w:ind w:firstLine="713" w:firstLineChars="296"/>
        <w:jc w:val="left"/>
        <w:textAlignment w:val="auto"/>
        <w:rPr>
          <w:rFonts w:ascii="仿宋_GB2312" w:hAnsi="宋体" w:eastAsia="仿宋_GB2312"/>
          <w:b/>
          <w:color w:val="auto"/>
          <w:sz w:val="24"/>
          <w:highlight w:val="none"/>
        </w:rPr>
      </w:pPr>
      <w:r>
        <w:rPr>
          <w:rFonts w:hint="eastAsia" w:ascii="仿宋_GB2312" w:hAnsi="宋体" w:eastAsia="仿宋_GB2312"/>
          <w:b/>
          <w:color w:val="auto"/>
          <w:sz w:val="24"/>
          <w:highlight w:val="none"/>
        </w:rPr>
        <w:t>12.5.2</w:t>
      </w:r>
      <w:r>
        <w:rPr>
          <w:rFonts w:hint="eastAsia" w:ascii="仿宋_GB2312" w:hAnsi="宋体" w:eastAsia="仿宋_GB2312"/>
          <w:b/>
          <w:bCs/>
          <w:color w:val="auto"/>
          <w:sz w:val="24"/>
          <w:highlight w:val="none"/>
        </w:rPr>
        <w:t>报价要求文件</w:t>
      </w:r>
    </w:p>
    <w:p w14:paraId="6DEACB60">
      <w:pPr>
        <w:keepNext w:val="0"/>
        <w:keepLines w:val="0"/>
        <w:pageBreakBefore w:val="0"/>
        <w:widowControl w:val="0"/>
        <w:kinsoku/>
        <w:wordWrap/>
        <w:overflowPunct/>
        <w:topLinePunct w:val="0"/>
        <w:autoSpaceDE/>
        <w:autoSpaceDN/>
        <w:bidi w:val="0"/>
        <w:adjustRightInd/>
        <w:snapToGrid w:val="0"/>
        <w:spacing w:line="360" w:lineRule="auto"/>
        <w:ind w:firstLine="713" w:firstLineChars="296"/>
        <w:jc w:val="left"/>
        <w:textAlignment w:val="auto"/>
        <w:rPr>
          <w:rFonts w:ascii="仿宋_GB2312" w:hAnsi="宋体" w:eastAsia="仿宋_GB2312"/>
          <w:b/>
          <w:color w:val="auto"/>
          <w:sz w:val="24"/>
          <w:highlight w:val="none"/>
        </w:rPr>
      </w:pPr>
      <w:r>
        <w:rPr>
          <w:rFonts w:hint="eastAsia" w:ascii="仿宋_GB2312" w:hAnsi="宋体" w:eastAsia="仿宋_GB2312"/>
          <w:b/>
          <w:bCs/>
          <w:color w:val="auto"/>
          <w:sz w:val="24"/>
          <w:highlight w:val="none"/>
        </w:rPr>
        <w:t>注</w:t>
      </w:r>
      <w:r>
        <w:rPr>
          <w:rFonts w:hint="eastAsia" w:ascii="仿宋_GB2312" w:hAnsi="宋体" w:eastAsia="仿宋_GB2312"/>
          <w:b/>
          <w:color w:val="auto"/>
          <w:sz w:val="24"/>
          <w:highlight w:val="none"/>
        </w:rPr>
        <w:t>：以下各项有必须提供字眼的</w:t>
      </w:r>
      <w:r>
        <w:rPr>
          <w:rFonts w:hint="eastAsia" w:ascii="仿宋_GB2312" w:hAnsi="宋体" w:eastAsia="仿宋_GB2312"/>
          <w:b/>
          <w:color w:val="auto"/>
          <w:sz w:val="24"/>
          <w:highlight w:val="none"/>
          <w:lang w:val="en-US" w:eastAsia="zh-CN"/>
        </w:rPr>
        <w:t>一定要提供</w:t>
      </w:r>
      <w:r>
        <w:rPr>
          <w:rFonts w:hint="eastAsia" w:ascii="仿宋_GB2312" w:hAnsi="宋体" w:eastAsia="仿宋_GB2312"/>
          <w:b/>
          <w:color w:val="auto"/>
          <w:sz w:val="24"/>
          <w:highlight w:val="none"/>
        </w:rPr>
        <w:t>，</w:t>
      </w:r>
      <w:r>
        <w:rPr>
          <w:rFonts w:hint="eastAsia" w:ascii="仿宋_GB2312" w:hAnsi="宋体" w:eastAsia="仿宋_GB2312"/>
          <w:b/>
          <w:color w:val="auto"/>
          <w:sz w:val="24"/>
          <w:highlight w:val="none"/>
          <w:lang w:val="en-US" w:eastAsia="zh-CN"/>
        </w:rPr>
        <w:t>并且</w:t>
      </w:r>
      <w:r>
        <w:rPr>
          <w:rFonts w:hint="eastAsia" w:ascii="仿宋_GB2312" w:hAnsi="宋体" w:eastAsia="仿宋_GB2312"/>
          <w:b/>
          <w:color w:val="auto"/>
          <w:sz w:val="24"/>
          <w:highlight w:val="none"/>
        </w:rPr>
        <w:t>加盖供应商</w:t>
      </w:r>
      <w:r>
        <w:rPr>
          <w:rFonts w:hint="eastAsia" w:ascii="仿宋_GB2312" w:hAnsi="宋体" w:eastAsia="仿宋_GB2312"/>
          <w:b/>
          <w:bCs/>
          <w:color w:val="auto"/>
          <w:sz w:val="24"/>
          <w:highlight w:val="none"/>
        </w:rPr>
        <w:t>CA电子签章</w:t>
      </w:r>
      <w:r>
        <w:rPr>
          <w:rFonts w:hint="eastAsia" w:ascii="仿宋_GB2312" w:hAnsi="宋体" w:eastAsia="仿宋_GB2312"/>
          <w:b/>
          <w:color w:val="auto"/>
          <w:sz w:val="24"/>
          <w:highlight w:val="none"/>
        </w:rPr>
        <w:t>，</w:t>
      </w:r>
      <w:r>
        <w:rPr>
          <w:rFonts w:hint="eastAsia" w:ascii="仿宋_GB2312" w:eastAsia="仿宋_GB2312"/>
          <w:b/>
          <w:bCs/>
          <w:color w:val="auto"/>
          <w:sz w:val="24"/>
          <w:highlight w:val="none"/>
        </w:rPr>
        <w:t>按照第</w:t>
      </w:r>
      <w:r>
        <w:rPr>
          <w:rFonts w:hint="eastAsia" w:ascii="仿宋_GB2312" w:eastAsia="仿宋_GB2312"/>
          <w:b/>
          <w:bCs/>
          <w:color w:val="auto"/>
          <w:sz w:val="24"/>
          <w:highlight w:val="none"/>
          <w:lang w:val="en-US" w:eastAsia="zh-CN"/>
        </w:rPr>
        <w:t>五</w:t>
      </w:r>
      <w:r>
        <w:rPr>
          <w:rFonts w:hint="eastAsia" w:ascii="仿宋_GB2312" w:eastAsia="仿宋_GB2312"/>
          <w:b/>
          <w:bCs/>
          <w:color w:val="auto"/>
          <w:sz w:val="24"/>
          <w:highlight w:val="none"/>
        </w:rPr>
        <w:t>章格式要求签字</w:t>
      </w:r>
      <w:r>
        <w:rPr>
          <w:rFonts w:hint="eastAsia" w:ascii="仿宋_GB2312" w:hAnsi="宋体" w:eastAsia="仿宋_GB2312"/>
          <w:b/>
          <w:color w:val="auto"/>
          <w:sz w:val="24"/>
          <w:highlight w:val="none"/>
        </w:rPr>
        <w:t>，其余各项如有请提供，同时要加盖供应商CA电子签章，否则其响应无效。</w:t>
      </w:r>
    </w:p>
    <w:p w14:paraId="58CF1172">
      <w:pPr>
        <w:keepNext w:val="0"/>
        <w:keepLines w:val="0"/>
        <w:pageBreakBefore w:val="0"/>
        <w:widowControl w:val="0"/>
        <w:numPr>
          <w:ilvl w:val="0"/>
          <w:numId w:val="0"/>
        </w:numPr>
        <w:tabs>
          <w:tab w:val="left" w:pos="3870"/>
          <w:tab w:val="left" w:pos="4085"/>
        </w:tabs>
        <w:kinsoku/>
        <w:wordWrap/>
        <w:overflowPunct/>
        <w:topLinePunct w:val="0"/>
        <w:autoSpaceDE/>
        <w:autoSpaceDN/>
        <w:bidi w:val="0"/>
        <w:adjustRightInd/>
        <w:snapToGrid w:val="0"/>
        <w:spacing w:line="360" w:lineRule="auto"/>
        <w:ind w:firstLine="480" w:firstLineChars="200"/>
        <w:jc w:val="left"/>
        <w:textAlignment w:val="auto"/>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（1）竞标函及竞标函附录（</w:t>
      </w:r>
      <w:r>
        <w:rPr>
          <w:rFonts w:hint="eastAsia" w:ascii="仿宋_GB2312" w:eastAsia="仿宋_GB2312"/>
          <w:b/>
          <w:bCs/>
          <w:color w:val="auto"/>
          <w:sz w:val="24"/>
          <w:highlight w:val="none"/>
          <w:lang w:val="en-US" w:eastAsia="zh-CN"/>
        </w:rPr>
        <w:t>必须提供</w:t>
      </w:r>
      <w:r>
        <w:rPr>
          <w:rFonts w:hint="eastAsia" w:ascii="仿宋_GB2312" w:eastAsia="仿宋_GB2312"/>
          <w:color w:val="auto"/>
          <w:sz w:val="24"/>
          <w:highlight w:val="none"/>
          <w:lang w:val="en-US" w:eastAsia="zh-CN"/>
        </w:rPr>
        <w:t>，格式见第五章）；</w:t>
      </w:r>
    </w:p>
    <w:p w14:paraId="0BC91027">
      <w:pPr>
        <w:keepNext w:val="0"/>
        <w:keepLines w:val="0"/>
        <w:pageBreakBefore w:val="0"/>
        <w:widowControl w:val="0"/>
        <w:numPr>
          <w:ilvl w:val="0"/>
          <w:numId w:val="0"/>
        </w:numPr>
        <w:tabs>
          <w:tab w:val="left" w:pos="3870"/>
          <w:tab w:val="left" w:pos="4085"/>
        </w:tabs>
        <w:kinsoku/>
        <w:wordWrap/>
        <w:overflowPunct/>
        <w:topLinePunct w:val="0"/>
        <w:autoSpaceDE/>
        <w:autoSpaceDN/>
        <w:bidi w:val="0"/>
        <w:adjustRightInd/>
        <w:snapToGrid w:val="0"/>
        <w:spacing w:line="360" w:lineRule="auto"/>
        <w:ind w:firstLine="480" w:firstLineChars="200"/>
        <w:jc w:val="left"/>
        <w:textAlignment w:val="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（2）</w:t>
      </w:r>
      <w:r>
        <w:rPr>
          <w:rFonts w:hint="eastAsia" w:ascii="仿宋_GB2312" w:hAnsi="宋体" w:eastAsia="仿宋_GB2312"/>
          <w:color w:val="auto"/>
          <w:sz w:val="24"/>
          <w:highlight w:val="none"/>
          <w:lang w:val="en-US" w:eastAsia="zh-CN"/>
        </w:rPr>
        <w:t>竞标报价表</w:t>
      </w:r>
      <w:r>
        <w:rPr>
          <w:rFonts w:hint="eastAsia" w:ascii="仿宋_GB2312" w:hAnsi="宋体" w:eastAsia="仿宋_GB2312"/>
          <w:color w:val="auto"/>
          <w:sz w:val="24"/>
          <w:highlight w:val="none"/>
        </w:rPr>
        <w:t>（</w:t>
      </w:r>
      <w:r>
        <w:rPr>
          <w:rFonts w:hint="eastAsia" w:ascii="仿宋_GB2312" w:hAnsi="宋体" w:eastAsia="仿宋_GB2312"/>
          <w:b/>
          <w:bCs/>
          <w:color w:val="auto"/>
          <w:sz w:val="24"/>
          <w:highlight w:val="none"/>
        </w:rPr>
        <w:t>必须提供，</w:t>
      </w:r>
      <w:r>
        <w:rPr>
          <w:rFonts w:hint="eastAsia" w:ascii="仿宋_GB2312" w:hAnsi="宋体" w:eastAsia="仿宋_GB2312"/>
          <w:color w:val="auto"/>
          <w:sz w:val="24"/>
          <w:highlight w:val="none"/>
        </w:rPr>
        <w:t>格式见第</w:t>
      </w:r>
      <w:r>
        <w:rPr>
          <w:rFonts w:hint="eastAsia" w:ascii="仿宋_GB2312" w:hAnsi="宋体" w:eastAsia="仿宋_GB2312"/>
          <w:color w:val="auto"/>
          <w:sz w:val="24"/>
          <w:highlight w:val="none"/>
          <w:lang w:val="en-US" w:eastAsia="zh-CN"/>
        </w:rPr>
        <w:t>五</w:t>
      </w:r>
      <w:r>
        <w:rPr>
          <w:rFonts w:hint="eastAsia" w:ascii="仿宋_GB2312" w:hAnsi="宋体" w:eastAsia="仿宋_GB2312"/>
          <w:color w:val="auto"/>
          <w:sz w:val="24"/>
          <w:highlight w:val="none"/>
        </w:rPr>
        <w:t>章）；</w:t>
      </w:r>
    </w:p>
    <w:p w14:paraId="3E702988">
      <w:pPr>
        <w:keepNext w:val="0"/>
        <w:keepLines w:val="0"/>
        <w:pageBreakBefore w:val="0"/>
        <w:widowControl w:val="0"/>
        <w:numPr>
          <w:ilvl w:val="0"/>
          <w:numId w:val="0"/>
        </w:numPr>
        <w:tabs>
          <w:tab w:val="left" w:pos="3870"/>
          <w:tab w:val="left" w:pos="4085"/>
        </w:tabs>
        <w:kinsoku/>
        <w:wordWrap/>
        <w:overflowPunct/>
        <w:topLinePunct w:val="0"/>
        <w:autoSpaceDE/>
        <w:autoSpaceDN/>
        <w:bidi w:val="0"/>
        <w:adjustRightInd/>
        <w:snapToGrid w:val="0"/>
        <w:spacing w:line="360" w:lineRule="auto"/>
        <w:ind w:firstLine="480" w:firstLineChars="200"/>
        <w:jc w:val="left"/>
        <w:textAlignment w:val="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w:t>
      </w:r>
      <w:r>
        <w:rPr>
          <w:rFonts w:hint="eastAsia" w:ascii="仿宋_GB2312" w:hAnsi="宋体" w:eastAsia="仿宋_GB2312"/>
          <w:color w:val="auto"/>
          <w:sz w:val="24"/>
          <w:highlight w:val="none"/>
          <w:lang w:val="en-US" w:eastAsia="zh-CN"/>
        </w:rPr>
        <w:t>3</w:t>
      </w:r>
      <w:r>
        <w:rPr>
          <w:rFonts w:hint="eastAsia" w:ascii="仿宋_GB2312" w:hAnsi="宋体" w:eastAsia="仿宋_GB2312"/>
          <w:color w:val="auto"/>
          <w:sz w:val="24"/>
          <w:highlight w:val="none"/>
        </w:rPr>
        <w:t>）</w:t>
      </w:r>
      <w:r>
        <w:rPr>
          <w:rFonts w:hint="eastAsia" w:ascii="仿宋_GB2312" w:hAnsi="宋体" w:eastAsia="仿宋_GB2312"/>
          <w:color w:val="auto"/>
          <w:sz w:val="24"/>
          <w:highlight w:val="none"/>
          <w:lang w:val="en-US" w:eastAsia="zh-CN"/>
        </w:rPr>
        <w:t>已标价工程量清单</w:t>
      </w:r>
      <w:r>
        <w:rPr>
          <w:rFonts w:hint="eastAsia" w:ascii="仿宋_GB2312" w:hAnsi="宋体" w:eastAsia="仿宋_GB2312"/>
          <w:color w:val="auto"/>
          <w:sz w:val="24"/>
          <w:highlight w:val="none"/>
        </w:rPr>
        <w:t>（</w:t>
      </w:r>
      <w:r>
        <w:rPr>
          <w:rFonts w:hint="eastAsia" w:ascii="仿宋_GB2312" w:hAnsi="宋体" w:eastAsia="仿宋_GB2312"/>
          <w:b/>
          <w:bCs/>
          <w:color w:val="auto"/>
          <w:sz w:val="24"/>
          <w:highlight w:val="none"/>
        </w:rPr>
        <w:t>必须提供</w:t>
      </w:r>
      <w:r>
        <w:rPr>
          <w:rFonts w:hint="eastAsia" w:ascii="仿宋_GB2312" w:hAnsi="宋体" w:eastAsia="仿宋_GB2312"/>
          <w:color w:val="auto"/>
          <w:sz w:val="24"/>
          <w:highlight w:val="none"/>
        </w:rPr>
        <w:t>）；</w:t>
      </w:r>
    </w:p>
    <w:p w14:paraId="02F804A9">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360" w:lineRule="auto"/>
        <w:ind w:firstLine="480" w:firstLineChars="200"/>
        <w:jc w:val="left"/>
        <w:textAlignment w:val="auto"/>
        <w:rPr>
          <w:rFonts w:hint="eastAsia" w:ascii="仿宋_GB2312" w:eastAsia="仿宋_GB2312"/>
          <w:color w:val="auto"/>
          <w:sz w:val="24"/>
          <w:highlight w:val="none"/>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4</w:t>
      </w:r>
      <w:r>
        <w:rPr>
          <w:rFonts w:hint="eastAsia" w:ascii="仿宋_GB2312" w:eastAsia="仿宋_GB2312"/>
          <w:color w:val="auto"/>
          <w:sz w:val="24"/>
          <w:highlight w:val="none"/>
        </w:rPr>
        <w:t>）供应商针对报价需要说明的其他文件和说明（格式自拟）。</w:t>
      </w:r>
    </w:p>
    <w:p w14:paraId="6C905F17">
      <w:pPr>
        <w:keepNext w:val="0"/>
        <w:keepLines w:val="0"/>
        <w:pageBreakBefore w:val="0"/>
        <w:widowControl w:val="0"/>
        <w:kinsoku/>
        <w:wordWrap/>
        <w:overflowPunct/>
        <w:topLinePunct w:val="0"/>
        <w:autoSpaceDE/>
        <w:autoSpaceDN/>
        <w:bidi w:val="0"/>
        <w:adjustRightInd/>
        <w:snapToGrid w:val="0"/>
        <w:spacing w:line="360" w:lineRule="auto"/>
        <w:ind w:firstLine="593" w:firstLineChars="246"/>
        <w:jc w:val="left"/>
        <w:textAlignment w:val="auto"/>
        <w:rPr>
          <w:rFonts w:ascii="仿宋_GB2312" w:eastAsia="仿宋_GB2312"/>
          <w:b/>
          <w:bCs/>
          <w:color w:val="auto"/>
          <w:sz w:val="24"/>
          <w:highlight w:val="none"/>
        </w:rPr>
      </w:pPr>
      <w:r>
        <w:rPr>
          <w:rFonts w:hint="eastAsia" w:ascii="仿宋_GB2312" w:hAnsi="宋体" w:eastAsia="仿宋_GB2312"/>
          <w:b/>
          <w:color w:val="auto"/>
          <w:sz w:val="24"/>
          <w:highlight w:val="none"/>
        </w:rPr>
        <w:t>12.5.3商务技术</w:t>
      </w:r>
      <w:r>
        <w:rPr>
          <w:rFonts w:hint="eastAsia" w:ascii="仿宋_GB2312" w:hAnsi="宋体" w:eastAsia="仿宋_GB2312" w:cs="Courier New"/>
          <w:b/>
          <w:color w:val="auto"/>
          <w:sz w:val="24"/>
          <w:highlight w:val="none"/>
        </w:rPr>
        <w:t>文件</w:t>
      </w:r>
    </w:p>
    <w:p w14:paraId="38C84F4C">
      <w:pPr>
        <w:keepNext w:val="0"/>
        <w:keepLines w:val="0"/>
        <w:pageBreakBefore w:val="0"/>
        <w:widowControl w:val="0"/>
        <w:kinsoku/>
        <w:wordWrap/>
        <w:overflowPunct/>
        <w:topLinePunct w:val="0"/>
        <w:autoSpaceDE/>
        <w:autoSpaceDN/>
        <w:bidi w:val="0"/>
        <w:adjustRightInd/>
        <w:snapToGrid w:val="0"/>
        <w:spacing w:line="360" w:lineRule="auto"/>
        <w:ind w:firstLine="593" w:firstLineChars="246"/>
        <w:jc w:val="left"/>
        <w:textAlignment w:val="auto"/>
        <w:rPr>
          <w:rFonts w:ascii="仿宋_GB2312" w:hAnsi="宋体" w:eastAsia="仿宋_GB2312"/>
          <w:b/>
          <w:color w:val="auto"/>
          <w:sz w:val="24"/>
          <w:highlight w:val="none"/>
        </w:rPr>
      </w:pPr>
      <w:r>
        <w:rPr>
          <w:rFonts w:hint="eastAsia" w:ascii="仿宋_GB2312" w:eastAsia="仿宋_GB2312"/>
          <w:b/>
          <w:bCs/>
          <w:color w:val="auto"/>
          <w:sz w:val="24"/>
          <w:highlight w:val="none"/>
        </w:rPr>
        <w:t>注：以下</w:t>
      </w:r>
      <w:r>
        <w:rPr>
          <w:rFonts w:hint="eastAsia" w:ascii="仿宋_GB2312" w:hAnsi="宋体" w:eastAsia="仿宋_GB2312"/>
          <w:b/>
          <w:color w:val="auto"/>
          <w:sz w:val="24"/>
          <w:highlight w:val="none"/>
        </w:rPr>
        <w:t>第（1）至（</w:t>
      </w:r>
      <w:r>
        <w:rPr>
          <w:rFonts w:hint="eastAsia" w:ascii="仿宋_GB2312" w:hAnsi="宋体" w:eastAsia="仿宋_GB2312"/>
          <w:b/>
          <w:color w:val="auto"/>
          <w:sz w:val="24"/>
          <w:highlight w:val="none"/>
          <w:lang w:val="en-US" w:eastAsia="zh-CN"/>
        </w:rPr>
        <w:t>5</w:t>
      </w:r>
      <w:r>
        <w:rPr>
          <w:rFonts w:hint="eastAsia" w:ascii="仿宋_GB2312" w:hAnsi="宋体" w:eastAsia="仿宋_GB2312"/>
          <w:b/>
          <w:color w:val="auto"/>
          <w:sz w:val="24"/>
          <w:highlight w:val="none"/>
        </w:rPr>
        <w:t>）项必须提供并加盖供应商</w:t>
      </w:r>
      <w:r>
        <w:rPr>
          <w:rFonts w:hint="eastAsia" w:ascii="仿宋_GB2312" w:hAnsi="宋体" w:eastAsia="仿宋_GB2312"/>
          <w:b/>
          <w:bCs/>
          <w:color w:val="auto"/>
          <w:sz w:val="24"/>
          <w:highlight w:val="none"/>
        </w:rPr>
        <w:t>CA电子签章，</w:t>
      </w:r>
      <w:r>
        <w:rPr>
          <w:rFonts w:hint="eastAsia" w:ascii="仿宋_GB2312" w:eastAsia="仿宋_GB2312"/>
          <w:b/>
          <w:bCs/>
          <w:color w:val="auto"/>
          <w:sz w:val="24"/>
          <w:highlight w:val="none"/>
        </w:rPr>
        <w:t>按照第</w:t>
      </w:r>
      <w:r>
        <w:rPr>
          <w:rFonts w:hint="eastAsia" w:ascii="仿宋_GB2312" w:eastAsia="仿宋_GB2312"/>
          <w:b/>
          <w:bCs/>
          <w:color w:val="auto"/>
          <w:sz w:val="24"/>
          <w:highlight w:val="none"/>
          <w:lang w:val="en-US" w:eastAsia="zh-CN"/>
        </w:rPr>
        <w:t>五</w:t>
      </w:r>
      <w:r>
        <w:rPr>
          <w:rFonts w:hint="eastAsia" w:ascii="仿宋_GB2312" w:eastAsia="仿宋_GB2312"/>
          <w:b/>
          <w:bCs/>
          <w:color w:val="auto"/>
          <w:sz w:val="24"/>
          <w:highlight w:val="none"/>
        </w:rPr>
        <w:t>章格式要求签字</w:t>
      </w:r>
      <w:r>
        <w:rPr>
          <w:rFonts w:hint="eastAsia" w:ascii="仿宋_GB2312" w:hAnsi="宋体" w:eastAsia="仿宋_GB2312"/>
          <w:b/>
          <w:color w:val="auto"/>
          <w:sz w:val="24"/>
          <w:highlight w:val="none"/>
        </w:rPr>
        <w:t>，</w:t>
      </w:r>
      <w:r>
        <w:rPr>
          <w:rFonts w:hint="eastAsia" w:ascii="仿宋_GB2312" w:eastAsia="仿宋_GB2312"/>
          <w:b/>
          <w:bCs/>
          <w:color w:val="auto"/>
          <w:sz w:val="24"/>
          <w:highlight w:val="none"/>
        </w:rPr>
        <w:t>否则其响应无效；</w:t>
      </w:r>
      <w:r>
        <w:rPr>
          <w:rFonts w:hint="eastAsia" w:ascii="仿宋_GB2312" w:hAnsi="宋体" w:eastAsia="仿宋_GB2312"/>
          <w:b/>
          <w:color w:val="auto"/>
          <w:sz w:val="24"/>
          <w:highlight w:val="none"/>
        </w:rPr>
        <w:t>其余</w:t>
      </w:r>
      <w:r>
        <w:rPr>
          <w:rFonts w:hint="eastAsia" w:ascii="仿宋_GB2312" w:hAnsi="宋体" w:eastAsia="仿宋_GB2312"/>
          <w:b/>
          <w:bCs/>
          <w:color w:val="auto"/>
          <w:sz w:val="24"/>
          <w:highlight w:val="none"/>
        </w:rPr>
        <w:t>各项如有请提供，同时加盖供应商CA电子签章，否则该材料被视为无效</w:t>
      </w:r>
      <w:r>
        <w:rPr>
          <w:rFonts w:hint="eastAsia" w:ascii="仿宋_GB2312" w:hAnsi="宋体" w:eastAsia="仿宋_GB2312"/>
          <w:b/>
          <w:color w:val="auto"/>
          <w:sz w:val="24"/>
          <w:highlight w:val="none"/>
        </w:rPr>
        <w:t>。</w:t>
      </w:r>
    </w:p>
    <w:p w14:paraId="63C96DD7">
      <w:pPr>
        <w:keepNext w:val="0"/>
        <w:keepLines w:val="0"/>
        <w:pageBreakBefore w:val="0"/>
        <w:widowControl w:val="0"/>
        <w:kinsoku/>
        <w:wordWrap/>
        <w:overflowPunct/>
        <w:topLinePunct w:val="0"/>
        <w:autoSpaceDE/>
        <w:autoSpaceDN/>
        <w:bidi w:val="0"/>
        <w:adjustRightInd/>
        <w:snapToGrid w:val="0"/>
        <w:spacing w:line="360" w:lineRule="auto"/>
        <w:ind w:firstLine="470" w:firstLineChars="196"/>
        <w:jc w:val="left"/>
        <w:textAlignment w:val="auto"/>
        <w:rPr>
          <w:rFonts w:ascii="仿宋_GB2312" w:hAnsi="宋体" w:eastAsia="仿宋_GB2312"/>
          <w:color w:val="auto"/>
          <w:sz w:val="24"/>
          <w:highlight w:val="none"/>
        </w:rPr>
      </w:pPr>
      <w:bookmarkStart w:id="59" w:name="_Toc254970678"/>
      <w:bookmarkStart w:id="60" w:name="_Toc254970537"/>
      <w:r>
        <w:rPr>
          <w:rFonts w:hint="eastAsia" w:ascii="仿宋_GB2312" w:hAnsi="宋体" w:eastAsia="仿宋_GB2312"/>
          <w:color w:val="auto"/>
          <w:sz w:val="24"/>
          <w:highlight w:val="none"/>
        </w:rPr>
        <w:t>（1）磋商书（</w:t>
      </w:r>
      <w:r>
        <w:rPr>
          <w:rFonts w:hint="eastAsia" w:ascii="仿宋_GB2312" w:hAnsi="宋体" w:eastAsia="仿宋_GB2312"/>
          <w:b/>
          <w:color w:val="auto"/>
          <w:sz w:val="24"/>
          <w:highlight w:val="none"/>
          <w:lang w:bidi="ar"/>
        </w:rPr>
        <w:t>必须提供，</w:t>
      </w:r>
      <w:r>
        <w:rPr>
          <w:rFonts w:hint="eastAsia" w:ascii="仿宋_GB2312" w:hAnsi="宋体" w:eastAsia="仿宋_GB2312"/>
          <w:color w:val="auto"/>
          <w:sz w:val="24"/>
          <w:highlight w:val="none"/>
        </w:rPr>
        <w:t>格式见第</w:t>
      </w:r>
      <w:r>
        <w:rPr>
          <w:rFonts w:hint="eastAsia" w:ascii="仿宋_GB2312" w:hAnsi="宋体" w:eastAsia="仿宋_GB2312"/>
          <w:color w:val="auto"/>
          <w:sz w:val="24"/>
          <w:highlight w:val="none"/>
          <w:lang w:val="en-US" w:eastAsia="zh-CN"/>
        </w:rPr>
        <w:t>五</w:t>
      </w:r>
      <w:r>
        <w:rPr>
          <w:rFonts w:hint="eastAsia" w:ascii="仿宋_GB2312" w:hAnsi="宋体" w:eastAsia="仿宋_GB2312"/>
          <w:color w:val="auto"/>
          <w:sz w:val="24"/>
          <w:highlight w:val="none"/>
        </w:rPr>
        <w:t>章）；</w:t>
      </w:r>
    </w:p>
    <w:p w14:paraId="63A1CA42">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360" w:lineRule="auto"/>
        <w:ind w:firstLine="480" w:firstLineChars="200"/>
        <w:jc w:val="left"/>
        <w:textAlignment w:val="auto"/>
        <w:rPr>
          <w:rFonts w:ascii="仿宋_GB2312" w:hAnsi="宋体" w:eastAsia="仿宋_GB2312"/>
          <w:color w:val="auto"/>
          <w:sz w:val="24"/>
          <w:highlight w:val="none"/>
        </w:rPr>
      </w:pPr>
      <w:r>
        <w:rPr>
          <w:rFonts w:hint="eastAsia" w:ascii="仿宋_GB2312" w:hAnsi="宋体" w:eastAsia="仿宋_GB2312"/>
          <w:color w:val="auto"/>
          <w:sz w:val="24"/>
          <w:highlight w:val="none"/>
        </w:rPr>
        <w:t>（2）无串通竞标行为的承诺函（</w:t>
      </w:r>
      <w:r>
        <w:rPr>
          <w:rFonts w:hint="eastAsia" w:ascii="仿宋_GB2312" w:hAnsi="宋体" w:eastAsia="仿宋_GB2312"/>
          <w:b/>
          <w:color w:val="auto"/>
          <w:sz w:val="24"/>
          <w:highlight w:val="none"/>
          <w:lang w:bidi="ar"/>
        </w:rPr>
        <w:t>必须提供，</w:t>
      </w:r>
      <w:r>
        <w:rPr>
          <w:rFonts w:hint="eastAsia" w:ascii="仿宋_GB2312" w:hAnsi="宋体" w:eastAsia="仿宋_GB2312"/>
          <w:color w:val="auto"/>
          <w:sz w:val="24"/>
          <w:highlight w:val="none"/>
        </w:rPr>
        <w:t>格式见第</w:t>
      </w:r>
      <w:r>
        <w:rPr>
          <w:rFonts w:hint="eastAsia" w:ascii="仿宋_GB2312" w:hAnsi="宋体" w:eastAsia="仿宋_GB2312"/>
          <w:color w:val="auto"/>
          <w:sz w:val="24"/>
          <w:highlight w:val="none"/>
          <w:lang w:val="en-US" w:eastAsia="zh-CN"/>
        </w:rPr>
        <w:t>五</w:t>
      </w:r>
      <w:r>
        <w:rPr>
          <w:rFonts w:hint="eastAsia" w:ascii="仿宋_GB2312" w:hAnsi="宋体" w:eastAsia="仿宋_GB2312"/>
          <w:color w:val="auto"/>
          <w:sz w:val="24"/>
          <w:highlight w:val="none"/>
        </w:rPr>
        <w:t>章）；</w:t>
      </w:r>
    </w:p>
    <w:p w14:paraId="0CC6D53F">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360" w:lineRule="auto"/>
        <w:ind w:firstLine="480" w:firstLineChars="200"/>
        <w:jc w:val="left"/>
        <w:textAlignment w:val="auto"/>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rPr>
        <w:t>（3）</w:t>
      </w:r>
      <w:r>
        <w:rPr>
          <w:rFonts w:hint="eastAsia" w:ascii="仿宋_GB2312" w:hAnsi="宋体" w:eastAsia="仿宋_GB2312"/>
          <w:color w:val="auto"/>
          <w:sz w:val="24"/>
          <w:highlight w:val="none"/>
          <w:lang w:val="en-US" w:eastAsia="zh-CN"/>
        </w:rPr>
        <w:t>项目管理机构配备情况表及主要人员简历表</w:t>
      </w:r>
      <w:r>
        <w:rPr>
          <w:rFonts w:hint="eastAsia" w:ascii="仿宋_GB2312" w:hAnsi="宋体" w:eastAsia="仿宋_GB2312"/>
          <w:color w:val="auto"/>
          <w:sz w:val="24"/>
          <w:highlight w:val="none"/>
        </w:rPr>
        <w:t>（</w:t>
      </w:r>
      <w:r>
        <w:rPr>
          <w:rFonts w:hint="eastAsia" w:ascii="仿宋_GB2312" w:hAnsi="宋体" w:eastAsia="仿宋_GB2312"/>
          <w:b/>
          <w:color w:val="auto"/>
          <w:sz w:val="24"/>
          <w:highlight w:val="none"/>
          <w:lang w:bidi="ar"/>
        </w:rPr>
        <w:t>必须提供，</w:t>
      </w:r>
      <w:r>
        <w:rPr>
          <w:rFonts w:hint="eastAsia" w:ascii="仿宋_GB2312" w:hAnsi="宋体" w:eastAsia="仿宋_GB2312"/>
          <w:color w:val="auto"/>
          <w:sz w:val="24"/>
          <w:highlight w:val="none"/>
        </w:rPr>
        <w:t>格式见第</w:t>
      </w:r>
      <w:r>
        <w:rPr>
          <w:rFonts w:hint="eastAsia" w:ascii="仿宋_GB2312" w:hAnsi="宋体" w:eastAsia="仿宋_GB2312"/>
          <w:color w:val="auto"/>
          <w:sz w:val="24"/>
          <w:highlight w:val="none"/>
          <w:lang w:val="en-US" w:eastAsia="zh-CN"/>
        </w:rPr>
        <w:t>五</w:t>
      </w:r>
      <w:r>
        <w:rPr>
          <w:rFonts w:hint="eastAsia" w:ascii="仿宋_GB2312" w:hAnsi="宋体" w:eastAsia="仿宋_GB2312"/>
          <w:color w:val="auto"/>
          <w:sz w:val="24"/>
          <w:highlight w:val="none"/>
        </w:rPr>
        <w:t>章）</w:t>
      </w:r>
      <w:r>
        <w:rPr>
          <w:rFonts w:hint="eastAsia" w:ascii="仿宋_GB2312" w:hAnsi="宋体" w:eastAsia="仿宋_GB2312"/>
          <w:color w:val="auto"/>
          <w:sz w:val="24"/>
          <w:highlight w:val="none"/>
          <w:lang w:eastAsia="zh-CN"/>
        </w:rPr>
        <w:t>；</w:t>
      </w:r>
    </w:p>
    <w:p w14:paraId="5C915707">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360" w:lineRule="auto"/>
        <w:ind w:firstLine="480" w:firstLineChars="200"/>
        <w:jc w:val="left"/>
        <w:textAlignment w:val="auto"/>
        <w:rPr>
          <w:rFonts w:hint="eastAsia"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4</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施工组织设计（</w:t>
      </w:r>
      <w:r>
        <w:rPr>
          <w:rFonts w:hint="eastAsia" w:ascii="仿宋_GB2312" w:hAnsi="宋体" w:eastAsia="仿宋_GB2312"/>
          <w:b/>
          <w:bCs/>
          <w:color w:val="auto"/>
          <w:sz w:val="24"/>
          <w:highlight w:val="none"/>
          <w:lang w:val="en-US" w:eastAsia="zh-CN"/>
        </w:rPr>
        <w:t>必须提供</w:t>
      </w:r>
      <w:r>
        <w:rPr>
          <w:rFonts w:hint="eastAsia" w:ascii="仿宋_GB2312" w:hAnsi="宋体" w:eastAsia="仿宋_GB2312"/>
          <w:color w:val="auto"/>
          <w:sz w:val="24"/>
          <w:highlight w:val="none"/>
          <w:lang w:val="en-US" w:eastAsia="zh-CN"/>
        </w:rPr>
        <w:t>，格式见第五章）；</w:t>
      </w:r>
    </w:p>
    <w:p w14:paraId="116B655C">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360" w:lineRule="auto"/>
        <w:ind w:firstLine="480" w:firstLineChars="200"/>
        <w:jc w:val="left"/>
        <w:textAlignment w:val="auto"/>
        <w:rPr>
          <w:rFonts w:hint="default"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（5）农民工工资保证金承诺书（</w:t>
      </w:r>
      <w:r>
        <w:rPr>
          <w:rFonts w:hint="eastAsia" w:ascii="仿宋_GB2312" w:hAnsi="宋体" w:eastAsia="仿宋_GB2312"/>
          <w:b/>
          <w:bCs/>
          <w:color w:val="auto"/>
          <w:sz w:val="24"/>
          <w:highlight w:val="none"/>
          <w:lang w:val="en-US" w:eastAsia="zh-CN"/>
        </w:rPr>
        <w:t>必须提供，</w:t>
      </w:r>
      <w:r>
        <w:rPr>
          <w:rFonts w:hint="eastAsia" w:ascii="仿宋_GB2312" w:hAnsi="宋体" w:eastAsia="仿宋_GB2312"/>
          <w:color w:val="auto"/>
          <w:sz w:val="24"/>
          <w:highlight w:val="none"/>
          <w:lang w:val="en-US" w:eastAsia="zh-CN"/>
        </w:rPr>
        <w:t>格式见第五章）；</w:t>
      </w:r>
    </w:p>
    <w:p w14:paraId="47D95D74">
      <w:pPr>
        <w:keepNext w:val="0"/>
        <w:keepLines w:val="0"/>
        <w:pageBreakBefore w:val="0"/>
        <w:widowControl w:val="0"/>
        <w:kinsoku/>
        <w:wordWrap/>
        <w:overflowPunct/>
        <w:topLinePunct w:val="0"/>
        <w:autoSpaceDE/>
        <w:autoSpaceDN/>
        <w:bidi w:val="0"/>
        <w:adjustRightInd/>
        <w:snapToGrid w:val="0"/>
        <w:spacing w:line="360" w:lineRule="auto"/>
        <w:ind w:firstLine="470" w:firstLineChars="196"/>
        <w:jc w:val="left"/>
        <w:textAlignment w:val="auto"/>
        <w:rPr>
          <w:rFonts w:ascii="仿宋_GB2312" w:eastAsia="仿宋_GB2312"/>
          <w:color w:val="auto"/>
          <w:sz w:val="24"/>
          <w:highlight w:val="none"/>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6</w:t>
      </w:r>
      <w:r>
        <w:rPr>
          <w:rFonts w:hint="eastAsia" w:ascii="仿宋_GB2312" w:eastAsia="仿宋_GB2312"/>
          <w:color w:val="auto"/>
          <w:sz w:val="24"/>
          <w:highlight w:val="none"/>
        </w:rPr>
        <w:t>）供应商认为需要提供的有关资料（如有，格式自拟）。</w:t>
      </w:r>
    </w:p>
    <w:p w14:paraId="668DA1A9">
      <w:pPr>
        <w:spacing w:line="360" w:lineRule="auto"/>
        <w:ind w:firstLine="241" w:firstLineChars="100"/>
        <w:rPr>
          <w:rFonts w:ascii="仿宋_GB2312" w:eastAsia="仿宋_GB2312"/>
          <w:b/>
          <w:bCs/>
          <w:color w:val="auto"/>
          <w:sz w:val="24"/>
          <w:highlight w:val="none"/>
        </w:rPr>
      </w:pPr>
      <w:r>
        <w:rPr>
          <w:rFonts w:hint="eastAsia" w:ascii="仿宋_GB2312" w:eastAsia="仿宋_GB2312"/>
          <w:b/>
          <w:bCs/>
          <w:color w:val="auto"/>
          <w:sz w:val="24"/>
          <w:highlight w:val="none"/>
        </w:rPr>
        <w:t>13.电子响应文件的编制、加密要求</w:t>
      </w:r>
    </w:p>
    <w:p w14:paraId="3D4AE59C">
      <w:pPr>
        <w:spacing w:line="460" w:lineRule="exact"/>
        <w:ind w:firstLine="480"/>
        <w:rPr>
          <w:rFonts w:ascii="仿宋_GB2312" w:eastAsia="仿宋_GB2312"/>
          <w:b/>
          <w:bCs/>
          <w:color w:val="auto"/>
          <w:sz w:val="24"/>
          <w:highlight w:val="none"/>
        </w:rPr>
      </w:pPr>
      <w:r>
        <w:rPr>
          <w:rFonts w:hint="eastAsia" w:ascii="仿宋_GB2312" w:eastAsia="仿宋_GB2312"/>
          <w:b/>
          <w:bCs/>
          <w:color w:val="auto"/>
          <w:sz w:val="24"/>
          <w:highlight w:val="none"/>
        </w:rPr>
        <w:t>13.1电子响应文件的编制要求</w:t>
      </w:r>
    </w:p>
    <w:p w14:paraId="723C6768">
      <w:pPr>
        <w:spacing w:line="46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13.1.1供应商应按本竞争性磋商文件中规定的格式、顺序和</w:t>
      </w:r>
      <w:r>
        <w:rPr>
          <w:rFonts w:hint="eastAsia" w:ascii="仿宋_GB2312" w:eastAsia="仿宋_GB2312"/>
          <w:color w:val="auto"/>
          <w:sz w:val="24"/>
          <w:highlight w:val="none"/>
          <w:lang w:eastAsia="zh-CN"/>
        </w:rPr>
        <w:t>广西政府采购云平台</w:t>
      </w:r>
      <w:r>
        <w:rPr>
          <w:rFonts w:hint="eastAsia" w:ascii="仿宋_GB2312" w:eastAsia="仿宋_GB2312"/>
          <w:color w:val="auto"/>
          <w:sz w:val="24"/>
          <w:highlight w:val="none"/>
        </w:rPr>
        <w:t>“政府采购项目电子交易管理操作指南-供应商”的有关要求编制电子响应文件并进行关联定位，以便磋商小组在评审时，点击评审项可直接定位到该评审项内容；如电子响应文件因内容不完整、供应商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color w:val="auto"/>
          <w:sz w:val="24"/>
          <w:highlight w:val="none"/>
        </w:rPr>
        <w:t>未设置或设置关联点错误导致</w:t>
      </w: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响应文件被误读、漏读或者查找不到相关内容，</w:t>
      </w:r>
      <w:r>
        <w:rPr>
          <w:rFonts w:hint="eastAsia" w:ascii="仿宋_GB2312" w:eastAsia="仿宋_GB2312"/>
          <w:color w:val="auto"/>
          <w:sz w:val="24"/>
          <w:highlight w:val="none"/>
        </w:rPr>
        <w:t>导致磋商小组在评审时做出对供应商不利的评审，所引起的后果由供应商自行承担。</w:t>
      </w:r>
    </w:p>
    <w:p w14:paraId="445E1891">
      <w:pPr>
        <w:spacing w:line="460" w:lineRule="exact"/>
        <w:ind w:firstLine="723" w:firstLineChars="300"/>
        <w:rPr>
          <w:rFonts w:ascii="仿宋_GB2312" w:eastAsia="仿宋_GB2312"/>
          <w:b/>
          <w:bCs/>
          <w:color w:val="auto"/>
          <w:sz w:val="24"/>
          <w:highlight w:val="none"/>
        </w:rPr>
      </w:pPr>
      <w:r>
        <w:rPr>
          <w:rFonts w:hint="eastAsia" w:ascii="仿宋_GB2312" w:eastAsia="仿宋_GB2312"/>
          <w:b/>
          <w:bCs/>
          <w:color w:val="auto"/>
          <w:sz w:val="24"/>
          <w:highlight w:val="none"/>
        </w:rPr>
        <w:t>13.1.2竞争性磋商文件中规定须由供应商在规定处盖章的，供应商应加盖CA电子签章，否则视为无效响应。</w:t>
      </w:r>
    </w:p>
    <w:p w14:paraId="0FBCC7FC">
      <w:pPr>
        <w:spacing w:line="460" w:lineRule="exact"/>
        <w:ind w:firstLine="723" w:firstLineChars="300"/>
        <w:rPr>
          <w:rFonts w:ascii="仿宋_GB2312" w:eastAsia="仿宋_GB2312"/>
          <w:b/>
          <w:color w:val="auto"/>
          <w:sz w:val="24"/>
          <w:highlight w:val="none"/>
        </w:rPr>
      </w:pPr>
      <w:r>
        <w:rPr>
          <w:rFonts w:hint="eastAsia" w:ascii="仿宋_GB2312" w:eastAsia="仿宋_GB2312"/>
          <w:b/>
          <w:bCs/>
          <w:color w:val="auto"/>
          <w:sz w:val="24"/>
          <w:highlight w:val="none"/>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color w:val="auto"/>
          <w:sz w:val="24"/>
          <w:highlight w:val="none"/>
        </w:rPr>
        <w:t>否则视为无效响应。</w:t>
      </w:r>
    </w:p>
    <w:p w14:paraId="13748B69">
      <w:pPr>
        <w:spacing w:line="46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13.1.4电子响应文件不得涂改，若有修改错漏处，须加盖供应商CA电子签章或者法定代表人或授权委托代理人签字。电子响应文件因扫描不清晰或乱码或表达不清所引起的后果由供应商负责。</w:t>
      </w:r>
    </w:p>
    <w:p w14:paraId="16FC5191">
      <w:pPr>
        <w:snapToGrid w:val="0"/>
        <w:spacing w:line="460" w:lineRule="exact"/>
        <w:ind w:firstLine="720" w:firstLineChars="3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13.1.5</w:t>
      </w: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响应文件所提供的相关材料的尺寸和清晰度应该能够在电脑上被阅读、识别和判断。</w:t>
      </w:r>
    </w:p>
    <w:p w14:paraId="2587A6BE">
      <w:pPr>
        <w:snapToGrid w:val="0"/>
        <w:spacing w:line="460" w:lineRule="exact"/>
        <w:ind w:firstLine="720" w:firstLineChars="3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13.1.6</w:t>
      </w: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响应文件内容无法阅读、识别和判断的，视为未提供。</w:t>
      </w:r>
    </w:p>
    <w:p w14:paraId="0ADB3320">
      <w:pPr>
        <w:snapToGrid w:val="0"/>
        <w:spacing w:line="460" w:lineRule="exact"/>
        <w:ind w:firstLine="720" w:firstLineChars="3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13.1.7</w:t>
      </w: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响应文件的容量大小须符合</w:t>
      </w:r>
      <w:r>
        <w:rPr>
          <w:rFonts w:hint="eastAsia" w:ascii="仿宋_GB2312" w:hAnsi="宋体" w:eastAsia="仿宋_GB2312"/>
          <w:color w:val="auto"/>
          <w:sz w:val="24"/>
          <w:highlight w:val="none"/>
          <w:lang w:eastAsia="zh-CN"/>
        </w:rPr>
        <w:t>广西政府采购云平台客户端</w:t>
      </w:r>
      <w:r>
        <w:rPr>
          <w:rFonts w:hint="eastAsia" w:ascii="仿宋_GB2312" w:hAnsi="宋体" w:eastAsia="仿宋_GB2312"/>
          <w:color w:val="auto"/>
          <w:sz w:val="24"/>
          <w:highlight w:val="none"/>
        </w:rPr>
        <w:t>规定。</w:t>
      </w:r>
    </w:p>
    <w:p w14:paraId="1886C7A7">
      <w:pPr>
        <w:spacing w:line="460" w:lineRule="exact"/>
        <w:ind w:firstLine="480"/>
        <w:rPr>
          <w:rFonts w:ascii="仿宋_GB2312" w:eastAsia="仿宋_GB2312"/>
          <w:b/>
          <w:bCs/>
          <w:color w:val="auto"/>
          <w:sz w:val="24"/>
          <w:highlight w:val="none"/>
        </w:rPr>
      </w:pPr>
      <w:r>
        <w:rPr>
          <w:rFonts w:hint="eastAsia" w:ascii="仿宋_GB2312" w:eastAsia="仿宋_GB2312"/>
          <w:b/>
          <w:bCs/>
          <w:color w:val="auto"/>
          <w:sz w:val="24"/>
          <w:highlight w:val="none"/>
        </w:rPr>
        <w:t>13.2电子响应文件的加密要求</w:t>
      </w:r>
    </w:p>
    <w:p w14:paraId="15993D2D">
      <w:pPr>
        <w:snapToGrid w:val="0"/>
        <w:spacing w:line="460" w:lineRule="exact"/>
        <w:ind w:firstLine="480" w:firstLineChars="200"/>
        <w:jc w:val="left"/>
        <w:rPr>
          <w:rFonts w:ascii="仿宋_GB2312" w:hAnsi="宋体" w:eastAsia="仿宋_GB2312"/>
          <w:b/>
          <w:color w:val="auto"/>
          <w:sz w:val="24"/>
          <w:highlight w:val="none"/>
        </w:rPr>
      </w:pP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响应文件应按</w:t>
      </w:r>
      <w:r>
        <w:rPr>
          <w:rFonts w:hint="eastAsia" w:ascii="仿宋_GB2312" w:hAnsi="宋体" w:eastAsia="仿宋_GB2312"/>
          <w:color w:val="auto"/>
          <w:sz w:val="24"/>
          <w:highlight w:val="none"/>
          <w:lang w:eastAsia="zh-CN"/>
        </w:rPr>
        <w:t>广西政府采购云平台客户端</w:t>
      </w:r>
      <w:r>
        <w:rPr>
          <w:rFonts w:hint="eastAsia" w:ascii="仿宋_GB2312" w:hAnsi="宋体" w:eastAsia="仿宋_GB2312"/>
          <w:color w:val="auto"/>
          <w:sz w:val="24"/>
          <w:highlight w:val="none"/>
        </w:rPr>
        <w:t>软件有关规定加密，否则</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将拒收。</w:t>
      </w:r>
    </w:p>
    <w:p w14:paraId="66F81422">
      <w:pPr>
        <w:spacing w:line="420" w:lineRule="exact"/>
        <w:ind w:left="420" w:hanging="420"/>
        <w:rPr>
          <w:rFonts w:hint="eastAsia"/>
          <w:color w:val="auto"/>
          <w:highlight w:val="none"/>
        </w:rPr>
      </w:pPr>
      <w:r>
        <w:rPr>
          <w:rFonts w:hint="eastAsia" w:ascii="仿宋_GB2312" w:hAnsi="宋体" w:eastAsia="仿宋_GB2312"/>
          <w:b/>
          <w:color w:val="auto"/>
          <w:sz w:val="24"/>
          <w:highlight w:val="none"/>
        </w:rPr>
        <w:t>四、响应报价要求</w:t>
      </w:r>
    </w:p>
    <w:p w14:paraId="37069281">
      <w:pPr>
        <w:tabs>
          <w:tab w:val="left" w:pos="3870"/>
          <w:tab w:val="left" w:pos="4085"/>
        </w:tabs>
        <w:snapToGrid w:val="0"/>
        <w:spacing w:line="420" w:lineRule="exact"/>
        <w:ind w:firstLine="480" w:firstLineChars="200"/>
        <w:jc w:val="left"/>
        <w:rPr>
          <w:rFonts w:hint="eastAsia" w:ascii="仿宋_GB2312" w:hAnsi="Times New Roman" w:eastAsia="仿宋_GB2312" w:cs="Times New Roman"/>
          <w:bCs/>
          <w:color w:val="auto"/>
          <w:sz w:val="24"/>
          <w:highlight w:val="none"/>
          <w:lang w:val="en-US" w:eastAsia="zh-CN"/>
        </w:rPr>
      </w:pPr>
      <w:r>
        <w:rPr>
          <w:rFonts w:hint="eastAsia" w:ascii="仿宋_GB2312" w:hAnsi="Times New Roman" w:eastAsia="仿宋_GB2312" w:cs="Times New Roman"/>
          <w:bCs/>
          <w:color w:val="auto"/>
          <w:sz w:val="24"/>
          <w:highlight w:val="none"/>
          <w:lang w:val="en-US" w:eastAsia="zh-CN"/>
        </w:rPr>
        <w:t>14.1竞标报价应按磋商文件中第四章“工程量清单及图纸”的要求及第五章“响应文件格式”填写相应表格。</w:t>
      </w:r>
    </w:p>
    <w:p w14:paraId="35994BFD">
      <w:pPr>
        <w:tabs>
          <w:tab w:val="left" w:pos="3870"/>
          <w:tab w:val="left" w:pos="4085"/>
        </w:tabs>
        <w:snapToGrid w:val="0"/>
        <w:spacing w:line="420" w:lineRule="exact"/>
        <w:ind w:firstLine="480" w:firstLineChars="200"/>
        <w:jc w:val="left"/>
        <w:rPr>
          <w:rFonts w:hint="eastAsia" w:ascii="仿宋_GB2312" w:hAnsi="Times New Roman" w:eastAsia="仿宋_GB2312" w:cs="Times New Roman"/>
          <w:bCs/>
          <w:color w:val="auto"/>
          <w:sz w:val="24"/>
          <w:highlight w:val="none"/>
          <w:lang w:val="en-US" w:eastAsia="zh-CN"/>
        </w:rPr>
      </w:pPr>
      <w:r>
        <w:rPr>
          <w:rFonts w:hint="eastAsia" w:ascii="仿宋_GB2312" w:hAnsi="Times New Roman" w:eastAsia="仿宋_GB2312" w:cs="Times New Roman"/>
          <w:bCs/>
          <w:color w:val="auto"/>
          <w:sz w:val="24"/>
          <w:highlight w:val="none"/>
          <w:lang w:val="en-US" w:eastAsia="zh-CN"/>
        </w:rPr>
        <w:t>14.2竞标报价是履行合同的最终价格，包括了为实施和完成合同工程所需的人工费、材料费（包含工程设备），施工机具使用费，企业管理费、利润、规费、税金、开办费、技术措施费、大型机械进出场费、风险费、政策性文件规定费用等所有费用，以及合同明示或暗示的所有责任、义务和一般风险。</w:t>
      </w:r>
    </w:p>
    <w:p w14:paraId="1C0914B9">
      <w:pPr>
        <w:tabs>
          <w:tab w:val="left" w:pos="3870"/>
          <w:tab w:val="left" w:pos="4085"/>
        </w:tabs>
        <w:snapToGrid w:val="0"/>
        <w:spacing w:line="420" w:lineRule="exact"/>
        <w:ind w:firstLine="480" w:firstLineChars="200"/>
        <w:jc w:val="left"/>
        <w:rPr>
          <w:rFonts w:hint="eastAsia" w:ascii="仿宋_GB2312" w:hAnsi="Times New Roman" w:eastAsia="仿宋_GB2312" w:cs="Times New Roman"/>
          <w:bCs/>
          <w:color w:val="auto"/>
          <w:sz w:val="24"/>
          <w:highlight w:val="none"/>
          <w:lang w:val="en-US" w:eastAsia="zh-CN"/>
        </w:rPr>
      </w:pPr>
      <w:r>
        <w:rPr>
          <w:rFonts w:hint="eastAsia" w:ascii="仿宋_GB2312" w:hAnsi="Times New Roman" w:eastAsia="仿宋_GB2312" w:cs="Times New Roman"/>
          <w:bCs/>
          <w:color w:val="auto"/>
          <w:sz w:val="24"/>
          <w:highlight w:val="none"/>
          <w:lang w:val="en-US" w:eastAsia="zh-CN"/>
        </w:rPr>
        <w:t>14.3本工程增值税计税方法：一般计税法。</w:t>
      </w:r>
    </w:p>
    <w:p w14:paraId="7B94EABE">
      <w:pPr>
        <w:tabs>
          <w:tab w:val="left" w:pos="3870"/>
          <w:tab w:val="left" w:pos="4085"/>
        </w:tabs>
        <w:snapToGrid w:val="0"/>
        <w:spacing w:line="420" w:lineRule="exact"/>
        <w:ind w:firstLine="480" w:firstLineChars="200"/>
        <w:jc w:val="left"/>
        <w:rPr>
          <w:rFonts w:hint="default" w:ascii="仿宋_GB2312" w:hAnsi="Times New Roman" w:eastAsia="仿宋_GB2312" w:cs="Times New Roman"/>
          <w:bCs/>
          <w:color w:val="auto"/>
          <w:sz w:val="24"/>
          <w:highlight w:val="none"/>
          <w:lang w:val="en-US" w:eastAsia="zh-CN"/>
        </w:rPr>
      </w:pPr>
      <w:r>
        <w:rPr>
          <w:rFonts w:hint="eastAsia" w:ascii="仿宋_GB2312" w:hAnsi="Times New Roman" w:eastAsia="仿宋_GB2312" w:cs="Times New Roman"/>
          <w:bCs/>
          <w:color w:val="auto"/>
          <w:sz w:val="24"/>
          <w:highlight w:val="none"/>
          <w:lang w:val="en-US" w:eastAsia="zh-CN"/>
        </w:rPr>
        <w:t>14.4竞标报价要求</w:t>
      </w:r>
    </w:p>
    <w:p w14:paraId="7235F861">
      <w:pPr>
        <w:tabs>
          <w:tab w:val="left" w:pos="3870"/>
          <w:tab w:val="left" w:pos="4085"/>
        </w:tabs>
        <w:snapToGrid w:val="0"/>
        <w:spacing w:line="420" w:lineRule="exact"/>
        <w:ind w:firstLine="480" w:firstLineChars="200"/>
        <w:jc w:val="left"/>
        <w:rPr>
          <w:rFonts w:hint="default" w:ascii="仿宋_GB2312" w:hAnsi="Times New Roman" w:eastAsia="仿宋_GB2312" w:cs="Times New Roman"/>
          <w:bCs/>
          <w:color w:val="auto"/>
          <w:sz w:val="24"/>
          <w:highlight w:val="none"/>
          <w:lang w:val="en-US" w:eastAsia="zh-CN"/>
        </w:rPr>
      </w:pPr>
      <w:r>
        <w:rPr>
          <w:rFonts w:hint="eastAsia" w:ascii="仿宋_GB2312" w:hAnsi="Times New Roman" w:eastAsia="仿宋_GB2312" w:cs="Times New Roman"/>
          <w:bCs/>
          <w:color w:val="auto"/>
          <w:sz w:val="24"/>
          <w:highlight w:val="none"/>
          <w:lang w:val="en-US" w:eastAsia="zh-CN"/>
        </w:rPr>
        <w:t>14.4.1供应商的竞标报价应符合以下要求，否则响应文件按无效处理：</w:t>
      </w:r>
    </w:p>
    <w:p w14:paraId="1EB5FFE8">
      <w:pPr>
        <w:tabs>
          <w:tab w:val="left" w:pos="3870"/>
          <w:tab w:val="left" w:pos="4085"/>
        </w:tabs>
        <w:snapToGrid w:val="0"/>
        <w:spacing w:line="420" w:lineRule="exact"/>
        <w:ind w:firstLine="480" w:firstLineChars="200"/>
        <w:jc w:val="left"/>
        <w:rPr>
          <w:rFonts w:hint="default"/>
          <w:color w:val="auto"/>
          <w:highlight w:val="none"/>
          <w:lang w:val="en-US" w:eastAsia="zh-CN"/>
        </w:rPr>
      </w:pPr>
      <w:r>
        <w:rPr>
          <w:rFonts w:hint="eastAsia" w:ascii="仿宋_GB2312" w:hAnsi="Times New Roman" w:eastAsia="仿宋_GB2312" w:cs="Times New Roman"/>
          <w:bCs/>
          <w:color w:val="auto"/>
          <w:sz w:val="24"/>
          <w:highlight w:val="none"/>
          <w:lang w:val="en-US" w:eastAsia="zh-CN"/>
        </w:rPr>
        <w:t>（1）供应商应按本项目的工程量清单中列出的工程项目和工程量编制单价和合价。每一项目只允许有一个报价。任何有选择的报价将不予接受。供应商未填单价或合价的工程项目在实施后，采购人将不予以支付，并视为该项费用已包括在其他有价款的单价或合价内，供应商必须完成工程量清单中未填入单价或总额价的工程细目，但不能得到支付与结算；</w:t>
      </w:r>
    </w:p>
    <w:p w14:paraId="4B5FBED9">
      <w:pPr>
        <w:tabs>
          <w:tab w:val="left" w:pos="3870"/>
          <w:tab w:val="left" w:pos="4085"/>
        </w:tabs>
        <w:snapToGrid w:val="0"/>
        <w:spacing w:line="420" w:lineRule="exact"/>
        <w:ind w:firstLine="480" w:firstLineChars="200"/>
        <w:jc w:val="left"/>
        <w:rPr>
          <w:rFonts w:hint="default" w:ascii="仿宋_GB2312" w:hAnsi="Times New Roman" w:eastAsia="仿宋_GB2312" w:cs="Times New Roman"/>
          <w:bCs/>
          <w:color w:val="auto"/>
          <w:sz w:val="24"/>
          <w:highlight w:val="none"/>
          <w:lang w:val="en-US" w:eastAsia="zh-CN"/>
        </w:rPr>
      </w:pPr>
      <w:r>
        <w:rPr>
          <w:rFonts w:hint="eastAsia" w:ascii="仿宋_GB2312" w:hAnsi="Times New Roman" w:eastAsia="仿宋_GB2312" w:cs="Times New Roman"/>
          <w:bCs/>
          <w:color w:val="auto"/>
          <w:sz w:val="24"/>
          <w:highlight w:val="none"/>
          <w:lang w:val="en-US" w:eastAsia="zh-CN"/>
        </w:rPr>
        <w:t>（2）供应商竞标报价（含总报价和单项报价）如明显低于其他通过符合性审查供应商的报价，有可能不能诚信履约的，磋商小组可要求其在评标现场合理的时间内提供书面说明。如无法提供说明，或者说明不足以证明合理性的，经磋商小组评定，响应文件按无效处理。</w:t>
      </w:r>
    </w:p>
    <w:p w14:paraId="39CDEC91">
      <w:pPr>
        <w:tabs>
          <w:tab w:val="left" w:pos="3870"/>
          <w:tab w:val="left" w:pos="4085"/>
        </w:tabs>
        <w:snapToGrid w:val="0"/>
        <w:spacing w:line="420" w:lineRule="exact"/>
        <w:ind w:firstLine="480" w:firstLineChars="200"/>
        <w:jc w:val="left"/>
        <w:rPr>
          <w:rFonts w:hint="eastAsia" w:ascii="仿宋_GB2312" w:hAnsi="Times New Roman" w:eastAsia="仿宋_GB2312" w:cs="Times New Roman"/>
          <w:bCs/>
          <w:color w:val="auto"/>
          <w:sz w:val="24"/>
          <w:highlight w:val="none"/>
          <w:lang w:val="en-US" w:eastAsia="zh-CN"/>
        </w:rPr>
      </w:pPr>
      <w:r>
        <w:rPr>
          <w:rFonts w:hint="eastAsia" w:ascii="仿宋_GB2312" w:hAnsi="Times New Roman" w:eastAsia="仿宋_GB2312" w:cs="Times New Roman"/>
          <w:bCs/>
          <w:color w:val="auto"/>
          <w:sz w:val="24"/>
          <w:highlight w:val="none"/>
          <w:lang w:val="en-US" w:eastAsia="zh-CN"/>
        </w:rPr>
        <w:t>14.4.2竞标报价（包含首次报价、最后报价）超过所竞标项目规定的采购预算金额或者最高限价的，其响应文件将按无效处理。</w:t>
      </w:r>
    </w:p>
    <w:p w14:paraId="791062C6">
      <w:pPr>
        <w:tabs>
          <w:tab w:val="left" w:pos="3870"/>
          <w:tab w:val="left" w:pos="4085"/>
        </w:tabs>
        <w:snapToGrid w:val="0"/>
        <w:spacing w:line="420" w:lineRule="exact"/>
        <w:ind w:firstLine="480" w:firstLineChars="200"/>
        <w:jc w:val="left"/>
        <w:rPr>
          <w:rFonts w:hint="eastAsia" w:ascii="仿宋_GB2312" w:hAnsi="Times New Roman" w:eastAsia="仿宋_GB2312" w:cs="Times New Roman"/>
          <w:bCs/>
          <w:color w:val="auto"/>
          <w:sz w:val="24"/>
          <w:highlight w:val="none"/>
          <w:lang w:val="en-US" w:eastAsia="zh-CN"/>
        </w:rPr>
      </w:pPr>
      <w:r>
        <w:rPr>
          <w:rFonts w:hint="eastAsia" w:ascii="仿宋_GB2312" w:hAnsi="Times New Roman" w:eastAsia="仿宋_GB2312" w:cs="Times New Roman"/>
          <w:bCs/>
          <w:color w:val="auto"/>
          <w:sz w:val="24"/>
          <w:highlight w:val="none"/>
          <w:lang w:val="en-US" w:eastAsia="zh-CN"/>
        </w:rPr>
        <w:t>14.4.3竞标报价（包含首次报价、最后报价）超过分项采购预算金额或者最高限价的（如有要求），其响应文件将按无效处理。</w:t>
      </w:r>
    </w:p>
    <w:p w14:paraId="48404AD6">
      <w:pPr>
        <w:tabs>
          <w:tab w:val="left" w:pos="3870"/>
          <w:tab w:val="left" w:pos="4085"/>
        </w:tabs>
        <w:snapToGrid w:val="0"/>
        <w:spacing w:line="420" w:lineRule="exact"/>
        <w:ind w:firstLine="480" w:firstLineChars="200"/>
        <w:jc w:val="left"/>
        <w:rPr>
          <w:rFonts w:hint="eastAsia" w:ascii="仿宋_GB2312" w:hAnsi="Times New Roman" w:eastAsia="仿宋_GB2312" w:cs="Times New Roman"/>
          <w:bCs/>
          <w:color w:val="auto"/>
          <w:sz w:val="24"/>
          <w:highlight w:val="none"/>
          <w:lang w:val="en-US" w:eastAsia="zh-CN"/>
        </w:rPr>
      </w:pPr>
      <w:r>
        <w:rPr>
          <w:rFonts w:hint="eastAsia" w:ascii="仿宋_GB2312" w:hAnsi="Times New Roman" w:eastAsia="仿宋_GB2312" w:cs="Times New Roman"/>
          <w:bCs/>
          <w:color w:val="auto"/>
          <w:sz w:val="24"/>
          <w:highlight w:val="none"/>
          <w:lang w:val="en-US" w:eastAsia="zh-CN"/>
        </w:rPr>
        <w:t>14.4.4供应商在提交响应文件截止时间前修改竞标函中的竞标总报价，应同时修改响应文件“已标价工程量清单”中的相应报价。此修改须符合本须知正文第七条的有关要求。</w:t>
      </w:r>
    </w:p>
    <w:p w14:paraId="6E3D5037">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14.</w:t>
      </w:r>
      <w:r>
        <w:rPr>
          <w:rFonts w:hint="eastAsia" w:ascii="仿宋_GB2312" w:hAnsi="宋体" w:eastAsia="仿宋_GB2312"/>
          <w:color w:val="auto"/>
          <w:sz w:val="24"/>
          <w:highlight w:val="none"/>
          <w:lang w:val="en-US" w:eastAsia="zh-CN"/>
        </w:rPr>
        <w:t>5</w:t>
      </w:r>
      <w:r>
        <w:rPr>
          <w:rFonts w:hint="eastAsia" w:ascii="仿宋_GB2312" w:hAnsi="宋体" w:eastAsia="仿宋_GB2312"/>
          <w:color w:val="auto"/>
          <w:sz w:val="24"/>
          <w:highlight w:val="none"/>
        </w:rPr>
        <w:t>供应商在磋商过程中报价出现以下情形时，磋商小组应通过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发起询标函，供应商在规定时间前通过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进行确认，供应商的确认应当加盖供应商CA电子签章。</w:t>
      </w:r>
      <w:r>
        <w:rPr>
          <w:rFonts w:hint="eastAsia" w:ascii="仿宋_GB2312" w:hAnsi="宋体" w:eastAsia="仿宋_GB2312"/>
          <w:color w:val="auto"/>
          <w:sz w:val="24"/>
          <w:highlight w:val="none"/>
        </w:rPr>
        <w:t>修正后的内容经供应商确认后产生约束力，供应商不确认的，其响应无效。</w:t>
      </w:r>
    </w:p>
    <w:p w14:paraId="6FC0DC5F">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14.</w:t>
      </w:r>
      <w:r>
        <w:rPr>
          <w:rFonts w:hint="eastAsia" w:ascii="仿宋_GB2312" w:hAnsi="宋体" w:eastAsia="仿宋_GB2312"/>
          <w:color w:val="auto"/>
          <w:sz w:val="24"/>
          <w:highlight w:val="none"/>
          <w:lang w:val="en-US" w:eastAsia="zh-CN"/>
        </w:rPr>
        <w:t>5</w:t>
      </w:r>
      <w:r>
        <w:rPr>
          <w:rFonts w:hint="eastAsia" w:ascii="仿宋_GB2312" w:hAnsi="宋体" w:eastAsia="仿宋_GB2312"/>
          <w:color w:val="auto"/>
          <w:sz w:val="24"/>
          <w:highlight w:val="none"/>
        </w:rPr>
        <w:t>.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14:paraId="3F8A60C4">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14.</w:t>
      </w:r>
      <w:r>
        <w:rPr>
          <w:rFonts w:hint="eastAsia" w:ascii="仿宋_GB2312" w:hAnsi="宋体" w:eastAsia="仿宋_GB2312"/>
          <w:color w:val="auto"/>
          <w:sz w:val="24"/>
          <w:highlight w:val="none"/>
          <w:lang w:val="en-US" w:eastAsia="zh-CN"/>
        </w:rPr>
        <w:t>5</w:t>
      </w:r>
      <w:r>
        <w:rPr>
          <w:rFonts w:hint="eastAsia" w:ascii="仿宋_GB2312" w:hAnsi="宋体" w:eastAsia="仿宋_GB2312"/>
          <w:color w:val="auto"/>
          <w:sz w:val="24"/>
          <w:highlight w:val="none"/>
        </w:rPr>
        <w:t>.2供应商在线制作响应文件时填写的报价金额与解密后“电子加密响应文件”中《报价要求文件》填写的金额不一致的，以解密后“电子加密响应文件”中《报价要求文件》填写的金额为准。</w:t>
      </w:r>
    </w:p>
    <w:p w14:paraId="27EABED4">
      <w:pPr>
        <w:tabs>
          <w:tab w:val="left" w:pos="3870"/>
          <w:tab w:val="left" w:pos="4085"/>
        </w:tabs>
        <w:snapToGrid w:val="0"/>
        <w:spacing w:line="420" w:lineRule="exact"/>
        <w:ind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14.</w:t>
      </w:r>
      <w:r>
        <w:rPr>
          <w:rFonts w:hint="eastAsia" w:ascii="仿宋_GB2312" w:hAnsi="宋体" w:eastAsia="仿宋_GB2312"/>
          <w:color w:val="auto"/>
          <w:sz w:val="24"/>
          <w:highlight w:val="none"/>
          <w:lang w:val="en-US" w:eastAsia="zh-CN"/>
        </w:rPr>
        <w:t>5</w:t>
      </w:r>
      <w:r>
        <w:rPr>
          <w:rFonts w:hint="eastAsia" w:ascii="仿宋_GB2312" w:hAnsi="宋体" w:eastAsia="仿宋_GB2312"/>
          <w:color w:val="auto"/>
          <w:sz w:val="24"/>
          <w:highlight w:val="none"/>
        </w:rPr>
        <w:t>.3供应商在最后报价时，在线填写的最后报价总金额与通过</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提交的加盖供应商CA电子签章的最后报价表填写的总金额不一致时，以加盖供应商CA电子签章的最后报价表填写金额为准。若在最后报价阶段出现14.3.1规定的价格修正情形，应按14.3.1规定进行相应修正。</w:t>
      </w:r>
    </w:p>
    <w:p w14:paraId="58D9B6AB">
      <w:pPr>
        <w:tabs>
          <w:tab w:val="left" w:pos="3870"/>
          <w:tab w:val="left" w:pos="4085"/>
        </w:tabs>
        <w:snapToGrid w:val="0"/>
        <w:spacing w:line="420" w:lineRule="exact"/>
        <w:ind w:firstLine="480" w:firstLineChars="200"/>
        <w:rPr>
          <w:rFonts w:hint="default"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14.6本项目的工程按以下方式签订工程施工承包合同：</w:t>
      </w:r>
      <w:r>
        <w:rPr>
          <w:rFonts w:hint="eastAsia" w:ascii="仿宋_GB2312" w:hAnsi="宋体" w:eastAsia="仿宋_GB2312"/>
          <w:b/>
          <w:bCs/>
          <w:color w:val="auto"/>
          <w:sz w:val="24"/>
          <w:highlight w:val="none"/>
          <w:lang w:val="en-US" w:eastAsia="zh-CN"/>
        </w:rPr>
        <w:t>本合同价款采用工程量清单报价，包工包料，固定综合单价包干，按实际发生的工程量结算。</w:t>
      </w:r>
      <w:r>
        <w:rPr>
          <w:rFonts w:hint="eastAsia" w:ascii="仿宋_GB2312" w:hAnsi="宋体" w:eastAsia="仿宋_GB2312"/>
          <w:color w:val="auto"/>
          <w:sz w:val="24"/>
          <w:highlight w:val="none"/>
          <w:lang w:val="en-US" w:eastAsia="zh-CN"/>
        </w:rPr>
        <w:t>设计变更可以调整，调整办法见采购文件“合同条款及格式”第三部分“专用合同条款”的相关内容。国家政策性变化按规定进行调整。</w:t>
      </w:r>
    </w:p>
    <w:p w14:paraId="761C25FD">
      <w:pPr>
        <w:tabs>
          <w:tab w:val="left" w:pos="3870"/>
          <w:tab w:val="left" w:pos="4085"/>
        </w:tabs>
        <w:snapToGrid w:val="0"/>
        <w:spacing w:line="42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五、响应文件有效期</w:t>
      </w:r>
    </w:p>
    <w:p w14:paraId="38466B47">
      <w:pPr>
        <w:tabs>
          <w:tab w:val="left" w:pos="3870"/>
          <w:tab w:val="left" w:pos="4085"/>
        </w:tabs>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15.有效期的说明</w:t>
      </w:r>
    </w:p>
    <w:p w14:paraId="49407427">
      <w:pPr>
        <w:spacing w:line="420" w:lineRule="exact"/>
        <w:ind w:firstLine="480" w:firstLineChars="200"/>
        <w:rPr>
          <w:rFonts w:hint="eastAsia" w:ascii="仿宋_GB2312" w:eastAsia="仿宋_GB2312"/>
          <w:color w:val="auto"/>
          <w:sz w:val="24"/>
          <w:highlight w:val="none"/>
          <w:lang w:eastAsia="zh-CN"/>
        </w:rPr>
      </w:pPr>
      <w:r>
        <w:rPr>
          <w:rFonts w:hint="eastAsia" w:ascii="仿宋_GB2312" w:eastAsia="仿宋_GB2312"/>
          <w:color w:val="auto"/>
          <w:sz w:val="24"/>
          <w:highlight w:val="none"/>
        </w:rPr>
        <w:t>15.1</w:t>
      </w:r>
      <w:r>
        <w:rPr>
          <w:rFonts w:hint="eastAsia" w:ascii="仿宋_GB2312" w:eastAsia="仿宋_GB2312"/>
          <w:color w:val="auto"/>
          <w:sz w:val="24"/>
          <w:highlight w:val="none"/>
          <w:lang w:val="en-US" w:eastAsia="zh-CN"/>
        </w:rPr>
        <w:t>本项目响应有效期：自首次响应文件递交截止日期后不得少于</w:t>
      </w:r>
      <w:r>
        <w:rPr>
          <w:rFonts w:hint="eastAsia" w:ascii="仿宋_GB2312" w:eastAsia="仿宋_GB2312"/>
          <w:color w:val="auto"/>
          <w:sz w:val="24"/>
          <w:highlight w:val="none"/>
        </w:rPr>
        <w:t>60天。有效期不足的响应文件将被拒绝，视为响应无效</w:t>
      </w:r>
      <w:r>
        <w:rPr>
          <w:rFonts w:hint="eastAsia" w:ascii="仿宋_GB2312" w:eastAsia="仿宋_GB2312"/>
          <w:color w:val="auto"/>
          <w:sz w:val="24"/>
          <w:highlight w:val="none"/>
          <w:lang w:eastAsia="zh-CN"/>
        </w:rPr>
        <w:t>。</w:t>
      </w:r>
    </w:p>
    <w:p w14:paraId="5EB29BA8">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15.2在特殊情况下，采购人可与供应商协商延长响应文件的有效期，这种要求和答复均以书面形式进行。</w:t>
      </w:r>
    </w:p>
    <w:p w14:paraId="07349D33">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15.3供应商可拒绝接受延长有效期要求。同意延长有效期的供应商不能修改响应文件其它内容。</w:t>
      </w:r>
    </w:p>
    <w:p w14:paraId="5799B262">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15.4供应商的响应文件在响应文件有效期内保持有效；如成交，响应文件至合同履行完毕止均应保持有效。</w:t>
      </w:r>
    </w:p>
    <w:p w14:paraId="745F9919">
      <w:pPr>
        <w:spacing w:line="420" w:lineRule="exact"/>
        <w:ind w:left="420" w:hanging="420"/>
        <w:rPr>
          <w:rFonts w:ascii="仿宋_GB2312" w:hAnsi="宋体" w:eastAsia="仿宋_GB2312"/>
          <w:b/>
          <w:color w:val="auto"/>
          <w:sz w:val="24"/>
          <w:highlight w:val="none"/>
        </w:rPr>
      </w:pPr>
      <w:r>
        <w:rPr>
          <w:rFonts w:hint="eastAsia" w:ascii="仿宋_GB2312" w:hAnsi="宋体" w:eastAsia="仿宋_GB2312"/>
          <w:b/>
          <w:color w:val="auto"/>
          <w:sz w:val="24"/>
          <w:highlight w:val="none"/>
        </w:rPr>
        <w:t>六、磋商保证金</w:t>
      </w:r>
    </w:p>
    <w:p w14:paraId="35F504B9">
      <w:pPr>
        <w:spacing w:line="420" w:lineRule="exact"/>
        <w:ind w:firstLine="240" w:firstLineChars="100"/>
        <w:rPr>
          <w:rFonts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16.保证金的说明</w:t>
      </w:r>
    </w:p>
    <w:p w14:paraId="3BED8D14">
      <w:pPr>
        <w:spacing w:line="440" w:lineRule="exact"/>
        <w:ind w:right="-13" w:rightChars="-6"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16.1</w:t>
      </w:r>
      <w:r>
        <w:rPr>
          <w:rFonts w:hint="eastAsia" w:ascii="仿宋_GB2312" w:hAnsi="宋体" w:eastAsia="仿宋_GB2312" w:cs="Courier New"/>
          <w:color w:val="auto"/>
          <w:sz w:val="24"/>
          <w:highlight w:val="none"/>
        </w:rPr>
        <w:t>本项目无需提交磋商保证金。</w:t>
      </w:r>
    </w:p>
    <w:p w14:paraId="0C85F9A8">
      <w:pPr>
        <w:spacing w:line="460" w:lineRule="exact"/>
        <w:rPr>
          <w:rFonts w:ascii="仿宋_GB2312" w:hAnsi="宋体" w:eastAsia="仿宋_GB2312" w:cs="Courier New"/>
          <w:b/>
          <w:color w:val="auto"/>
          <w:sz w:val="24"/>
          <w:highlight w:val="none"/>
        </w:rPr>
      </w:pPr>
      <w:r>
        <w:rPr>
          <w:rFonts w:hint="eastAsia" w:ascii="仿宋_GB2312" w:hAnsi="宋体" w:eastAsia="仿宋_GB2312"/>
          <w:b/>
          <w:color w:val="auto"/>
          <w:sz w:val="24"/>
          <w:highlight w:val="none"/>
        </w:rPr>
        <w:t>七、电子</w:t>
      </w:r>
      <w:r>
        <w:rPr>
          <w:rFonts w:hint="eastAsia" w:ascii="仿宋_GB2312" w:hAnsi="宋体" w:eastAsia="仿宋_GB2312" w:cs="Courier New"/>
          <w:b/>
          <w:color w:val="auto"/>
          <w:sz w:val="24"/>
          <w:highlight w:val="none"/>
        </w:rPr>
        <w:t>响应文件的提交</w:t>
      </w:r>
    </w:p>
    <w:p w14:paraId="3780EDFE">
      <w:pPr>
        <w:tabs>
          <w:tab w:val="left" w:pos="3870"/>
          <w:tab w:val="left" w:pos="4085"/>
        </w:tabs>
        <w:snapToGrid w:val="0"/>
        <w:spacing w:line="46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17.电子响应文件的提交</w:t>
      </w:r>
    </w:p>
    <w:p w14:paraId="4DBE907B">
      <w:pPr>
        <w:tabs>
          <w:tab w:val="left" w:pos="3870"/>
          <w:tab w:val="left" w:pos="4085"/>
        </w:tabs>
        <w:snapToGrid w:val="0"/>
        <w:spacing w:line="46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17.1本项目实行“网上投标、电子评标”，供应商应于提交响应文件截止时间前在</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上提交已经加密的电子响应文件。</w:t>
      </w:r>
    </w:p>
    <w:p w14:paraId="106B2A36">
      <w:pPr>
        <w:tabs>
          <w:tab w:val="left" w:pos="3870"/>
          <w:tab w:val="left" w:pos="4085"/>
        </w:tabs>
        <w:snapToGrid w:val="0"/>
        <w:spacing w:line="46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17.2未按规定上传的电子响应文件将被拒绝，由此造成电子响应文件解密失败或被误投的风险由供应商自行承担。</w:t>
      </w:r>
    </w:p>
    <w:p w14:paraId="1F29E63B">
      <w:pPr>
        <w:tabs>
          <w:tab w:val="left" w:pos="3870"/>
          <w:tab w:val="left" w:pos="4085"/>
        </w:tabs>
        <w:snapToGrid w:val="0"/>
        <w:spacing w:line="46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17.3供应商应当在提交截止时间前完成电子响应文件的提交，提交截止时间前并可以补充、修改或者撤回电子响应文件。补充或者修改电子响应文件的，应当先行撤回原文件，补充、修改、加密后重新传输提交。提交截止时间前未完成传输的，视为放弃磋商。提交截止时间后上传的文件，将被</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拒收。</w:t>
      </w:r>
    </w:p>
    <w:p w14:paraId="4898693A">
      <w:pPr>
        <w:tabs>
          <w:tab w:val="left" w:pos="3870"/>
          <w:tab w:val="left" w:pos="4085"/>
        </w:tabs>
        <w:snapToGrid w:val="0"/>
        <w:spacing w:line="460" w:lineRule="exact"/>
        <w:jc w:val="lef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八、解密</w:t>
      </w:r>
    </w:p>
    <w:p w14:paraId="5C9AC108">
      <w:pPr>
        <w:tabs>
          <w:tab w:val="left" w:pos="3870"/>
          <w:tab w:val="left" w:pos="4085"/>
        </w:tabs>
        <w:snapToGrid w:val="0"/>
        <w:spacing w:line="460" w:lineRule="exact"/>
        <w:ind w:firstLine="481"/>
        <w:jc w:val="lef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18.解密</w:t>
      </w:r>
    </w:p>
    <w:p w14:paraId="0541EE1A">
      <w:pPr>
        <w:tabs>
          <w:tab w:val="left" w:pos="3870"/>
          <w:tab w:val="left" w:pos="4085"/>
        </w:tabs>
        <w:snapToGrid w:val="0"/>
        <w:spacing w:line="460" w:lineRule="exact"/>
        <w:ind w:firstLine="720" w:firstLineChars="300"/>
        <w:jc w:val="left"/>
        <w:rPr>
          <w:rFonts w:ascii="仿宋_GB2312" w:hAnsi="宋体" w:eastAsia="仿宋_GB2312"/>
          <w:b/>
          <w:bCs/>
          <w:color w:val="auto"/>
          <w:sz w:val="24"/>
          <w:highlight w:val="none"/>
        </w:rPr>
      </w:pPr>
      <w:r>
        <w:rPr>
          <w:rFonts w:hint="eastAsia" w:ascii="仿宋_GB2312" w:hAnsi="宋体" w:eastAsia="仿宋_GB2312"/>
          <w:color w:val="auto"/>
          <w:sz w:val="24"/>
          <w:highlight w:val="none"/>
        </w:rPr>
        <w:t>18.1电子响应文件提交截止时间后，</w:t>
      </w:r>
      <w:r>
        <w:rPr>
          <w:rFonts w:hint="eastAsia" w:ascii="仿宋_GB2312" w:hAnsi="宋体" w:eastAsia="仿宋_GB2312"/>
          <w:color w:val="auto"/>
          <w:sz w:val="24"/>
          <w:highlight w:val="none"/>
          <w:lang w:val="en-US" w:eastAsia="zh-CN"/>
        </w:rPr>
        <w:t>解密</w:t>
      </w:r>
      <w:r>
        <w:rPr>
          <w:rFonts w:hint="eastAsia" w:ascii="仿宋_GB2312" w:hAnsi="宋体" w:eastAsia="仿宋_GB2312"/>
          <w:color w:val="auto"/>
          <w:sz w:val="24"/>
          <w:highlight w:val="none"/>
        </w:rPr>
        <w:t>开始。</w:t>
      </w:r>
    </w:p>
    <w:p w14:paraId="22C2AF54">
      <w:pPr>
        <w:tabs>
          <w:tab w:val="left" w:pos="3870"/>
          <w:tab w:val="left" w:pos="4085"/>
        </w:tabs>
        <w:snapToGrid w:val="0"/>
        <w:spacing w:line="460" w:lineRule="exact"/>
        <w:ind w:firstLine="720" w:firstLineChars="3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18.2</w:t>
      </w:r>
      <w:r>
        <w:rPr>
          <w:rFonts w:hint="eastAsia" w:ascii="仿宋_GB2312" w:hAnsi="宋体" w:eastAsia="仿宋_GB2312"/>
          <w:color w:val="auto"/>
          <w:sz w:val="24"/>
          <w:highlight w:val="none"/>
          <w:lang w:val="en-US" w:eastAsia="zh-CN"/>
        </w:rPr>
        <w:t>解密</w:t>
      </w:r>
      <w:r>
        <w:rPr>
          <w:rFonts w:hint="eastAsia" w:ascii="仿宋_GB2312" w:hAnsi="宋体" w:eastAsia="仿宋_GB2312"/>
          <w:color w:val="auto"/>
          <w:sz w:val="24"/>
          <w:highlight w:val="none"/>
        </w:rPr>
        <w:t>开始时，</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自动提取所有供应商的响应文件，供应商须在采购代理机构开启解密标书后30分钟内对上传</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的响应文件进行解密。</w:t>
      </w:r>
    </w:p>
    <w:p w14:paraId="33B8CAD7">
      <w:pPr>
        <w:tabs>
          <w:tab w:val="left" w:pos="3870"/>
          <w:tab w:val="left" w:pos="4085"/>
        </w:tabs>
        <w:snapToGrid w:val="0"/>
        <w:spacing w:line="460" w:lineRule="exact"/>
        <w:ind w:firstLine="720" w:firstLineChars="3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非</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技术原因造成的供应商超过解密时限未完成解密的，或响应文件无法解密或解密失败，视为供应商放弃磋商，响应无效。</w:t>
      </w:r>
    </w:p>
    <w:p w14:paraId="7E58B5D5">
      <w:pPr>
        <w:spacing w:line="460" w:lineRule="exact"/>
        <w:rPr>
          <w:rFonts w:ascii="仿宋_GB2312" w:eastAsia="仿宋_GB2312"/>
          <w:b/>
          <w:bCs/>
          <w:color w:val="auto"/>
          <w:sz w:val="24"/>
          <w:highlight w:val="none"/>
        </w:rPr>
      </w:pPr>
      <w:r>
        <w:rPr>
          <w:rFonts w:hint="eastAsia" w:ascii="仿宋_GB2312" w:hAnsi="宋体" w:eastAsia="仿宋_GB2312"/>
          <w:b/>
          <w:color w:val="auto"/>
          <w:sz w:val="24"/>
          <w:highlight w:val="none"/>
        </w:rPr>
        <w:t>九、</w:t>
      </w:r>
      <w:r>
        <w:rPr>
          <w:rFonts w:hint="eastAsia" w:ascii="仿宋_GB2312" w:eastAsia="仿宋_GB2312"/>
          <w:b/>
          <w:bCs/>
          <w:color w:val="auto"/>
          <w:sz w:val="24"/>
          <w:highlight w:val="none"/>
        </w:rPr>
        <w:t>资格性审查</w:t>
      </w:r>
    </w:p>
    <w:p w14:paraId="77A4662D">
      <w:pPr>
        <w:keepNext w:val="0"/>
        <w:keepLines w:val="0"/>
        <w:pageBreakBefore w:val="0"/>
        <w:widowControl w:val="0"/>
        <w:kinsoku/>
        <w:wordWrap/>
        <w:overflowPunct/>
        <w:topLinePunct w:val="0"/>
        <w:autoSpaceDE/>
        <w:autoSpaceDN/>
        <w:bidi w:val="0"/>
        <w:adjustRightInd/>
        <w:snapToGrid/>
        <w:spacing w:line="460" w:lineRule="exact"/>
        <w:ind w:firstLine="240" w:firstLineChars="100"/>
        <w:textAlignment w:val="auto"/>
        <w:rPr>
          <w:rFonts w:ascii="仿宋_GB2312" w:eastAsia="仿宋_GB2312"/>
          <w:color w:val="auto"/>
          <w:sz w:val="24"/>
          <w:highlight w:val="none"/>
        </w:rPr>
      </w:pPr>
      <w:r>
        <w:rPr>
          <w:rFonts w:hint="eastAsia" w:ascii="仿宋_GB2312" w:eastAsia="仿宋_GB2312"/>
          <w:color w:val="auto"/>
          <w:sz w:val="24"/>
          <w:highlight w:val="none"/>
        </w:rPr>
        <w:t>19.资格性审查</w:t>
      </w:r>
    </w:p>
    <w:p w14:paraId="7A1FD15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仿宋_GB2312" w:eastAsia="仿宋_GB2312"/>
          <w:color w:val="auto"/>
          <w:sz w:val="24"/>
          <w:highlight w:val="none"/>
        </w:rPr>
      </w:pPr>
      <w:r>
        <w:rPr>
          <w:rFonts w:hint="eastAsia" w:ascii="仿宋_GB2312" w:eastAsia="仿宋_GB2312"/>
          <w:color w:val="auto"/>
          <w:sz w:val="24"/>
          <w:highlight w:val="none"/>
        </w:rPr>
        <w:t>19.1采购人依法对供应商的资格进行审查。</w:t>
      </w:r>
    </w:p>
    <w:p w14:paraId="315AA212">
      <w:pPr>
        <w:spacing w:line="46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19.2通过资格审查的合格供应商不足3家的，不得进入符合性审查环节，应当重新开展采购活动（</w:t>
      </w:r>
      <w:r>
        <w:rPr>
          <w:rFonts w:ascii="仿宋_GB2312" w:eastAsia="仿宋_GB2312"/>
          <w:bCs/>
          <w:color w:val="auto"/>
          <w:sz w:val="24"/>
          <w:highlight w:val="none"/>
        </w:rPr>
        <w:t>本章第</w:t>
      </w:r>
      <w:r>
        <w:rPr>
          <w:rFonts w:hint="eastAsia" w:ascii="仿宋_GB2312" w:eastAsia="仿宋_GB2312"/>
          <w:bCs/>
          <w:color w:val="auto"/>
          <w:sz w:val="24"/>
          <w:highlight w:val="none"/>
        </w:rPr>
        <w:t>25.2.9</w:t>
      </w:r>
      <w:r>
        <w:rPr>
          <w:rFonts w:ascii="仿宋_GB2312" w:eastAsia="仿宋_GB2312"/>
          <w:bCs/>
          <w:color w:val="auto"/>
          <w:sz w:val="24"/>
          <w:highlight w:val="none"/>
        </w:rPr>
        <w:t>条的情形</w:t>
      </w:r>
      <w:r>
        <w:rPr>
          <w:rFonts w:hint="eastAsia" w:ascii="仿宋_GB2312" w:eastAsia="仿宋_GB2312"/>
          <w:bCs/>
          <w:color w:val="auto"/>
          <w:sz w:val="24"/>
          <w:highlight w:val="none"/>
        </w:rPr>
        <w:t>除</w:t>
      </w:r>
      <w:r>
        <w:rPr>
          <w:rFonts w:ascii="仿宋_GB2312" w:eastAsia="仿宋_GB2312"/>
          <w:bCs/>
          <w:color w:val="auto"/>
          <w:sz w:val="24"/>
          <w:highlight w:val="none"/>
        </w:rPr>
        <w:t>外</w:t>
      </w:r>
      <w:r>
        <w:rPr>
          <w:rFonts w:hint="eastAsia" w:ascii="仿宋_GB2312" w:eastAsia="仿宋_GB2312"/>
          <w:color w:val="auto"/>
          <w:sz w:val="24"/>
          <w:highlight w:val="none"/>
        </w:rPr>
        <w:t>）。</w:t>
      </w:r>
    </w:p>
    <w:p w14:paraId="67A6A275">
      <w:pPr>
        <w:spacing w:line="420" w:lineRule="exact"/>
        <w:rPr>
          <w:rFonts w:ascii="仿宋_GB2312" w:eastAsia="仿宋_GB2312"/>
          <w:color w:val="auto"/>
          <w:sz w:val="24"/>
          <w:highlight w:val="none"/>
        </w:rPr>
      </w:pPr>
      <w:r>
        <w:rPr>
          <w:rFonts w:hint="eastAsia" w:ascii="仿宋_GB2312" w:hAnsi="宋体" w:eastAsia="仿宋_GB2312"/>
          <w:b/>
          <w:color w:val="auto"/>
          <w:sz w:val="24"/>
          <w:highlight w:val="none"/>
        </w:rPr>
        <w:t>十、符合性审查</w:t>
      </w:r>
    </w:p>
    <w:p w14:paraId="2F9E723A">
      <w:pPr>
        <w:spacing w:line="420" w:lineRule="exact"/>
        <w:ind w:firstLine="240" w:firstLineChars="100"/>
        <w:rPr>
          <w:rFonts w:ascii="仿宋_GB2312" w:eastAsia="仿宋_GB2312"/>
          <w:color w:val="auto"/>
          <w:sz w:val="24"/>
          <w:highlight w:val="none"/>
        </w:rPr>
      </w:pPr>
      <w:r>
        <w:rPr>
          <w:rFonts w:hint="eastAsia" w:ascii="仿宋_GB2312" w:eastAsia="仿宋_GB2312"/>
          <w:color w:val="auto"/>
          <w:sz w:val="24"/>
          <w:highlight w:val="none"/>
        </w:rPr>
        <w:t>20.磋商小组的组成</w:t>
      </w:r>
    </w:p>
    <w:p w14:paraId="0CCB8874">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采购代理机构根据磋商项目的特点依法组建“磋商小组”,“磋商小组”由采购人代表和评审专家共3人或3人以上单数组成，其中评审专家的人数不得少于磋商小组成员总数的2/3。</w:t>
      </w:r>
    </w:p>
    <w:p w14:paraId="7208F085">
      <w:pPr>
        <w:spacing w:line="420" w:lineRule="exact"/>
        <w:ind w:firstLine="240" w:firstLineChars="100"/>
        <w:rPr>
          <w:rFonts w:ascii="仿宋_GB2312" w:eastAsia="仿宋_GB2312"/>
          <w:color w:val="auto"/>
          <w:sz w:val="24"/>
          <w:highlight w:val="none"/>
        </w:rPr>
      </w:pPr>
      <w:r>
        <w:rPr>
          <w:rFonts w:hint="eastAsia" w:ascii="仿宋_GB2312" w:eastAsia="仿宋_GB2312"/>
          <w:color w:val="auto"/>
          <w:sz w:val="24"/>
          <w:highlight w:val="none"/>
        </w:rPr>
        <w:t>21.符合性审查</w:t>
      </w:r>
    </w:p>
    <w:p w14:paraId="0BEB0766">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磋商小组应当对符合资格的供应商的响应文件进行竞标报价、商务、技术等实质性要求符合性审查，以确定其是否满足磋商文件的实质性要求。</w:t>
      </w:r>
    </w:p>
    <w:p w14:paraId="12FA9A4B">
      <w:pPr>
        <w:spacing w:line="420" w:lineRule="exact"/>
        <w:ind w:firstLine="240" w:firstLineChars="100"/>
        <w:rPr>
          <w:rFonts w:ascii="仿宋_GB2312" w:eastAsia="仿宋_GB2312"/>
          <w:bCs/>
          <w:color w:val="auto"/>
          <w:sz w:val="24"/>
          <w:highlight w:val="none"/>
        </w:rPr>
      </w:pPr>
      <w:r>
        <w:rPr>
          <w:rFonts w:hint="eastAsia" w:ascii="仿宋_GB2312" w:eastAsia="仿宋_GB2312"/>
          <w:bCs/>
          <w:color w:val="auto"/>
          <w:sz w:val="24"/>
          <w:highlight w:val="none"/>
        </w:rPr>
        <w:t>22.澄清</w:t>
      </w:r>
    </w:p>
    <w:p w14:paraId="0EC7C5CD">
      <w:pPr>
        <w:spacing w:line="42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22.1</w:t>
      </w:r>
      <w:r>
        <w:rPr>
          <w:rFonts w:hint="eastAsia" w:ascii="仿宋_GB2312" w:eastAsia="仿宋_GB2312"/>
          <w:color w:val="auto"/>
          <w:sz w:val="24"/>
          <w:highlight w:val="none"/>
        </w:rPr>
        <w:t>磋商</w:t>
      </w:r>
      <w:r>
        <w:rPr>
          <w:rFonts w:hint="eastAsia" w:ascii="仿宋_GB2312" w:eastAsia="仿宋_GB2312"/>
          <w:bCs/>
          <w:color w:val="auto"/>
          <w:sz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FD09518">
      <w:pPr>
        <w:spacing w:line="42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22.2磋商小组要求供应商澄清、说明或者更正响应文件应当通过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发起电子询标函。供应商在截止时间前通过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进行澄清、说明或更正。供应商的澄清、说明</w:t>
      </w:r>
      <w:r>
        <w:rPr>
          <w:rFonts w:hint="eastAsia" w:ascii="仿宋_GB2312" w:eastAsia="仿宋_GB2312"/>
          <w:b w:val="0"/>
          <w:bCs/>
          <w:color w:val="auto"/>
          <w:sz w:val="24"/>
          <w:highlight w:val="none"/>
        </w:rPr>
        <w:t>或者更正应当加盖供应商CA电子签章。截</w:t>
      </w:r>
      <w:r>
        <w:rPr>
          <w:rFonts w:hint="eastAsia" w:ascii="仿宋_GB2312" w:eastAsia="仿宋_GB2312"/>
          <w:bCs/>
          <w:color w:val="auto"/>
          <w:sz w:val="24"/>
          <w:highlight w:val="none"/>
        </w:rPr>
        <w:t>止时间前不澄清、补正或经澄清、补正后仍不符合竞争性磋商文件要求的，应认定其响应无效。</w:t>
      </w:r>
    </w:p>
    <w:p w14:paraId="009A01B2">
      <w:pPr>
        <w:spacing w:line="420" w:lineRule="exact"/>
        <w:rPr>
          <w:rFonts w:ascii="仿宋_GB2312" w:eastAsia="仿宋_GB2312"/>
          <w:b/>
          <w:bCs/>
          <w:color w:val="auto"/>
          <w:sz w:val="24"/>
          <w:highlight w:val="none"/>
        </w:rPr>
      </w:pPr>
      <w:r>
        <w:rPr>
          <w:rFonts w:hint="eastAsia" w:ascii="仿宋_GB2312" w:eastAsia="仿宋_GB2312"/>
          <w:b/>
          <w:bCs/>
          <w:color w:val="auto"/>
          <w:sz w:val="24"/>
          <w:highlight w:val="none"/>
        </w:rPr>
        <w:t>十一、无效响应的情形</w:t>
      </w:r>
    </w:p>
    <w:p w14:paraId="3F3DCCB5">
      <w:pPr>
        <w:spacing w:line="420" w:lineRule="exact"/>
        <w:ind w:firstLine="240" w:firstLineChars="100"/>
        <w:rPr>
          <w:rFonts w:ascii="仿宋_GB2312" w:eastAsia="仿宋_GB2312"/>
          <w:bCs/>
          <w:color w:val="auto"/>
          <w:sz w:val="24"/>
          <w:highlight w:val="none"/>
        </w:rPr>
      </w:pPr>
      <w:r>
        <w:rPr>
          <w:rFonts w:hint="eastAsia" w:ascii="仿宋_GB2312" w:eastAsia="仿宋_GB2312"/>
          <w:bCs/>
          <w:color w:val="auto"/>
          <w:sz w:val="24"/>
          <w:highlight w:val="none"/>
        </w:rPr>
        <w:t>23.供应商有下列情形之一的，资格审查不通过，</w:t>
      </w:r>
      <w:r>
        <w:rPr>
          <w:rFonts w:hint="eastAsia" w:ascii="仿宋_GB2312" w:eastAsia="仿宋_GB2312"/>
          <w:color w:val="auto"/>
          <w:sz w:val="24"/>
          <w:highlight w:val="none"/>
        </w:rPr>
        <w:t>将会按照无效响应处理，并告知有关供应商</w:t>
      </w:r>
      <w:r>
        <w:rPr>
          <w:rFonts w:hint="eastAsia" w:ascii="仿宋_GB2312" w:eastAsia="仿宋_GB2312"/>
          <w:bCs/>
          <w:color w:val="auto"/>
          <w:sz w:val="24"/>
          <w:highlight w:val="none"/>
        </w:rPr>
        <w:t>：</w:t>
      </w:r>
    </w:p>
    <w:p w14:paraId="46F97BD5">
      <w:pPr>
        <w:widowControl/>
        <w:spacing w:line="420" w:lineRule="exact"/>
        <w:ind w:firstLine="480" w:firstLineChars="200"/>
        <w:jc w:val="left"/>
        <w:rPr>
          <w:rFonts w:ascii="仿宋_GB2312" w:eastAsia="仿宋_GB2312"/>
          <w:color w:val="auto"/>
          <w:sz w:val="24"/>
          <w:highlight w:val="none"/>
        </w:rPr>
      </w:pPr>
      <w:r>
        <w:rPr>
          <w:rFonts w:hint="eastAsia" w:ascii="仿宋_GB2312" w:eastAsia="仿宋_GB2312"/>
          <w:bCs/>
          <w:color w:val="auto"/>
          <w:sz w:val="24"/>
          <w:highlight w:val="none"/>
        </w:rPr>
        <w:t>23.1</w:t>
      </w:r>
      <w:r>
        <w:rPr>
          <w:rFonts w:hint="eastAsia" w:ascii="仿宋_GB2312" w:eastAsia="仿宋_GB2312"/>
          <w:color w:val="auto"/>
          <w:sz w:val="24"/>
          <w:highlight w:val="none"/>
        </w:rPr>
        <w:t>资格证明文件不全的，或者不符合磋商文件标明的资格要求的；</w:t>
      </w:r>
    </w:p>
    <w:p w14:paraId="411F6040">
      <w:pPr>
        <w:widowControl/>
        <w:spacing w:line="42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23.2资格证明文件未按规定要求签署、加盖供应商CA电子签章的；</w:t>
      </w:r>
    </w:p>
    <w:p w14:paraId="02C67988">
      <w:pPr>
        <w:widowControl/>
        <w:spacing w:line="420" w:lineRule="exact"/>
        <w:ind w:firstLine="480" w:firstLineChars="20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23.3无法定代表人或其授权委托代理人签字，或未提供法定代表人授权委托书、</w:t>
      </w:r>
      <w:r>
        <w:rPr>
          <w:rFonts w:hint="eastAsia" w:ascii="仿宋_GB2312" w:eastAsia="仿宋_GB2312"/>
          <w:color w:val="auto"/>
          <w:sz w:val="24"/>
          <w:highlight w:val="none"/>
        </w:rPr>
        <w:t>磋商</w:t>
      </w:r>
      <w:r>
        <w:rPr>
          <w:rFonts w:hint="eastAsia" w:ascii="仿宋_GB2312" w:eastAsia="仿宋_GB2312" w:cs="Courier New"/>
          <w:color w:val="auto"/>
          <w:sz w:val="24"/>
          <w:highlight w:val="none"/>
        </w:rPr>
        <w:t>书或者填写项目不齐全的；</w:t>
      </w:r>
    </w:p>
    <w:p w14:paraId="44642E8D">
      <w:pPr>
        <w:widowControl/>
        <w:spacing w:line="420" w:lineRule="exact"/>
        <w:ind w:firstLine="480" w:firstLineChars="200"/>
        <w:jc w:val="left"/>
        <w:rPr>
          <w:rFonts w:hint="eastAsia" w:ascii="仿宋_GB2312" w:eastAsia="仿宋_GB2312"/>
          <w:color w:val="auto"/>
          <w:sz w:val="24"/>
          <w:highlight w:val="none"/>
        </w:rPr>
      </w:pPr>
      <w:r>
        <w:rPr>
          <w:rFonts w:hint="eastAsia" w:ascii="仿宋_GB2312" w:eastAsia="仿宋_GB2312"/>
          <w:color w:val="auto"/>
          <w:sz w:val="24"/>
          <w:highlight w:val="none"/>
        </w:rPr>
        <w:t>23.4委托代理人与法定代表人授权委托书中的代理人不符的；</w:t>
      </w:r>
    </w:p>
    <w:p w14:paraId="4BF909D6">
      <w:pPr>
        <w:widowControl/>
        <w:spacing w:line="420" w:lineRule="exact"/>
        <w:ind w:firstLine="480" w:firstLineChars="200"/>
        <w:jc w:val="left"/>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23.5在“信用中国”网站</w:t>
      </w:r>
      <w:r>
        <w:rPr>
          <w:rFonts w:hint="eastAsia" w:ascii="仿宋_GB2312" w:hAnsi="仿宋_GB2312" w:eastAsia="仿宋_GB2312" w:cs="仿宋_GB2312"/>
          <w:color w:val="auto"/>
          <w:sz w:val="24"/>
          <w:szCs w:val="24"/>
          <w:highlight w:val="none"/>
          <w:lang w:val="en-US" w:eastAsia="zh-CN"/>
        </w:rPr>
        <w:t>(www.creditchina.gov.cn)、中国政府采购网(www.ccgp.gov.cn)被列入失信被执行人、重大税收违法案件当事人名单、政府采购严重违法失信行为记录名单的。</w:t>
      </w:r>
    </w:p>
    <w:p w14:paraId="5AE39A4D">
      <w:pPr>
        <w:spacing w:line="420" w:lineRule="exact"/>
        <w:ind w:firstLine="240" w:firstLineChars="100"/>
        <w:rPr>
          <w:rFonts w:ascii="仿宋_GB2312" w:eastAsia="仿宋_GB2312"/>
          <w:bCs/>
          <w:color w:val="auto"/>
          <w:sz w:val="24"/>
          <w:highlight w:val="none"/>
        </w:rPr>
      </w:pPr>
      <w:r>
        <w:rPr>
          <w:rFonts w:hint="eastAsia" w:ascii="仿宋_GB2312" w:eastAsia="仿宋_GB2312"/>
          <w:bCs/>
          <w:color w:val="auto"/>
          <w:sz w:val="24"/>
          <w:highlight w:val="none"/>
        </w:rPr>
        <w:t>24.磋商小组根据确认后的磋商文件对供应商的响应文件进行审查。对有下列情况之一响应文件，将会按照无效响应处理，并告知有关供应商。</w:t>
      </w:r>
    </w:p>
    <w:p w14:paraId="5F8D25BE">
      <w:pPr>
        <w:spacing w:line="420" w:lineRule="exact"/>
        <w:ind w:firstLine="472" w:firstLineChars="197"/>
        <w:rPr>
          <w:rFonts w:ascii="仿宋_GB2312" w:eastAsia="仿宋_GB2312"/>
          <w:color w:val="auto"/>
          <w:sz w:val="24"/>
          <w:highlight w:val="none"/>
        </w:rPr>
      </w:pPr>
      <w:r>
        <w:rPr>
          <w:rFonts w:hint="eastAsia" w:ascii="仿宋_GB2312" w:eastAsia="仿宋_GB2312"/>
          <w:color w:val="auto"/>
          <w:sz w:val="24"/>
          <w:highlight w:val="none"/>
        </w:rPr>
        <w:t>2</w:t>
      </w:r>
      <w:r>
        <w:rPr>
          <w:rFonts w:hint="eastAsia" w:ascii="仿宋_GB2312" w:eastAsia="仿宋_GB2312"/>
          <w:bCs/>
          <w:color w:val="auto"/>
          <w:sz w:val="24"/>
          <w:highlight w:val="none"/>
        </w:rPr>
        <w:t>4</w:t>
      </w:r>
      <w:r>
        <w:rPr>
          <w:rFonts w:hint="eastAsia" w:ascii="仿宋_GB2312" w:eastAsia="仿宋_GB2312"/>
          <w:color w:val="auto"/>
          <w:sz w:val="24"/>
          <w:highlight w:val="none"/>
        </w:rPr>
        <w:t>.1关联供应商不得参加同一合同项下的政府采购活动。</w:t>
      </w:r>
    </w:p>
    <w:p w14:paraId="200AF113">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w:t>
      </w:r>
      <w:r>
        <w:rPr>
          <w:rFonts w:hint="eastAsia" w:ascii="仿宋_GB2312" w:eastAsia="仿宋_GB2312"/>
          <w:bCs/>
          <w:color w:val="auto"/>
          <w:sz w:val="24"/>
          <w:highlight w:val="none"/>
        </w:rPr>
        <w:t>4</w:t>
      </w:r>
      <w:r>
        <w:rPr>
          <w:rFonts w:hint="eastAsia" w:ascii="仿宋_GB2312" w:eastAsia="仿宋_GB2312"/>
          <w:color w:val="auto"/>
          <w:sz w:val="24"/>
          <w:highlight w:val="none"/>
        </w:rPr>
        <w:t>.1.1单位负责人为同一人或者存在直接控股、管理关系的不同的供应商，不得参加同一合同项下的政府采购活动；</w:t>
      </w:r>
    </w:p>
    <w:p w14:paraId="208D7416">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w:t>
      </w:r>
      <w:r>
        <w:rPr>
          <w:rFonts w:hint="eastAsia" w:ascii="仿宋_GB2312" w:eastAsia="仿宋_GB2312"/>
          <w:bCs/>
          <w:color w:val="auto"/>
          <w:sz w:val="24"/>
          <w:highlight w:val="none"/>
        </w:rPr>
        <w:t>4</w:t>
      </w:r>
      <w:r>
        <w:rPr>
          <w:rFonts w:hint="eastAsia" w:ascii="仿宋_GB2312" w:eastAsia="仿宋_GB2312"/>
          <w:color w:val="auto"/>
          <w:sz w:val="24"/>
          <w:highlight w:val="none"/>
        </w:rPr>
        <w:t>.2磋商小组根据确认后的磋商文件对供应商的响应文件进行符合性审查。对有下列情况之一的响应文件，将会按照无效响应处理。</w:t>
      </w:r>
    </w:p>
    <w:p w14:paraId="607286BA">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w:t>
      </w:r>
      <w:r>
        <w:rPr>
          <w:rFonts w:hint="eastAsia" w:ascii="仿宋_GB2312" w:eastAsia="仿宋_GB2312"/>
          <w:bCs/>
          <w:color w:val="auto"/>
          <w:sz w:val="24"/>
          <w:highlight w:val="none"/>
        </w:rPr>
        <w:t>4</w:t>
      </w:r>
      <w:r>
        <w:rPr>
          <w:rFonts w:hint="eastAsia" w:ascii="仿宋_GB2312" w:eastAsia="仿宋_GB2312"/>
          <w:color w:val="auto"/>
          <w:sz w:val="24"/>
          <w:highlight w:val="none"/>
        </w:rPr>
        <w:t>.2.</w:t>
      </w:r>
      <w:r>
        <w:rPr>
          <w:rFonts w:hint="eastAsia" w:ascii="仿宋_GB2312" w:eastAsia="仿宋_GB2312"/>
          <w:color w:val="auto"/>
          <w:sz w:val="24"/>
          <w:highlight w:val="none"/>
          <w:lang w:val="en-US" w:eastAsia="zh-CN"/>
        </w:rPr>
        <w:t>1</w:t>
      </w:r>
      <w:r>
        <w:rPr>
          <w:rFonts w:hint="eastAsia" w:ascii="仿宋_GB2312" w:eastAsia="仿宋_GB2312"/>
          <w:color w:val="auto"/>
          <w:sz w:val="24"/>
          <w:highlight w:val="none"/>
        </w:rPr>
        <w:t>响应文件未按磋商文件规定要求加密、签署、加盖供应商CA电子签章的；</w:t>
      </w:r>
    </w:p>
    <w:p w14:paraId="1AF84F2D">
      <w:pPr>
        <w:spacing w:line="420" w:lineRule="exact"/>
        <w:ind w:firstLine="720" w:firstLineChars="300"/>
        <w:rPr>
          <w:rFonts w:hint="eastAsia" w:ascii="仿宋_GB2312" w:eastAsia="仿宋_GB2312"/>
          <w:color w:val="auto"/>
          <w:sz w:val="24"/>
          <w:highlight w:val="none"/>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2</w:t>
      </w:r>
      <w:r>
        <w:rPr>
          <w:rFonts w:hint="eastAsia" w:ascii="仿宋_GB2312" w:eastAsia="仿宋_GB2312"/>
          <w:color w:val="auto"/>
          <w:sz w:val="24"/>
          <w:highlight w:val="none"/>
        </w:rPr>
        <w:t>对磋商文件实质性要求不能完全响应或者内容虚假的；</w:t>
      </w:r>
    </w:p>
    <w:p w14:paraId="6E34EE7D">
      <w:pPr>
        <w:spacing w:line="420" w:lineRule="exact"/>
        <w:ind w:firstLine="720" w:firstLineChars="300"/>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24.2.3委托代理人未能出具有效身份证或者出具的身份证与授权委托书中的信息不符的；</w:t>
      </w:r>
    </w:p>
    <w:p w14:paraId="5E77ABE3">
      <w:pPr>
        <w:spacing w:line="420" w:lineRule="exact"/>
        <w:ind w:firstLine="720" w:firstLineChars="300"/>
        <w:rPr>
          <w:rFonts w:hint="eastAsia" w:ascii="仿宋_GB2312" w:eastAsia="仿宋_GB2312"/>
          <w:color w:val="auto"/>
          <w:sz w:val="24"/>
          <w:highlight w:val="none"/>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4</w:t>
      </w:r>
      <w:r>
        <w:rPr>
          <w:rFonts w:hint="eastAsia" w:ascii="仿宋_GB2312" w:eastAsia="仿宋_GB2312"/>
          <w:color w:val="auto"/>
          <w:sz w:val="24"/>
          <w:highlight w:val="none"/>
        </w:rPr>
        <w:t>响应文件的实质性内容未使用中文表述、意思表述不明确、前后矛盾或者使用计量单位不符合磋商文件要求的（经磋商小组认定并允许进行澄清的情形除外）；</w:t>
      </w:r>
    </w:p>
    <w:p w14:paraId="07B890E0">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5</w:t>
      </w:r>
      <w:r>
        <w:rPr>
          <w:rFonts w:hint="eastAsia" w:ascii="仿宋_GB2312" w:eastAsia="仿宋_GB2312"/>
          <w:color w:val="auto"/>
          <w:sz w:val="24"/>
          <w:highlight w:val="none"/>
        </w:rPr>
        <w:t>响应文件附有采购人不能接受的条件的；</w:t>
      </w:r>
    </w:p>
    <w:p w14:paraId="240A16EC">
      <w:pPr>
        <w:spacing w:line="420" w:lineRule="exact"/>
        <w:ind w:firstLine="720" w:firstLineChars="300"/>
        <w:rPr>
          <w:rFonts w:hint="eastAsia" w:ascii="仿宋_GB2312" w:eastAsia="仿宋_GB2312"/>
          <w:color w:val="auto"/>
          <w:sz w:val="24"/>
          <w:highlight w:val="none"/>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6</w:t>
      </w:r>
      <w:r>
        <w:rPr>
          <w:rFonts w:hint="eastAsia" w:ascii="仿宋_GB2312" w:eastAsia="仿宋_GB2312"/>
          <w:color w:val="auto"/>
          <w:sz w:val="24"/>
          <w:highlight w:val="none"/>
        </w:rPr>
        <w:t>供应商对采购需求中标记“▲”符号的实质性响应内容发生负偏离一项</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lang w:val="en-US" w:eastAsia="zh-CN"/>
        </w:rPr>
        <w:t>含</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以上的；</w:t>
      </w:r>
    </w:p>
    <w:p w14:paraId="7FCCAD66">
      <w:pPr>
        <w:spacing w:line="420" w:lineRule="exact"/>
        <w:ind w:firstLine="720" w:firstLineChars="300"/>
        <w:rPr>
          <w:rFonts w:hint="eastAsia" w:ascii="仿宋_GB2312" w:eastAsia="仿宋_GB2312"/>
          <w:color w:val="auto"/>
          <w:sz w:val="24"/>
          <w:highlight w:val="none"/>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7竞标技术方案不明确，磋商文件未允许但响应文件中存在一个或者一个以上备选（替代）竞标方案</w:t>
      </w:r>
      <w:r>
        <w:rPr>
          <w:rFonts w:hint="eastAsia" w:ascii="仿宋_GB2312" w:eastAsia="仿宋_GB2312"/>
          <w:color w:val="auto"/>
          <w:sz w:val="24"/>
          <w:highlight w:val="none"/>
        </w:rPr>
        <w:t>；</w:t>
      </w:r>
    </w:p>
    <w:p w14:paraId="69EB2E0D">
      <w:pPr>
        <w:spacing w:line="420" w:lineRule="exact"/>
        <w:ind w:firstLine="720" w:firstLineChars="300"/>
        <w:rPr>
          <w:rFonts w:hint="eastAsia" w:ascii="仿宋_GB2312" w:eastAsia="仿宋_GB2312"/>
          <w:color w:val="auto"/>
          <w:sz w:val="24"/>
          <w:highlight w:val="none"/>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8</w:t>
      </w:r>
      <w:r>
        <w:rPr>
          <w:rFonts w:hint="eastAsia" w:ascii="仿宋_GB2312" w:eastAsia="仿宋_GB2312"/>
          <w:color w:val="auto"/>
          <w:sz w:val="24"/>
          <w:highlight w:val="none"/>
          <w:lang w:val="en-US" w:eastAsia="zh-CN"/>
        </w:rPr>
        <w:t>未响应磋商文件实质性要求的</w:t>
      </w:r>
      <w:r>
        <w:rPr>
          <w:rFonts w:hint="eastAsia" w:ascii="仿宋_GB2312" w:eastAsia="仿宋_GB2312"/>
          <w:color w:val="auto"/>
          <w:sz w:val="24"/>
          <w:highlight w:val="none"/>
        </w:rPr>
        <w:t>；</w:t>
      </w:r>
    </w:p>
    <w:p w14:paraId="1267A3D9">
      <w:pPr>
        <w:spacing w:line="420" w:lineRule="exact"/>
        <w:ind w:firstLine="720" w:firstLineChars="300"/>
        <w:rPr>
          <w:rFonts w:hint="default" w:eastAsia="仿宋_GB2312"/>
          <w:color w:val="auto"/>
          <w:highlight w:val="none"/>
          <w:lang w:val="en-US" w:eastAsia="zh-CN"/>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9</w:t>
      </w:r>
      <w:r>
        <w:rPr>
          <w:rFonts w:hint="eastAsia" w:ascii="仿宋_GB2312" w:eastAsia="仿宋_GB2312"/>
          <w:color w:val="auto"/>
          <w:sz w:val="24"/>
          <w:highlight w:val="none"/>
        </w:rPr>
        <w:t>不符合法律、法规相关规定的</w:t>
      </w:r>
      <w:r>
        <w:rPr>
          <w:rFonts w:hint="eastAsia" w:ascii="仿宋_GB2312" w:eastAsia="仿宋_GB2312"/>
          <w:color w:val="auto"/>
          <w:sz w:val="24"/>
          <w:highlight w:val="none"/>
          <w:lang w:eastAsia="zh-CN"/>
        </w:rPr>
        <w:t>；</w:t>
      </w:r>
    </w:p>
    <w:p w14:paraId="24532700">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10</w:t>
      </w:r>
      <w:r>
        <w:rPr>
          <w:rFonts w:hint="eastAsia" w:ascii="仿宋_GB2312" w:eastAsia="仿宋_GB2312"/>
          <w:color w:val="auto"/>
          <w:sz w:val="24"/>
          <w:highlight w:val="none"/>
        </w:rPr>
        <w:t>未采用人民币报价或者未按照磋商文件标明的币种报价的</w:t>
      </w:r>
      <w:r>
        <w:rPr>
          <w:rFonts w:hint="eastAsia" w:ascii="仿宋_GB2312" w:eastAsia="仿宋_GB2312"/>
          <w:color w:val="auto"/>
          <w:sz w:val="24"/>
          <w:highlight w:val="none"/>
        </w:rPr>
        <w:t>；</w:t>
      </w:r>
    </w:p>
    <w:p w14:paraId="1B68621A">
      <w:pPr>
        <w:spacing w:line="420" w:lineRule="exact"/>
        <w:ind w:firstLine="720" w:firstLineChars="300"/>
        <w:rPr>
          <w:rFonts w:hint="eastAsia" w:ascii="仿宋_GB2312" w:eastAsia="仿宋_GB2312"/>
          <w:color w:val="auto"/>
          <w:sz w:val="24"/>
          <w:highlight w:val="none"/>
          <w:lang w:eastAsia="zh-CN"/>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11竞标</w:t>
      </w:r>
      <w:r>
        <w:rPr>
          <w:rFonts w:hint="eastAsia" w:ascii="仿宋_GB2312" w:eastAsia="仿宋_GB2312"/>
          <w:color w:val="auto"/>
          <w:sz w:val="24"/>
          <w:highlight w:val="none"/>
        </w:rPr>
        <w:t>报价</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lang w:val="en-US" w:eastAsia="zh-CN"/>
        </w:rPr>
        <w:t>包含首次报价、最后报价</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超过磋商文件中规定的</w:t>
      </w:r>
      <w:r>
        <w:rPr>
          <w:rFonts w:hint="eastAsia" w:ascii="仿宋_GB2312" w:eastAsia="仿宋_GB2312"/>
          <w:color w:val="auto"/>
          <w:sz w:val="24"/>
          <w:highlight w:val="none"/>
          <w:lang w:val="en-US" w:eastAsia="zh-CN"/>
        </w:rPr>
        <w:t>采购预算金额或者最高限价的（如</w:t>
      </w:r>
      <w:r>
        <w:rPr>
          <w:rFonts w:hint="eastAsia" w:ascii="仿宋_GB2312" w:eastAsia="仿宋_GB2312"/>
          <w:color w:val="auto"/>
          <w:sz w:val="24"/>
          <w:highlight w:val="none"/>
          <w:lang w:val="en-US" w:eastAsia="zh-CN"/>
        </w:rPr>
        <w:t>本项目公布了最高限价）</w:t>
      </w: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竞标</w:t>
      </w:r>
      <w:r>
        <w:rPr>
          <w:rFonts w:hint="eastAsia" w:ascii="仿宋_GB2312" w:eastAsia="仿宋_GB2312"/>
          <w:color w:val="auto"/>
          <w:sz w:val="24"/>
          <w:highlight w:val="none"/>
        </w:rPr>
        <w:t>报价</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lang w:val="en-US" w:eastAsia="zh-CN"/>
        </w:rPr>
        <w:t>包含首次报价、最后报价</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中工程量清单子目综合单价不得高于预算控制价的相应综合单价</w:t>
      </w:r>
      <w:r>
        <w:rPr>
          <w:rFonts w:hint="eastAsia" w:ascii="仿宋_GB2312" w:eastAsia="仿宋_GB2312"/>
          <w:color w:val="auto"/>
          <w:sz w:val="24"/>
          <w:highlight w:val="none"/>
          <w:lang w:eastAsia="zh-CN"/>
        </w:rPr>
        <w:t>；</w:t>
      </w:r>
    </w:p>
    <w:p w14:paraId="1145B033">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12</w:t>
      </w:r>
      <w:r>
        <w:rPr>
          <w:rFonts w:hint="eastAsia" w:ascii="仿宋_GB2312" w:eastAsia="仿宋_GB2312"/>
          <w:color w:val="auto"/>
          <w:sz w:val="24"/>
          <w:highlight w:val="none"/>
        </w:rPr>
        <w:t>供应商在线制作电子响应文件时填写的报价金额与解密后“电子加密响应文件”中《报价要求文件》填写的金额不一致或供应商在最后报价时，在线填写的最后报价总金额与加盖CA电子签章的最后报价表总金额不一致</w:t>
      </w:r>
      <w:r>
        <w:rPr>
          <w:rFonts w:hint="eastAsia" w:ascii="仿宋_GB2312" w:hAnsi="宋体" w:eastAsia="仿宋_GB2312"/>
          <w:color w:val="auto"/>
          <w:sz w:val="24"/>
          <w:highlight w:val="none"/>
        </w:rPr>
        <w:t>时，</w:t>
      </w:r>
      <w:r>
        <w:rPr>
          <w:rFonts w:hint="eastAsia" w:ascii="仿宋_GB2312" w:eastAsia="仿宋_GB2312"/>
          <w:color w:val="auto"/>
          <w:sz w:val="24"/>
          <w:highlight w:val="none"/>
        </w:rPr>
        <w:t>拒绝按竞争性磋商文件要求确认的</w:t>
      </w:r>
      <w:r>
        <w:rPr>
          <w:rFonts w:hint="eastAsia" w:ascii="仿宋_GB2312" w:eastAsia="仿宋_GB2312"/>
          <w:color w:val="auto"/>
          <w:sz w:val="24"/>
          <w:highlight w:val="none"/>
        </w:rPr>
        <w:t>；</w:t>
      </w:r>
    </w:p>
    <w:p w14:paraId="311E14A2">
      <w:pPr>
        <w:spacing w:line="420" w:lineRule="exact"/>
        <w:ind w:firstLine="720" w:firstLineChars="300"/>
        <w:rPr>
          <w:rFonts w:hint="default" w:eastAsia="仿宋_GB2312"/>
          <w:color w:val="auto"/>
          <w:highlight w:val="none"/>
          <w:lang w:val="en-US" w:eastAsia="zh-CN"/>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13在单价合同工程中供应商采用总价优惠或以总价百分比优惠的方式进行竞标报价的</w:t>
      </w:r>
      <w:r>
        <w:rPr>
          <w:rFonts w:hint="eastAsia" w:ascii="仿宋_GB2312" w:eastAsia="仿宋_GB2312"/>
          <w:color w:val="auto"/>
          <w:sz w:val="24"/>
          <w:highlight w:val="none"/>
          <w:lang w:eastAsia="zh-CN"/>
        </w:rPr>
        <w:t>；</w:t>
      </w:r>
    </w:p>
    <w:p w14:paraId="7EA25FAD">
      <w:pPr>
        <w:spacing w:line="420" w:lineRule="exact"/>
        <w:ind w:firstLine="720" w:firstLineChars="300"/>
        <w:rPr>
          <w:rFonts w:hint="default" w:eastAsia="仿宋_GB2312"/>
          <w:color w:val="auto"/>
          <w:highlight w:val="none"/>
          <w:lang w:val="en-US" w:eastAsia="zh-CN"/>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14安全文明施工费和规费、增值税不按广西区费用定额及造价管理相关文件规定报价的（园林绿化及仿古建筑工程除外）；</w:t>
      </w:r>
    </w:p>
    <w:p w14:paraId="34ED3A1E">
      <w:pPr>
        <w:spacing w:line="420" w:lineRule="exact"/>
        <w:ind w:firstLine="720" w:firstLineChars="300"/>
        <w:rPr>
          <w:rFonts w:hint="default" w:eastAsia="仿宋_GB2312"/>
          <w:color w:val="auto"/>
          <w:highlight w:val="none"/>
          <w:lang w:val="en-US" w:eastAsia="zh-CN"/>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1</w:t>
      </w:r>
      <w:r>
        <w:rPr>
          <w:rFonts w:hint="eastAsia" w:ascii="仿宋_GB2312" w:eastAsia="仿宋_GB2312"/>
          <w:color w:val="auto"/>
          <w:sz w:val="24"/>
          <w:highlight w:val="none"/>
          <w:lang w:val="en-US" w:eastAsia="zh-CN"/>
        </w:rPr>
        <w:t>5供应商已标价工程量清单的项目编码、计量单位、工程量任何一处与工程量清单不一致的</w:t>
      </w:r>
      <w:r>
        <w:rPr>
          <w:rFonts w:hint="eastAsia" w:ascii="仿宋_GB2312" w:eastAsia="仿宋_GB2312"/>
          <w:color w:val="auto"/>
          <w:sz w:val="24"/>
          <w:highlight w:val="none"/>
          <w:lang w:eastAsia="zh-CN"/>
        </w:rPr>
        <w:t>；</w:t>
      </w:r>
    </w:p>
    <w:p w14:paraId="72AF2DE6">
      <w:pPr>
        <w:spacing w:line="420" w:lineRule="exact"/>
        <w:ind w:firstLine="720" w:firstLineChars="300"/>
        <w:rPr>
          <w:rFonts w:hint="default" w:eastAsia="仿宋_GB2312"/>
          <w:color w:val="auto"/>
          <w:highlight w:val="none"/>
          <w:lang w:val="en-US" w:eastAsia="zh-CN"/>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16</w:t>
      </w:r>
      <w:r>
        <w:rPr>
          <w:rFonts w:hint="eastAsia" w:ascii="仿宋_GB2312" w:eastAsia="仿宋_GB2312"/>
          <w:color w:val="auto"/>
          <w:sz w:val="24"/>
          <w:highlight w:val="none"/>
          <w:lang w:val="en-US" w:eastAsia="zh-CN"/>
        </w:rPr>
        <w:t>供应商已标价工程量清单的项目名称或项目特征与工程量清单不一致，磋商小组要求澄清、说明或补正，但供应商拒绝澄清、说明或补正的</w:t>
      </w:r>
      <w:r>
        <w:rPr>
          <w:rFonts w:hint="eastAsia" w:ascii="仿宋_GB2312" w:eastAsia="仿宋_GB2312"/>
          <w:color w:val="auto"/>
          <w:sz w:val="24"/>
          <w:highlight w:val="none"/>
          <w:lang w:eastAsia="zh-CN"/>
        </w:rPr>
        <w:t>；</w:t>
      </w:r>
    </w:p>
    <w:p w14:paraId="0331CECB">
      <w:pPr>
        <w:spacing w:line="420" w:lineRule="exact"/>
        <w:ind w:firstLine="720" w:firstLineChars="300"/>
        <w:rPr>
          <w:rFonts w:hint="default" w:eastAsia="仿宋_GB2312"/>
          <w:color w:val="auto"/>
          <w:highlight w:val="none"/>
          <w:lang w:val="en-US" w:eastAsia="zh-CN"/>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17设有暂估价、暂列金额的，磋商时未按工程量清单给出的暂估价总价、暂列金额总价计入磋商总报价中的</w:t>
      </w:r>
      <w:r>
        <w:rPr>
          <w:rFonts w:hint="eastAsia" w:ascii="仿宋_GB2312" w:eastAsia="仿宋_GB2312"/>
          <w:color w:val="auto"/>
          <w:sz w:val="24"/>
          <w:highlight w:val="none"/>
          <w:lang w:eastAsia="zh-CN"/>
        </w:rPr>
        <w:t>；</w:t>
      </w:r>
    </w:p>
    <w:p w14:paraId="434A58A1">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18供应商对工程量清单内容进行增减或对施工内容进行调整的。</w:t>
      </w:r>
    </w:p>
    <w:p w14:paraId="5C36DFE4">
      <w:pPr>
        <w:snapToGrid w:val="0"/>
        <w:spacing w:line="420" w:lineRule="exact"/>
        <w:ind w:firstLine="470" w:firstLineChars="196"/>
        <w:rPr>
          <w:rFonts w:ascii="仿宋_GB2312" w:eastAsia="仿宋_GB2312"/>
          <w:bCs/>
          <w:color w:val="auto"/>
          <w:sz w:val="24"/>
          <w:highlight w:val="none"/>
        </w:rPr>
      </w:pPr>
      <w:r>
        <w:rPr>
          <w:rFonts w:hint="eastAsia" w:ascii="仿宋_GB2312" w:eastAsia="仿宋_GB2312"/>
          <w:color w:val="auto"/>
          <w:sz w:val="24"/>
          <w:highlight w:val="none"/>
        </w:rPr>
        <w:t>24.3</w:t>
      </w:r>
      <w:r>
        <w:rPr>
          <w:rFonts w:hint="eastAsia" w:ascii="仿宋_GB2312" w:eastAsia="仿宋_GB2312"/>
          <w:bCs/>
          <w:color w:val="auto"/>
          <w:sz w:val="24"/>
          <w:highlight w:val="none"/>
        </w:rPr>
        <w:t>在评审时有下列情形之一的视为供应商相互串通投标，响应文件将被视为无效：</w:t>
      </w:r>
    </w:p>
    <w:p w14:paraId="2AEB18E3">
      <w:pPr>
        <w:snapToGrid w:val="0"/>
        <w:spacing w:line="420" w:lineRule="exact"/>
        <w:ind w:firstLine="710" w:firstLineChars="296"/>
        <w:rPr>
          <w:rFonts w:ascii="仿宋_GB2312" w:eastAsia="仿宋_GB2312"/>
          <w:bCs/>
          <w:color w:val="auto"/>
          <w:sz w:val="24"/>
          <w:highlight w:val="none"/>
        </w:rPr>
      </w:pPr>
      <w:r>
        <w:rPr>
          <w:rFonts w:hint="eastAsia" w:ascii="仿宋_GB2312" w:eastAsia="仿宋_GB2312"/>
          <w:bCs/>
          <w:color w:val="auto"/>
          <w:sz w:val="24"/>
          <w:highlight w:val="none"/>
        </w:rPr>
        <w:t>24.3.1不同供应商的响应文件由同一单位或者个人编制；或不同供应商获取文件的IP地址一致的；</w:t>
      </w:r>
    </w:p>
    <w:p w14:paraId="65085BB0">
      <w:pPr>
        <w:snapToGrid w:val="0"/>
        <w:spacing w:line="420" w:lineRule="exact"/>
        <w:ind w:firstLine="710" w:firstLineChars="296"/>
        <w:rPr>
          <w:rFonts w:ascii="仿宋_GB2312" w:eastAsia="仿宋_GB2312"/>
          <w:bCs/>
          <w:color w:val="auto"/>
          <w:sz w:val="24"/>
          <w:highlight w:val="none"/>
        </w:rPr>
      </w:pPr>
      <w:r>
        <w:rPr>
          <w:rFonts w:hint="eastAsia" w:ascii="仿宋_GB2312" w:eastAsia="仿宋_GB2312"/>
          <w:bCs/>
          <w:color w:val="auto"/>
          <w:sz w:val="24"/>
          <w:highlight w:val="none"/>
        </w:rPr>
        <w:t>24.3.2不同供应商委托同一单位或者个人办理投标事宜；</w:t>
      </w:r>
    </w:p>
    <w:p w14:paraId="27351FFB">
      <w:pPr>
        <w:snapToGrid w:val="0"/>
        <w:spacing w:line="420" w:lineRule="exact"/>
        <w:ind w:firstLine="710" w:firstLineChars="296"/>
        <w:rPr>
          <w:rFonts w:ascii="仿宋_GB2312" w:eastAsia="仿宋_GB2312"/>
          <w:bCs/>
          <w:color w:val="auto"/>
          <w:sz w:val="24"/>
          <w:highlight w:val="none"/>
        </w:rPr>
      </w:pPr>
      <w:r>
        <w:rPr>
          <w:rFonts w:hint="eastAsia" w:ascii="仿宋_GB2312" w:eastAsia="仿宋_GB2312"/>
          <w:bCs/>
          <w:color w:val="auto"/>
          <w:sz w:val="24"/>
          <w:highlight w:val="none"/>
        </w:rPr>
        <w:t>24.3.3不同的供应商的响应文件载明的项目管理成员或者联系人员为同一个人；</w:t>
      </w:r>
    </w:p>
    <w:p w14:paraId="20594A66">
      <w:pPr>
        <w:snapToGrid w:val="0"/>
        <w:spacing w:line="420" w:lineRule="exact"/>
        <w:ind w:firstLine="710" w:firstLineChars="296"/>
        <w:rPr>
          <w:rFonts w:ascii="仿宋_GB2312" w:eastAsia="仿宋_GB2312"/>
          <w:bCs/>
          <w:color w:val="auto"/>
          <w:sz w:val="24"/>
          <w:highlight w:val="none"/>
        </w:rPr>
      </w:pPr>
      <w:r>
        <w:rPr>
          <w:rFonts w:hint="eastAsia" w:ascii="仿宋_GB2312" w:eastAsia="仿宋_GB2312"/>
          <w:bCs/>
          <w:color w:val="auto"/>
          <w:sz w:val="24"/>
          <w:highlight w:val="none"/>
        </w:rPr>
        <w:t>24.3.4不同供应商的响应文件异常一致或投标报价呈规律性差异；</w:t>
      </w:r>
    </w:p>
    <w:p w14:paraId="14335060">
      <w:pPr>
        <w:snapToGrid w:val="0"/>
        <w:spacing w:line="420" w:lineRule="exact"/>
        <w:ind w:firstLine="710" w:firstLineChars="296"/>
        <w:rPr>
          <w:rFonts w:ascii="仿宋_GB2312" w:eastAsia="仿宋_GB2312"/>
          <w:color w:val="auto"/>
          <w:sz w:val="24"/>
          <w:highlight w:val="none"/>
        </w:rPr>
      </w:pPr>
      <w:r>
        <w:rPr>
          <w:rFonts w:hint="eastAsia" w:ascii="仿宋_GB2312" w:eastAsia="仿宋_GB2312"/>
          <w:bCs/>
          <w:color w:val="auto"/>
          <w:sz w:val="24"/>
          <w:highlight w:val="none"/>
        </w:rPr>
        <w:t>24.3.5不同供应商的响应文件相互混装。</w:t>
      </w:r>
    </w:p>
    <w:p w14:paraId="0479949F">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24.4被拒绝的响应文件为无效响应。</w:t>
      </w:r>
    </w:p>
    <w:p w14:paraId="2BB7E740">
      <w:pPr>
        <w:spacing w:line="420" w:lineRule="exact"/>
        <w:rPr>
          <w:rFonts w:ascii="仿宋_GB2312" w:eastAsia="仿宋_GB2312"/>
          <w:b/>
          <w:color w:val="auto"/>
          <w:sz w:val="24"/>
          <w:highlight w:val="none"/>
        </w:rPr>
      </w:pPr>
      <w:r>
        <w:rPr>
          <w:rFonts w:hint="eastAsia" w:ascii="仿宋_GB2312" w:eastAsia="仿宋_GB2312"/>
          <w:b/>
          <w:color w:val="auto"/>
          <w:sz w:val="24"/>
          <w:highlight w:val="none"/>
        </w:rPr>
        <w:t>十二、磋商的步骤</w:t>
      </w:r>
    </w:p>
    <w:p w14:paraId="75A5915F">
      <w:pPr>
        <w:spacing w:line="420" w:lineRule="exact"/>
        <w:ind w:firstLine="241" w:firstLineChars="100"/>
        <w:rPr>
          <w:rFonts w:ascii="仿宋_GB2312" w:eastAsia="仿宋_GB2312"/>
          <w:b/>
          <w:color w:val="auto"/>
          <w:sz w:val="24"/>
          <w:highlight w:val="none"/>
        </w:rPr>
      </w:pPr>
      <w:r>
        <w:rPr>
          <w:rFonts w:hint="eastAsia" w:ascii="仿宋_GB2312" w:eastAsia="仿宋_GB2312"/>
          <w:b/>
          <w:color w:val="auto"/>
          <w:sz w:val="24"/>
          <w:highlight w:val="none"/>
        </w:rPr>
        <w:t>25.磋商的步骤说明</w:t>
      </w:r>
    </w:p>
    <w:p w14:paraId="5E8DBF55">
      <w:pPr>
        <w:spacing w:line="420" w:lineRule="exact"/>
        <w:ind w:firstLine="480" w:firstLineChars="200"/>
        <w:rPr>
          <w:rFonts w:hint="eastAsia" w:ascii="仿宋_GB2312" w:eastAsia="仿宋_GB2312"/>
          <w:color w:val="auto"/>
          <w:sz w:val="24"/>
          <w:highlight w:val="none"/>
          <w:lang w:eastAsia="zh-CN"/>
        </w:rPr>
      </w:pPr>
      <w:r>
        <w:rPr>
          <w:rFonts w:hint="eastAsia" w:ascii="仿宋_GB2312" w:eastAsia="仿宋_GB2312"/>
          <w:color w:val="auto"/>
          <w:sz w:val="24"/>
          <w:highlight w:val="none"/>
        </w:rPr>
        <w:t>25.1磋商时间：首次电子响应文件递交截止时间后，具体时间由采购代理机构另行通知</w:t>
      </w:r>
      <w:r>
        <w:rPr>
          <w:rFonts w:hint="eastAsia" w:ascii="仿宋_GB2312" w:eastAsia="仿宋_GB2312"/>
          <w:color w:val="auto"/>
          <w:sz w:val="24"/>
          <w:highlight w:val="none"/>
          <w:lang w:eastAsia="zh-CN"/>
        </w:rPr>
        <w:t>。</w:t>
      </w:r>
    </w:p>
    <w:p w14:paraId="748198F3">
      <w:pPr>
        <w:spacing w:line="420" w:lineRule="exact"/>
        <w:ind w:firstLine="360" w:firstLineChars="150"/>
        <w:rPr>
          <w:rFonts w:hint="eastAsia" w:ascii="仿宋_GB2312" w:eastAsia="仿宋_GB2312"/>
          <w:color w:val="auto"/>
          <w:sz w:val="24"/>
          <w:highlight w:val="none"/>
          <w:lang w:eastAsia="zh-CN"/>
        </w:rPr>
      </w:pPr>
      <w:r>
        <w:rPr>
          <w:rFonts w:hint="eastAsia" w:ascii="仿宋_GB2312" w:eastAsia="仿宋_GB2312"/>
          <w:color w:val="auto"/>
          <w:sz w:val="24"/>
          <w:highlight w:val="none"/>
        </w:rPr>
        <w:t>磋商地点：通过</w:t>
      </w:r>
      <w:r>
        <w:rPr>
          <w:rFonts w:hint="eastAsia" w:ascii="仿宋_GB2312" w:eastAsia="仿宋_GB2312"/>
          <w:color w:val="auto"/>
          <w:sz w:val="24"/>
          <w:highlight w:val="none"/>
          <w:lang w:eastAsia="zh-CN"/>
        </w:rPr>
        <w:t>广西政府采购云平台</w:t>
      </w:r>
      <w:r>
        <w:rPr>
          <w:rFonts w:hint="eastAsia" w:ascii="仿宋_GB2312" w:eastAsia="仿宋_GB2312"/>
          <w:color w:val="auto"/>
          <w:sz w:val="24"/>
          <w:highlight w:val="none"/>
        </w:rPr>
        <w:t>实行在线磋商</w:t>
      </w:r>
      <w:r>
        <w:rPr>
          <w:rFonts w:hint="eastAsia" w:ascii="仿宋_GB2312" w:eastAsia="仿宋_GB2312"/>
          <w:color w:val="auto"/>
          <w:sz w:val="24"/>
          <w:highlight w:val="none"/>
          <w:lang w:eastAsia="zh-CN"/>
        </w:rPr>
        <w:t>。</w:t>
      </w:r>
    </w:p>
    <w:p w14:paraId="3F5E43B7">
      <w:pPr>
        <w:spacing w:line="420" w:lineRule="exact"/>
        <w:ind w:firstLine="482" w:firstLineChars="200"/>
        <w:rPr>
          <w:rFonts w:ascii="仿宋_GB2312" w:eastAsia="仿宋_GB2312"/>
          <w:b/>
          <w:bCs/>
          <w:color w:val="auto"/>
          <w:sz w:val="24"/>
          <w:highlight w:val="none"/>
        </w:rPr>
      </w:pPr>
      <w:r>
        <w:rPr>
          <w:rFonts w:hint="eastAsia" w:ascii="仿宋_GB2312" w:eastAsia="仿宋_GB2312"/>
          <w:b/>
          <w:bCs/>
          <w:color w:val="auto"/>
          <w:sz w:val="24"/>
          <w:highlight w:val="none"/>
        </w:rPr>
        <w:t>25.2磋商</w:t>
      </w:r>
    </w:p>
    <w:p w14:paraId="20D77293">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25.2.1磋商小组集中与单一供应商分别进行电子磋商，并给予所有参加磋商的供应商平等的磋商机会。</w:t>
      </w:r>
    </w:p>
    <w:p w14:paraId="0543552A">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5B484E4B">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25.2.3对竞争性磋商文件做出的实质性变动是竞争性磋商文件的有效组成部分，磋商小组应当及时通过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以书面形式同时通知所有参加磋商的供应商。</w:t>
      </w:r>
    </w:p>
    <w:p w14:paraId="242EE9EF">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25.2.4供应商应当按照磋商文件的变动情况和磋商小组的要求重新提交电子响应文件，并由其法定代表人或授权代表签字或者加盖供应商CA电子签章。由授权代表签字的，应当附法定代表人授权书。电子响应文件应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上传，逾时未上传的，视同放弃磋商，其响应文件作无效处理。重新上传的电子响应文件与首次响应文件同具法律效力。</w:t>
      </w:r>
    </w:p>
    <w:p w14:paraId="60ED3F29">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25.2.5磋商小组集中就重新提交的响应文件或磋商小组提出的磋商意见再次与单一供应商分别进行电子磋商。（具体磋商次数由磋商小组根据磋商情况确定）。</w:t>
      </w:r>
    </w:p>
    <w:p w14:paraId="6B2E57D6">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25.2.6符合磋商资格的供应商必须在接到磋商通知后规定时间内参加磋商，未在规定时间内参加磋商的视同放弃参加磋商权利，其响应文件按无效响应处理。</w:t>
      </w:r>
    </w:p>
    <w:p w14:paraId="7A8B754F">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25.2.7磋商应在严格保密的情况下进行，磋商的任何一方不得透露与磋商有关的其他供应商的技术资料、价格和其他信息。采购代理机构对磋商过程和重要磋商内容进行记录，磋商双方在记录上确认。</w:t>
      </w:r>
    </w:p>
    <w:p w14:paraId="688155FA">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25.2.8磋商后，供应商根据磋商小组统一整理的书面磋商记录要求做出书面承诺，并加盖供应商CA电子签章后按规定提交，以上操作均通过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完成。</w:t>
      </w:r>
    </w:p>
    <w:p w14:paraId="2A0A5913">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25.2.9</w:t>
      </w:r>
      <w:r>
        <w:rPr>
          <w:rFonts w:ascii="仿宋_GB2312" w:eastAsia="仿宋_GB2312"/>
          <w:bCs/>
          <w:color w:val="auto"/>
          <w:sz w:val="24"/>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FC7587A">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25.2.10磋商小组</w:t>
      </w:r>
      <w:r>
        <w:rPr>
          <w:rFonts w:ascii="仿宋_GB2312" w:eastAsia="仿宋_GB2312"/>
          <w:bCs/>
          <w:color w:val="auto"/>
          <w:sz w:val="24"/>
          <w:highlight w:val="none"/>
        </w:rPr>
        <w:t>对磋商过程提交的响应文件进行有效性、完整性和响应程度审查，通过审查的合格供应商不足3家的，除本章第</w:t>
      </w:r>
      <w:r>
        <w:rPr>
          <w:rFonts w:hint="eastAsia" w:ascii="仿宋_GB2312" w:eastAsia="仿宋_GB2312"/>
          <w:bCs/>
          <w:color w:val="auto"/>
          <w:sz w:val="24"/>
          <w:highlight w:val="none"/>
        </w:rPr>
        <w:t>25.2.9</w:t>
      </w:r>
      <w:r>
        <w:rPr>
          <w:rFonts w:ascii="仿宋_GB2312" w:eastAsia="仿宋_GB2312"/>
          <w:bCs/>
          <w:color w:val="auto"/>
          <w:sz w:val="24"/>
          <w:highlight w:val="none"/>
        </w:rPr>
        <w:t>条的情形外，采购人或者采购代理机构应当重新开展采购活动。</w:t>
      </w:r>
    </w:p>
    <w:p w14:paraId="7CCD187B">
      <w:pPr>
        <w:spacing w:line="420" w:lineRule="exact"/>
        <w:ind w:firstLine="472" w:firstLineChars="196"/>
        <w:rPr>
          <w:rFonts w:ascii="仿宋_GB2312" w:eastAsia="仿宋_GB2312"/>
          <w:b/>
          <w:bCs/>
          <w:color w:val="auto"/>
          <w:sz w:val="24"/>
          <w:highlight w:val="none"/>
        </w:rPr>
      </w:pPr>
      <w:r>
        <w:rPr>
          <w:rFonts w:hint="eastAsia" w:ascii="仿宋_GB2312" w:eastAsia="仿宋_GB2312"/>
          <w:b/>
          <w:bCs/>
          <w:color w:val="auto"/>
          <w:sz w:val="24"/>
          <w:highlight w:val="none"/>
        </w:rPr>
        <w:t>25.3最后报价</w:t>
      </w:r>
    </w:p>
    <w:p w14:paraId="6AC68D8D">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25.3.1磋商小组一致确定供应商的响应文件详细列明采购标的的技术、服务要求且符合竞争性磋商文件要求的，磋商结束后，磋商小组要求所有继续参加磋商的供应商在规定时间内通过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线上提交最后报价。</w:t>
      </w:r>
    </w:p>
    <w:p w14:paraId="0C14DC7F">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线上提交最后报价。</w:t>
      </w:r>
    </w:p>
    <w:p w14:paraId="57AC9999">
      <w:pPr>
        <w:spacing w:line="420" w:lineRule="exact"/>
        <w:ind w:firstLine="720" w:firstLineChars="300"/>
        <w:rPr>
          <w:rFonts w:hint="default" w:ascii="仿宋_GB2312" w:eastAsia="仿宋_GB2312"/>
          <w:b/>
          <w:bCs w:val="0"/>
          <w:color w:val="auto"/>
          <w:sz w:val="24"/>
          <w:highlight w:val="none"/>
          <w:lang w:val="en-US" w:eastAsia="zh-CN"/>
        </w:rPr>
      </w:pPr>
      <w:r>
        <w:rPr>
          <w:rFonts w:hint="eastAsia" w:ascii="仿宋_GB2312" w:eastAsia="仿宋_GB2312"/>
          <w:bCs/>
          <w:color w:val="auto"/>
          <w:sz w:val="24"/>
          <w:highlight w:val="none"/>
        </w:rPr>
        <w:t>25.3.3</w:t>
      </w:r>
      <w:r>
        <w:rPr>
          <w:rFonts w:hint="eastAsia" w:ascii="仿宋_GB2312" w:eastAsia="仿宋_GB2312"/>
          <w:b/>
          <w:bCs w:val="0"/>
          <w:color w:val="auto"/>
          <w:sz w:val="24"/>
          <w:highlight w:val="none"/>
          <w:lang w:val="en-US" w:eastAsia="zh-CN"/>
        </w:rPr>
        <w:t>最后竞标报价附相应的最后竞标报价明细表（竞标报价明细表按已标价工程量清单填写），最后竞标报价和相应的最后竞标报价已标价工程量清单应由供应商加盖供应商CA电子签章后在规定时间内通过广西政府采购云平台线上提交。</w:t>
      </w:r>
    </w:p>
    <w:p w14:paraId="4DBAD1CF">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25.3.4供应商的最后报价是供应商响应文件的有效组成部分，提交最后报价的供应商不得少于3家，否则应当重新采购符合。</w:t>
      </w:r>
    </w:p>
    <w:p w14:paraId="6694B925">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符合《政府采购竞争性磋商采购方式管理暂行办法》（财库〔2014〕214号）第三条第四项“市场竞争不充分的科研项目，以及需要扶持的科技成果转化项目”和本章第25.2.9条情形的，提交最后报价的供应商可以为2家。</w:t>
      </w:r>
    </w:p>
    <w:p w14:paraId="3985224D">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25.3.5已提交响应文件的供应商，在提交最后报价之前，可以根据磋商情况退出磋商，退出磋商的供应商的响应文件按无效响应处理。</w:t>
      </w:r>
    </w:p>
    <w:p w14:paraId="07E0E67F">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25.3.6供应商未在规定时间内通过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线上提交最后报价的，视为退出磋商，其响应文件作无效处理。</w:t>
      </w:r>
    </w:p>
    <w:p w14:paraId="56DB2187">
      <w:pPr>
        <w:spacing w:line="460" w:lineRule="exact"/>
        <w:ind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25.4特别说明</w:t>
      </w:r>
    </w:p>
    <w:p w14:paraId="3DA7FACD">
      <w:pPr>
        <w:spacing w:line="46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25.4.1</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如对电子化磋商及评审程序有调整的，按调整后的程序操作。</w:t>
      </w:r>
    </w:p>
    <w:p w14:paraId="66497913">
      <w:pPr>
        <w:spacing w:line="46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25.4.2磋商评审在严格保密的情况下进行，磋商的任何一方不得透露与磋商有关的其他供应商的技术资料、价格和其他信息。</w:t>
      </w:r>
    </w:p>
    <w:p w14:paraId="1D6C66D6">
      <w:pPr>
        <w:spacing w:line="460" w:lineRule="exact"/>
        <w:ind w:firstLine="482" w:firstLineChars="200"/>
        <w:rPr>
          <w:rFonts w:ascii="仿宋_GB2312" w:eastAsia="仿宋_GB2312"/>
          <w:b/>
          <w:bCs/>
          <w:color w:val="auto"/>
          <w:sz w:val="24"/>
          <w:highlight w:val="none"/>
        </w:rPr>
      </w:pPr>
      <w:r>
        <w:rPr>
          <w:rFonts w:hint="eastAsia" w:ascii="仿宋_GB2312" w:eastAsia="仿宋_GB2312"/>
          <w:b/>
          <w:bCs/>
          <w:color w:val="auto"/>
          <w:sz w:val="24"/>
          <w:highlight w:val="none"/>
        </w:rPr>
        <w:t>25.5可中止电子交易活动的情形</w:t>
      </w:r>
    </w:p>
    <w:p w14:paraId="3090A29F">
      <w:pPr>
        <w:spacing w:line="46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采购过程中出现以下情形，导致</w:t>
      </w:r>
      <w:r>
        <w:rPr>
          <w:rFonts w:hint="eastAsia" w:ascii="仿宋_GB2312" w:eastAsia="仿宋_GB2312"/>
          <w:color w:val="auto"/>
          <w:sz w:val="24"/>
          <w:highlight w:val="none"/>
          <w:lang w:eastAsia="zh-CN"/>
        </w:rPr>
        <w:t>广西政府采购云平台</w:t>
      </w:r>
      <w:r>
        <w:rPr>
          <w:rFonts w:hint="eastAsia" w:ascii="仿宋_GB2312" w:eastAsia="仿宋_GB2312"/>
          <w:color w:val="auto"/>
          <w:sz w:val="24"/>
          <w:highlight w:val="none"/>
        </w:rPr>
        <w:t>无法正常运行，或者无法保证电子交易的公平、公正和安全时，采购代理机构可中止电子交易活动：</w:t>
      </w:r>
    </w:p>
    <w:p w14:paraId="506A94EE">
      <w:pPr>
        <w:spacing w:line="460" w:lineRule="exact"/>
        <w:ind w:firstLine="600" w:firstLineChars="250"/>
        <w:rPr>
          <w:rFonts w:ascii="仿宋_GB2312" w:eastAsia="仿宋_GB2312"/>
          <w:color w:val="auto"/>
          <w:sz w:val="24"/>
          <w:highlight w:val="none"/>
        </w:rPr>
      </w:pPr>
      <w:r>
        <w:rPr>
          <w:rFonts w:hint="eastAsia" w:ascii="仿宋_GB2312" w:eastAsia="仿宋_GB2312"/>
          <w:color w:val="auto"/>
          <w:sz w:val="24"/>
          <w:highlight w:val="none"/>
        </w:rPr>
        <w:t>25.5.1</w:t>
      </w:r>
      <w:r>
        <w:rPr>
          <w:rFonts w:hint="eastAsia" w:ascii="仿宋_GB2312" w:eastAsia="仿宋_GB2312"/>
          <w:color w:val="auto"/>
          <w:sz w:val="24"/>
          <w:highlight w:val="none"/>
          <w:lang w:eastAsia="zh-CN"/>
        </w:rPr>
        <w:t>广西政府采购云平台</w:t>
      </w:r>
      <w:r>
        <w:rPr>
          <w:rFonts w:hint="eastAsia" w:ascii="仿宋_GB2312" w:eastAsia="仿宋_GB2312"/>
          <w:color w:val="auto"/>
          <w:sz w:val="24"/>
          <w:highlight w:val="none"/>
        </w:rPr>
        <w:t>发生故障而无法登录访问的；</w:t>
      </w:r>
    </w:p>
    <w:p w14:paraId="3B251AFF">
      <w:pPr>
        <w:spacing w:line="460" w:lineRule="exact"/>
        <w:ind w:firstLine="600" w:firstLineChars="250"/>
        <w:rPr>
          <w:rFonts w:ascii="仿宋_GB2312" w:eastAsia="仿宋_GB2312"/>
          <w:color w:val="auto"/>
          <w:sz w:val="24"/>
          <w:highlight w:val="none"/>
        </w:rPr>
      </w:pPr>
      <w:r>
        <w:rPr>
          <w:rFonts w:hint="eastAsia" w:ascii="仿宋_GB2312" w:eastAsia="仿宋_GB2312"/>
          <w:color w:val="auto"/>
          <w:sz w:val="24"/>
          <w:highlight w:val="none"/>
        </w:rPr>
        <w:t>25.5.2</w:t>
      </w:r>
      <w:r>
        <w:rPr>
          <w:rFonts w:hint="eastAsia" w:ascii="仿宋_GB2312" w:eastAsia="仿宋_GB2312"/>
          <w:color w:val="auto"/>
          <w:sz w:val="24"/>
          <w:highlight w:val="none"/>
          <w:lang w:eastAsia="zh-CN"/>
        </w:rPr>
        <w:t>广西政府采购云平台</w:t>
      </w:r>
      <w:r>
        <w:rPr>
          <w:rFonts w:hint="eastAsia" w:ascii="仿宋_GB2312" w:eastAsia="仿宋_GB2312"/>
          <w:color w:val="auto"/>
          <w:sz w:val="24"/>
          <w:highlight w:val="none"/>
        </w:rPr>
        <w:t>应用或数据库出现错误，不能进行正常操作的；</w:t>
      </w:r>
    </w:p>
    <w:p w14:paraId="28CEBC1E">
      <w:pPr>
        <w:spacing w:line="460" w:lineRule="exact"/>
        <w:ind w:firstLine="600" w:firstLineChars="250"/>
        <w:rPr>
          <w:rFonts w:ascii="仿宋_GB2312" w:eastAsia="仿宋_GB2312"/>
          <w:color w:val="auto"/>
          <w:sz w:val="24"/>
          <w:highlight w:val="none"/>
        </w:rPr>
      </w:pPr>
      <w:r>
        <w:rPr>
          <w:rFonts w:hint="eastAsia" w:ascii="仿宋_GB2312" w:eastAsia="仿宋_GB2312"/>
          <w:color w:val="auto"/>
          <w:sz w:val="24"/>
          <w:highlight w:val="none"/>
        </w:rPr>
        <w:t>25.5.3</w:t>
      </w:r>
      <w:r>
        <w:rPr>
          <w:rFonts w:hint="eastAsia" w:ascii="仿宋_GB2312" w:eastAsia="仿宋_GB2312"/>
          <w:color w:val="auto"/>
          <w:sz w:val="24"/>
          <w:highlight w:val="none"/>
          <w:lang w:eastAsia="zh-CN"/>
        </w:rPr>
        <w:t>广西政府采购云平台</w:t>
      </w:r>
      <w:r>
        <w:rPr>
          <w:rFonts w:hint="eastAsia" w:ascii="仿宋_GB2312" w:eastAsia="仿宋_GB2312"/>
          <w:color w:val="auto"/>
          <w:sz w:val="24"/>
          <w:highlight w:val="none"/>
        </w:rPr>
        <w:t>发现严重安全漏洞，有潜在泄密危险的；</w:t>
      </w:r>
    </w:p>
    <w:p w14:paraId="4932223E">
      <w:pPr>
        <w:spacing w:line="460" w:lineRule="exact"/>
        <w:ind w:firstLine="600" w:firstLineChars="250"/>
        <w:rPr>
          <w:rFonts w:ascii="仿宋_GB2312" w:eastAsia="仿宋_GB2312"/>
          <w:color w:val="auto"/>
          <w:sz w:val="24"/>
          <w:highlight w:val="none"/>
        </w:rPr>
      </w:pPr>
      <w:r>
        <w:rPr>
          <w:rFonts w:hint="eastAsia" w:ascii="仿宋_GB2312" w:eastAsia="仿宋_GB2312"/>
          <w:color w:val="auto"/>
          <w:sz w:val="24"/>
          <w:highlight w:val="none"/>
        </w:rPr>
        <w:t>25.5.4病毒发作导致不能进行正常操作的；</w:t>
      </w:r>
    </w:p>
    <w:p w14:paraId="03304708">
      <w:pPr>
        <w:spacing w:line="460" w:lineRule="exact"/>
        <w:ind w:firstLine="600" w:firstLineChars="250"/>
        <w:rPr>
          <w:rFonts w:ascii="仿宋_GB2312" w:eastAsia="仿宋_GB2312"/>
          <w:color w:val="auto"/>
          <w:sz w:val="24"/>
          <w:highlight w:val="none"/>
        </w:rPr>
      </w:pPr>
      <w:r>
        <w:rPr>
          <w:rFonts w:hint="eastAsia" w:ascii="仿宋_GB2312" w:eastAsia="仿宋_GB2312"/>
          <w:color w:val="auto"/>
          <w:sz w:val="24"/>
          <w:highlight w:val="none"/>
        </w:rPr>
        <w:t>25.5.5其他无法保证电子交易的公平、公正和安全的情况。</w:t>
      </w:r>
    </w:p>
    <w:p w14:paraId="6A80BD5C">
      <w:pPr>
        <w:spacing w:line="46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14:paraId="3C803A25">
      <w:pPr>
        <w:spacing w:line="420" w:lineRule="exact"/>
        <w:rPr>
          <w:rFonts w:ascii="仿宋_GB2312" w:eastAsia="仿宋_GB2312"/>
          <w:b/>
          <w:bCs/>
          <w:color w:val="auto"/>
          <w:sz w:val="24"/>
          <w:highlight w:val="none"/>
        </w:rPr>
      </w:pPr>
      <w:r>
        <w:rPr>
          <w:rFonts w:hint="eastAsia" w:ascii="仿宋_GB2312" w:eastAsia="仿宋_GB2312"/>
          <w:b/>
          <w:bCs/>
          <w:color w:val="auto"/>
          <w:sz w:val="24"/>
          <w:highlight w:val="none"/>
        </w:rPr>
        <w:t>十三、响应文件的比较与评审</w:t>
      </w:r>
    </w:p>
    <w:p w14:paraId="51204F59">
      <w:pPr>
        <w:spacing w:line="420" w:lineRule="exact"/>
        <w:ind w:firstLine="241" w:firstLineChars="100"/>
        <w:rPr>
          <w:rFonts w:ascii="仿宋_GB2312" w:eastAsia="仿宋_GB2312"/>
          <w:b/>
          <w:color w:val="auto"/>
          <w:sz w:val="24"/>
          <w:highlight w:val="none"/>
        </w:rPr>
      </w:pPr>
      <w:r>
        <w:rPr>
          <w:rFonts w:hint="eastAsia" w:ascii="仿宋_GB2312" w:eastAsia="仿宋_GB2312"/>
          <w:b/>
          <w:color w:val="auto"/>
          <w:sz w:val="24"/>
          <w:highlight w:val="none"/>
        </w:rPr>
        <w:t>26.评审方法：综合评分法。</w:t>
      </w:r>
    </w:p>
    <w:p w14:paraId="6314D989">
      <w:pPr>
        <w:spacing w:line="42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26.1经磋商确定最终采购需求和提交最后报价的供应商后，由磋商小组采用综合评分法对提交最后报价的供应商的响应文件和最后报价进行综合评分。</w:t>
      </w:r>
    </w:p>
    <w:p w14:paraId="30068FAD">
      <w:pPr>
        <w:spacing w:line="42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26.2磋商小组按照竞争性磋商文件第</w:t>
      </w:r>
      <w:r>
        <w:rPr>
          <w:rFonts w:hint="eastAsia" w:ascii="仿宋_GB2312" w:eastAsia="仿宋_GB2312"/>
          <w:bCs/>
          <w:color w:val="auto"/>
          <w:sz w:val="24"/>
          <w:highlight w:val="none"/>
          <w:lang w:val="en-US" w:eastAsia="zh-CN"/>
        </w:rPr>
        <w:t>七</w:t>
      </w:r>
      <w:r>
        <w:rPr>
          <w:rFonts w:hint="eastAsia" w:ascii="仿宋_GB2312" w:eastAsia="仿宋_GB2312"/>
          <w:bCs/>
          <w:color w:val="auto"/>
          <w:sz w:val="24"/>
          <w:highlight w:val="none"/>
        </w:rPr>
        <w:t>章规定的评标方法及评标标准评审、计算各供应商的得分。项目评审过程中，不得去掉最后报价中的最高报价和最低报价。</w:t>
      </w:r>
    </w:p>
    <w:p w14:paraId="711BDCA7">
      <w:pPr>
        <w:spacing w:line="420" w:lineRule="exact"/>
        <w:ind w:firstLine="480" w:firstLineChars="200"/>
        <w:rPr>
          <w:rFonts w:hint="eastAsia" w:ascii="仿宋_GB2312" w:eastAsia="仿宋_GB2312"/>
          <w:bCs/>
          <w:color w:val="auto"/>
          <w:sz w:val="24"/>
          <w:highlight w:val="none"/>
        </w:rPr>
      </w:pPr>
      <w:r>
        <w:rPr>
          <w:rFonts w:hint="eastAsia" w:ascii="仿宋_GB2312" w:eastAsia="仿宋_GB2312"/>
          <w:bCs/>
          <w:color w:val="auto"/>
          <w:sz w:val="24"/>
          <w:highlight w:val="none"/>
        </w:rPr>
        <w:t>26.3各供应商的得分为磋商小组所有成员的有效评分的算术平均数。</w:t>
      </w:r>
    </w:p>
    <w:p w14:paraId="3727A0FE">
      <w:pPr>
        <w:spacing w:line="420" w:lineRule="exact"/>
        <w:ind w:firstLine="480" w:firstLineChars="200"/>
        <w:rPr>
          <w:rFonts w:hint="default" w:ascii="仿宋_GB2312" w:eastAsia="仿宋_GB2312"/>
          <w:bCs/>
          <w:color w:val="auto"/>
          <w:sz w:val="24"/>
          <w:highlight w:val="none"/>
          <w:lang w:val="en-US" w:eastAsia="zh-CN"/>
        </w:rPr>
      </w:pPr>
      <w:r>
        <w:rPr>
          <w:rFonts w:hint="eastAsia" w:ascii="仿宋_GB2312" w:eastAsia="仿宋_GB2312"/>
          <w:bCs/>
          <w:color w:val="auto"/>
          <w:sz w:val="24"/>
          <w:highlight w:val="none"/>
          <w:lang w:val="en-US" w:eastAsia="zh-CN"/>
        </w:rPr>
        <w:t>26.4评审价为供应商的最后报价进行政策性扣除后的价格，评审价只是作为评审时使用。最终成交供应商的成交金额等于最后报价（如有修正，以确认修正后的最后报价为准）。</w:t>
      </w:r>
    </w:p>
    <w:p w14:paraId="3F2B0689">
      <w:pPr>
        <w:spacing w:line="420" w:lineRule="exact"/>
        <w:ind w:firstLine="241" w:firstLineChars="100"/>
        <w:rPr>
          <w:rFonts w:ascii="仿宋_GB2312" w:eastAsia="仿宋_GB2312"/>
          <w:bCs/>
          <w:color w:val="auto"/>
          <w:sz w:val="24"/>
          <w:highlight w:val="none"/>
        </w:rPr>
      </w:pPr>
      <w:r>
        <w:rPr>
          <w:rFonts w:hint="eastAsia" w:ascii="仿宋_GB2312" w:eastAsia="仿宋_GB2312"/>
          <w:b/>
          <w:bCs/>
          <w:color w:val="auto"/>
          <w:sz w:val="24"/>
          <w:highlight w:val="none"/>
        </w:rPr>
        <w:t>27.成交候选供应商推荐</w:t>
      </w:r>
    </w:p>
    <w:p w14:paraId="1B40F975">
      <w:pPr>
        <w:spacing w:line="42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27.1磋商小组根据综合评分情况，按照评审得分由高到低顺序推荐3名以上成交候选供应商，并编写评审报告。符合本章第25.3.4条第二款情形的，可以推荐2家成交候选供应商。评审得分相同的，按照最后报价</w:t>
      </w:r>
      <w:r>
        <w:rPr>
          <w:rFonts w:hint="eastAsia" w:ascii="仿宋_GB2312" w:eastAsia="仿宋_GB2312"/>
          <w:bCs/>
          <w:color w:val="auto"/>
          <w:sz w:val="24"/>
          <w:highlight w:val="none"/>
          <w:lang w:val="en-US" w:eastAsia="zh-CN"/>
        </w:rPr>
        <w:t>（不计算价格折扣）</w:t>
      </w:r>
      <w:r>
        <w:rPr>
          <w:rFonts w:hint="eastAsia" w:ascii="仿宋_GB2312" w:eastAsia="仿宋_GB2312"/>
          <w:bCs/>
          <w:color w:val="auto"/>
          <w:sz w:val="24"/>
          <w:highlight w:val="none"/>
        </w:rPr>
        <w:t>由低到高的顺序推荐。评审得分且最后报价</w:t>
      </w:r>
      <w:r>
        <w:rPr>
          <w:rFonts w:hint="eastAsia" w:ascii="仿宋_GB2312" w:eastAsia="仿宋_GB2312"/>
          <w:bCs/>
          <w:color w:val="auto"/>
          <w:sz w:val="24"/>
          <w:highlight w:val="none"/>
          <w:lang w:val="en-US" w:eastAsia="zh-CN"/>
        </w:rPr>
        <w:t>（不计算价格折扣）</w:t>
      </w:r>
      <w:r>
        <w:rPr>
          <w:rFonts w:hint="eastAsia" w:ascii="仿宋_GB2312" w:eastAsia="仿宋_GB2312"/>
          <w:bCs/>
          <w:color w:val="auto"/>
          <w:sz w:val="24"/>
          <w:highlight w:val="none"/>
        </w:rPr>
        <w:t>相同的，按照技术指标优劣顺序推荐。</w:t>
      </w:r>
    </w:p>
    <w:p w14:paraId="14603303">
      <w:pPr>
        <w:spacing w:line="42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27.2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906F0F1">
      <w:pPr>
        <w:spacing w:line="420" w:lineRule="exact"/>
        <w:ind w:firstLine="361" w:firstLineChars="150"/>
        <w:rPr>
          <w:rFonts w:ascii="仿宋_GB2312" w:eastAsia="仿宋_GB2312"/>
          <w:b/>
          <w:bCs/>
          <w:color w:val="auto"/>
          <w:sz w:val="24"/>
          <w:highlight w:val="none"/>
        </w:rPr>
      </w:pPr>
      <w:r>
        <w:rPr>
          <w:rFonts w:hint="eastAsia" w:ascii="仿宋_GB2312" w:eastAsia="仿宋_GB2312"/>
          <w:b/>
          <w:bCs/>
          <w:color w:val="auto"/>
          <w:sz w:val="24"/>
          <w:highlight w:val="none"/>
        </w:rPr>
        <w:t>28.其他</w:t>
      </w:r>
    </w:p>
    <w:p w14:paraId="48AC1905">
      <w:pPr>
        <w:spacing w:line="420" w:lineRule="exact"/>
        <w:ind w:firstLine="600" w:firstLineChars="250"/>
        <w:rPr>
          <w:rFonts w:ascii="仿宋_GB2312" w:eastAsia="仿宋_GB2312"/>
          <w:bCs/>
          <w:color w:val="auto"/>
          <w:sz w:val="24"/>
          <w:highlight w:val="none"/>
        </w:rPr>
      </w:pPr>
      <w:r>
        <w:rPr>
          <w:rFonts w:hint="eastAsia" w:ascii="仿宋_GB2312" w:eastAsia="仿宋_GB2312"/>
          <w:bCs/>
          <w:color w:val="auto"/>
          <w:sz w:val="24"/>
          <w:highlight w:val="none"/>
        </w:rPr>
        <w:t>28.1磋商小组成员以及与评审工作有关的人员不得泄露评审情况以及评审过程中获悉的国家秘密、商业秘密。</w:t>
      </w:r>
    </w:p>
    <w:p w14:paraId="6EC01E36">
      <w:pPr>
        <w:spacing w:line="420" w:lineRule="exact"/>
        <w:ind w:firstLine="600" w:firstLineChars="250"/>
        <w:rPr>
          <w:rFonts w:ascii="仿宋_GB2312" w:eastAsia="仿宋_GB2312"/>
          <w:bCs/>
          <w:color w:val="auto"/>
          <w:sz w:val="24"/>
          <w:highlight w:val="none"/>
        </w:rPr>
      </w:pPr>
      <w:r>
        <w:rPr>
          <w:rFonts w:hint="eastAsia" w:ascii="仿宋_GB2312" w:eastAsia="仿宋_GB2312"/>
          <w:bCs/>
          <w:color w:val="auto"/>
          <w:sz w:val="24"/>
          <w:highlight w:val="none"/>
        </w:rPr>
        <w:t>28.2最终磋商结束后，磋商小组不得再与磋商供应商进行任何形式的商谈。</w:t>
      </w:r>
    </w:p>
    <w:p w14:paraId="4A415B61">
      <w:pPr>
        <w:spacing w:line="420" w:lineRule="exact"/>
        <w:ind w:firstLine="600" w:firstLineChars="250"/>
        <w:rPr>
          <w:rFonts w:ascii="仿宋_GB2312" w:eastAsia="仿宋_GB2312"/>
          <w:bCs/>
          <w:color w:val="auto"/>
          <w:sz w:val="24"/>
          <w:highlight w:val="none"/>
        </w:rPr>
      </w:pPr>
      <w:r>
        <w:rPr>
          <w:rFonts w:hint="eastAsia" w:ascii="仿宋_GB2312" w:eastAsia="仿宋_GB2312"/>
          <w:bCs/>
          <w:color w:val="auto"/>
          <w:sz w:val="24"/>
          <w:highlight w:val="none"/>
        </w:rPr>
        <w:t>28.</w:t>
      </w:r>
      <w:r>
        <w:rPr>
          <w:rFonts w:hint="eastAsia" w:ascii="仿宋_GB2312" w:eastAsia="仿宋_GB2312"/>
          <w:bCs/>
          <w:color w:val="auto"/>
          <w:sz w:val="24"/>
          <w:highlight w:val="none"/>
          <w:lang w:val="en-US" w:eastAsia="zh-CN"/>
        </w:rPr>
        <w:t>3</w:t>
      </w:r>
      <w:r>
        <w:rPr>
          <w:rFonts w:hint="eastAsia" w:ascii="仿宋_GB2312" w:eastAsia="仿宋_GB2312"/>
          <w:bCs/>
          <w:color w:val="auto"/>
          <w:sz w:val="24"/>
          <w:highlight w:val="none"/>
        </w:rPr>
        <w:t>出现下列情形之一的，采购代理机构可终止竞争性磋商采购活动，发布项目终止公告并说明原因，重新开展采购活动：</w:t>
      </w:r>
    </w:p>
    <w:p w14:paraId="4664DEFC">
      <w:pPr>
        <w:spacing w:line="420" w:lineRule="exact"/>
        <w:ind w:firstLine="840" w:firstLineChars="350"/>
        <w:rPr>
          <w:rFonts w:ascii="仿宋_GB2312" w:eastAsia="仿宋_GB2312"/>
          <w:bCs/>
          <w:color w:val="auto"/>
          <w:sz w:val="24"/>
          <w:highlight w:val="none"/>
        </w:rPr>
      </w:pPr>
      <w:r>
        <w:rPr>
          <w:rFonts w:hint="eastAsia" w:ascii="仿宋_GB2312" w:eastAsia="仿宋_GB2312"/>
          <w:bCs/>
          <w:color w:val="auto"/>
          <w:sz w:val="24"/>
          <w:highlight w:val="none"/>
        </w:rPr>
        <w:t>28.</w:t>
      </w:r>
      <w:r>
        <w:rPr>
          <w:rFonts w:hint="eastAsia" w:ascii="仿宋_GB2312" w:eastAsia="仿宋_GB2312"/>
          <w:bCs/>
          <w:color w:val="auto"/>
          <w:sz w:val="24"/>
          <w:highlight w:val="none"/>
          <w:lang w:val="en-US" w:eastAsia="zh-CN"/>
        </w:rPr>
        <w:t>3</w:t>
      </w:r>
      <w:r>
        <w:rPr>
          <w:rFonts w:hint="eastAsia" w:ascii="仿宋_GB2312" w:eastAsia="仿宋_GB2312"/>
          <w:bCs/>
          <w:color w:val="auto"/>
          <w:sz w:val="24"/>
          <w:highlight w:val="none"/>
        </w:rPr>
        <w:t>.1因情况变化，不再符合规定的竞争性磋商采购方式适用情形的；</w:t>
      </w:r>
    </w:p>
    <w:p w14:paraId="270210EF">
      <w:pPr>
        <w:spacing w:line="420" w:lineRule="exact"/>
        <w:ind w:firstLine="840" w:firstLineChars="350"/>
        <w:rPr>
          <w:rFonts w:ascii="仿宋_GB2312" w:eastAsia="仿宋_GB2312"/>
          <w:bCs/>
          <w:color w:val="auto"/>
          <w:sz w:val="24"/>
          <w:highlight w:val="none"/>
        </w:rPr>
      </w:pPr>
      <w:r>
        <w:rPr>
          <w:rFonts w:hint="eastAsia" w:ascii="仿宋_GB2312" w:eastAsia="仿宋_GB2312"/>
          <w:bCs/>
          <w:color w:val="auto"/>
          <w:sz w:val="24"/>
          <w:highlight w:val="none"/>
        </w:rPr>
        <w:t>28.</w:t>
      </w:r>
      <w:r>
        <w:rPr>
          <w:rFonts w:hint="eastAsia" w:ascii="仿宋_GB2312" w:eastAsia="仿宋_GB2312"/>
          <w:bCs/>
          <w:color w:val="auto"/>
          <w:sz w:val="24"/>
          <w:highlight w:val="none"/>
          <w:lang w:val="en-US" w:eastAsia="zh-CN"/>
        </w:rPr>
        <w:t>3</w:t>
      </w:r>
      <w:r>
        <w:rPr>
          <w:rFonts w:hint="eastAsia" w:ascii="仿宋_GB2312" w:eastAsia="仿宋_GB2312"/>
          <w:bCs/>
          <w:color w:val="auto"/>
          <w:sz w:val="24"/>
          <w:highlight w:val="none"/>
        </w:rPr>
        <w:t>.2出现影响采购公正的违法、违规行为的；</w:t>
      </w:r>
    </w:p>
    <w:p w14:paraId="028BD99D">
      <w:pPr>
        <w:spacing w:line="420" w:lineRule="exact"/>
        <w:ind w:firstLine="840" w:firstLineChars="350"/>
        <w:rPr>
          <w:rFonts w:ascii="仿宋_GB2312" w:eastAsia="仿宋_GB2312"/>
          <w:color w:val="auto"/>
          <w:sz w:val="24"/>
          <w:highlight w:val="none"/>
        </w:rPr>
      </w:pPr>
      <w:r>
        <w:rPr>
          <w:rFonts w:hint="eastAsia" w:ascii="仿宋_GB2312" w:eastAsia="仿宋_GB2312"/>
          <w:bCs/>
          <w:color w:val="auto"/>
          <w:sz w:val="24"/>
          <w:highlight w:val="none"/>
        </w:rPr>
        <w:t>28.</w:t>
      </w:r>
      <w:r>
        <w:rPr>
          <w:rFonts w:hint="eastAsia" w:ascii="仿宋_GB2312" w:eastAsia="仿宋_GB2312"/>
          <w:color w:val="auto"/>
          <w:sz w:val="24"/>
          <w:highlight w:val="none"/>
          <w:lang w:val="en-US" w:eastAsia="zh-CN"/>
        </w:rPr>
        <w:t>3</w:t>
      </w:r>
      <w:r>
        <w:rPr>
          <w:rFonts w:hint="eastAsia" w:ascii="仿宋_GB2312" w:eastAsia="仿宋_GB2312"/>
          <w:color w:val="auto"/>
          <w:sz w:val="24"/>
          <w:highlight w:val="none"/>
        </w:rPr>
        <w:t>.3除本章第2</w:t>
      </w:r>
      <w:r>
        <w:rPr>
          <w:rFonts w:ascii="仿宋_GB2312" w:eastAsia="仿宋_GB2312"/>
          <w:color w:val="auto"/>
          <w:sz w:val="24"/>
          <w:highlight w:val="none"/>
        </w:rPr>
        <w:t>5.2.9</w:t>
      </w:r>
      <w:r>
        <w:rPr>
          <w:rFonts w:hint="eastAsia" w:ascii="仿宋_GB2312" w:eastAsia="仿宋_GB2312"/>
          <w:color w:val="auto"/>
          <w:sz w:val="24"/>
          <w:highlight w:val="none"/>
        </w:rPr>
        <w:t>条情形外，在采购过程中符合竞争要求的供应商或者报价未超过采购预算的供应商不足3家的。</w:t>
      </w:r>
    </w:p>
    <w:p w14:paraId="5E943500">
      <w:pPr>
        <w:spacing w:line="420" w:lineRule="exact"/>
        <w:rPr>
          <w:rFonts w:ascii="仿宋_GB2312" w:eastAsia="仿宋_GB2312"/>
          <w:b/>
          <w:color w:val="auto"/>
          <w:sz w:val="24"/>
          <w:highlight w:val="none"/>
        </w:rPr>
      </w:pPr>
      <w:r>
        <w:rPr>
          <w:rFonts w:hint="eastAsia" w:ascii="仿宋_GB2312" w:eastAsia="仿宋_GB2312"/>
          <w:b/>
          <w:color w:val="auto"/>
          <w:sz w:val="24"/>
          <w:highlight w:val="none"/>
        </w:rPr>
        <w:t>十四、确定成交供应商办法</w:t>
      </w:r>
    </w:p>
    <w:p w14:paraId="0ABD6C27">
      <w:pPr>
        <w:spacing w:line="420" w:lineRule="exact"/>
        <w:ind w:firstLine="240" w:firstLineChars="100"/>
        <w:rPr>
          <w:rFonts w:ascii="仿宋_GB2312" w:eastAsia="仿宋_GB2312"/>
          <w:color w:val="auto"/>
          <w:sz w:val="24"/>
          <w:highlight w:val="none"/>
        </w:rPr>
      </w:pPr>
      <w:r>
        <w:rPr>
          <w:rFonts w:hint="eastAsia" w:ascii="仿宋_GB2312" w:eastAsia="仿宋_GB2312"/>
          <w:color w:val="auto"/>
          <w:sz w:val="24"/>
          <w:highlight w:val="none"/>
        </w:rPr>
        <w:t>29.确定方法及原则</w:t>
      </w:r>
    </w:p>
    <w:p w14:paraId="0CC6B6DD">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29.1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14:paraId="3552C4A8">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14:paraId="471819F3">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以上信息查询记录及相关证据与采购文件一并保存。</w:t>
      </w:r>
    </w:p>
    <w:p w14:paraId="1F993E29">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磋商结果将在中国政府采购网（www.ccgp.gov.cn）</w:t>
      </w:r>
      <w:r>
        <w:rPr>
          <w:rFonts w:hint="eastAsia" w:ascii="仿宋_GB2312" w:eastAsia="仿宋_GB2312"/>
          <w:color w:val="auto"/>
          <w:sz w:val="24"/>
          <w:highlight w:val="none"/>
          <w:lang w:eastAsia="zh-CN"/>
        </w:rPr>
        <w:t>、</w:t>
      </w:r>
      <w:r>
        <w:rPr>
          <w:rFonts w:hint="eastAsia" w:ascii="仿宋_GB2312" w:hAnsi="仿宋_GB2312" w:eastAsia="仿宋_GB2312" w:cs="仿宋_GB2312"/>
          <w:b w:val="0"/>
          <w:bCs w:val="0"/>
          <w:color w:val="auto"/>
          <w:sz w:val="24"/>
          <w:szCs w:val="24"/>
          <w:highlight w:val="none"/>
        </w:rPr>
        <w:t>广西壮族自治区政府采购网（zfcg.gxzf.gov.cn）、柳州市政府采购网（zfcg.lzscz.liuzhou.gov.cn）</w:t>
      </w:r>
      <w:r>
        <w:rPr>
          <w:rFonts w:hint="eastAsia" w:ascii="仿宋_GB2312" w:eastAsia="仿宋_GB2312"/>
          <w:color w:val="auto"/>
          <w:sz w:val="24"/>
          <w:highlight w:val="none"/>
        </w:rPr>
        <w:t>公布。</w:t>
      </w:r>
    </w:p>
    <w:p w14:paraId="616638AE">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29.3采购代理机构无义务向供应商退还磋商文件。</w:t>
      </w:r>
    </w:p>
    <w:p w14:paraId="153D5C85">
      <w:pPr>
        <w:spacing w:line="420" w:lineRule="exact"/>
        <w:rPr>
          <w:rFonts w:ascii="仿宋_GB2312" w:hAnsi="宋体" w:eastAsia="仿宋_GB2312"/>
          <w:b/>
          <w:color w:val="auto"/>
          <w:sz w:val="24"/>
          <w:highlight w:val="none"/>
        </w:rPr>
      </w:pPr>
      <w:r>
        <w:rPr>
          <w:rFonts w:hint="eastAsia" w:ascii="仿宋_GB2312" w:hAnsi="宋体" w:eastAsia="仿宋_GB2312"/>
          <w:b/>
          <w:color w:val="auto"/>
          <w:sz w:val="24"/>
          <w:highlight w:val="none"/>
        </w:rPr>
        <w:t>十五、质疑和投诉</w:t>
      </w:r>
    </w:p>
    <w:p w14:paraId="47B64C6F">
      <w:pPr>
        <w:pStyle w:val="29"/>
        <w:snapToGrid w:val="0"/>
        <w:spacing w:line="400" w:lineRule="exact"/>
        <w:ind w:firstLine="482" w:firstLineChars="200"/>
        <w:rPr>
          <w:rFonts w:ascii="仿宋_GB2312" w:eastAsia="仿宋_GB2312"/>
          <w:color w:val="auto"/>
          <w:sz w:val="24"/>
          <w:highlight w:val="none"/>
        </w:rPr>
      </w:pPr>
      <w:r>
        <w:rPr>
          <w:rFonts w:hint="eastAsia" w:ascii="仿宋_GB2312" w:hAnsi="宋体" w:eastAsia="仿宋_GB2312"/>
          <w:b/>
          <w:color w:val="auto"/>
          <w:sz w:val="24"/>
          <w:highlight w:val="none"/>
        </w:rPr>
        <w:t>注：供应商对电子标项目提出质疑和投诉的，应按照《政府采购质疑和投诉办法》（财政部令第94号）规定的方式提交质疑和投诉。</w:t>
      </w:r>
    </w:p>
    <w:p w14:paraId="59CBA343">
      <w:pPr>
        <w:spacing w:line="420" w:lineRule="exact"/>
        <w:ind w:firstLine="240" w:firstLineChars="100"/>
        <w:rPr>
          <w:rFonts w:ascii="仿宋_GB2312" w:eastAsia="仿宋_GB2312"/>
          <w:color w:val="auto"/>
          <w:sz w:val="24"/>
          <w:highlight w:val="none"/>
        </w:rPr>
      </w:pPr>
      <w:r>
        <w:rPr>
          <w:rFonts w:hint="eastAsia" w:ascii="仿宋_GB2312" w:eastAsia="仿宋_GB2312"/>
          <w:color w:val="auto"/>
          <w:sz w:val="24"/>
          <w:highlight w:val="none"/>
        </w:rPr>
        <w:t>30.质疑的说明</w:t>
      </w:r>
    </w:p>
    <w:p w14:paraId="794C3720">
      <w:pPr>
        <w:spacing w:line="420" w:lineRule="exact"/>
        <w:ind w:firstLine="480" w:firstLineChars="200"/>
        <w:rPr>
          <w:rFonts w:ascii="仿宋_GB2312" w:hAnsi="Calibri" w:eastAsia="仿宋_GB2312"/>
          <w:color w:val="auto"/>
          <w:sz w:val="24"/>
          <w:highlight w:val="none"/>
        </w:rPr>
      </w:pPr>
      <w:r>
        <w:rPr>
          <w:rFonts w:hint="eastAsia" w:ascii="仿宋_GB2312" w:hAnsi="宋体" w:eastAsia="仿宋_GB2312" w:cs="Courier New"/>
          <w:bCs/>
          <w:color w:val="auto"/>
          <w:sz w:val="24"/>
          <w:highlight w:val="none"/>
        </w:rPr>
        <w:t>30.1</w:t>
      </w:r>
      <w:r>
        <w:rPr>
          <w:rFonts w:hint="eastAsia" w:ascii="仿宋_GB2312" w:eastAsia="仿宋_GB2312"/>
          <w:color w:val="auto"/>
          <w:sz w:val="24"/>
          <w:highlight w:val="none"/>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color w:val="auto"/>
          <w:sz w:val="24"/>
          <w:highlight w:val="none"/>
        </w:rPr>
        <w:t>权益受到损害之日是：</w:t>
      </w:r>
    </w:p>
    <w:p w14:paraId="21EC77DA">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30.1.1对可以质疑的采购文件提出质疑的，为收到采购文件之日或者采购文件公告期限届满之日；</w:t>
      </w:r>
    </w:p>
    <w:p w14:paraId="1890326F">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30.1.2对采购过程提出质疑的，为各采购程序环节结束之日；</w:t>
      </w:r>
    </w:p>
    <w:p w14:paraId="38BD6990">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30.1.3对成交结果提出质疑的，为成交结果公告期限届满之日。</w:t>
      </w:r>
    </w:p>
    <w:p w14:paraId="49E16720">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供应商对采购人或采购代理机构的答复不满意或者采购人、采购代理机构未在规定时间内作出答复的，可以在答复期满后十五个工作日内向同级政府采购监管部门投诉。</w:t>
      </w:r>
    </w:p>
    <w:p w14:paraId="4F7839FC">
      <w:pPr>
        <w:spacing w:line="420" w:lineRule="exact"/>
        <w:ind w:firstLine="420"/>
        <w:rPr>
          <w:rFonts w:ascii="仿宋_GB2312" w:eastAsia="仿宋_GB2312"/>
          <w:color w:val="auto"/>
          <w:sz w:val="24"/>
          <w:highlight w:val="none"/>
        </w:rPr>
      </w:pPr>
      <w:r>
        <w:rPr>
          <w:rFonts w:hint="eastAsia" w:ascii="仿宋_GB2312" w:eastAsia="仿宋_GB2312"/>
          <w:color w:val="auto"/>
          <w:sz w:val="24"/>
          <w:highlight w:val="none"/>
        </w:rPr>
        <w:t>30.2采购人或采购代理机构（采购代理机构应当按照有关规定就采购人委托授权范围内的事项）在收到供应商的书面质疑后七个工作日内作出答复，但答复的内容不得涉及商业秘密。</w:t>
      </w:r>
    </w:p>
    <w:p w14:paraId="49C00923">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30.3质疑、投诉应当采用书面形式，质疑函、投诉书均应明确阐述采购文件、采购过程、成交结果中使自己合法权益受到损害的实质性内容，提供相关事实依据和证据及其来源或线索，便于有关单位调查、答复和处理。</w:t>
      </w:r>
    </w:p>
    <w:p w14:paraId="183ECC93">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30.4质疑书面要求</w:t>
      </w:r>
    </w:p>
    <w:p w14:paraId="2A5BE27F">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30.4.1质疑人质疑时须提交质疑</w:t>
      </w:r>
      <w:r>
        <w:rPr>
          <w:rFonts w:hint="eastAsia" w:ascii="仿宋_GB2312" w:hAnsi="宋体" w:eastAsia="仿宋_GB2312"/>
          <w:color w:val="auto"/>
          <w:sz w:val="24"/>
          <w:highlight w:val="none"/>
        </w:rPr>
        <w:t>函和必要的证明材料</w:t>
      </w:r>
      <w:r>
        <w:rPr>
          <w:rFonts w:hint="eastAsia" w:ascii="仿宋_GB2312" w:eastAsia="仿宋_GB2312"/>
          <w:color w:val="auto"/>
          <w:sz w:val="24"/>
          <w:highlight w:val="none"/>
        </w:rPr>
        <w:t>，</w:t>
      </w:r>
      <w:r>
        <w:rPr>
          <w:rFonts w:hint="eastAsia" w:ascii="仿宋_GB2312" w:hAnsi="宋体" w:eastAsia="仿宋_GB2312"/>
          <w:color w:val="auto"/>
          <w:sz w:val="24"/>
          <w:highlight w:val="none"/>
        </w:rPr>
        <w:t>供应商须在法定质疑期内一次性提出针对同一采购程序环节的质疑。</w:t>
      </w:r>
      <w:r>
        <w:rPr>
          <w:rFonts w:hint="eastAsia" w:ascii="仿宋_GB2312" w:eastAsia="仿宋_GB2312"/>
          <w:color w:val="auto"/>
          <w:sz w:val="24"/>
          <w:highlight w:val="none"/>
        </w:rPr>
        <w:t>质疑函至少包括下列主要内容：</w:t>
      </w:r>
    </w:p>
    <w:p w14:paraId="31A0AF09">
      <w:pPr>
        <w:numPr>
          <w:ilvl w:val="0"/>
          <w:numId w:val="2"/>
        </w:numPr>
        <w:spacing w:line="40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供应商的姓名或名称、地址、邮编、联系人及联系电话；</w:t>
      </w:r>
    </w:p>
    <w:p w14:paraId="0040B6DB">
      <w:pPr>
        <w:numPr>
          <w:ilvl w:val="0"/>
          <w:numId w:val="3"/>
        </w:numPr>
        <w:spacing w:line="40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质疑项目的名称、编号；</w:t>
      </w:r>
    </w:p>
    <w:p w14:paraId="3D4FF735">
      <w:pPr>
        <w:numPr>
          <w:ilvl w:val="0"/>
          <w:numId w:val="4"/>
        </w:numPr>
        <w:spacing w:line="40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具体、明确的质疑事项和与质疑事项相关的请求；</w:t>
      </w:r>
    </w:p>
    <w:p w14:paraId="265A5D55">
      <w:pPr>
        <w:numPr>
          <w:ilvl w:val="0"/>
          <w:numId w:val="5"/>
        </w:numPr>
        <w:spacing w:line="40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事实依据；</w:t>
      </w:r>
    </w:p>
    <w:p w14:paraId="284987FA">
      <w:pPr>
        <w:numPr>
          <w:ilvl w:val="0"/>
          <w:numId w:val="6"/>
        </w:numPr>
        <w:spacing w:line="40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必要的法律依据；</w:t>
      </w:r>
    </w:p>
    <w:p w14:paraId="4552E239">
      <w:pPr>
        <w:numPr>
          <w:ilvl w:val="0"/>
          <w:numId w:val="7"/>
        </w:numPr>
        <w:spacing w:line="40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提出质疑的日期。</w:t>
      </w:r>
    </w:p>
    <w:p w14:paraId="356BAC14">
      <w:pPr>
        <w:spacing w:line="40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供应商为自然人的，应当由本人签字；供应商为法人或者其他组织的，应当由法定代表人、主要负责人，或其授权代表签字或者盖章，并加盖公章。</w:t>
      </w:r>
    </w:p>
    <w:p w14:paraId="10BEAE42">
      <w:pPr>
        <w:spacing w:line="40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代理人提出质疑和投诉，应当提交供应商签署的授权委托书。</w:t>
      </w:r>
    </w:p>
    <w:p w14:paraId="4D5B5FA2">
      <w:pPr>
        <w:spacing w:line="4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30.5接收质疑函的方式：质疑人必须以书面形式向采购人、采购代理机构提出质疑，质疑人至我公司递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20E86321">
      <w:pPr>
        <w:spacing w:line="4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30.6联系部门：广州金良工程咨询有限公司柳州分公司</w:t>
      </w:r>
    </w:p>
    <w:p w14:paraId="0A577A64">
      <w:pPr>
        <w:spacing w:line="4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30.7联系电话：0772-2811999</w:t>
      </w:r>
      <w:r>
        <w:rPr>
          <w:rFonts w:hint="eastAsia" w:ascii="仿宋_GB2312" w:eastAsia="仿宋_GB2312"/>
          <w:color w:val="auto"/>
          <w:sz w:val="24"/>
          <w:highlight w:val="none"/>
          <w:lang w:val="en-US" w:eastAsia="zh-CN"/>
        </w:rPr>
        <w:t>/18907723788</w:t>
      </w:r>
    </w:p>
    <w:p w14:paraId="0C61BC5E">
      <w:pPr>
        <w:spacing w:line="4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30.8通讯地址：</w:t>
      </w:r>
      <w:r>
        <w:rPr>
          <w:rFonts w:hint="eastAsia" w:ascii="仿宋_GB2312" w:eastAsia="仿宋_GB2312"/>
          <w:color w:val="auto"/>
          <w:sz w:val="24"/>
          <w:szCs w:val="24"/>
          <w:highlight w:val="none"/>
        </w:rPr>
        <w:t>柳州市鱼峰区柳东路220号工业博物馆3号楼柳州螺蛳粉电子商务产业园5层508号</w:t>
      </w:r>
    </w:p>
    <w:p w14:paraId="40153C19">
      <w:pPr>
        <w:spacing w:line="400" w:lineRule="exact"/>
        <w:ind w:firstLine="480" w:firstLineChars="200"/>
        <w:rPr>
          <w:rFonts w:hint="eastAsia"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30.9现场提交质疑办理业务时间：工作日9时00分到12时00分，15时00分到17时30分，业务时间以外、双休日和法定节假日不办理业务</w:t>
      </w:r>
    </w:p>
    <w:p w14:paraId="610C5613">
      <w:pPr>
        <w:spacing w:line="400" w:lineRule="exact"/>
        <w:ind w:firstLine="480" w:firstLineChars="200"/>
        <w:rPr>
          <w:rFonts w:hint="eastAsia"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30.10投诉的书面要求</w:t>
      </w:r>
    </w:p>
    <w:p w14:paraId="3AE92E0F">
      <w:pPr>
        <w:spacing w:line="400" w:lineRule="exact"/>
        <w:ind w:firstLine="480" w:firstLineChars="200"/>
        <w:rPr>
          <w:rFonts w:ascii="仿宋_GB2312" w:hAnsi="宋体" w:eastAsia="仿宋_GB2312" w:cs="Courier New"/>
          <w:bCs/>
          <w:color w:val="auto"/>
          <w:sz w:val="24"/>
          <w:highlight w:val="none"/>
        </w:rPr>
      </w:pPr>
      <w:r>
        <w:rPr>
          <w:rFonts w:hint="eastAsia" w:ascii="仿宋_GB2312" w:hAnsi="Times New Roman" w:eastAsia="仿宋_GB2312" w:cs="Times New Roman"/>
          <w:color w:val="auto"/>
          <w:sz w:val="24"/>
          <w:highlight w:val="none"/>
        </w:rPr>
        <w:t>30.10.1符合《政府采购</w:t>
      </w:r>
      <w:r>
        <w:rPr>
          <w:rFonts w:hint="eastAsia" w:ascii="仿宋_GB2312" w:eastAsia="仿宋_GB2312"/>
          <w:color w:val="auto"/>
          <w:sz w:val="24"/>
          <w:highlight w:val="none"/>
        </w:rPr>
        <w:t>质疑和投诉办法》（财政部第94号令）要求。</w:t>
      </w:r>
    </w:p>
    <w:p w14:paraId="2FD4C926">
      <w:pPr>
        <w:spacing w:line="400" w:lineRule="exact"/>
        <w:rPr>
          <w:rFonts w:ascii="仿宋_GB2312" w:hAnsi="宋体" w:eastAsia="仿宋_GB2312"/>
          <w:b/>
          <w:color w:val="auto"/>
          <w:sz w:val="24"/>
          <w:highlight w:val="none"/>
        </w:rPr>
      </w:pPr>
      <w:r>
        <w:rPr>
          <w:rFonts w:hint="eastAsia" w:ascii="仿宋_GB2312" w:hAnsi="宋体" w:eastAsia="仿宋_GB2312"/>
          <w:b/>
          <w:color w:val="auto"/>
          <w:sz w:val="24"/>
          <w:highlight w:val="none"/>
        </w:rPr>
        <w:t>十六、签订合同</w:t>
      </w:r>
    </w:p>
    <w:p w14:paraId="15EC4B79">
      <w:pPr>
        <w:tabs>
          <w:tab w:val="left" w:pos="2835"/>
        </w:tabs>
        <w:spacing w:line="400" w:lineRule="exact"/>
        <w:ind w:firstLine="240" w:firstLineChars="100"/>
        <w:rPr>
          <w:rFonts w:ascii="仿宋_GB2312" w:hAnsi="宋体" w:eastAsia="仿宋_GB2312"/>
          <w:bCs/>
          <w:color w:val="auto"/>
          <w:sz w:val="24"/>
          <w:highlight w:val="none"/>
        </w:rPr>
      </w:pPr>
      <w:r>
        <w:rPr>
          <w:rFonts w:hint="eastAsia" w:ascii="仿宋_GB2312" w:hAnsi="宋体" w:eastAsia="仿宋_GB2312"/>
          <w:bCs/>
          <w:color w:val="auto"/>
          <w:sz w:val="24"/>
          <w:highlight w:val="none"/>
        </w:rPr>
        <w:t>31.成交供应商应在收到成交通知书发出之日起</w:t>
      </w:r>
      <w:r>
        <w:rPr>
          <w:rFonts w:hint="eastAsia" w:ascii="仿宋_GB2312" w:hAnsi="宋体" w:eastAsia="仿宋_GB2312"/>
          <w:bCs/>
          <w:color w:val="auto"/>
          <w:sz w:val="24"/>
          <w:highlight w:val="none"/>
          <w:u w:val="single"/>
        </w:rPr>
        <w:t>25</w:t>
      </w:r>
      <w:r>
        <w:rPr>
          <w:rFonts w:hint="eastAsia" w:ascii="仿宋_GB2312" w:hAnsi="宋体" w:eastAsia="仿宋_GB2312"/>
          <w:bCs/>
          <w:color w:val="auto"/>
          <w:sz w:val="24"/>
          <w:highlight w:val="none"/>
        </w:rPr>
        <w:t>日内，按磋商文件确定的合同文本及采购标的、规格型号、采购金额、采购数量、技术和服务要求等事项与采购人签订政府采购合同。</w:t>
      </w:r>
    </w:p>
    <w:p w14:paraId="06CC3DED">
      <w:pPr>
        <w:tabs>
          <w:tab w:val="left" w:pos="2835"/>
        </w:tabs>
        <w:spacing w:line="400" w:lineRule="exact"/>
        <w:ind w:firstLine="240" w:firstLineChars="100"/>
        <w:rPr>
          <w:rFonts w:ascii="仿宋_GB2312" w:hAnsi="宋体" w:eastAsia="仿宋_GB2312"/>
          <w:color w:val="auto"/>
          <w:sz w:val="24"/>
          <w:highlight w:val="none"/>
        </w:rPr>
      </w:pPr>
      <w:r>
        <w:rPr>
          <w:rFonts w:hint="eastAsia" w:ascii="仿宋_GB2312" w:hAnsi="宋体" w:eastAsia="仿宋_GB2312"/>
          <w:color w:val="auto"/>
          <w:sz w:val="24"/>
          <w:highlight w:val="none"/>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14:paraId="7CEF688D">
      <w:pPr>
        <w:tabs>
          <w:tab w:val="left" w:pos="2835"/>
        </w:tabs>
        <w:spacing w:line="400" w:lineRule="exact"/>
        <w:ind w:firstLine="240" w:firstLineChars="100"/>
        <w:rPr>
          <w:rFonts w:ascii="仿宋_GB2312" w:hAnsi="宋体" w:eastAsia="仿宋_GB2312"/>
          <w:bCs/>
          <w:color w:val="auto"/>
          <w:sz w:val="24"/>
          <w:highlight w:val="none"/>
        </w:rPr>
      </w:pPr>
      <w:r>
        <w:rPr>
          <w:rFonts w:hint="eastAsia" w:ascii="仿宋_GB2312" w:hAnsi="宋体" w:eastAsia="仿宋_GB2312"/>
          <w:bCs/>
          <w:color w:val="auto"/>
          <w:sz w:val="24"/>
          <w:highlight w:val="none"/>
        </w:rPr>
        <w:t>33.根据《</w:t>
      </w:r>
      <w:r>
        <w:rPr>
          <w:rFonts w:ascii="仿宋_GB2312" w:hAnsi="宋体" w:eastAsia="仿宋_GB2312"/>
          <w:color w:val="auto"/>
          <w:sz w:val="24"/>
          <w:highlight w:val="none"/>
        </w:rPr>
        <w:t>广西壮族自治区财政厅关于进一步发挥政府采购政策功能促进企业发展的通知</w:t>
      </w:r>
      <w:r>
        <w:rPr>
          <w:rFonts w:hint="eastAsia" w:ascii="仿宋_GB2312" w:hAnsi="宋体" w:eastAsia="仿宋_GB2312"/>
          <w:bCs/>
          <w:color w:val="auto"/>
          <w:sz w:val="24"/>
          <w:highlight w:val="none"/>
        </w:rPr>
        <w:t>》（</w:t>
      </w:r>
      <w:r>
        <w:rPr>
          <w:rFonts w:ascii="仿宋_GB2312" w:hAnsi="宋体" w:eastAsia="仿宋_GB2312"/>
          <w:color w:val="auto"/>
          <w:sz w:val="24"/>
          <w:highlight w:val="none"/>
        </w:rPr>
        <w:t>桂财采〔2022〕30号</w:t>
      </w:r>
      <w:r>
        <w:rPr>
          <w:rFonts w:hint="eastAsia" w:ascii="仿宋_GB2312" w:hAnsi="宋体" w:eastAsia="仿宋_GB2312"/>
          <w:bCs/>
          <w:color w:val="auto"/>
          <w:sz w:val="24"/>
          <w:highlight w:val="none"/>
        </w:rPr>
        <w:t>），供应商可以通过中征应收账款融资服务平台向银行在线申请“政采贷”融资。</w:t>
      </w:r>
    </w:p>
    <w:p w14:paraId="512A4B8E">
      <w:pPr>
        <w:tabs>
          <w:tab w:val="left" w:pos="2835"/>
        </w:tabs>
        <w:spacing w:line="400" w:lineRule="exact"/>
        <w:rPr>
          <w:rFonts w:ascii="仿宋_GB2312" w:hAnsi="宋体" w:eastAsia="仿宋_GB2312"/>
          <w:b/>
          <w:color w:val="auto"/>
          <w:sz w:val="24"/>
          <w:highlight w:val="none"/>
        </w:rPr>
      </w:pPr>
      <w:r>
        <w:rPr>
          <w:rFonts w:hint="eastAsia" w:ascii="仿宋_GB2312" w:hAnsi="宋体" w:eastAsia="仿宋_GB2312"/>
          <w:b/>
          <w:color w:val="auto"/>
          <w:sz w:val="24"/>
          <w:highlight w:val="none"/>
        </w:rPr>
        <w:t>十七、其他事项</w:t>
      </w:r>
    </w:p>
    <w:p w14:paraId="4E7C81A3">
      <w:pPr>
        <w:pStyle w:val="29"/>
        <w:snapToGrid w:val="0"/>
        <w:spacing w:line="400" w:lineRule="exact"/>
        <w:ind w:firstLine="240" w:firstLineChars="1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34.代理服务费</w:t>
      </w:r>
    </w:p>
    <w:p w14:paraId="57B61383">
      <w:pPr>
        <w:pStyle w:val="29"/>
        <w:snapToGrid w:val="0"/>
        <w:spacing w:line="440" w:lineRule="exact"/>
        <w:ind w:right="-13" w:rightChars="-6" w:firstLine="480" w:firstLineChars="200"/>
        <w:rPr>
          <w:rFonts w:ascii="仿宋_GB2312" w:hAnsi="Times New Roman" w:eastAsia="仿宋_GB2312" w:cs="Times New Roman"/>
          <w:color w:val="auto"/>
          <w:sz w:val="24"/>
          <w:highlight w:val="none"/>
        </w:rPr>
      </w:pPr>
      <w:r>
        <w:rPr>
          <w:rFonts w:hint="eastAsia" w:ascii="仿宋_GB2312" w:hAnsi="宋体" w:eastAsia="仿宋_GB2312"/>
          <w:color w:val="auto"/>
          <w:sz w:val="24"/>
          <w:szCs w:val="24"/>
          <w:highlight w:val="none"/>
        </w:rPr>
        <w:t>34.1</w:t>
      </w:r>
      <w:r>
        <w:rPr>
          <w:rFonts w:hint="eastAsia" w:ascii="仿宋_GB2312" w:eastAsia="仿宋_GB2312"/>
          <w:color w:val="auto"/>
          <w:sz w:val="24"/>
          <w:highlight w:val="none"/>
        </w:rPr>
        <w:t>代理服务费</w:t>
      </w:r>
      <w:r>
        <w:rPr>
          <w:rFonts w:hint="eastAsia" w:ascii="仿宋_GB2312" w:eastAsia="仿宋_GB2312"/>
          <w:color w:val="auto"/>
          <w:sz w:val="24"/>
          <w:highlight w:val="none"/>
          <w:lang w:val="en-US" w:eastAsia="zh-CN"/>
        </w:rPr>
        <w:t>参照国家发展计划委员会文件计价格（2002）1980号“国家计委关于印发《招标代理服务收费管理暂行办法》的通知”规定的工程类标准向成交人收取</w:t>
      </w:r>
      <w:r>
        <w:rPr>
          <w:rFonts w:hint="eastAsia" w:ascii="仿宋_GB2312" w:eastAsia="仿宋_GB2312"/>
          <w:color w:val="auto"/>
          <w:sz w:val="24"/>
          <w:highlight w:val="none"/>
        </w:rPr>
        <w:t>。成交通知书发出前，成交供应商应向采购代理机构一次付清招标代理服务费。</w:t>
      </w:r>
    </w:p>
    <w:p w14:paraId="386EDC58">
      <w:pPr>
        <w:pStyle w:val="29"/>
        <w:snapToGrid w:val="0"/>
        <w:spacing w:line="440" w:lineRule="exact"/>
        <w:ind w:right="-13" w:rightChars="-6" w:firstLine="480" w:firstLineChars="200"/>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34.2代理服务费收费标准：</w:t>
      </w:r>
    </w:p>
    <w:tbl>
      <w:tblPr>
        <w:tblStyle w:val="52"/>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2340"/>
        <w:gridCol w:w="2520"/>
        <w:gridCol w:w="2340"/>
      </w:tblGrid>
      <w:tr w14:paraId="4345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2628" w:type="dxa"/>
            <w:tcBorders>
              <w:top w:val="single" w:color="auto" w:sz="4" w:space="0"/>
              <w:left w:val="single" w:color="auto" w:sz="4" w:space="0"/>
              <w:bottom w:val="single" w:color="auto" w:sz="4" w:space="0"/>
              <w:right w:val="single" w:color="auto" w:sz="4" w:space="0"/>
            </w:tcBorders>
          </w:tcPr>
          <w:p w14:paraId="5A1B22DA">
            <w:pPr>
              <w:ind w:firstLine="1275"/>
              <w:rPr>
                <w:rFonts w:ascii="仿宋_GB2312" w:eastAsia="仿宋_GB2312" w:cs="仿宋_GB2312"/>
                <w:b/>
                <w:color w:val="auto"/>
                <w:szCs w:val="21"/>
                <w:highlight w:val="none"/>
              </w:rPr>
            </w:pPr>
            <w:r>
              <w:rPr>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457200</wp:posOffset>
                      </wp:positionH>
                      <wp:positionV relativeFrom="paragraph">
                        <wp:posOffset>9525</wp:posOffset>
                      </wp:positionV>
                      <wp:extent cx="1170940" cy="1047750"/>
                      <wp:effectExtent l="3175" t="3810" r="6985" b="15240"/>
                      <wp:wrapNone/>
                      <wp:docPr id="8" name="直接连接符 8"/>
                      <wp:cNvGraphicFramePr/>
                      <a:graphic xmlns:a="http://schemas.openxmlformats.org/drawingml/2006/main">
                        <a:graphicData uri="http://schemas.microsoft.com/office/word/2010/wordprocessingShape">
                          <wps:wsp>
                            <wps:cNvCnPr/>
                            <wps:spPr>
                              <a:xfrm flipH="1" flipV="1">
                                <a:off x="0" y="0"/>
                                <a:ext cx="1170940" cy="10477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 y;margin-left:36pt;margin-top:0.75pt;height:82.5pt;width:92.2pt;z-index:251670528;mso-width-relative:page;mso-height-relative:page;" filled="f" stroked="t" coordsize="21600,21600" o:gfxdata="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CMye9MAAAAIAQAADwAAAAAAAAABACAAAAAiAAAAZHJzL2Rv&#10;d25yZXYueG1sUEsBAhQAFAAAAAgAh07iQGR8/JUGAgAAAAQAAA4AAAAAAAAAAQAgAAAAIgEAAGRy&#10;cy9lMm9Eb2MueG1sUEsFBgAAAAAGAAYAWQEAAJoFAAAAAA==&#10;">
                      <v:fill on="f" focussize="0,0"/>
                      <v:stroke color="#000000"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8480" behindDoc="0" locked="0" layoutInCell="0" allowOverlap="1">
                      <wp:simplePos x="0" y="0"/>
                      <wp:positionH relativeFrom="column">
                        <wp:posOffset>-114300</wp:posOffset>
                      </wp:positionH>
                      <wp:positionV relativeFrom="paragraph">
                        <wp:posOffset>-6350</wp:posOffset>
                      </wp:positionV>
                      <wp:extent cx="635"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8480;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r&#10;kdN+1QAAAAkBAAAPAAAAAAAAAAEAIAAAACIAAABkcnMvZG93bnJldi54bWxQSwECFAAUAAAACACH&#10;TuJAfxFAz+4BAADkAwAADgAAAAAAAAABACAAAAAkAQAAZHJzL2Uyb0RvYy54bWxQSwUGAAAAAAYA&#10;BgBZAQAAhAUAAAAA&#10;">
                      <v:fill on="f" focussize="0,0"/>
                      <v:stroke color="#000000" joinstyle="round"/>
                      <v:imagedata o:title=""/>
                      <o:lock v:ext="edit" aspectratio="f"/>
                    </v:line>
                  </w:pict>
                </mc:Fallback>
              </mc:AlternateContent>
            </w:r>
            <w:r>
              <w:rPr>
                <w:rFonts w:hint="eastAsia" w:ascii="仿宋_GB2312" w:eastAsia="仿宋_GB2312" w:cs="仿宋_GB2312"/>
                <w:b/>
                <w:color w:val="auto"/>
                <w:szCs w:val="21"/>
                <w:highlight w:val="none"/>
                <w:lang w:bidi="ar"/>
              </w:rPr>
              <w:t>服</w:t>
            </w:r>
          </w:p>
          <w:p w14:paraId="6665D6C9">
            <w:pPr>
              <w:ind w:firstLine="211"/>
              <w:rPr>
                <w:rFonts w:ascii="仿宋_GB2312" w:eastAsia="仿宋_GB2312" w:cs="仿宋_GB2312"/>
                <w:b/>
                <w:color w:val="auto"/>
                <w:szCs w:val="21"/>
                <w:highlight w:val="none"/>
              </w:rPr>
            </w:pPr>
            <w:r>
              <w:rPr>
                <w:rFonts w:hint="eastAsia" w:ascii="仿宋_GB2312" w:eastAsia="仿宋_GB2312" w:cs="仿宋_GB2312"/>
                <w:b/>
                <w:color w:val="auto"/>
                <w:szCs w:val="21"/>
                <w:highlight w:val="none"/>
                <w:lang w:bidi="ar"/>
              </w:rPr>
              <w:t>费　　　　　</w:t>
            </w:r>
            <w:r>
              <w:rPr>
                <w:rFonts w:hint="eastAsia" w:ascii="仿宋_GB2312" w:eastAsia="仿宋_GB2312" w:cs="仿宋_GB2312"/>
                <w:b/>
                <w:color w:val="auto"/>
                <w:szCs w:val="21"/>
                <w:highlight w:val="none"/>
                <w:lang w:val="en-US" w:eastAsia="zh-CN" w:bidi="ar"/>
              </w:rPr>
              <w:t xml:space="preserve"> </w:t>
            </w:r>
            <w:r>
              <w:rPr>
                <w:rFonts w:hint="eastAsia" w:ascii="仿宋_GB2312" w:eastAsia="仿宋_GB2312" w:cs="仿宋_GB2312"/>
                <w:b/>
                <w:color w:val="auto"/>
                <w:szCs w:val="21"/>
                <w:highlight w:val="none"/>
                <w:lang w:bidi="ar"/>
              </w:rPr>
              <w:t>务</w:t>
            </w:r>
          </w:p>
          <w:p w14:paraId="6C03CB8C">
            <w:pPr>
              <w:ind w:firstLine="1004"/>
              <w:rPr>
                <w:rFonts w:ascii="仿宋_GB2312" w:eastAsia="仿宋_GB2312" w:cs="仿宋_GB2312"/>
                <w:b/>
                <w:color w:val="auto"/>
                <w:szCs w:val="21"/>
                <w:highlight w:val="none"/>
              </w:rPr>
            </w:pP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-75565</wp:posOffset>
                      </wp:positionH>
                      <wp:positionV relativeFrom="paragraph">
                        <wp:posOffset>117475</wp:posOffset>
                      </wp:positionV>
                      <wp:extent cx="1684655" cy="575310"/>
                      <wp:effectExtent l="1270" t="4445" r="9525" b="10795"/>
                      <wp:wrapNone/>
                      <wp:docPr id="13" name="直接连接符 13"/>
                      <wp:cNvGraphicFramePr/>
                      <a:graphic xmlns:a="http://schemas.openxmlformats.org/drawingml/2006/main">
                        <a:graphicData uri="http://schemas.microsoft.com/office/word/2010/wordprocessingShape">
                          <wps:wsp>
                            <wps:cNvCnPr/>
                            <wps:spPr>
                              <a:xfrm flipH="1" flipV="1">
                                <a:off x="0" y="0"/>
                                <a:ext cx="1684655" cy="57531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 y;margin-left:-5.95pt;margin-top:9.25pt;height:45.3pt;width:132.65pt;z-index:251669504;mso-width-relative:page;mso-height-relative:page;" filled="f" stroked="t" coordsize="21600,21600" o:gfxdata="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wuINXVAAAACgEAAA8AAAAAAAAAAQAgAAAAIgAAAGRycy9k&#10;b3ducmV2LnhtbFBLAQIUABQAAAAIAIdO4kCDmCLQBQIAAAEEAAAOAAAAAAAAAAEAIAAAACQBAABk&#10;cnMvZTJvRG9jLnhtbFBLBQYAAAAABgAGAFkBAACbBQAAAAA=&#10;">
                      <v:fill on="f" focussize="0,0"/>
                      <v:stroke color="#000000" joinstyle="round"/>
                      <v:imagedata o:title=""/>
                      <o:lock v:ext="edit" aspectratio="f"/>
                    </v:line>
                  </w:pict>
                </mc:Fallback>
              </mc:AlternateContent>
            </w:r>
            <w:r>
              <w:rPr>
                <w:rFonts w:hint="eastAsia" w:ascii="仿宋_GB2312" w:eastAsia="仿宋_GB2312" w:cs="仿宋_GB2312"/>
                <w:b/>
                <w:color w:val="auto"/>
                <w:szCs w:val="21"/>
                <w:highlight w:val="none"/>
                <w:lang w:bidi="ar"/>
              </w:rPr>
              <w:t>　　</w:t>
            </w:r>
            <w:r>
              <w:rPr>
                <w:rFonts w:hint="eastAsia" w:ascii="仿宋_GB2312" w:eastAsia="仿宋_GB2312" w:cs="仿宋_GB2312"/>
                <w:b/>
                <w:color w:val="auto"/>
                <w:szCs w:val="21"/>
                <w:highlight w:val="none"/>
                <w:lang w:val="en-US" w:eastAsia="zh-CN" w:bidi="ar"/>
              </w:rPr>
              <w:t xml:space="preserve"> </w:t>
            </w:r>
            <w:r>
              <w:rPr>
                <w:rFonts w:hint="eastAsia" w:ascii="仿宋_GB2312" w:eastAsia="仿宋_GB2312" w:cs="仿宋_GB2312"/>
                <w:b/>
                <w:color w:val="auto"/>
                <w:szCs w:val="21"/>
                <w:highlight w:val="none"/>
                <w:lang w:bidi="ar"/>
              </w:rPr>
              <w:t>　</w:t>
            </w:r>
            <w:r>
              <w:rPr>
                <w:rFonts w:hint="eastAsia" w:ascii="仿宋_GB2312" w:eastAsia="仿宋_GB2312" w:cs="仿宋_GB2312"/>
                <w:b/>
                <w:color w:val="auto"/>
                <w:szCs w:val="21"/>
                <w:highlight w:val="none"/>
                <w:lang w:val="en-US" w:eastAsia="zh-CN" w:bidi="ar"/>
              </w:rPr>
              <w:t xml:space="preserve"> </w:t>
            </w:r>
            <w:r>
              <w:rPr>
                <w:rFonts w:hint="eastAsia" w:ascii="仿宋_GB2312" w:eastAsia="仿宋_GB2312" w:cs="仿宋_GB2312"/>
                <w:b/>
                <w:color w:val="auto"/>
                <w:szCs w:val="21"/>
                <w:highlight w:val="none"/>
                <w:lang w:bidi="ar"/>
              </w:rPr>
              <w:t>类</w:t>
            </w:r>
          </w:p>
          <w:p w14:paraId="0BB54B14">
            <w:pPr>
              <w:ind w:firstLine="1054"/>
              <w:rPr>
                <w:rFonts w:ascii="仿宋_GB2312" w:eastAsia="仿宋_GB2312" w:cs="仿宋_GB2312"/>
                <w:b/>
                <w:color w:val="auto"/>
                <w:szCs w:val="21"/>
                <w:highlight w:val="none"/>
              </w:rPr>
            </w:pPr>
            <w:r>
              <w:rPr>
                <w:rFonts w:hint="eastAsia" w:ascii="仿宋_GB2312" w:eastAsia="仿宋_GB2312" w:cs="仿宋_GB2312"/>
                <w:b/>
                <w:color w:val="auto"/>
                <w:szCs w:val="21"/>
                <w:highlight w:val="none"/>
                <w:lang w:bidi="ar"/>
              </w:rPr>
              <w:t>率　　　</w:t>
            </w:r>
            <w:r>
              <w:rPr>
                <w:rFonts w:hint="eastAsia" w:ascii="仿宋_GB2312" w:eastAsia="仿宋_GB2312" w:cs="仿宋_GB2312"/>
                <w:b/>
                <w:color w:val="auto"/>
                <w:szCs w:val="21"/>
                <w:highlight w:val="none"/>
                <w:lang w:val="en-US" w:eastAsia="zh-CN" w:bidi="ar"/>
              </w:rPr>
              <w:t xml:space="preserve">  </w:t>
            </w:r>
            <w:r>
              <w:rPr>
                <w:rFonts w:hint="eastAsia" w:ascii="仿宋_GB2312" w:eastAsia="仿宋_GB2312" w:cs="仿宋_GB2312"/>
                <w:b/>
                <w:color w:val="auto"/>
                <w:szCs w:val="21"/>
                <w:highlight w:val="none"/>
                <w:lang w:bidi="ar"/>
              </w:rPr>
              <w:t>型</w:t>
            </w:r>
          </w:p>
          <w:p w14:paraId="6738D1ED">
            <w:pPr>
              <w:ind w:firstLine="1054"/>
              <w:rPr>
                <w:rFonts w:ascii="仿宋_GB2312" w:eastAsia="仿宋_GB2312" w:cs="仿宋_GB2312"/>
                <w:b/>
                <w:color w:val="auto"/>
                <w:szCs w:val="21"/>
                <w:highlight w:val="none"/>
              </w:rPr>
            </w:pPr>
            <w:r>
              <w:rPr>
                <w:rFonts w:hint="eastAsia" w:ascii="仿宋_GB2312" w:eastAsia="仿宋_GB2312" w:cs="仿宋_GB2312"/>
                <w:b/>
                <w:color w:val="auto"/>
                <w:szCs w:val="21"/>
                <w:highlight w:val="none"/>
                <w:lang w:bidi="ar"/>
              </w:rPr>
              <w:t>　　　　</w:t>
            </w:r>
          </w:p>
          <w:p w14:paraId="136AAB3E">
            <w:pPr>
              <w:rPr>
                <w:rFonts w:ascii="仿宋_GB2312" w:eastAsia="仿宋_GB2312" w:cs="仿宋_GB2312"/>
                <w:b/>
                <w:color w:val="auto"/>
                <w:szCs w:val="21"/>
                <w:highlight w:val="none"/>
              </w:rPr>
            </w:pPr>
            <w:r>
              <w:rPr>
                <w:rFonts w:hint="eastAsia" w:ascii="仿宋_GB2312" w:eastAsia="仿宋_GB2312" w:cs="仿宋_GB2312"/>
                <w:b/>
                <w:color w:val="auto"/>
                <w:szCs w:val="21"/>
                <w:highlight w:val="none"/>
                <w:lang w:bidi="ar"/>
              </w:rPr>
              <w:t>中标金额（万元）</w:t>
            </w:r>
          </w:p>
        </w:tc>
        <w:tc>
          <w:tcPr>
            <w:tcW w:w="2340" w:type="dxa"/>
            <w:tcBorders>
              <w:top w:val="single" w:color="auto" w:sz="4" w:space="0"/>
              <w:left w:val="single" w:color="auto" w:sz="4" w:space="0"/>
              <w:bottom w:val="single" w:color="auto" w:sz="4" w:space="0"/>
              <w:right w:val="single" w:color="auto" w:sz="4" w:space="0"/>
            </w:tcBorders>
            <w:vAlign w:val="center"/>
          </w:tcPr>
          <w:p w14:paraId="4BF0F1B9">
            <w:pPr>
              <w:jc w:val="center"/>
              <w:rPr>
                <w:rFonts w:ascii="仿宋_GB2312" w:eastAsia="仿宋_GB2312" w:cs="仿宋_GB2312"/>
                <w:b/>
                <w:color w:val="auto"/>
                <w:szCs w:val="21"/>
                <w:highlight w:val="none"/>
              </w:rPr>
            </w:pPr>
            <w:r>
              <w:rPr>
                <w:rFonts w:hint="eastAsia" w:ascii="仿宋_GB2312" w:eastAsia="仿宋_GB2312" w:cs="仿宋_GB2312"/>
                <w:b/>
                <w:color w:val="auto"/>
                <w:szCs w:val="21"/>
                <w:highlight w:val="none"/>
                <w:lang w:bidi="ar"/>
              </w:rPr>
              <w:t>货物招标</w:t>
            </w:r>
          </w:p>
        </w:tc>
        <w:tc>
          <w:tcPr>
            <w:tcW w:w="2520" w:type="dxa"/>
            <w:tcBorders>
              <w:top w:val="single" w:color="auto" w:sz="4" w:space="0"/>
              <w:left w:val="single" w:color="auto" w:sz="4" w:space="0"/>
              <w:bottom w:val="single" w:color="auto" w:sz="4" w:space="0"/>
              <w:right w:val="single" w:color="auto" w:sz="4" w:space="0"/>
            </w:tcBorders>
            <w:vAlign w:val="center"/>
          </w:tcPr>
          <w:p w14:paraId="34E72B74">
            <w:pPr>
              <w:jc w:val="center"/>
              <w:rPr>
                <w:rFonts w:ascii="仿宋_GB2312" w:eastAsia="仿宋_GB2312" w:cs="仿宋_GB2312"/>
                <w:b/>
                <w:color w:val="auto"/>
                <w:szCs w:val="21"/>
                <w:highlight w:val="none"/>
              </w:rPr>
            </w:pPr>
            <w:r>
              <w:rPr>
                <w:rFonts w:hint="eastAsia" w:ascii="仿宋_GB2312" w:eastAsia="仿宋_GB2312" w:cs="仿宋_GB2312"/>
                <w:b/>
                <w:color w:val="auto"/>
                <w:szCs w:val="21"/>
                <w:highlight w:val="none"/>
                <w:lang w:bidi="ar"/>
              </w:rPr>
              <w:t>服务招标</w:t>
            </w:r>
          </w:p>
        </w:tc>
        <w:tc>
          <w:tcPr>
            <w:tcW w:w="2340" w:type="dxa"/>
            <w:tcBorders>
              <w:top w:val="single" w:color="auto" w:sz="4" w:space="0"/>
              <w:left w:val="single" w:color="auto" w:sz="4" w:space="0"/>
              <w:bottom w:val="single" w:color="auto" w:sz="4" w:space="0"/>
              <w:right w:val="single" w:color="auto" w:sz="4" w:space="0"/>
            </w:tcBorders>
            <w:vAlign w:val="center"/>
          </w:tcPr>
          <w:p w14:paraId="0E558803">
            <w:pPr>
              <w:jc w:val="center"/>
              <w:rPr>
                <w:rFonts w:ascii="仿宋_GB2312" w:eastAsia="仿宋_GB2312" w:cs="仿宋_GB2312"/>
                <w:b/>
                <w:color w:val="auto"/>
                <w:szCs w:val="21"/>
                <w:highlight w:val="none"/>
              </w:rPr>
            </w:pPr>
            <w:r>
              <w:rPr>
                <w:rFonts w:hint="eastAsia" w:ascii="仿宋_GB2312" w:eastAsia="仿宋_GB2312" w:cs="仿宋_GB2312"/>
                <w:b/>
                <w:color w:val="auto"/>
                <w:szCs w:val="21"/>
                <w:highlight w:val="none"/>
                <w:lang w:bidi="ar"/>
              </w:rPr>
              <w:t>工程招标</w:t>
            </w:r>
          </w:p>
        </w:tc>
      </w:tr>
      <w:tr w14:paraId="6A48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tcBorders>
              <w:top w:val="single" w:color="auto" w:sz="4" w:space="0"/>
              <w:left w:val="single" w:color="auto" w:sz="4" w:space="0"/>
              <w:bottom w:val="single" w:color="auto" w:sz="4" w:space="0"/>
              <w:right w:val="single" w:color="auto" w:sz="4" w:space="0"/>
            </w:tcBorders>
          </w:tcPr>
          <w:p w14:paraId="4915B299">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100以下</w:t>
            </w:r>
          </w:p>
        </w:tc>
        <w:tc>
          <w:tcPr>
            <w:tcW w:w="2340" w:type="dxa"/>
            <w:tcBorders>
              <w:top w:val="single" w:color="auto" w:sz="4" w:space="0"/>
              <w:left w:val="single" w:color="auto" w:sz="4" w:space="0"/>
              <w:bottom w:val="single" w:color="auto" w:sz="4" w:space="0"/>
              <w:right w:val="single" w:color="auto" w:sz="4" w:space="0"/>
            </w:tcBorders>
          </w:tcPr>
          <w:p w14:paraId="5BA04E7B">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1.5%</w:t>
            </w:r>
          </w:p>
        </w:tc>
        <w:tc>
          <w:tcPr>
            <w:tcW w:w="2520" w:type="dxa"/>
            <w:tcBorders>
              <w:top w:val="single" w:color="auto" w:sz="4" w:space="0"/>
              <w:left w:val="single" w:color="auto" w:sz="4" w:space="0"/>
              <w:bottom w:val="single" w:color="auto" w:sz="4" w:space="0"/>
              <w:right w:val="single" w:color="auto" w:sz="4" w:space="0"/>
            </w:tcBorders>
          </w:tcPr>
          <w:p w14:paraId="18409A10">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1.5%</w:t>
            </w:r>
          </w:p>
        </w:tc>
        <w:tc>
          <w:tcPr>
            <w:tcW w:w="2340" w:type="dxa"/>
            <w:tcBorders>
              <w:top w:val="single" w:color="auto" w:sz="4" w:space="0"/>
              <w:left w:val="single" w:color="auto" w:sz="4" w:space="0"/>
              <w:bottom w:val="single" w:color="auto" w:sz="4" w:space="0"/>
              <w:right w:val="single" w:color="auto" w:sz="4" w:space="0"/>
            </w:tcBorders>
          </w:tcPr>
          <w:p w14:paraId="4C5FC72A">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1.0%</w:t>
            </w:r>
          </w:p>
        </w:tc>
      </w:tr>
      <w:tr w14:paraId="2071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tcBorders>
              <w:top w:val="single" w:color="auto" w:sz="4" w:space="0"/>
              <w:left w:val="single" w:color="auto" w:sz="4" w:space="0"/>
              <w:bottom w:val="single" w:color="auto" w:sz="4" w:space="0"/>
              <w:right w:val="single" w:color="auto" w:sz="4" w:space="0"/>
            </w:tcBorders>
          </w:tcPr>
          <w:p w14:paraId="347FFF5E">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100-500</w:t>
            </w:r>
          </w:p>
        </w:tc>
        <w:tc>
          <w:tcPr>
            <w:tcW w:w="2340" w:type="dxa"/>
            <w:tcBorders>
              <w:top w:val="single" w:color="auto" w:sz="4" w:space="0"/>
              <w:left w:val="single" w:color="auto" w:sz="4" w:space="0"/>
              <w:bottom w:val="single" w:color="auto" w:sz="4" w:space="0"/>
              <w:right w:val="single" w:color="auto" w:sz="4" w:space="0"/>
            </w:tcBorders>
          </w:tcPr>
          <w:p w14:paraId="584B2302">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1.1%</w:t>
            </w:r>
          </w:p>
        </w:tc>
        <w:tc>
          <w:tcPr>
            <w:tcW w:w="2520" w:type="dxa"/>
            <w:tcBorders>
              <w:top w:val="single" w:color="auto" w:sz="4" w:space="0"/>
              <w:left w:val="single" w:color="auto" w:sz="4" w:space="0"/>
              <w:bottom w:val="single" w:color="auto" w:sz="4" w:space="0"/>
              <w:right w:val="single" w:color="auto" w:sz="4" w:space="0"/>
            </w:tcBorders>
          </w:tcPr>
          <w:p w14:paraId="26E64C31">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0.8%</w:t>
            </w:r>
          </w:p>
        </w:tc>
        <w:tc>
          <w:tcPr>
            <w:tcW w:w="2340" w:type="dxa"/>
            <w:tcBorders>
              <w:top w:val="single" w:color="auto" w:sz="4" w:space="0"/>
              <w:left w:val="single" w:color="auto" w:sz="4" w:space="0"/>
              <w:bottom w:val="single" w:color="auto" w:sz="4" w:space="0"/>
              <w:right w:val="single" w:color="auto" w:sz="4" w:space="0"/>
            </w:tcBorders>
          </w:tcPr>
          <w:p w14:paraId="1628F91A">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0.7%</w:t>
            </w:r>
          </w:p>
        </w:tc>
      </w:tr>
      <w:tr w14:paraId="49EF0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tcBorders>
              <w:top w:val="single" w:color="auto" w:sz="4" w:space="0"/>
              <w:left w:val="single" w:color="auto" w:sz="4" w:space="0"/>
              <w:bottom w:val="single" w:color="auto" w:sz="4" w:space="0"/>
              <w:right w:val="single" w:color="auto" w:sz="4" w:space="0"/>
            </w:tcBorders>
          </w:tcPr>
          <w:p w14:paraId="47AF705A">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500-1000</w:t>
            </w:r>
          </w:p>
        </w:tc>
        <w:tc>
          <w:tcPr>
            <w:tcW w:w="2340" w:type="dxa"/>
            <w:tcBorders>
              <w:top w:val="single" w:color="auto" w:sz="4" w:space="0"/>
              <w:left w:val="single" w:color="auto" w:sz="4" w:space="0"/>
              <w:bottom w:val="single" w:color="auto" w:sz="4" w:space="0"/>
              <w:right w:val="single" w:color="auto" w:sz="4" w:space="0"/>
            </w:tcBorders>
          </w:tcPr>
          <w:p w14:paraId="74726520">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0.8%</w:t>
            </w:r>
          </w:p>
        </w:tc>
        <w:tc>
          <w:tcPr>
            <w:tcW w:w="2520" w:type="dxa"/>
            <w:tcBorders>
              <w:top w:val="single" w:color="auto" w:sz="4" w:space="0"/>
              <w:left w:val="single" w:color="auto" w:sz="4" w:space="0"/>
              <w:bottom w:val="single" w:color="auto" w:sz="4" w:space="0"/>
              <w:right w:val="single" w:color="auto" w:sz="4" w:space="0"/>
            </w:tcBorders>
          </w:tcPr>
          <w:p w14:paraId="3DAB0069">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0.45%</w:t>
            </w:r>
          </w:p>
        </w:tc>
        <w:tc>
          <w:tcPr>
            <w:tcW w:w="2340" w:type="dxa"/>
            <w:tcBorders>
              <w:top w:val="single" w:color="auto" w:sz="4" w:space="0"/>
              <w:left w:val="single" w:color="auto" w:sz="4" w:space="0"/>
              <w:bottom w:val="single" w:color="auto" w:sz="4" w:space="0"/>
              <w:right w:val="single" w:color="auto" w:sz="4" w:space="0"/>
            </w:tcBorders>
          </w:tcPr>
          <w:p w14:paraId="3E39F06C">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0.55%</w:t>
            </w:r>
          </w:p>
        </w:tc>
      </w:tr>
      <w:tr w14:paraId="0961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tcBorders>
              <w:top w:val="single" w:color="auto" w:sz="4" w:space="0"/>
              <w:left w:val="single" w:color="auto" w:sz="4" w:space="0"/>
              <w:bottom w:val="single" w:color="auto" w:sz="4" w:space="0"/>
              <w:right w:val="single" w:color="auto" w:sz="4" w:space="0"/>
            </w:tcBorders>
          </w:tcPr>
          <w:p w14:paraId="1D309574">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1000-5000</w:t>
            </w:r>
          </w:p>
        </w:tc>
        <w:tc>
          <w:tcPr>
            <w:tcW w:w="2340" w:type="dxa"/>
            <w:tcBorders>
              <w:top w:val="single" w:color="auto" w:sz="4" w:space="0"/>
              <w:left w:val="single" w:color="auto" w:sz="4" w:space="0"/>
              <w:bottom w:val="single" w:color="auto" w:sz="4" w:space="0"/>
              <w:right w:val="single" w:color="auto" w:sz="4" w:space="0"/>
            </w:tcBorders>
          </w:tcPr>
          <w:p w14:paraId="46B0A538">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0.5%</w:t>
            </w:r>
          </w:p>
        </w:tc>
        <w:tc>
          <w:tcPr>
            <w:tcW w:w="2520" w:type="dxa"/>
            <w:tcBorders>
              <w:top w:val="single" w:color="auto" w:sz="4" w:space="0"/>
              <w:left w:val="single" w:color="auto" w:sz="4" w:space="0"/>
              <w:bottom w:val="single" w:color="auto" w:sz="4" w:space="0"/>
              <w:right w:val="single" w:color="auto" w:sz="4" w:space="0"/>
            </w:tcBorders>
          </w:tcPr>
          <w:p w14:paraId="24411BD1">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0.25%</w:t>
            </w:r>
          </w:p>
        </w:tc>
        <w:tc>
          <w:tcPr>
            <w:tcW w:w="2340" w:type="dxa"/>
            <w:tcBorders>
              <w:top w:val="single" w:color="auto" w:sz="4" w:space="0"/>
              <w:left w:val="single" w:color="auto" w:sz="4" w:space="0"/>
              <w:bottom w:val="single" w:color="auto" w:sz="4" w:space="0"/>
              <w:right w:val="single" w:color="auto" w:sz="4" w:space="0"/>
            </w:tcBorders>
          </w:tcPr>
          <w:p w14:paraId="28646288">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0.35%</w:t>
            </w:r>
          </w:p>
        </w:tc>
      </w:tr>
    </w:tbl>
    <w:p w14:paraId="5EC1D32A">
      <w:pPr>
        <w:spacing w:line="360" w:lineRule="auto"/>
        <w:rPr>
          <w:color w:val="auto"/>
          <w:highlight w:val="none"/>
        </w:rPr>
      </w:pPr>
      <w:r>
        <w:rPr>
          <w:rFonts w:hint="eastAsia" w:ascii="仿宋_GB2312" w:eastAsia="仿宋_GB2312"/>
          <w:color w:val="auto"/>
          <w:sz w:val="24"/>
          <w:highlight w:val="none"/>
        </w:rPr>
        <w:t>注：（1）招标代理服务收费按差额定率累进法计算；（2）按本表费率计算的收费为招标代理服务全过程的收费基准价格。</w:t>
      </w:r>
    </w:p>
    <w:p w14:paraId="1B007820">
      <w:pPr>
        <w:tabs>
          <w:tab w:val="left" w:pos="2835"/>
        </w:tabs>
        <w:spacing w:line="400" w:lineRule="exact"/>
        <w:rPr>
          <w:rFonts w:ascii="仿宋_GB2312" w:hAnsi="宋体" w:eastAsia="仿宋_GB2312"/>
          <w:color w:val="auto"/>
          <w:sz w:val="24"/>
          <w:highlight w:val="none"/>
        </w:rPr>
      </w:pPr>
      <w:r>
        <w:rPr>
          <w:rFonts w:hint="eastAsia" w:ascii="仿宋_GB2312" w:hAnsi="宋体" w:eastAsia="仿宋_GB2312"/>
          <w:b/>
          <w:color w:val="auto"/>
          <w:sz w:val="24"/>
          <w:highlight w:val="none"/>
        </w:rPr>
        <w:t>十八、适用法律</w:t>
      </w:r>
    </w:p>
    <w:p w14:paraId="41B50B4A">
      <w:pPr>
        <w:tabs>
          <w:tab w:val="left" w:pos="2835"/>
        </w:tabs>
        <w:spacing w:line="400" w:lineRule="exact"/>
        <w:ind w:firstLine="240" w:firstLineChars="1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35.采购当事人的一切活动均适用于《中华人民共和国政府采购法》、《中华人民共和国政府采购法实施条例》、《政府采购竞争性磋商采购方式管理暂定办法》及相关规定。</w:t>
      </w:r>
      <w:bookmarkEnd w:id="59"/>
      <w:bookmarkEnd w:id="60"/>
      <w:bookmarkStart w:id="61" w:name="_Toc3935"/>
      <w:bookmarkStart w:id="62" w:name="_Toc20051"/>
      <w:bookmarkStart w:id="63" w:name="_Toc31981"/>
    </w:p>
    <w:p w14:paraId="12CB57FE">
      <w:pPr>
        <w:pStyle w:val="41"/>
        <w:ind w:left="0" w:leftChars="0" w:firstLine="0" w:firstLineChars="0"/>
        <w:rPr>
          <w:rFonts w:hint="eastAsia" w:ascii="仿宋_GB2312" w:hAnsi="宋体" w:eastAsia="仿宋_GB2312"/>
          <w:color w:val="auto"/>
          <w:sz w:val="24"/>
          <w:highlight w:val="none"/>
        </w:rPr>
      </w:pPr>
    </w:p>
    <w:p w14:paraId="661F1D26">
      <w:pP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br w:type="page"/>
      </w:r>
    </w:p>
    <w:bookmarkEnd w:id="61"/>
    <w:bookmarkEnd w:id="62"/>
    <w:bookmarkEnd w:id="63"/>
    <w:p w14:paraId="4585ABA5">
      <w:pPr>
        <w:numPr>
          <w:ilvl w:val="0"/>
          <w:numId w:val="0"/>
        </w:numPr>
        <w:tabs>
          <w:tab w:val="left" w:pos="2835"/>
        </w:tabs>
        <w:spacing w:line="400" w:lineRule="exact"/>
        <w:jc w:val="center"/>
        <w:outlineLvl w:val="0"/>
        <w:rPr>
          <w:rFonts w:ascii="宋体" w:hAnsi="宋体"/>
          <w:b/>
          <w:bCs/>
          <w:color w:val="auto"/>
          <w:sz w:val="32"/>
          <w:szCs w:val="32"/>
          <w:highlight w:val="none"/>
        </w:rPr>
      </w:pPr>
      <w:bookmarkStart w:id="64" w:name="_Toc30132"/>
      <w:bookmarkStart w:id="65" w:name="_Toc504053343"/>
      <w:bookmarkStart w:id="66" w:name="_Toc4344"/>
      <w:r>
        <w:rPr>
          <w:rFonts w:hint="eastAsia" w:ascii="宋体" w:hAnsi="宋体"/>
          <w:b/>
          <w:bCs/>
          <w:color w:val="auto"/>
          <w:sz w:val="32"/>
          <w:szCs w:val="32"/>
          <w:highlight w:val="none"/>
          <w:lang w:val="en-US" w:eastAsia="zh-CN"/>
        </w:rPr>
        <w:t xml:space="preserve">第三章 </w:t>
      </w:r>
      <w:r>
        <w:rPr>
          <w:rFonts w:hint="eastAsia" w:ascii="宋体" w:hAnsi="宋体"/>
          <w:b/>
          <w:bCs/>
          <w:color w:val="auto"/>
          <w:sz w:val="32"/>
          <w:szCs w:val="32"/>
          <w:highlight w:val="none"/>
        </w:rPr>
        <w:t xml:space="preserve"> 采购需求</w:t>
      </w:r>
      <w:bookmarkEnd w:id="64"/>
    </w:p>
    <w:p w14:paraId="5B7D0539">
      <w:pPr>
        <w:pStyle w:val="34"/>
        <w:rPr>
          <w:color w:val="auto"/>
          <w:highlight w:val="none"/>
        </w:rPr>
      </w:pPr>
    </w:p>
    <w:p w14:paraId="2B73AFDE">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2406E387">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1.为落实政府采购政策需满足的要求：</w:t>
      </w:r>
      <w:r>
        <w:rPr>
          <w:rFonts w:hint="eastAsia" w:ascii="仿宋" w:hAnsi="仿宋" w:eastAsia="仿宋" w:cs="仿宋"/>
          <w:color w:val="auto"/>
          <w:sz w:val="24"/>
          <w:szCs w:val="24"/>
          <w:highlight w:val="none"/>
          <w:lang w:val="en-US" w:eastAsia="zh-CN"/>
        </w:rPr>
        <w:t>本竞争性磋商采购文件所称中小企业必须符合《政府采购促进中小企业发展管理办法》（财库〔2020〕46号）的规定。</w:t>
      </w:r>
    </w:p>
    <w:p w14:paraId="07CD802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2.“实质性要求”是指采购需求中带“▲”的条款或者不能负偏离的条款或者已经指明不满足按响应文件按无效处理的条款。</w:t>
      </w:r>
    </w:p>
    <w:p w14:paraId="59EC9206">
      <w:pPr>
        <w:spacing w:line="360" w:lineRule="auto"/>
        <w:ind w:firstLine="484" w:firstLineChars="20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3.供应商必须自行为其</w:t>
      </w:r>
      <w:r>
        <w:rPr>
          <w:rFonts w:hint="eastAsia" w:ascii="仿宋" w:hAnsi="仿宋" w:eastAsia="仿宋" w:cs="仿宋"/>
          <w:color w:val="auto"/>
          <w:sz w:val="24"/>
          <w:szCs w:val="24"/>
          <w:highlight w:val="none"/>
          <w:lang w:val="en-US" w:eastAsia="zh-CN"/>
        </w:rPr>
        <w:t>竞标</w:t>
      </w:r>
      <w:r>
        <w:rPr>
          <w:rFonts w:hint="eastAsia" w:ascii="仿宋" w:hAnsi="仿宋" w:eastAsia="仿宋" w:cs="仿宋"/>
          <w:color w:val="auto"/>
          <w:sz w:val="24"/>
          <w:szCs w:val="24"/>
          <w:highlight w:val="none"/>
        </w:rPr>
        <w:t>产品侵犯他人的知识产权或者专利成果的行为承担相应法律责任。</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1830"/>
        <w:gridCol w:w="1725"/>
        <w:gridCol w:w="1545"/>
        <w:gridCol w:w="3758"/>
      </w:tblGrid>
      <w:tr w14:paraId="71B2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104" w:type="dxa"/>
            <w:vAlign w:val="center"/>
          </w:tcPr>
          <w:p w14:paraId="7AE3C1F1">
            <w:pPr>
              <w:pStyle w:val="4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序号</w:t>
            </w:r>
          </w:p>
        </w:tc>
        <w:tc>
          <w:tcPr>
            <w:tcW w:w="1830" w:type="dxa"/>
            <w:vAlign w:val="center"/>
          </w:tcPr>
          <w:p w14:paraId="5634AAD7">
            <w:pPr>
              <w:pStyle w:val="4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标的的名称</w:t>
            </w:r>
          </w:p>
        </w:tc>
        <w:tc>
          <w:tcPr>
            <w:tcW w:w="1725" w:type="dxa"/>
            <w:vAlign w:val="center"/>
          </w:tcPr>
          <w:p w14:paraId="7C51A3F3">
            <w:pPr>
              <w:pStyle w:val="4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数量及单位</w:t>
            </w:r>
          </w:p>
        </w:tc>
        <w:tc>
          <w:tcPr>
            <w:tcW w:w="1545" w:type="dxa"/>
            <w:vAlign w:val="center"/>
          </w:tcPr>
          <w:p w14:paraId="74E8C627">
            <w:pPr>
              <w:keepNext w:val="0"/>
              <w:keepLines w:val="0"/>
              <w:pageBreakBefore w:val="0"/>
              <w:widowControl w:val="0"/>
              <w:tabs>
                <w:tab w:val="left" w:pos="180"/>
                <w:tab w:val="left" w:pos="1620"/>
              </w:tabs>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所属行业</w:t>
            </w:r>
          </w:p>
        </w:tc>
        <w:tc>
          <w:tcPr>
            <w:tcW w:w="3758" w:type="dxa"/>
            <w:vAlign w:val="center"/>
          </w:tcPr>
          <w:p w14:paraId="2985723C">
            <w:pPr>
              <w:pStyle w:val="4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▲技术要求</w:t>
            </w:r>
          </w:p>
        </w:tc>
      </w:tr>
      <w:tr w14:paraId="65D4A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1104" w:type="dxa"/>
            <w:vAlign w:val="center"/>
          </w:tcPr>
          <w:p w14:paraId="6A8DA25A">
            <w:pPr>
              <w:pStyle w:val="41"/>
              <w:keepNext w:val="0"/>
              <w:keepLines w:val="0"/>
              <w:pageBreakBefore w:val="0"/>
              <w:widowControl w:val="0"/>
              <w:kinsoku/>
              <w:wordWrap/>
              <w:overflowPunct/>
              <w:topLinePunct w:val="0"/>
              <w:autoSpaceDE/>
              <w:autoSpaceDN/>
              <w:bidi w:val="0"/>
              <w:adjustRightInd/>
              <w:spacing w:after="0" w:line="240" w:lineRule="auto"/>
              <w:ind w:left="0" w:leftChars="0" w:firstLine="0" w:firstLineChars="0"/>
              <w:jc w:val="center"/>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lang w:val="en-US" w:eastAsia="zh-CN"/>
              </w:rPr>
              <w:t>1</w:t>
            </w:r>
          </w:p>
        </w:tc>
        <w:tc>
          <w:tcPr>
            <w:tcW w:w="1830" w:type="dxa"/>
            <w:vAlign w:val="center"/>
          </w:tcPr>
          <w:p w14:paraId="57CB7584">
            <w:pPr>
              <w:pStyle w:val="41"/>
              <w:keepNext w:val="0"/>
              <w:keepLines w:val="0"/>
              <w:pageBreakBefore w:val="0"/>
              <w:widowControl w:val="0"/>
              <w:kinsoku/>
              <w:wordWrap/>
              <w:overflowPunct/>
              <w:topLinePunct w:val="0"/>
              <w:autoSpaceDE/>
              <w:autoSpaceDN/>
              <w:bidi w:val="0"/>
              <w:adjustRightInd/>
              <w:spacing w:after="0" w:line="240" w:lineRule="auto"/>
              <w:ind w:left="0" w:leftChars="0" w:firstLine="0" w:firstLineChars="0"/>
              <w:jc w:val="center"/>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lang w:val="en-US" w:eastAsia="zh-CN"/>
              </w:rPr>
              <w:t>柳州市柳南区人民检察院变压器增容及电路改造工程</w:t>
            </w:r>
          </w:p>
        </w:tc>
        <w:tc>
          <w:tcPr>
            <w:tcW w:w="1725" w:type="dxa"/>
            <w:vAlign w:val="center"/>
          </w:tcPr>
          <w:p w14:paraId="0C3E5C21">
            <w:pPr>
              <w:pStyle w:val="41"/>
              <w:keepNext w:val="0"/>
              <w:keepLines w:val="0"/>
              <w:pageBreakBefore w:val="0"/>
              <w:widowControl w:val="0"/>
              <w:kinsoku/>
              <w:wordWrap/>
              <w:overflowPunct/>
              <w:topLinePunct w:val="0"/>
              <w:autoSpaceDE/>
              <w:autoSpaceDN/>
              <w:bidi w:val="0"/>
              <w:adjustRightInd/>
              <w:spacing w:after="0" w:line="240" w:lineRule="auto"/>
              <w:ind w:left="0" w:leftChars="0" w:firstLine="0" w:firstLineChars="0"/>
              <w:jc w:val="center"/>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1项</w:t>
            </w:r>
          </w:p>
        </w:tc>
        <w:tc>
          <w:tcPr>
            <w:tcW w:w="1545" w:type="dxa"/>
            <w:vAlign w:val="center"/>
          </w:tcPr>
          <w:p w14:paraId="661EF4E5">
            <w:pPr>
              <w:pStyle w:val="41"/>
              <w:keepNext w:val="0"/>
              <w:keepLines w:val="0"/>
              <w:pageBreakBefore w:val="0"/>
              <w:widowControl w:val="0"/>
              <w:kinsoku/>
              <w:wordWrap/>
              <w:overflowPunct/>
              <w:topLinePunct w:val="0"/>
              <w:autoSpaceDE/>
              <w:autoSpaceDN/>
              <w:bidi w:val="0"/>
              <w:adjustRightInd/>
              <w:spacing w:after="0" w:line="240" w:lineRule="auto"/>
              <w:ind w:left="0" w:leftChars="0" w:firstLine="0" w:firstLineChars="0"/>
              <w:jc w:val="center"/>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建筑业</w:t>
            </w:r>
          </w:p>
        </w:tc>
        <w:tc>
          <w:tcPr>
            <w:tcW w:w="3758" w:type="dxa"/>
            <w:vAlign w:val="center"/>
          </w:tcPr>
          <w:p w14:paraId="1FAD7EE7">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strike w:val="0"/>
                <w:dstrike w:val="0"/>
                <w:color w:val="auto"/>
                <w:sz w:val="24"/>
                <w:szCs w:val="24"/>
                <w:highlight w:val="none"/>
                <w:lang w:eastAsia="zh-CN"/>
              </w:rPr>
            </w:pPr>
            <w:r>
              <w:rPr>
                <w:rFonts w:hint="eastAsia" w:ascii="仿宋" w:hAnsi="仿宋" w:eastAsia="仿宋" w:cs="仿宋"/>
                <w:strike w:val="0"/>
                <w:dstrike w:val="0"/>
                <w:color w:val="auto"/>
                <w:sz w:val="24"/>
                <w:szCs w:val="24"/>
                <w:highlight w:val="none"/>
              </w:rPr>
              <w:t>1.项目概况：</w:t>
            </w:r>
            <w:r>
              <w:rPr>
                <w:rFonts w:hint="eastAsia" w:ascii="仿宋" w:hAnsi="仿宋" w:eastAsia="仿宋" w:cs="仿宋"/>
                <w:strike w:val="0"/>
                <w:dstrike w:val="0"/>
                <w:color w:val="auto"/>
                <w:sz w:val="24"/>
                <w:szCs w:val="24"/>
                <w:highlight w:val="none"/>
                <w:lang w:val="en-US" w:eastAsia="zh-CN"/>
              </w:rPr>
              <w:t>安装一台容量630KVA欧式环网型箱变、电路改造</w:t>
            </w:r>
            <w:r>
              <w:rPr>
                <w:rFonts w:hint="eastAsia" w:ascii="仿宋" w:hAnsi="仿宋" w:eastAsia="仿宋" w:cs="仿宋"/>
                <w:strike w:val="0"/>
                <w:dstrike w:val="0"/>
                <w:color w:val="auto"/>
                <w:sz w:val="24"/>
                <w:szCs w:val="24"/>
                <w:highlight w:val="none"/>
                <w:lang w:val="en-US" w:eastAsia="zh-CN"/>
              </w:rPr>
              <w:t>。</w:t>
            </w:r>
          </w:p>
          <w:p w14:paraId="196A63AD">
            <w:pPr>
              <w:pStyle w:val="17"/>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2.技术标准和要求：符合国家现行的工程建设标准、技术规范及强制性标准条文、以及施工图纸载明的其他有关规范标准。</w:t>
            </w:r>
          </w:p>
          <w:p w14:paraId="5A945DE8">
            <w:pPr>
              <w:pStyle w:val="17"/>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3.质量标准：合格。</w:t>
            </w:r>
          </w:p>
          <w:p w14:paraId="3F01A1B3">
            <w:pPr>
              <w:pStyle w:val="17"/>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4.报价方式：工程量清单报价。</w:t>
            </w:r>
          </w:p>
          <w:p w14:paraId="33AB4441">
            <w:pPr>
              <w:pStyle w:val="17"/>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5.承包方式：固定综合单价，包工包料。</w:t>
            </w:r>
          </w:p>
          <w:p w14:paraId="136A793E">
            <w:pPr>
              <w:pStyle w:val="41"/>
              <w:keepNext w:val="0"/>
              <w:keepLines w:val="0"/>
              <w:pageBreakBefore w:val="0"/>
              <w:widowControl w:val="0"/>
              <w:kinsoku/>
              <w:wordWrap/>
              <w:overflowPunct/>
              <w:topLinePunct w:val="0"/>
              <w:autoSpaceDE/>
              <w:autoSpaceDN/>
              <w:bidi w:val="0"/>
              <w:adjustRightInd/>
              <w:spacing w:after="0" w:line="240" w:lineRule="auto"/>
              <w:ind w:left="0" w:leftChars="0" w:firstLine="0" w:firstLine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.开工日期：以签订合同后采购人通知为准</w:t>
            </w:r>
            <w:r>
              <w:rPr>
                <w:rFonts w:hint="eastAsia" w:ascii="仿宋" w:hAnsi="仿宋" w:eastAsia="仿宋" w:cs="仿宋"/>
                <w:color w:val="auto"/>
                <w:sz w:val="24"/>
                <w:szCs w:val="24"/>
                <w:highlight w:val="none"/>
                <w:lang w:eastAsia="zh-CN"/>
              </w:rPr>
              <w:t>。</w:t>
            </w:r>
          </w:p>
          <w:p w14:paraId="72B603A7">
            <w:pPr>
              <w:pStyle w:val="41"/>
              <w:keepNext w:val="0"/>
              <w:keepLines w:val="0"/>
              <w:pageBreakBefore w:val="0"/>
              <w:widowControl w:val="0"/>
              <w:kinsoku/>
              <w:wordWrap/>
              <w:overflowPunct/>
              <w:topLinePunct w:val="0"/>
              <w:autoSpaceDE/>
              <w:autoSpaceDN/>
              <w:bidi w:val="0"/>
              <w:adjustRightInd/>
              <w:spacing w:after="0" w:line="240" w:lineRule="auto"/>
              <w:ind w:left="0" w:leftChars="0"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7.技术规范：本工程执行国家现行的有关工程建设标准、技术规范及强制性标准条文、以及施工图纸载</w:t>
            </w:r>
          </w:p>
          <w:p w14:paraId="0FBA8D53">
            <w:pPr>
              <w:pStyle w:val="41"/>
              <w:keepNext w:val="0"/>
              <w:keepLines w:val="0"/>
              <w:pageBreakBefore w:val="0"/>
              <w:widowControl w:val="0"/>
              <w:kinsoku/>
              <w:wordWrap/>
              <w:overflowPunct/>
              <w:topLinePunct w:val="0"/>
              <w:autoSpaceDE/>
              <w:autoSpaceDN/>
              <w:bidi w:val="0"/>
              <w:adjustRightInd/>
              <w:spacing w:after="0" w:line="240" w:lineRule="auto"/>
              <w:ind w:left="0" w:leftChars="0" w:firstLine="0" w:firstLineChars="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明的其他有关规范标准。</w:t>
            </w:r>
          </w:p>
        </w:tc>
      </w:tr>
      <w:tr w14:paraId="70F97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962" w:type="dxa"/>
            <w:gridSpan w:val="5"/>
            <w:vAlign w:val="center"/>
          </w:tcPr>
          <w:p w14:paraId="7F0E7BDF">
            <w:pPr>
              <w:pStyle w:val="41"/>
              <w:keepNext w:val="0"/>
              <w:keepLines w:val="0"/>
              <w:pageBreakBefore w:val="0"/>
              <w:widowControl w:val="0"/>
              <w:kinsoku/>
              <w:wordWrap/>
              <w:overflowPunct/>
              <w:topLinePunct w:val="0"/>
              <w:autoSpaceDE/>
              <w:autoSpaceDN/>
              <w:bidi w:val="0"/>
              <w:adjustRightInd/>
              <w:snapToGrid/>
              <w:spacing w:after="0"/>
              <w:ind w:left="0" w:leftChars="0"/>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商务要求</w:t>
            </w:r>
          </w:p>
        </w:tc>
      </w:tr>
      <w:tr w14:paraId="7996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934" w:type="dxa"/>
            <w:gridSpan w:val="2"/>
            <w:vAlign w:val="center"/>
          </w:tcPr>
          <w:p w14:paraId="22363B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b w:val="0"/>
                <w:bCs/>
                <w:color w:val="auto"/>
                <w:sz w:val="24"/>
                <w:szCs w:val="24"/>
                <w:highlight w:val="none"/>
                <w:lang w:val="en-US" w:eastAsia="zh-CN"/>
              </w:rPr>
              <w:t>计划工期</w:t>
            </w:r>
          </w:p>
        </w:tc>
        <w:tc>
          <w:tcPr>
            <w:tcW w:w="7028" w:type="dxa"/>
            <w:gridSpan w:val="3"/>
            <w:vAlign w:val="center"/>
          </w:tcPr>
          <w:p w14:paraId="3946AB6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计划工期：90日历天</w:t>
            </w:r>
          </w:p>
          <w:p w14:paraId="05DD25E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lang w:val="en-US" w:eastAsia="zh-CN"/>
              </w:rPr>
              <w:t>计划开工日期：具体以签订合同后采购人通知为准。</w:t>
            </w:r>
          </w:p>
        </w:tc>
      </w:tr>
      <w:tr w14:paraId="29A0E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934" w:type="dxa"/>
            <w:gridSpan w:val="2"/>
            <w:vAlign w:val="center"/>
          </w:tcPr>
          <w:p w14:paraId="39B77E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建设地点</w:t>
            </w:r>
          </w:p>
        </w:tc>
        <w:tc>
          <w:tcPr>
            <w:tcW w:w="7028" w:type="dxa"/>
            <w:gridSpan w:val="3"/>
            <w:vAlign w:val="center"/>
          </w:tcPr>
          <w:p w14:paraId="7B951E9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lang w:val="en-US" w:eastAsia="zh-CN"/>
              </w:rPr>
              <w:t>柳州市采购人指定地点</w:t>
            </w:r>
          </w:p>
        </w:tc>
      </w:tr>
      <w:tr w14:paraId="24185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934" w:type="dxa"/>
            <w:gridSpan w:val="2"/>
            <w:vAlign w:val="center"/>
          </w:tcPr>
          <w:p w14:paraId="101525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合同签订时间</w:t>
            </w:r>
          </w:p>
        </w:tc>
        <w:tc>
          <w:tcPr>
            <w:tcW w:w="7028" w:type="dxa"/>
            <w:gridSpan w:val="3"/>
            <w:vAlign w:val="center"/>
          </w:tcPr>
          <w:p w14:paraId="573C6A7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自成交通知书发出之日起</w:t>
            </w:r>
            <w:r>
              <w:rPr>
                <w:rFonts w:hint="eastAsia" w:ascii="仿宋" w:hAnsi="仿宋" w:eastAsia="仿宋" w:cs="仿宋"/>
                <w:color w:val="auto"/>
                <w:sz w:val="24"/>
                <w:szCs w:val="24"/>
                <w:highlight w:val="none"/>
                <w:u w:val="single"/>
              </w:rPr>
              <w:t>25</w:t>
            </w:r>
            <w:r>
              <w:rPr>
                <w:rFonts w:hint="eastAsia" w:ascii="仿宋" w:hAnsi="仿宋" w:eastAsia="仿宋" w:cs="仿宋"/>
                <w:color w:val="auto"/>
                <w:sz w:val="24"/>
                <w:szCs w:val="24"/>
                <w:highlight w:val="none"/>
              </w:rPr>
              <w:t>日内</w:t>
            </w:r>
          </w:p>
        </w:tc>
      </w:tr>
      <w:tr w14:paraId="588A3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934" w:type="dxa"/>
            <w:gridSpan w:val="2"/>
            <w:vAlign w:val="center"/>
          </w:tcPr>
          <w:p w14:paraId="08D473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验收标准</w:t>
            </w:r>
          </w:p>
        </w:tc>
        <w:tc>
          <w:tcPr>
            <w:tcW w:w="7028" w:type="dxa"/>
            <w:gridSpan w:val="3"/>
            <w:vAlign w:val="center"/>
          </w:tcPr>
          <w:p w14:paraId="21FD2DC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按国家现行规范合格标准执行</w:t>
            </w:r>
          </w:p>
        </w:tc>
      </w:tr>
      <w:tr w14:paraId="37EFC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2934" w:type="dxa"/>
            <w:gridSpan w:val="2"/>
            <w:vAlign w:val="center"/>
          </w:tcPr>
          <w:p w14:paraId="390F01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rPr>
              <w:t>付款条件（进度和方式）</w:t>
            </w:r>
          </w:p>
        </w:tc>
        <w:tc>
          <w:tcPr>
            <w:tcW w:w="7028" w:type="dxa"/>
            <w:gridSpan w:val="3"/>
            <w:vAlign w:val="center"/>
          </w:tcPr>
          <w:p w14:paraId="27D6C873">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（1）预付款支付比例或金额：采购人在成交供应商进场并具备开工建设条件后，采购人按合同价款的30%支付工程预付款，预付款在第一次进度款支付时全额扣除。</w:t>
            </w:r>
          </w:p>
          <w:p w14:paraId="1AD0CD05">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工程竣工验收合格后，支付至工程合同价的80%；工程竣工验收达到质量要求，完成移交手续并把相关竣工备案资料移交给采购人，结算审核结束且经财政投资评审中心（或第三方审核机构）审定后，工程款支付至结算总价的97%；采购人预留工程价款结算总额的3%作为质量保证金，工程质保期满后，无质量问题，采购人根据成交供应商的工程质量保证金申请支付证书返还工程质量保证金。</w:t>
            </w:r>
          </w:p>
          <w:p w14:paraId="621439CB">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lang w:val="en-US" w:eastAsia="zh-CN"/>
              </w:rPr>
              <w:t>（3）发票给付相关事宜：成交供应商应根据转款金额提前开具发票给采购人查验后，采购人应当自收到发票10个工作日转账支付给成交供应商。</w:t>
            </w:r>
          </w:p>
        </w:tc>
      </w:tr>
      <w:tr w14:paraId="6875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2934" w:type="dxa"/>
            <w:gridSpan w:val="2"/>
            <w:vAlign w:val="center"/>
          </w:tcPr>
          <w:p w14:paraId="57FB1A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lang w:val="en-US" w:eastAsia="zh-CN"/>
              </w:rPr>
              <w:t>项目要求</w:t>
            </w:r>
          </w:p>
        </w:tc>
        <w:tc>
          <w:tcPr>
            <w:tcW w:w="7028" w:type="dxa"/>
            <w:gridSpan w:val="3"/>
            <w:vAlign w:val="center"/>
          </w:tcPr>
          <w:p w14:paraId="5B93EE38">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1.本项目施工不能影响采购人正常工作安排，应按照采购人指定区域分片施工，并做好安全防护措施，必要时可安排夜间施工。</w:t>
            </w:r>
          </w:p>
          <w:p w14:paraId="6294FBFE">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2.成交供应商在施工前须提供本项目完整的施工组织方案并经采购人审核确认。</w:t>
            </w:r>
          </w:p>
          <w:p w14:paraId="7EE46F59">
            <w:pPr>
              <w:pStyle w:val="19"/>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本项目施工期间允许停电最多1天，施工方应规划好停电日期及时长，并于停电日期前5天告知采购人，其他时间未经采购人同意不允许断电。</w:t>
            </w:r>
          </w:p>
          <w:p w14:paraId="744CF622">
            <w:pPr>
              <w:pStyle w:val="19"/>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4.维保期至少2年。</w:t>
            </w:r>
          </w:p>
          <w:p w14:paraId="11274744">
            <w:pPr>
              <w:pStyle w:val="19"/>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5.工程现场施工必须符合建筑消防安全规范要求。</w:t>
            </w:r>
          </w:p>
          <w:p w14:paraId="681B674E">
            <w:pPr>
              <w:pStyle w:val="19"/>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eastAsia="宋体"/>
                <w:color w:val="auto"/>
                <w:highlight w:val="none"/>
                <w:lang w:val="en-US" w:eastAsia="zh-CN"/>
              </w:rPr>
            </w:pPr>
            <w:r>
              <w:rPr>
                <w:rFonts w:hint="eastAsia" w:ascii="仿宋" w:hAnsi="仿宋" w:eastAsia="仿宋" w:cs="仿宋"/>
                <w:color w:val="auto"/>
                <w:sz w:val="24"/>
                <w:szCs w:val="24"/>
                <w:highlight w:val="none"/>
                <w:lang w:val="en-US" w:eastAsia="zh-CN"/>
              </w:rPr>
              <w:t>6.施工过程中成交人需安排专业工程师进行现场施工管理工作。</w:t>
            </w:r>
          </w:p>
        </w:tc>
      </w:tr>
    </w:tbl>
    <w:p w14:paraId="440B65C2">
      <w:pPr>
        <w:pStyle w:val="41"/>
        <w:rPr>
          <w:rFonts w:hint="eastAsia" w:ascii="仿宋" w:hAnsi="仿宋" w:eastAsia="仿宋" w:cs="仿宋"/>
          <w:color w:val="auto"/>
          <w:sz w:val="24"/>
          <w:szCs w:val="24"/>
          <w:highlight w:val="none"/>
        </w:rPr>
      </w:pPr>
    </w:p>
    <w:p w14:paraId="19C2F3AD">
      <w:pPr>
        <w:pStyle w:val="41"/>
        <w:rPr>
          <w:rFonts w:hint="eastAsia" w:ascii="仿宋" w:hAnsi="仿宋" w:eastAsia="仿宋" w:cs="仿宋"/>
          <w:color w:val="auto"/>
          <w:sz w:val="24"/>
          <w:szCs w:val="24"/>
          <w:highlight w:val="none"/>
        </w:rPr>
      </w:pPr>
    </w:p>
    <w:p w14:paraId="3F638A32">
      <w:pPr>
        <w:pStyle w:val="41"/>
        <w:ind w:left="0" w:leftChars="0" w:firstLine="0" w:firstLineChars="0"/>
        <w:rPr>
          <w:rFonts w:hint="default" w:ascii="宋体" w:hAnsi="宋体"/>
          <w:color w:val="auto"/>
          <w:sz w:val="21"/>
          <w:szCs w:val="21"/>
          <w:highlight w:val="none"/>
          <w:lang w:val="en-US" w:eastAsia="zh-CN"/>
        </w:rPr>
      </w:pPr>
    </w:p>
    <w:p w14:paraId="6D680878">
      <w:pPr>
        <w:rPr>
          <w:rFonts w:ascii="宋体" w:hAnsi="宋体"/>
          <w:color w:val="auto"/>
          <w:sz w:val="32"/>
          <w:highlight w:val="none"/>
        </w:rPr>
      </w:pPr>
      <w:r>
        <w:rPr>
          <w:rFonts w:ascii="宋体" w:hAnsi="宋体"/>
          <w:color w:val="auto"/>
          <w:sz w:val="32"/>
          <w:highlight w:val="none"/>
        </w:rPr>
        <w:br w:type="page"/>
      </w:r>
    </w:p>
    <w:p w14:paraId="327590B2">
      <w:pPr>
        <w:jc w:val="center"/>
        <w:outlineLvl w:val="9"/>
        <w:rPr>
          <w:rFonts w:hint="eastAsia"/>
          <w:color w:val="auto"/>
          <w:sz w:val="32"/>
          <w:szCs w:val="32"/>
          <w:highlight w:val="none"/>
        </w:rPr>
      </w:pPr>
      <w:bookmarkStart w:id="67" w:name="_Toc814"/>
      <w:bookmarkStart w:id="68" w:name="_Toc9833"/>
      <w:bookmarkStart w:id="69" w:name="_Toc31532"/>
      <w:bookmarkStart w:id="70" w:name="_Toc23669"/>
      <w:bookmarkStart w:id="71" w:name="_Toc9605"/>
      <w:bookmarkStart w:id="72" w:name="_Toc11516"/>
      <w:bookmarkStart w:id="73" w:name="_Toc21642"/>
    </w:p>
    <w:p w14:paraId="6A824CC9">
      <w:pPr>
        <w:jc w:val="center"/>
        <w:outlineLvl w:val="9"/>
        <w:rPr>
          <w:rFonts w:hint="eastAsia"/>
          <w:color w:val="auto"/>
          <w:sz w:val="32"/>
          <w:szCs w:val="32"/>
          <w:highlight w:val="none"/>
        </w:rPr>
      </w:pPr>
    </w:p>
    <w:p w14:paraId="2F199DDB">
      <w:pPr>
        <w:jc w:val="center"/>
        <w:outlineLvl w:val="9"/>
        <w:rPr>
          <w:rFonts w:hint="eastAsia"/>
          <w:color w:val="auto"/>
          <w:sz w:val="32"/>
          <w:szCs w:val="32"/>
          <w:highlight w:val="none"/>
        </w:rPr>
      </w:pPr>
    </w:p>
    <w:p w14:paraId="6BB7BA5B">
      <w:pPr>
        <w:jc w:val="center"/>
        <w:outlineLvl w:val="9"/>
        <w:rPr>
          <w:rFonts w:hint="eastAsia"/>
          <w:color w:val="auto"/>
          <w:sz w:val="32"/>
          <w:szCs w:val="32"/>
          <w:highlight w:val="none"/>
        </w:rPr>
      </w:pPr>
    </w:p>
    <w:p w14:paraId="40E723AF">
      <w:pPr>
        <w:jc w:val="center"/>
        <w:outlineLvl w:val="9"/>
        <w:rPr>
          <w:rFonts w:hint="eastAsia"/>
          <w:color w:val="auto"/>
          <w:sz w:val="32"/>
          <w:szCs w:val="32"/>
          <w:highlight w:val="none"/>
        </w:rPr>
      </w:pPr>
    </w:p>
    <w:p w14:paraId="64DD491F">
      <w:pPr>
        <w:jc w:val="center"/>
        <w:outlineLvl w:val="9"/>
        <w:rPr>
          <w:rFonts w:hint="eastAsia"/>
          <w:color w:val="auto"/>
          <w:sz w:val="32"/>
          <w:szCs w:val="32"/>
          <w:highlight w:val="none"/>
        </w:rPr>
      </w:pPr>
    </w:p>
    <w:p w14:paraId="56344B57">
      <w:pPr>
        <w:pStyle w:val="3"/>
        <w:jc w:val="center"/>
        <w:rPr>
          <w:color w:val="auto"/>
          <w:sz w:val="32"/>
          <w:szCs w:val="32"/>
          <w:highlight w:val="none"/>
        </w:rPr>
        <w:sectPr>
          <w:headerReference r:id="rId7" w:type="default"/>
          <w:footerReference r:id="rId8" w:type="default"/>
          <w:pgSz w:w="11906" w:h="16838"/>
          <w:pgMar w:top="1440" w:right="964" w:bottom="1134" w:left="907" w:header="851" w:footer="992" w:gutter="0"/>
          <w:pgNumType w:fmt="decimal"/>
          <w:cols w:space="720" w:num="1"/>
          <w:docGrid w:type="lines" w:linePitch="314" w:charSpace="0"/>
        </w:sectPr>
      </w:pPr>
      <w:bookmarkStart w:id="74" w:name="_Toc3406"/>
      <w:r>
        <w:rPr>
          <w:rFonts w:hint="eastAsia"/>
          <w:color w:val="auto"/>
          <w:sz w:val="32"/>
          <w:szCs w:val="32"/>
          <w:highlight w:val="none"/>
        </w:rPr>
        <w:t>第</w:t>
      </w:r>
      <w:r>
        <w:rPr>
          <w:rFonts w:hint="eastAsia"/>
          <w:color w:val="auto"/>
          <w:sz w:val="32"/>
          <w:szCs w:val="32"/>
          <w:highlight w:val="none"/>
          <w:lang w:val="en-US" w:eastAsia="zh-CN"/>
        </w:rPr>
        <w:t>四</w:t>
      </w:r>
      <w:r>
        <w:rPr>
          <w:rFonts w:hint="eastAsia"/>
          <w:color w:val="auto"/>
          <w:sz w:val="32"/>
          <w:szCs w:val="32"/>
          <w:highlight w:val="none"/>
        </w:rPr>
        <w:t xml:space="preserve">章 </w:t>
      </w:r>
      <w:r>
        <w:rPr>
          <w:rFonts w:hint="eastAsia"/>
          <w:color w:val="auto"/>
          <w:sz w:val="32"/>
          <w:szCs w:val="32"/>
          <w:highlight w:val="none"/>
          <w:lang w:val="en-US" w:eastAsia="zh-CN"/>
        </w:rPr>
        <w:t xml:space="preserve"> </w:t>
      </w:r>
      <w:r>
        <w:rPr>
          <w:rFonts w:hint="eastAsia"/>
          <w:color w:val="auto"/>
          <w:sz w:val="32"/>
          <w:szCs w:val="32"/>
          <w:highlight w:val="none"/>
        </w:rPr>
        <w:t>评</w:t>
      </w:r>
      <w:r>
        <w:rPr>
          <w:rFonts w:hint="eastAsia"/>
          <w:color w:val="auto"/>
          <w:sz w:val="32"/>
          <w:szCs w:val="32"/>
          <w:highlight w:val="none"/>
          <w:lang w:val="en-US" w:eastAsia="zh-CN"/>
        </w:rPr>
        <w:t>审</w:t>
      </w:r>
      <w:r>
        <w:rPr>
          <w:rFonts w:hint="eastAsia"/>
          <w:color w:val="auto"/>
          <w:sz w:val="32"/>
          <w:szCs w:val="32"/>
          <w:highlight w:val="none"/>
        </w:rPr>
        <w:t>方法及评</w:t>
      </w:r>
      <w:r>
        <w:rPr>
          <w:rFonts w:hint="eastAsia"/>
          <w:color w:val="auto"/>
          <w:sz w:val="32"/>
          <w:szCs w:val="32"/>
          <w:highlight w:val="none"/>
          <w:lang w:val="en-US" w:eastAsia="zh-CN"/>
        </w:rPr>
        <w:t>审</w:t>
      </w:r>
      <w:r>
        <w:rPr>
          <w:rFonts w:hint="eastAsia"/>
          <w:color w:val="auto"/>
          <w:sz w:val="32"/>
          <w:szCs w:val="32"/>
          <w:highlight w:val="none"/>
        </w:rPr>
        <w:t>标准</w:t>
      </w:r>
      <w:bookmarkEnd w:id="67"/>
      <w:bookmarkEnd w:id="68"/>
      <w:bookmarkEnd w:id="69"/>
      <w:bookmarkEnd w:id="70"/>
      <w:bookmarkEnd w:id="74"/>
    </w:p>
    <w:p w14:paraId="400CA822">
      <w:pPr>
        <w:spacing w:line="440" w:lineRule="exact"/>
        <w:jc w:val="center"/>
        <w:rPr>
          <w:b/>
          <w:color w:val="auto"/>
          <w:sz w:val="32"/>
          <w:szCs w:val="32"/>
          <w:highlight w:val="none"/>
        </w:rPr>
      </w:pPr>
      <w:r>
        <w:rPr>
          <w:rFonts w:hint="eastAsia"/>
          <w:b/>
          <w:color w:val="auto"/>
          <w:sz w:val="32"/>
          <w:szCs w:val="32"/>
          <w:highlight w:val="none"/>
        </w:rPr>
        <w:t>评</w:t>
      </w:r>
      <w:r>
        <w:rPr>
          <w:rFonts w:hint="eastAsia"/>
          <w:b/>
          <w:color w:val="auto"/>
          <w:sz w:val="32"/>
          <w:szCs w:val="32"/>
          <w:highlight w:val="none"/>
          <w:lang w:val="en-US" w:eastAsia="zh-CN"/>
        </w:rPr>
        <w:t>审</w:t>
      </w:r>
      <w:r>
        <w:rPr>
          <w:rFonts w:hint="eastAsia"/>
          <w:b/>
          <w:color w:val="auto"/>
          <w:sz w:val="32"/>
          <w:szCs w:val="32"/>
          <w:highlight w:val="none"/>
        </w:rPr>
        <w:t>方法及评</w:t>
      </w:r>
      <w:r>
        <w:rPr>
          <w:rFonts w:hint="eastAsia"/>
          <w:b/>
          <w:color w:val="auto"/>
          <w:sz w:val="32"/>
          <w:szCs w:val="32"/>
          <w:highlight w:val="none"/>
          <w:lang w:val="en-US" w:eastAsia="zh-CN"/>
        </w:rPr>
        <w:t>审</w:t>
      </w:r>
      <w:r>
        <w:rPr>
          <w:rFonts w:hint="eastAsia"/>
          <w:b/>
          <w:color w:val="auto"/>
          <w:sz w:val="32"/>
          <w:szCs w:val="32"/>
          <w:highlight w:val="none"/>
        </w:rPr>
        <w:t>标准</w:t>
      </w:r>
    </w:p>
    <w:p w14:paraId="4B417850">
      <w:pPr>
        <w:spacing w:line="360" w:lineRule="auto"/>
        <w:ind w:right="-168" w:rightChars="-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一、评标原则</w:t>
      </w:r>
    </w:p>
    <w:p w14:paraId="7EBCB354">
      <w:pPr>
        <w:spacing w:line="360" w:lineRule="auto"/>
        <w:ind w:right="-168" w:rightChars="-8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评委构成：本招标采购项目的评委分别由依法组成的评审专家、采购人代表共</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人或以上单数构成，其中专家人数不少于成员总数的三分之二。</w:t>
      </w:r>
    </w:p>
    <w:p w14:paraId="0AC56359">
      <w:pPr>
        <w:spacing w:line="360" w:lineRule="auto"/>
        <w:ind w:right="-168" w:rightChars="-80"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二</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评标依据：</w:t>
      </w:r>
      <w:r>
        <w:rPr>
          <w:rFonts w:hint="eastAsia" w:ascii="仿宋" w:hAnsi="仿宋" w:eastAsia="仿宋" w:cs="仿宋"/>
          <w:b/>
          <w:color w:val="auto"/>
          <w:sz w:val="24"/>
          <w:highlight w:val="none"/>
          <w:lang w:val="en-US" w:eastAsia="zh-CN"/>
        </w:rPr>
        <w:t>磋商小组</w:t>
      </w:r>
      <w:r>
        <w:rPr>
          <w:rFonts w:hint="eastAsia" w:ascii="仿宋" w:hAnsi="仿宋" w:eastAsia="仿宋" w:cs="仿宋"/>
          <w:b/>
          <w:color w:val="auto"/>
          <w:sz w:val="24"/>
          <w:highlight w:val="none"/>
        </w:rPr>
        <w:t>将以</w:t>
      </w:r>
      <w:r>
        <w:rPr>
          <w:rFonts w:hint="eastAsia" w:ascii="仿宋" w:hAnsi="仿宋" w:eastAsia="仿宋" w:cs="仿宋"/>
          <w:b/>
          <w:color w:val="auto"/>
          <w:sz w:val="24"/>
          <w:highlight w:val="none"/>
          <w:lang w:val="en-US" w:eastAsia="zh-CN"/>
        </w:rPr>
        <w:t>磋商文件、响应</w:t>
      </w:r>
      <w:r>
        <w:rPr>
          <w:rFonts w:hint="eastAsia" w:ascii="仿宋" w:hAnsi="仿宋" w:eastAsia="仿宋" w:cs="仿宋"/>
          <w:b/>
          <w:color w:val="auto"/>
          <w:sz w:val="24"/>
          <w:highlight w:val="none"/>
        </w:rPr>
        <w:t>文件为评标依据，对</w:t>
      </w:r>
      <w:r>
        <w:rPr>
          <w:rFonts w:hint="eastAsia" w:ascii="仿宋" w:hAnsi="仿宋" w:eastAsia="仿宋" w:cs="仿宋"/>
          <w:b/>
          <w:color w:val="auto"/>
          <w:sz w:val="24"/>
          <w:highlight w:val="none"/>
          <w:lang w:val="en-US" w:eastAsia="zh-CN"/>
        </w:rPr>
        <w:t>供应商</w:t>
      </w:r>
      <w:r>
        <w:rPr>
          <w:rFonts w:hint="eastAsia" w:ascii="仿宋" w:hAnsi="仿宋" w:eastAsia="仿宋" w:cs="仿宋"/>
          <w:b/>
          <w:color w:val="auto"/>
          <w:sz w:val="24"/>
          <w:highlight w:val="none"/>
        </w:rPr>
        <w:t>的</w:t>
      </w:r>
      <w:r>
        <w:rPr>
          <w:rFonts w:hint="eastAsia" w:ascii="仿宋" w:hAnsi="仿宋" w:eastAsia="仿宋" w:cs="仿宋"/>
          <w:b/>
          <w:color w:val="auto"/>
          <w:sz w:val="24"/>
          <w:highlight w:val="none"/>
          <w:lang w:val="en-US" w:eastAsia="zh-CN"/>
        </w:rPr>
        <w:t>价格、</w:t>
      </w:r>
      <w:r>
        <w:rPr>
          <w:rFonts w:hint="eastAsia" w:ascii="仿宋" w:hAnsi="仿宋" w:eastAsia="仿宋" w:cs="仿宋"/>
          <w:b/>
          <w:color w:val="auto"/>
          <w:sz w:val="24"/>
          <w:highlight w:val="none"/>
        </w:rPr>
        <w:t>技术、</w:t>
      </w:r>
      <w:r>
        <w:rPr>
          <w:rFonts w:hint="eastAsia" w:ascii="仿宋" w:hAnsi="仿宋" w:eastAsia="仿宋" w:cs="仿宋"/>
          <w:b/>
          <w:color w:val="auto"/>
          <w:sz w:val="24"/>
          <w:highlight w:val="none"/>
          <w:lang w:val="en-US" w:eastAsia="zh-CN"/>
        </w:rPr>
        <w:t>商务</w:t>
      </w:r>
      <w:r>
        <w:rPr>
          <w:rFonts w:hint="eastAsia" w:ascii="仿宋" w:hAnsi="仿宋" w:eastAsia="仿宋" w:cs="仿宋"/>
          <w:b/>
          <w:color w:val="auto"/>
          <w:sz w:val="24"/>
          <w:highlight w:val="none"/>
        </w:rPr>
        <w:t>等方面内容按百分制打分。</w:t>
      </w:r>
    </w:p>
    <w:p w14:paraId="1854F966">
      <w:pPr>
        <w:spacing w:line="360" w:lineRule="auto"/>
        <w:ind w:right="-168" w:rightChars="-80"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三</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评标方式：以封闭方式进行。</w:t>
      </w:r>
    </w:p>
    <w:p w14:paraId="7BD39160">
      <w:pPr>
        <w:spacing w:line="360" w:lineRule="auto"/>
        <w:ind w:right="-168" w:rightChars="-80" w:firstLine="480" w:firstLineChars="200"/>
        <w:rPr>
          <w:rFonts w:hint="eastAsia" w:ascii="仿宋" w:hAnsi="仿宋" w:eastAsia="仿宋" w:cs="仿宋"/>
          <w:color w:val="auto"/>
          <w:highlight w:val="none"/>
          <w:lang w:eastAsia="zh-CN"/>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四</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评标委员会认为供应商的报价明显低于其他通过符合性审查供应商的报价，有可能影响产品质量或者不能诚信履约的，应当通过广西政府采购云平台发起询标函，要求其在评标现场合理的时间内通过广西政府采购云平台提供书面说明，必要时提交相关证明材料；供应商不能证明其报价合理性的，评标委员会应当将其作为无效投标处理。</w:t>
      </w:r>
    </w:p>
    <w:p w14:paraId="461FE50E">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二、评标方法</w:t>
      </w:r>
    </w:p>
    <w:p w14:paraId="5D41ED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(一)对进入详评的，采用百分制综合评分法。</w:t>
      </w:r>
    </w:p>
    <w:p w14:paraId="019C0FB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(二)计分办法(分值计算保留小数点后两位，第三位四舍五入)：</w:t>
      </w:r>
    </w:p>
    <w:tbl>
      <w:tblPr>
        <w:tblStyle w:val="52"/>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72"/>
        <w:gridCol w:w="6906"/>
      </w:tblGrid>
      <w:tr w14:paraId="62D2B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0" w:type="dxa"/>
            <w:noWrap w:val="0"/>
            <w:vAlign w:val="center"/>
          </w:tcPr>
          <w:p w14:paraId="747FF5C4">
            <w:pPr>
              <w:adjustRightInd w:val="0"/>
              <w:spacing w:line="410" w:lineRule="exact"/>
              <w:jc w:val="center"/>
              <w:textAlignment w:val="baseline"/>
              <w:rPr>
                <w:rFonts w:hint="eastAsia" w:ascii="仿宋" w:hAnsi="仿宋" w:eastAsia="仿宋" w:cs="仿宋"/>
                <w:b/>
                <w:color w:val="auto"/>
                <w:sz w:val="24"/>
                <w:szCs w:val="24"/>
                <w:highlight w:val="none"/>
              </w:rPr>
            </w:pPr>
            <w:bookmarkStart w:id="75" w:name="_Hlk82097451"/>
            <w:r>
              <w:rPr>
                <w:rFonts w:hint="eastAsia" w:ascii="仿宋" w:hAnsi="仿宋" w:eastAsia="仿宋" w:cs="仿宋"/>
                <w:b/>
                <w:color w:val="auto"/>
                <w:sz w:val="24"/>
                <w:szCs w:val="24"/>
                <w:highlight w:val="none"/>
              </w:rPr>
              <w:t>序号</w:t>
            </w:r>
          </w:p>
        </w:tc>
        <w:tc>
          <w:tcPr>
            <w:tcW w:w="1280" w:type="dxa"/>
            <w:noWrap w:val="0"/>
            <w:vAlign w:val="center"/>
          </w:tcPr>
          <w:p w14:paraId="593E6C2A">
            <w:pPr>
              <w:adjustRightInd w:val="0"/>
              <w:spacing w:line="41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评审因素</w:t>
            </w:r>
          </w:p>
        </w:tc>
        <w:tc>
          <w:tcPr>
            <w:tcW w:w="772" w:type="dxa"/>
            <w:noWrap w:val="0"/>
            <w:vAlign w:val="center"/>
          </w:tcPr>
          <w:p w14:paraId="63424E31">
            <w:pPr>
              <w:adjustRightInd w:val="0"/>
              <w:spacing w:line="410" w:lineRule="exact"/>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c>
          <w:tcPr>
            <w:tcW w:w="6906" w:type="dxa"/>
            <w:noWrap w:val="0"/>
            <w:vAlign w:val="center"/>
          </w:tcPr>
          <w:p w14:paraId="2784AAA1">
            <w:pPr>
              <w:adjustRightInd w:val="0"/>
              <w:spacing w:line="410" w:lineRule="exact"/>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评标标准</w:t>
            </w:r>
          </w:p>
        </w:tc>
      </w:tr>
      <w:tr w14:paraId="1D0BA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noWrap w:val="0"/>
            <w:vAlign w:val="center"/>
          </w:tcPr>
          <w:p w14:paraId="081E5323">
            <w:pPr>
              <w:adjustRightInd w:val="0"/>
              <w:spacing w:line="410" w:lineRule="exact"/>
              <w:jc w:val="center"/>
              <w:textAlignment w:val="baseline"/>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w:t>
            </w:r>
          </w:p>
        </w:tc>
        <w:tc>
          <w:tcPr>
            <w:tcW w:w="1280" w:type="dxa"/>
            <w:noWrap w:val="0"/>
            <w:vAlign w:val="center"/>
          </w:tcPr>
          <w:p w14:paraId="7C40E5E1">
            <w:pPr>
              <w:adjustRightInd w:val="0"/>
              <w:spacing w:line="410" w:lineRule="exact"/>
              <w:jc w:val="center"/>
              <w:textAlignment w:val="baseline"/>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价格分</w:t>
            </w:r>
          </w:p>
        </w:tc>
        <w:tc>
          <w:tcPr>
            <w:tcW w:w="772" w:type="dxa"/>
            <w:noWrap w:val="0"/>
            <w:vAlign w:val="center"/>
          </w:tcPr>
          <w:p w14:paraId="173FA947">
            <w:pPr>
              <w:adjustRightInd w:val="0"/>
              <w:spacing w:line="410" w:lineRule="exact"/>
              <w:jc w:val="center"/>
              <w:textAlignment w:val="baseline"/>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20分</w:t>
            </w:r>
          </w:p>
        </w:tc>
        <w:tc>
          <w:tcPr>
            <w:tcW w:w="6906" w:type="dxa"/>
            <w:noWrap w:val="0"/>
            <w:vAlign w:val="center"/>
          </w:tcPr>
          <w:p w14:paraId="3324E2B4">
            <w:pPr>
              <w:numPr>
                <w:ilvl w:val="0"/>
                <w:numId w:val="8"/>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以进入评</w:t>
            </w:r>
            <w:r>
              <w:rPr>
                <w:rFonts w:hint="eastAsia"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rPr>
              <w:t>的最低的</w:t>
            </w:r>
            <w:r>
              <w:rPr>
                <w:rFonts w:hint="eastAsia" w:ascii="仿宋" w:hAnsi="仿宋" w:eastAsia="仿宋" w:cs="仿宋"/>
                <w:color w:val="auto"/>
                <w:sz w:val="24"/>
                <w:szCs w:val="24"/>
                <w:highlight w:val="none"/>
                <w:lang w:val="en-US" w:eastAsia="zh-CN"/>
              </w:rPr>
              <w:t>竞标</w:t>
            </w:r>
            <w:r>
              <w:rPr>
                <w:rFonts w:hint="eastAsia" w:ascii="仿宋" w:hAnsi="仿宋" w:eastAsia="仿宋" w:cs="仿宋"/>
                <w:color w:val="auto"/>
                <w:sz w:val="24"/>
                <w:szCs w:val="24"/>
                <w:highlight w:val="none"/>
              </w:rPr>
              <w:t>报价为</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p w14:paraId="72A48BA3">
            <w:pPr>
              <w:pStyle w:val="34"/>
              <w:rPr>
                <w:rFonts w:hint="eastAsia" w:ascii="仿宋" w:hAnsi="仿宋" w:eastAsia="仿宋" w:cs="仿宋"/>
                <w:color w:val="auto"/>
                <w:highlight w:val="none"/>
                <w:lang w:val="en-US" w:eastAsia="zh-CN"/>
              </w:rPr>
            </w:pPr>
          </w:p>
          <w:p w14:paraId="05953827">
            <w:pPr>
              <w:spacing w:line="360" w:lineRule="auto"/>
              <w:ind w:firstLine="2100" w:firstLineChars="10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供应商有效最低竞标报价（</w:t>
            </w:r>
            <w:r>
              <w:rPr>
                <w:rFonts w:hint="eastAsia" w:ascii="仿宋" w:hAnsi="仿宋" w:eastAsia="仿宋" w:cs="仿宋"/>
                <w:color w:val="auto"/>
                <w:highlight w:val="none"/>
              </w:rPr>
              <w:t>金额</w:t>
            </w:r>
            <w:r>
              <w:rPr>
                <w:rFonts w:hint="eastAsia" w:ascii="仿宋" w:hAnsi="仿宋" w:eastAsia="仿宋" w:cs="仿宋"/>
                <w:color w:val="auto"/>
                <w:sz w:val="21"/>
                <w:szCs w:val="21"/>
                <w:highlight w:val="none"/>
                <w:lang w:val="en-US" w:eastAsia="zh-CN"/>
              </w:rPr>
              <w:t>）</w:t>
            </w:r>
          </w:p>
          <w:p w14:paraId="3333A176">
            <w:pPr>
              <w:spacing w:line="360" w:lineRule="auto"/>
              <w:ind w:left="2310" w:hanging="2310" w:hangingChars="11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highlight w:val="none"/>
              </w:rPr>
              <mc:AlternateContent>
                <mc:Choice Requires="wps">
                  <w:drawing>
                    <wp:anchor distT="0" distB="0" distL="114300" distR="114300" simplePos="0" relativeHeight="251672576" behindDoc="0" locked="0" layoutInCell="1" allowOverlap="1">
                      <wp:simplePos x="0" y="0"/>
                      <wp:positionH relativeFrom="column">
                        <wp:posOffset>1110615</wp:posOffset>
                      </wp:positionH>
                      <wp:positionV relativeFrom="paragraph">
                        <wp:posOffset>148590</wp:posOffset>
                      </wp:positionV>
                      <wp:extent cx="2647315" cy="635"/>
                      <wp:effectExtent l="0" t="0" r="0" b="0"/>
                      <wp:wrapNone/>
                      <wp:docPr id="15" name="直接连接符 15"/>
                      <wp:cNvGraphicFramePr/>
                      <a:graphic xmlns:a="http://schemas.openxmlformats.org/drawingml/2006/main">
                        <a:graphicData uri="http://schemas.microsoft.com/office/word/2010/wordprocessingShape">
                          <wps:wsp>
                            <wps:cNvCnPr/>
                            <wps:spPr>
                              <a:xfrm>
                                <a:off x="0" y="0"/>
                                <a:ext cx="264731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7.45pt;margin-top:11.7pt;height:0.05pt;width:208.45pt;z-index:251672576;mso-width-relative:page;mso-height-relative:page;" filled="f" stroked="t" coordsize="21600,21600" o:gfxdata="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gMMdDXAAAACQEAAA8AAAAAAAAAAQAgAAAAIgAAAGRycy9kb3ducmV2LnhtbFBL&#10;AQIUABQAAAAIAIdO4kDoEUxR9wEAAOgDAAAOAAAAAAAAAAEAIAAAACYBAABkcnMvZTJvRG9jLnht&#10;bFBLBQYAAAAABgAGAFkBAACPBQAAAAA=&#10;">
                      <v:fill on="f" focussize="0,0"/>
                      <v:stroke color="#000000" joinstyle="round"/>
                      <v:imagedata o:title=""/>
                      <o:lock v:ext="edit" aspectratio="f"/>
                    </v:line>
                  </w:pict>
                </mc:Fallback>
              </mc:AlternateContent>
            </w:r>
            <w:r>
              <w:rPr>
                <w:rFonts w:hint="eastAsia" w:ascii="仿宋" w:hAnsi="仿宋" w:eastAsia="仿宋" w:cs="仿宋"/>
                <w:color w:val="auto"/>
                <w:sz w:val="21"/>
                <w:szCs w:val="21"/>
                <w:highlight w:val="none"/>
                <w:lang w:val="en-US" w:eastAsia="zh-CN"/>
              </w:rPr>
              <w:t>某供应商报价分</w:t>
            </w:r>
            <w:r>
              <w:rPr>
                <w:rFonts w:hint="eastAsia" w:ascii="仿宋" w:hAnsi="仿宋" w:eastAsia="仿宋" w:cs="仿宋"/>
                <w:color w:val="auto"/>
                <w:sz w:val="21"/>
                <w:szCs w:val="21"/>
                <w:highlight w:val="none"/>
                <w:u w:val="none"/>
                <w:lang w:val="en-US" w:eastAsia="zh-CN"/>
              </w:rPr>
              <w:t xml:space="preserve">＝                                        </w:t>
            </w:r>
            <w:r>
              <w:rPr>
                <w:rFonts w:hint="eastAsia" w:ascii="仿宋" w:hAnsi="仿宋" w:eastAsia="仿宋" w:cs="仿宋"/>
                <w:color w:val="auto"/>
                <w:sz w:val="21"/>
                <w:szCs w:val="21"/>
                <w:highlight w:val="none"/>
                <w:lang w:val="en-US" w:eastAsia="zh-CN"/>
              </w:rPr>
              <w:t>×20分某供应商有效竞标报价（</w:t>
            </w:r>
            <w:r>
              <w:rPr>
                <w:rFonts w:hint="eastAsia" w:ascii="仿宋" w:hAnsi="仿宋" w:eastAsia="仿宋" w:cs="仿宋"/>
                <w:color w:val="auto"/>
                <w:highlight w:val="none"/>
              </w:rPr>
              <w:t>金额</w:t>
            </w:r>
            <w:r>
              <w:rPr>
                <w:rFonts w:hint="eastAsia" w:ascii="仿宋" w:hAnsi="仿宋" w:eastAsia="仿宋" w:cs="仿宋"/>
                <w:color w:val="auto"/>
                <w:sz w:val="21"/>
                <w:szCs w:val="21"/>
                <w:highlight w:val="none"/>
                <w:lang w:val="en-US" w:eastAsia="zh-CN"/>
              </w:rPr>
              <w:t>）</w:t>
            </w:r>
          </w:p>
          <w:p w14:paraId="0A995376">
            <w:pPr>
              <w:pStyle w:val="34"/>
              <w:numPr>
                <w:ilvl w:val="0"/>
                <w:numId w:val="0"/>
              </w:numPr>
              <w:ind w:leftChars="0"/>
              <w:rPr>
                <w:rFonts w:hint="eastAsia" w:ascii="仿宋" w:hAnsi="仿宋" w:eastAsia="仿宋" w:cs="仿宋"/>
                <w:color w:val="auto"/>
                <w:highlight w:val="none"/>
              </w:rPr>
            </w:pPr>
          </w:p>
          <w:p w14:paraId="06787073">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满足</w:t>
            </w:r>
            <w:r>
              <w:rPr>
                <w:rFonts w:hint="eastAsia" w:ascii="仿宋" w:hAnsi="仿宋" w:eastAsia="仿宋" w:cs="仿宋"/>
                <w:b w:val="0"/>
                <w:bCs/>
                <w:color w:val="auto"/>
                <w:sz w:val="24"/>
                <w:szCs w:val="24"/>
                <w:highlight w:val="none"/>
                <w:lang w:val="en-US" w:eastAsia="zh-CN"/>
              </w:rPr>
              <w:t>磋商</w:t>
            </w:r>
            <w:r>
              <w:rPr>
                <w:rFonts w:hint="eastAsia" w:ascii="仿宋" w:hAnsi="仿宋" w:eastAsia="仿宋" w:cs="仿宋"/>
                <w:b w:val="0"/>
                <w:bCs/>
                <w:color w:val="auto"/>
                <w:sz w:val="24"/>
                <w:szCs w:val="24"/>
                <w:highlight w:val="none"/>
              </w:rPr>
              <w:t>文件要求且</w:t>
            </w:r>
            <w:r>
              <w:rPr>
                <w:rFonts w:hint="eastAsia" w:ascii="仿宋" w:hAnsi="仿宋" w:eastAsia="仿宋" w:cs="仿宋"/>
                <w:b w:val="0"/>
                <w:bCs/>
                <w:color w:val="auto"/>
                <w:sz w:val="24"/>
                <w:szCs w:val="24"/>
                <w:highlight w:val="none"/>
                <w:lang w:val="en-US" w:eastAsia="zh-CN"/>
              </w:rPr>
              <w:t>竞标</w:t>
            </w:r>
            <w:r>
              <w:rPr>
                <w:rFonts w:hint="eastAsia" w:ascii="仿宋" w:hAnsi="仿宋" w:eastAsia="仿宋" w:cs="仿宋"/>
                <w:b w:val="0"/>
                <w:bCs/>
                <w:color w:val="auto"/>
                <w:sz w:val="24"/>
                <w:szCs w:val="24"/>
                <w:highlight w:val="none"/>
              </w:rPr>
              <w:t>价格最低的</w:t>
            </w:r>
            <w:r>
              <w:rPr>
                <w:rFonts w:hint="eastAsia" w:ascii="仿宋" w:hAnsi="仿宋" w:eastAsia="仿宋" w:cs="仿宋"/>
                <w:b w:val="0"/>
                <w:bCs/>
                <w:color w:val="auto"/>
                <w:sz w:val="24"/>
                <w:szCs w:val="24"/>
                <w:highlight w:val="none"/>
                <w:lang w:val="en-US" w:eastAsia="zh-CN"/>
              </w:rPr>
              <w:t>竞标</w:t>
            </w:r>
            <w:r>
              <w:rPr>
                <w:rFonts w:hint="eastAsia" w:ascii="仿宋" w:hAnsi="仿宋" w:eastAsia="仿宋" w:cs="仿宋"/>
                <w:b w:val="0"/>
                <w:bCs/>
                <w:color w:val="auto"/>
                <w:sz w:val="24"/>
                <w:szCs w:val="24"/>
                <w:highlight w:val="none"/>
              </w:rPr>
              <w:t>报价为评标基准价，其</w:t>
            </w:r>
            <w:r>
              <w:rPr>
                <w:rFonts w:hint="eastAsia" w:ascii="仿宋" w:hAnsi="仿宋" w:eastAsia="仿宋" w:cs="仿宋"/>
                <w:b w:val="0"/>
                <w:bCs/>
                <w:color w:val="auto"/>
                <w:sz w:val="24"/>
                <w:szCs w:val="24"/>
                <w:highlight w:val="none"/>
                <w:lang w:val="en-US" w:eastAsia="zh-CN"/>
              </w:rPr>
              <w:t>供应商</w:t>
            </w:r>
            <w:r>
              <w:rPr>
                <w:rFonts w:hint="eastAsia" w:ascii="仿宋" w:hAnsi="仿宋" w:eastAsia="仿宋" w:cs="仿宋"/>
                <w:b w:val="0"/>
                <w:bCs/>
                <w:color w:val="auto"/>
                <w:sz w:val="24"/>
                <w:szCs w:val="24"/>
                <w:highlight w:val="none"/>
              </w:rPr>
              <w:t>的报价分为最高分</w:t>
            </w:r>
            <w:r>
              <w:rPr>
                <w:rFonts w:hint="eastAsia" w:ascii="仿宋" w:hAnsi="仿宋" w:eastAsia="仿宋" w:cs="仿宋"/>
                <w:b w:val="0"/>
                <w:bCs/>
                <w:color w:val="auto"/>
                <w:sz w:val="24"/>
                <w:szCs w:val="24"/>
                <w:highlight w:val="none"/>
                <w:lang w:val="en-US" w:eastAsia="zh-CN"/>
              </w:rPr>
              <w:t>20</w:t>
            </w:r>
            <w:r>
              <w:rPr>
                <w:rFonts w:hint="eastAsia" w:ascii="仿宋" w:hAnsi="仿宋" w:eastAsia="仿宋" w:cs="仿宋"/>
                <w:b w:val="0"/>
                <w:bCs/>
                <w:color w:val="auto"/>
                <w:sz w:val="24"/>
                <w:szCs w:val="24"/>
                <w:highlight w:val="none"/>
              </w:rPr>
              <w:t>分；</w:t>
            </w:r>
          </w:p>
          <w:p w14:paraId="668DA76E">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2</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其他</w:t>
            </w:r>
            <w:r>
              <w:rPr>
                <w:rFonts w:hint="eastAsia" w:ascii="仿宋" w:hAnsi="仿宋" w:eastAsia="仿宋" w:cs="仿宋"/>
                <w:b w:val="0"/>
                <w:bCs/>
                <w:color w:val="auto"/>
                <w:sz w:val="24"/>
                <w:szCs w:val="24"/>
                <w:highlight w:val="none"/>
                <w:lang w:val="en-US" w:eastAsia="zh-CN"/>
              </w:rPr>
              <w:t>供应商</w:t>
            </w:r>
            <w:r>
              <w:rPr>
                <w:rFonts w:hint="eastAsia" w:ascii="仿宋" w:hAnsi="仿宋" w:eastAsia="仿宋" w:cs="仿宋"/>
                <w:b w:val="0"/>
                <w:bCs/>
                <w:color w:val="auto"/>
                <w:sz w:val="24"/>
                <w:szCs w:val="24"/>
                <w:highlight w:val="none"/>
              </w:rPr>
              <w:t>的报价</w:t>
            </w:r>
            <w:r>
              <w:rPr>
                <w:rFonts w:hint="eastAsia" w:ascii="仿宋" w:hAnsi="仿宋" w:eastAsia="仿宋" w:cs="仿宋"/>
                <w:b w:val="0"/>
                <w:bCs/>
                <w:color w:val="auto"/>
                <w:sz w:val="24"/>
                <w:szCs w:val="24"/>
                <w:highlight w:val="none"/>
                <w:lang w:val="en-US" w:eastAsia="zh-CN"/>
              </w:rPr>
              <w:t>得</w:t>
            </w:r>
            <w:r>
              <w:rPr>
                <w:rFonts w:hint="eastAsia" w:ascii="仿宋" w:hAnsi="仿宋" w:eastAsia="仿宋" w:cs="仿宋"/>
                <w:b w:val="0"/>
                <w:bCs/>
                <w:color w:val="auto"/>
                <w:sz w:val="24"/>
                <w:szCs w:val="24"/>
                <w:highlight w:val="none"/>
              </w:rPr>
              <w:t>分按以下公式计算：</w:t>
            </w:r>
          </w:p>
          <w:p w14:paraId="471903C6">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报价得分=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评标基准价／</w:t>
            </w:r>
            <w:r>
              <w:rPr>
                <w:rFonts w:hint="eastAsia" w:ascii="仿宋" w:hAnsi="仿宋" w:eastAsia="仿宋" w:cs="仿宋"/>
                <w:b w:val="0"/>
                <w:bCs/>
                <w:color w:val="auto"/>
                <w:sz w:val="24"/>
                <w:szCs w:val="24"/>
                <w:highlight w:val="none"/>
                <w:lang w:val="en-US" w:eastAsia="zh-CN"/>
              </w:rPr>
              <w:t>某供应商竞标</w:t>
            </w:r>
            <w:r>
              <w:rPr>
                <w:rFonts w:hint="eastAsia" w:ascii="仿宋" w:hAnsi="仿宋" w:eastAsia="仿宋" w:cs="仿宋"/>
                <w:b w:val="0"/>
                <w:bCs/>
                <w:color w:val="auto"/>
                <w:sz w:val="24"/>
                <w:szCs w:val="24"/>
                <w:highlight w:val="none"/>
              </w:rPr>
              <w:t>报价</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20分</w:t>
            </w:r>
            <w:r>
              <w:rPr>
                <w:rFonts w:hint="eastAsia" w:ascii="仿宋" w:hAnsi="仿宋" w:eastAsia="仿宋" w:cs="仿宋"/>
                <w:b w:val="0"/>
                <w:bCs/>
                <w:color w:val="auto"/>
                <w:sz w:val="24"/>
                <w:szCs w:val="24"/>
                <w:highlight w:val="none"/>
              </w:rPr>
              <w:t>；</w:t>
            </w:r>
          </w:p>
          <w:p w14:paraId="72FE7A98">
            <w:pPr>
              <w:spacing w:line="360" w:lineRule="auto"/>
              <w:ind w:firstLine="360" w:firstLineChars="150"/>
              <w:rPr>
                <w:rFonts w:hint="eastAsia" w:ascii="仿宋" w:hAnsi="仿宋" w:eastAsia="仿宋" w:cs="仿宋"/>
                <w:b/>
                <w:color w:val="auto"/>
                <w:sz w:val="24"/>
                <w:szCs w:val="24"/>
                <w:highlight w:val="none"/>
                <w:lang w:eastAsia="zh-CN"/>
              </w:rPr>
            </w:pPr>
            <w:r>
              <w:rPr>
                <w:rFonts w:hint="eastAsia" w:ascii="仿宋" w:hAnsi="仿宋" w:eastAsia="仿宋" w:cs="仿宋"/>
                <w:b w:val="0"/>
                <w:bCs/>
                <w:color w:val="auto"/>
                <w:sz w:val="24"/>
                <w:szCs w:val="24"/>
                <w:highlight w:val="none"/>
                <w:lang w:eastAsia="zh-CN"/>
              </w:rPr>
              <w:t>3</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bCs/>
                <w:color w:val="auto"/>
                <w:sz w:val="24"/>
                <w:szCs w:val="24"/>
                <w:highlight w:val="none"/>
              </w:rPr>
              <w:t>本项目为专门面向</w:t>
            </w:r>
            <w:r>
              <w:rPr>
                <w:rFonts w:hint="eastAsia" w:ascii="仿宋" w:hAnsi="仿宋" w:eastAsia="仿宋" w:cs="仿宋"/>
                <w:b/>
                <w:bCs/>
                <w:color w:val="auto"/>
                <w:sz w:val="24"/>
                <w:szCs w:val="24"/>
                <w:highlight w:val="none"/>
                <w:lang w:val="en-US" w:eastAsia="zh-CN"/>
              </w:rPr>
              <w:t>小微</w:t>
            </w:r>
            <w:r>
              <w:rPr>
                <w:rFonts w:hint="eastAsia" w:ascii="仿宋" w:hAnsi="仿宋" w:eastAsia="仿宋" w:cs="仿宋"/>
                <w:b/>
                <w:bCs/>
                <w:color w:val="auto"/>
                <w:sz w:val="24"/>
                <w:szCs w:val="24"/>
                <w:highlight w:val="none"/>
              </w:rPr>
              <w:t>企业采购的项目</w:t>
            </w:r>
            <w:r>
              <w:rPr>
                <w:rFonts w:hint="eastAsia" w:ascii="仿宋" w:hAnsi="仿宋" w:eastAsia="仿宋" w:cs="仿宋"/>
                <w:color w:val="auto"/>
                <w:sz w:val="24"/>
                <w:szCs w:val="24"/>
                <w:highlight w:val="none"/>
              </w:rPr>
              <w:t>，按照《政府采购促进中小企业发展管理办法》（财库〔2020〕46号）的规定，</w:t>
            </w:r>
            <w:r>
              <w:rPr>
                <w:rFonts w:hint="eastAsia" w:ascii="仿宋" w:hAnsi="仿宋" w:eastAsia="仿宋" w:cs="仿宋"/>
                <w:b/>
                <w:bCs/>
                <w:color w:val="auto"/>
                <w:sz w:val="24"/>
                <w:szCs w:val="24"/>
                <w:highlight w:val="none"/>
              </w:rPr>
              <w:t>不再对供应商的最后报价进行政策性扣除</w:t>
            </w:r>
            <w:r>
              <w:rPr>
                <w:rFonts w:hint="eastAsia" w:ascii="仿宋" w:hAnsi="仿宋" w:eastAsia="仿宋" w:cs="仿宋"/>
                <w:color w:val="auto"/>
                <w:sz w:val="24"/>
                <w:szCs w:val="24"/>
                <w:highlight w:val="none"/>
              </w:rPr>
              <w:t>。最终成交供应商的成交金额等于最后报价（如有修正，以确认修正后的最后报价为准）</w:t>
            </w:r>
            <w:r>
              <w:rPr>
                <w:rFonts w:hint="eastAsia" w:ascii="仿宋" w:hAnsi="仿宋" w:eastAsia="仿宋" w:cs="仿宋"/>
                <w:color w:val="auto"/>
                <w:sz w:val="24"/>
                <w:szCs w:val="24"/>
                <w:highlight w:val="none"/>
                <w:lang w:eastAsia="zh-CN"/>
              </w:rPr>
              <w:t>。</w:t>
            </w:r>
          </w:p>
        </w:tc>
      </w:tr>
      <w:tr w14:paraId="3C5FC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9" w:hRule="atLeast"/>
          <w:jc w:val="center"/>
        </w:trPr>
        <w:tc>
          <w:tcPr>
            <w:tcW w:w="730" w:type="dxa"/>
            <w:noWrap w:val="0"/>
            <w:vAlign w:val="center"/>
          </w:tcPr>
          <w:p w14:paraId="46889813">
            <w:pPr>
              <w:adjustRightInd w:val="0"/>
              <w:spacing w:line="360" w:lineRule="auto"/>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p>
        </w:tc>
        <w:tc>
          <w:tcPr>
            <w:tcW w:w="1280" w:type="dxa"/>
            <w:noWrap w:val="0"/>
            <w:vAlign w:val="center"/>
          </w:tcPr>
          <w:p w14:paraId="368B6375">
            <w:pPr>
              <w:adjustRightInd w:val="0"/>
              <w:spacing w:line="360" w:lineRule="auto"/>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技术部分</w:t>
            </w:r>
          </w:p>
        </w:tc>
        <w:tc>
          <w:tcPr>
            <w:tcW w:w="772" w:type="dxa"/>
            <w:noWrap w:val="0"/>
            <w:vAlign w:val="center"/>
          </w:tcPr>
          <w:p w14:paraId="391827F4">
            <w:pPr>
              <w:adjustRightInd w:val="0"/>
              <w:spacing w:line="360" w:lineRule="auto"/>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62</w:t>
            </w:r>
            <w:r>
              <w:rPr>
                <w:rFonts w:hint="eastAsia" w:ascii="仿宋" w:hAnsi="仿宋" w:eastAsia="仿宋" w:cs="仿宋"/>
                <w:b/>
                <w:color w:val="auto"/>
                <w:sz w:val="24"/>
                <w:szCs w:val="24"/>
                <w:highlight w:val="none"/>
              </w:rPr>
              <w:t>分</w:t>
            </w:r>
          </w:p>
        </w:tc>
        <w:tc>
          <w:tcPr>
            <w:tcW w:w="6906" w:type="dxa"/>
            <w:noWrap w:val="0"/>
            <w:vAlign w:val="center"/>
          </w:tcPr>
          <w:p w14:paraId="7FF62551">
            <w:pPr>
              <w:spacing w:line="360" w:lineRule="auto"/>
              <w:ind w:firstLine="241" w:firstLineChars="1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主要施工方法</w:t>
            </w:r>
            <w:r>
              <w:rPr>
                <w:rFonts w:hint="eastAsia" w:ascii="仿宋" w:hAnsi="仿宋" w:eastAsia="仿宋" w:cs="仿宋"/>
                <w:b/>
                <w:bCs/>
                <w:color w:val="auto"/>
                <w:sz w:val="24"/>
                <w:szCs w:val="24"/>
                <w:highlight w:val="none"/>
                <w:lang w:eastAsia="zh-CN"/>
              </w:rPr>
              <w:t>（满分</w:t>
            </w: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lang w:eastAsia="zh-CN"/>
              </w:rPr>
              <w:t>分）</w:t>
            </w:r>
          </w:p>
          <w:p w14:paraId="0C44F54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一档（</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各主要分部施工方法不符合项目实际，有施工技术方案，工艺落后且不符合项目需求，不能指导具体施工并确保安全。</w:t>
            </w:r>
          </w:p>
          <w:p w14:paraId="5A88D712">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二档（</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各主要分部施工方法符合项目实际，有施工技术方案，工艺仅满足项目需求、方法可行，能指导施工并确保安全。</w:t>
            </w:r>
          </w:p>
          <w:p w14:paraId="289BCCF3">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三档（</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各主要分部施工方法符合项目实际，有详尽的施工技术方案，工艺合理、方法可行，能指导具体施工并确保安全。</w:t>
            </w:r>
          </w:p>
          <w:p w14:paraId="11A17136">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档（</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各主要分部施工方法符合项目实际，有详尽的施工技术方案，工艺先进、方法科学合理、可行，能指导具体施工并确保安全。</w:t>
            </w:r>
          </w:p>
          <w:p w14:paraId="5D72FA96">
            <w:pPr>
              <w:pStyle w:val="51"/>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auto"/>
                <w:highlight w:val="none"/>
              </w:rPr>
            </w:pPr>
            <w:r>
              <w:rPr>
                <w:rFonts w:hint="eastAsia" w:ascii="仿宋" w:hAnsi="仿宋" w:eastAsia="仿宋" w:cs="仿宋"/>
                <w:b w:val="0"/>
                <w:bCs w:val="0"/>
                <w:color w:val="auto"/>
                <w:sz w:val="24"/>
                <w:szCs w:val="24"/>
                <w:highlight w:val="none"/>
                <w:lang w:val="en-US" w:eastAsia="zh-CN"/>
              </w:rPr>
              <w:t>注：不提供不得分。</w:t>
            </w:r>
          </w:p>
          <w:p w14:paraId="728BA892">
            <w:pPr>
              <w:spacing w:line="360" w:lineRule="auto"/>
              <w:ind w:firstLine="241" w:firstLineChars="1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（2）划拟投入的主要物资计划</w:t>
            </w:r>
            <w:r>
              <w:rPr>
                <w:rFonts w:hint="eastAsia" w:ascii="仿宋" w:hAnsi="仿宋" w:eastAsia="仿宋" w:cs="仿宋"/>
                <w:b/>
                <w:bCs/>
                <w:color w:val="auto"/>
                <w:sz w:val="24"/>
                <w:szCs w:val="24"/>
                <w:highlight w:val="none"/>
              </w:rPr>
              <w:t>（满分</w:t>
            </w: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rPr>
              <w:t>分）</w:t>
            </w:r>
          </w:p>
          <w:p w14:paraId="54FAE22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一档（</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投入的施工材料无组织计划，数量、选型配置、进场时间安排不合理，不满足施工需要。</w:t>
            </w:r>
          </w:p>
          <w:p w14:paraId="306F62F8">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二档（</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投入的施工材料有组织计划但计划内容不全面，数量、选型配置、进场时间安排合理，基本满足施工需要。</w:t>
            </w:r>
          </w:p>
          <w:p w14:paraId="7F4F0732">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三档（</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：投入的施工材料有详细的组织计划，数量、选</w:t>
            </w:r>
            <w:r>
              <w:rPr>
                <w:rFonts w:hint="default" w:ascii="仿宋" w:hAnsi="仿宋" w:eastAsia="仿宋" w:cs="仿宋"/>
                <w:color w:val="auto"/>
                <w:sz w:val="24"/>
                <w:szCs w:val="24"/>
                <w:highlight w:val="none"/>
                <w:lang w:val="en-US" w:eastAsia="zh-CN"/>
              </w:rPr>
              <w:t>型配置、进场时间安排合理，满足施工需要。</w:t>
            </w:r>
          </w:p>
          <w:p w14:paraId="53A7665E">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档（</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投入的施工材料有详细的组织计划且计划周密，数量、选型配置、进场时间安排合理，满足施工需要。</w:t>
            </w:r>
          </w:p>
          <w:p w14:paraId="3166F2D4">
            <w:pPr>
              <w:pStyle w:val="51"/>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color w:val="auto"/>
                <w:highlight w:val="none"/>
              </w:rPr>
            </w:pPr>
            <w:r>
              <w:rPr>
                <w:rFonts w:hint="eastAsia" w:ascii="仿宋" w:hAnsi="仿宋" w:eastAsia="仿宋" w:cs="仿宋"/>
                <w:b w:val="0"/>
                <w:bCs w:val="0"/>
                <w:color w:val="auto"/>
                <w:sz w:val="24"/>
                <w:szCs w:val="24"/>
                <w:highlight w:val="none"/>
                <w:lang w:val="en-US" w:eastAsia="zh-CN"/>
              </w:rPr>
              <w:t>注：不提供不得分。</w:t>
            </w:r>
          </w:p>
          <w:p w14:paraId="009DA92F">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劳动力安排计划</w:t>
            </w:r>
            <w:r>
              <w:rPr>
                <w:rFonts w:hint="eastAsia" w:ascii="仿宋" w:hAnsi="仿宋" w:eastAsia="仿宋" w:cs="仿宋"/>
                <w:b/>
                <w:bCs/>
                <w:color w:val="auto"/>
                <w:sz w:val="24"/>
                <w:szCs w:val="24"/>
                <w:highlight w:val="none"/>
              </w:rPr>
              <w:t>（满分</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分)</w:t>
            </w:r>
          </w:p>
          <w:p w14:paraId="022962A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主要施工工序的劳动力安排计划不详细，各工种劳动力安排计划不明确，劳动力投入不合理，不能满足施工需要。</w:t>
            </w:r>
          </w:p>
          <w:p w14:paraId="6DB8A483">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二档（</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各主要施工工序应有详细周密的劳动力安排计划，有各工种劳动力安排计划，劳动力投入基本合理，基本满足施工需要。</w:t>
            </w:r>
          </w:p>
          <w:p w14:paraId="17521CC6">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三档（</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：各主要施工工序有劳动力安排计划，有各工种劳动力安排计划，劳动力投入基本合理，满足施工需要</w:t>
            </w:r>
            <w:r>
              <w:rPr>
                <w:rFonts w:hint="default" w:ascii="仿宋" w:hAnsi="仿宋" w:eastAsia="仿宋" w:cs="仿宋"/>
                <w:color w:val="auto"/>
                <w:sz w:val="24"/>
                <w:szCs w:val="24"/>
                <w:highlight w:val="none"/>
                <w:lang w:val="en-US" w:eastAsia="zh-CN"/>
              </w:rPr>
              <w:t>。</w:t>
            </w:r>
          </w:p>
          <w:p w14:paraId="6741AD33">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档（</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各主要施工工序应有详细周密的劳动力安排计划，有各工种劳动力安排计划，劳动力投入合理，满足施工需要。</w:t>
            </w:r>
          </w:p>
          <w:p w14:paraId="6918F210">
            <w:pPr>
              <w:pStyle w:val="51"/>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eastAsia="仿宋"/>
                <w:color w:val="auto"/>
                <w:highlight w:val="none"/>
                <w:lang w:val="en-US" w:eastAsia="zh-CN"/>
              </w:rPr>
            </w:pPr>
            <w:r>
              <w:rPr>
                <w:rFonts w:hint="eastAsia" w:ascii="仿宋" w:hAnsi="仿宋" w:eastAsia="仿宋" w:cs="仿宋"/>
                <w:b w:val="0"/>
                <w:bCs w:val="0"/>
                <w:color w:val="auto"/>
                <w:sz w:val="24"/>
                <w:szCs w:val="24"/>
                <w:highlight w:val="none"/>
                <w:lang w:val="en-US" w:eastAsia="zh-CN"/>
              </w:rPr>
              <w:t>注：不提供不得分。</w:t>
            </w:r>
          </w:p>
          <w:p w14:paraId="3F2D3749">
            <w:pPr>
              <w:pStyle w:val="29"/>
              <w:keepNext w:val="0"/>
              <w:keepLines w:val="0"/>
              <w:pageBreakBefore w:val="0"/>
              <w:widowControl w:val="0"/>
              <w:kinsoku/>
              <w:wordWrap/>
              <w:overflowPunct/>
              <w:topLinePunct w:val="0"/>
              <w:bidi w:val="0"/>
              <w:adjustRightInd w:val="0"/>
              <w:snapToGrid w:val="0"/>
              <w:spacing w:line="360" w:lineRule="auto"/>
              <w:ind w:firstLine="482" w:firstLineChars="200"/>
              <w:jc w:val="left"/>
              <w:rPr>
                <w:rFonts w:hint="eastAsia" w:ascii="仿宋" w:hAnsi="仿宋" w:eastAsia="仿宋" w:cs="仿宋"/>
                <w:b/>
                <w:bCs w:val="0"/>
                <w:color w:val="auto"/>
                <w:sz w:val="24"/>
                <w:szCs w:val="24"/>
                <w:highlight w:val="none"/>
                <w:lang w:val="zh-CN"/>
              </w:rPr>
            </w:pPr>
            <w:r>
              <w:rPr>
                <w:rFonts w:hint="eastAsia" w:ascii="仿宋" w:hAnsi="仿宋" w:eastAsia="仿宋" w:cs="仿宋"/>
                <w:b/>
                <w:bCs w:val="0"/>
                <w:snapToGrid w:val="0"/>
                <w:color w:val="auto"/>
                <w:sz w:val="24"/>
                <w:szCs w:val="24"/>
                <w:highlight w:val="none"/>
                <w:lang w:eastAsia="zh-CN"/>
              </w:rPr>
              <w:t>（</w:t>
            </w:r>
            <w:r>
              <w:rPr>
                <w:rFonts w:hint="eastAsia" w:ascii="仿宋" w:hAnsi="仿宋" w:eastAsia="仿宋" w:cs="仿宋"/>
                <w:b/>
                <w:bCs w:val="0"/>
                <w:snapToGrid w:val="0"/>
                <w:color w:val="auto"/>
                <w:sz w:val="24"/>
                <w:szCs w:val="24"/>
                <w:highlight w:val="none"/>
                <w:lang w:val="en-US" w:eastAsia="zh-CN"/>
              </w:rPr>
              <w:t>4</w:t>
            </w:r>
            <w:r>
              <w:rPr>
                <w:rFonts w:hint="eastAsia" w:ascii="仿宋" w:hAnsi="仿宋" w:eastAsia="仿宋" w:cs="仿宋"/>
                <w:b/>
                <w:bCs w:val="0"/>
                <w:snapToGrid w:val="0"/>
                <w:color w:val="auto"/>
                <w:sz w:val="24"/>
                <w:szCs w:val="24"/>
                <w:highlight w:val="none"/>
                <w:lang w:eastAsia="zh-CN"/>
              </w:rPr>
              <w:t>）</w:t>
            </w:r>
            <w:r>
              <w:rPr>
                <w:rFonts w:hint="eastAsia" w:ascii="仿宋" w:hAnsi="仿宋" w:eastAsia="仿宋" w:cs="仿宋"/>
                <w:b/>
                <w:bCs w:val="0"/>
                <w:snapToGrid w:val="0"/>
                <w:color w:val="auto"/>
                <w:sz w:val="24"/>
                <w:szCs w:val="24"/>
                <w:highlight w:val="none"/>
                <w:lang w:val="en-US" w:eastAsia="zh-CN"/>
              </w:rPr>
              <w:t>确保工程质量的技术组织措施</w:t>
            </w:r>
            <w:r>
              <w:rPr>
                <w:rFonts w:hint="eastAsia" w:ascii="仿宋" w:hAnsi="仿宋" w:eastAsia="仿宋" w:cs="仿宋"/>
                <w:b/>
                <w:bCs w:val="0"/>
                <w:snapToGrid w:val="0"/>
                <w:color w:val="auto"/>
                <w:sz w:val="24"/>
                <w:szCs w:val="24"/>
                <w:highlight w:val="none"/>
              </w:rPr>
              <w:t>（满分</w:t>
            </w:r>
            <w:r>
              <w:rPr>
                <w:rFonts w:hint="eastAsia" w:ascii="仿宋" w:hAnsi="仿宋" w:eastAsia="仿宋" w:cs="仿宋"/>
                <w:b/>
                <w:bCs w:val="0"/>
                <w:snapToGrid w:val="0"/>
                <w:color w:val="auto"/>
                <w:sz w:val="24"/>
                <w:szCs w:val="24"/>
                <w:highlight w:val="none"/>
                <w:lang w:val="en-US" w:eastAsia="zh-CN"/>
              </w:rPr>
              <w:t>8</w:t>
            </w:r>
            <w:r>
              <w:rPr>
                <w:rFonts w:hint="eastAsia" w:ascii="仿宋" w:hAnsi="仿宋" w:eastAsia="仿宋" w:cs="仿宋"/>
                <w:b/>
                <w:bCs w:val="0"/>
                <w:snapToGrid w:val="0"/>
                <w:color w:val="auto"/>
                <w:sz w:val="24"/>
                <w:szCs w:val="24"/>
                <w:highlight w:val="none"/>
              </w:rPr>
              <w:t>分）</w:t>
            </w:r>
          </w:p>
          <w:p w14:paraId="335073E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有质量技术管理班子和制度。主要工序无质量技术保证措施和手段，无自控体系，不能有效保证技术质量。</w:t>
            </w:r>
          </w:p>
          <w:p w14:paraId="238773AF">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二档（</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有质量技术管理班子和制度。主要工序有质量技术保证措施和手段，自控体系内容简单不全面，基本能保证技术质量，达到承诺的质量标准。</w:t>
            </w:r>
          </w:p>
          <w:p w14:paraId="2D9B6A4A">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三档（</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：有质量技术管理班子和制度，且人员配备充足，制度健全。主要工序有质量技术保证措施和手段，自控体系完整，能保证技术质量，达到承诺的质量标准</w:t>
            </w:r>
            <w:r>
              <w:rPr>
                <w:rFonts w:hint="default" w:ascii="仿宋" w:hAnsi="仿宋" w:eastAsia="仿宋" w:cs="仿宋"/>
                <w:color w:val="auto"/>
                <w:sz w:val="24"/>
                <w:szCs w:val="24"/>
                <w:highlight w:val="none"/>
                <w:lang w:val="en-US" w:eastAsia="zh-CN"/>
              </w:rPr>
              <w:t>。</w:t>
            </w:r>
          </w:p>
          <w:p w14:paraId="57AE9043">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档（</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有专门的质量技术管理班子和制度，且人员配备充足合理，制度健全。主要工序有质量技术保证措施和手段，自控体系完整且有针对性，能有效保证技术质量，达到承诺的质量标准。</w:t>
            </w:r>
          </w:p>
          <w:p w14:paraId="4E6B7CA2">
            <w:pPr>
              <w:pStyle w:val="51"/>
              <w:ind w:left="0" w:leftChars="0" w:firstLine="480" w:firstLineChars="200"/>
              <w:rPr>
                <w:rFonts w:hint="default" w:eastAsia="仿宋"/>
                <w:color w:val="auto"/>
                <w:highlight w:val="none"/>
                <w:lang w:val="en-US" w:eastAsia="zh-CN"/>
              </w:rPr>
            </w:pPr>
            <w:r>
              <w:rPr>
                <w:rFonts w:hint="eastAsia" w:ascii="仿宋" w:hAnsi="仿宋" w:eastAsia="仿宋" w:cs="仿宋"/>
                <w:b w:val="0"/>
                <w:bCs w:val="0"/>
                <w:color w:val="auto"/>
                <w:sz w:val="24"/>
                <w:szCs w:val="24"/>
                <w:highlight w:val="none"/>
                <w:lang w:val="en-US" w:eastAsia="zh-CN"/>
              </w:rPr>
              <w:t>注：不提供不得分。</w:t>
            </w:r>
          </w:p>
          <w:p w14:paraId="1BA94326">
            <w:pPr>
              <w:pStyle w:val="29"/>
              <w:keepNext w:val="0"/>
              <w:keepLines w:val="0"/>
              <w:pageBreakBefore w:val="0"/>
              <w:widowControl w:val="0"/>
              <w:kinsoku/>
              <w:wordWrap/>
              <w:overflowPunct/>
              <w:topLinePunct w:val="0"/>
              <w:bidi w:val="0"/>
              <w:adjustRightInd w:val="0"/>
              <w:snapToGrid w:val="0"/>
              <w:spacing w:line="360" w:lineRule="auto"/>
              <w:ind w:firstLine="482" w:firstLineChars="200"/>
              <w:jc w:val="left"/>
              <w:rPr>
                <w:rFonts w:hint="eastAsia" w:ascii="仿宋" w:hAnsi="仿宋" w:eastAsia="仿宋" w:cs="仿宋"/>
                <w:b/>
                <w:bCs w:val="0"/>
                <w:color w:val="auto"/>
                <w:sz w:val="24"/>
                <w:szCs w:val="24"/>
                <w:highlight w:val="none"/>
                <w:lang w:val="zh-CN"/>
              </w:rPr>
            </w:pPr>
            <w:r>
              <w:rPr>
                <w:rFonts w:hint="eastAsia" w:ascii="仿宋" w:hAnsi="仿宋" w:eastAsia="仿宋" w:cs="仿宋"/>
                <w:b/>
                <w:bCs w:val="0"/>
                <w:snapToGrid w:val="0"/>
                <w:color w:val="auto"/>
                <w:sz w:val="24"/>
                <w:szCs w:val="24"/>
                <w:highlight w:val="none"/>
                <w:lang w:eastAsia="zh-CN"/>
              </w:rPr>
              <w:t>（</w:t>
            </w:r>
            <w:r>
              <w:rPr>
                <w:rFonts w:hint="eastAsia" w:ascii="仿宋" w:hAnsi="仿宋" w:eastAsia="仿宋" w:cs="仿宋"/>
                <w:b/>
                <w:bCs w:val="0"/>
                <w:snapToGrid w:val="0"/>
                <w:color w:val="auto"/>
                <w:sz w:val="24"/>
                <w:szCs w:val="24"/>
                <w:highlight w:val="none"/>
                <w:lang w:val="en-US" w:eastAsia="zh-CN"/>
              </w:rPr>
              <w:t>5</w:t>
            </w:r>
            <w:r>
              <w:rPr>
                <w:rFonts w:hint="eastAsia" w:ascii="仿宋" w:hAnsi="仿宋" w:eastAsia="仿宋" w:cs="仿宋"/>
                <w:b/>
                <w:bCs w:val="0"/>
                <w:snapToGrid w:val="0"/>
                <w:color w:val="auto"/>
                <w:sz w:val="24"/>
                <w:szCs w:val="24"/>
                <w:highlight w:val="none"/>
                <w:lang w:eastAsia="zh-CN"/>
              </w:rPr>
              <w:t>）</w:t>
            </w:r>
            <w:r>
              <w:rPr>
                <w:rFonts w:hint="eastAsia" w:ascii="仿宋" w:hAnsi="仿宋" w:eastAsia="仿宋" w:cs="仿宋"/>
                <w:b/>
                <w:bCs w:val="0"/>
                <w:snapToGrid w:val="0"/>
                <w:color w:val="auto"/>
                <w:sz w:val="24"/>
                <w:szCs w:val="24"/>
                <w:highlight w:val="none"/>
                <w:lang w:val="en-US" w:eastAsia="zh-CN"/>
              </w:rPr>
              <w:t>确保安全生产的技术组织措施</w:t>
            </w:r>
            <w:r>
              <w:rPr>
                <w:rFonts w:hint="eastAsia" w:ascii="仿宋" w:hAnsi="仿宋" w:eastAsia="仿宋" w:cs="仿宋"/>
                <w:b/>
                <w:bCs w:val="0"/>
                <w:snapToGrid w:val="0"/>
                <w:color w:val="auto"/>
                <w:sz w:val="24"/>
                <w:szCs w:val="24"/>
                <w:highlight w:val="none"/>
              </w:rPr>
              <w:t>（满分</w:t>
            </w:r>
            <w:r>
              <w:rPr>
                <w:rFonts w:hint="eastAsia" w:ascii="仿宋" w:hAnsi="仿宋" w:eastAsia="仿宋" w:cs="仿宋"/>
                <w:b/>
                <w:bCs w:val="0"/>
                <w:snapToGrid w:val="0"/>
                <w:color w:val="auto"/>
                <w:sz w:val="24"/>
                <w:szCs w:val="24"/>
                <w:highlight w:val="none"/>
                <w:lang w:val="en-US" w:eastAsia="zh-CN"/>
              </w:rPr>
              <w:t>8</w:t>
            </w:r>
            <w:r>
              <w:rPr>
                <w:rFonts w:hint="eastAsia" w:ascii="仿宋" w:hAnsi="仿宋" w:eastAsia="仿宋" w:cs="仿宋"/>
                <w:b/>
                <w:bCs w:val="0"/>
                <w:snapToGrid w:val="0"/>
                <w:color w:val="auto"/>
                <w:sz w:val="24"/>
                <w:szCs w:val="24"/>
                <w:highlight w:val="none"/>
              </w:rPr>
              <w:t>分）</w:t>
            </w:r>
          </w:p>
          <w:p w14:paraId="2DF1E41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有安全管理人员和制度，各道工序安全技术措施无针对性，满足有关安全技术标准要求。现场防火、应急救援、社会治安安全措施内容简单，不可行。</w:t>
            </w:r>
          </w:p>
          <w:p w14:paraId="61B401D9">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二档（</w:t>
            </w:r>
            <w:r>
              <w:rPr>
                <w:rFonts w:hint="eastAsia" w:ascii="仿宋" w:hAnsi="仿宋" w:eastAsia="仿宋" w:cs="仿宋"/>
                <w:color w:val="auto"/>
                <w:sz w:val="24"/>
                <w:szCs w:val="24"/>
                <w:highlight w:val="none"/>
                <w:lang w:val="en-US" w:eastAsia="zh-CN"/>
              </w:rPr>
              <w:t>4分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有安全管理人员和制度，各道工序安全技术措施针对性不强，满足有关安全技术标准要求。现场防火、应急救援、社会治安安全措施不全面。</w:t>
            </w:r>
          </w:p>
          <w:p w14:paraId="32947EB8">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三档（</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：有安全管理人员和制度，且人员配备充足，制度健全，各道工序安全技术措施针对性强，符合实际且满足有关安全技术标准要求。现场防火、应急救援、社会治安安全措施内容全面。</w:t>
            </w:r>
          </w:p>
          <w:p w14:paraId="342E7C7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档（</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有专门的安全管理人员和制度，且人员配备充足合理，制度健全，各道工序安全技术措施针对性强，符合实际且满足有关安全技术标准要求。现场防火、应急救援、社会治安安全措施科学合理。</w:t>
            </w:r>
          </w:p>
          <w:p w14:paraId="5E00945E">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注：不提供不得分。</w:t>
            </w:r>
          </w:p>
          <w:p w14:paraId="64A5B768">
            <w:pPr>
              <w:pStyle w:val="29"/>
              <w:keepNext w:val="0"/>
              <w:keepLines w:val="0"/>
              <w:pageBreakBefore w:val="0"/>
              <w:widowControl w:val="0"/>
              <w:kinsoku/>
              <w:wordWrap/>
              <w:overflowPunct/>
              <w:topLinePunct w:val="0"/>
              <w:bidi w:val="0"/>
              <w:adjustRightInd w:val="0"/>
              <w:snapToGrid w:val="0"/>
              <w:spacing w:line="360" w:lineRule="auto"/>
              <w:ind w:firstLine="482" w:firstLineChars="200"/>
              <w:jc w:val="left"/>
              <w:rPr>
                <w:rFonts w:hint="eastAsia" w:ascii="仿宋" w:hAnsi="仿宋" w:eastAsia="仿宋" w:cs="仿宋"/>
                <w:b/>
                <w:bCs w:val="0"/>
                <w:color w:val="auto"/>
                <w:sz w:val="24"/>
                <w:szCs w:val="24"/>
                <w:highlight w:val="none"/>
                <w:lang w:val="zh-CN"/>
              </w:rPr>
            </w:pPr>
            <w:r>
              <w:rPr>
                <w:rFonts w:hint="eastAsia" w:ascii="仿宋" w:hAnsi="仿宋" w:eastAsia="仿宋" w:cs="仿宋"/>
                <w:b/>
                <w:bCs w:val="0"/>
                <w:snapToGrid w:val="0"/>
                <w:color w:val="auto"/>
                <w:sz w:val="24"/>
                <w:szCs w:val="24"/>
                <w:highlight w:val="none"/>
                <w:lang w:eastAsia="zh-CN"/>
              </w:rPr>
              <w:t>（</w:t>
            </w:r>
            <w:r>
              <w:rPr>
                <w:rFonts w:hint="eastAsia" w:ascii="仿宋" w:hAnsi="仿宋" w:eastAsia="仿宋" w:cs="仿宋"/>
                <w:b/>
                <w:bCs w:val="0"/>
                <w:snapToGrid w:val="0"/>
                <w:color w:val="auto"/>
                <w:sz w:val="24"/>
                <w:szCs w:val="24"/>
                <w:highlight w:val="none"/>
                <w:lang w:val="en-US" w:eastAsia="zh-CN"/>
              </w:rPr>
              <w:t>6</w:t>
            </w:r>
            <w:r>
              <w:rPr>
                <w:rFonts w:hint="eastAsia" w:ascii="仿宋" w:hAnsi="仿宋" w:eastAsia="仿宋" w:cs="仿宋"/>
                <w:b/>
                <w:bCs w:val="0"/>
                <w:snapToGrid w:val="0"/>
                <w:color w:val="auto"/>
                <w:sz w:val="24"/>
                <w:szCs w:val="24"/>
                <w:highlight w:val="none"/>
                <w:lang w:eastAsia="zh-CN"/>
              </w:rPr>
              <w:t>）</w:t>
            </w:r>
            <w:r>
              <w:rPr>
                <w:rFonts w:hint="eastAsia" w:ascii="仿宋" w:hAnsi="仿宋" w:eastAsia="仿宋" w:cs="仿宋"/>
                <w:b/>
                <w:bCs w:val="0"/>
                <w:snapToGrid w:val="0"/>
                <w:color w:val="auto"/>
                <w:sz w:val="24"/>
                <w:szCs w:val="24"/>
                <w:highlight w:val="none"/>
                <w:lang w:val="en-US" w:eastAsia="zh-CN"/>
              </w:rPr>
              <w:t>确保工期的技术组织措施</w:t>
            </w:r>
            <w:r>
              <w:rPr>
                <w:rFonts w:hint="eastAsia" w:ascii="仿宋" w:hAnsi="仿宋" w:eastAsia="仿宋" w:cs="仿宋"/>
                <w:b/>
                <w:bCs w:val="0"/>
                <w:snapToGrid w:val="0"/>
                <w:color w:val="auto"/>
                <w:sz w:val="24"/>
                <w:szCs w:val="24"/>
                <w:highlight w:val="none"/>
              </w:rPr>
              <w:t>（满分</w:t>
            </w:r>
            <w:r>
              <w:rPr>
                <w:rFonts w:hint="eastAsia" w:ascii="仿宋" w:hAnsi="仿宋" w:eastAsia="仿宋" w:cs="仿宋"/>
                <w:b/>
                <w:bCs w:val="0"/>
                <w:snapToGrid w:val="0"/>
                <w:color w:val="auto"/>
                <w:sz w:val="24"/>
                <w:szCs w:val="24"/>
                <w:highlight w:val="none"/>
                <w:lang w:val="en-US" w:eastAsia="zh-CN"/>
              </w:rPr>
              <w:t>8</w:t>
            </w:r>
            <w:r>
              <w:rPr>
                <w:rFonts w:hint="eastAsia" w:ascii="仿宋" w:hAnsi="仿宋" w:eastAsia="仿宋" w:cs="仿宋"/>
                <w:b/>
                <w:bCs w:val="0"/>
                <w:snapToGrid w:val="0"/>
                <w:color w:val="auto"/>
                <w:sz w:val="24"/>
                <w:szCs w:val="24"/>
                <w:highlight w:val="none"/>
              </w:rPr>
              <w:t>分）</w:t>
            </w:r>
          </w:p>
          <w:p w14:paraId="352F7EE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施工工艺、施工方法、材料选用、劳动力安排、技术等方面有措施。有控制工期的施工进度计划。有施工总进度表或施工网络图，各项计划图表编制差，不符合本项目施工实际要求。</w:t>
            </w:r>
          </w:p>
          <w:p w14:paraId="4B4DB23A">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二档（</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施工工艺、施工方法、材料选用、劳动力安排、技术等方面有措施。有控制工期的施工进度计划。有施工总进度表或施工网络图，各项计划图表编制有1-2项内容不合理，基本符合本项目施工实际要求。</w:t>
            </w:r>
          </w:p>
          <w:p w14:paraId="706D57CF">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三档（</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：施工工艺、施工方法、材料选用、劳动力安排、技术等方面有保证工期的具体措施。有控制工期的施工进度计划。有施工总进度表或施工网络图，各项计划图表编制完善，符合本项目施工实际要求。</w:t>
            </w:r>
          </w:p>
          <w:p w14:paraId="6F8B8378">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档（</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p w14:paraId="24D5D1FD">
            <w:pPr>
              <w:pStyle w:val="51"/>
              <w:ind w:left="0" w:leftChars="0" w:firstLine="480" w:firstLineChars="200"/>
              <w:rPr>
                <w:rFonts w:hint="default" w:eastAsia="仿宋"/>
                <w:color w:val="auto"/>
                <w:highlight w:val="none"/>
                <w:lang w:val="en-US" w:eastAsia="zh-CN"/>
              </w:rPr>
            </w:pPr>
            <w:r>
              <w:rPr>
                <w:rFonts w:hint="eastAsia" w:ascii="仿宋" w:hAnsi="仿宋" w:eastAsia="仿宋" w:cs="仿宋"/>
                <w:b w:val="0"/>
                <w:bCs w:val="0"/>
                <w:color w:val="auto"/>
                <w:sz w:val="24"/>
                <w:szCs w:val="24"/>
                <w:highlight w:val="none"/>
                <w:lang w:val="en-US" w:eastAsia="zh-CN"/>
              </w:rPr>
              <w:t>注：不提供不得分。</w:t>
            </w:r>
          </w:p>
          <w:p w14:paraId="606B6F03">
            <w:pPr>
              <w:pStyle w:val="29"/>
              <w:keepNext w:val="0"/>
              <w:keepLines w:val="0"/>
              <w:pageBreakBefore w:val="0"/>
              <w:widowControl w:val="0"/>
              <w:kinsoku/>
              <w:wordWrap/>
              <w:overflowPunct/>
              <w:topLinePunct w:val="0"/>
              <w:bidi w:val="0"/>
              <w:adjustRightInd w:val="0"/>
              <w:snapToGrid w:val="0"/>
              <w:spacing w:line="360" w:lineRule="auto"/>
              <w:ind w:firstLine="482" w:firstLineChars="200"/>
              <w:jc w:val="left"/>
              <w:rPr>
                <w:rFonts w:hint="eastAsia" w:ascii="仿宋" w:hAnsi="仿宋" w:eastAsia="仿宋" w:cs="仿宋"/>
                <w:b/>
                <w:bCs w:val="0"/>
                <w:color w:val="auto"/>
                <w:sz w:val="24"/>
                <w:szCs w:val="24"/>
                <w:highlight w:val="none"/>
                <w:lang w:val="zh-CN"/>
              </w:rPr>
            </w:pPr>
            <w:r>
              <w:rPr>
                <w:rFonts w:hint="eastAsia" w:ascii="仿宋" w:hAnsi="仿宋" w:eastAsia="仿宋" w:cs="仿宋"/>
                <w:b/>
                <w:bCs w:val="0"/>
                <w:snapToGrid w:val="0"/>
                <w:color w:val="auto"/>
                <w:sz w:val="24"/>
                <w:szCs w:val="24"/>
                <w:highlight w:val="none"/>
                <w:lang w:eastAsia="zh-CN"/>
              </w:rPr>
              <w:t>（</w:t>
            </w:r>
            <w:r>
              <w:rPr>
                <w:rFonts w:hint="eastAsia" w:ascii="仿宋" w:hAnsi="仿宋" w:eastAsia="仿宋" w:cs="仿宋"/>
                <w:b/>
                <w:bCs w:val="0"/>
                <w:snapToGrid w:val="0"/>
                <w:color w:val="auto"/>
                <w:sz w:val="24"/>
                <w:szCs w:val="24"/>
                <w:highlight w:val="none"/>
                <w:lang w:val="en-US" w:eastAsia="zh-CN"/>
              </w:rPr>
              <w:t>7</w:t>
            </w:r>
            <w:r>
              <w:rPr>
                <w:rFonts w:hint="eastAsia" w:ascii="仿宋" w:hAnsi="仿宋" w:eastAsia="仿宋" w:cs="仿宋"/>
                <w:b/>
                <w:bCs w:val="0"/>
                <w:snapToGrid w:val="0"/>
                <w:color w:val="auto"/>
                <w:sz w:val="24"/>
                <w:szCs w:val="24"/>
                <w:highlight w:val="none"/>
                <w:lang w:eastAsia="zh-CN"/>
              </w:rPr>
              <w:t>）</w:t>
            </w:r>
            <w:r>
              <w:rPr>
                <w:rFonts w:hint="eastAsia" w:ascii="仿宋" w:hAnsi="仿宋" w:eastAsia="仿宋" w:cs="仿宋"/>
                <w:b/>
                <w:bCs w:val="0"/>
                <w:snapToGrid w:val="0"/>
                <w:color w:val="auto"/>
                <w:sz w:val="24"/>
                <w:szCs w:val="24"/>
                <w:highlight w:val="none"/>
                <w:lang w:val="en-US" w:eastAsia="zh-CN"/>
              </w:rPr>
              <w:t>确保文明施工的技术组织措施</w:t>
            </w:r>
            <w:r>
              <w:rPr>
                <w:rFonts w:hint="eastAsia" w:ascii="仿宋" w:hAnsi="仿宋" w:eastAsia="仿宋" w:cs="仿宋"/>
                <w:b/>
                <w:bCs w:val="0"/>
                <w:snapToGrid w:val="0"/>
                <w:color w:val="auto"/>
                <w:sz w:val="24"/>
                <w:szCs w:val="24"/>
                <w:highlight w:val="none"/>
              </w:rPr>
              <w:t>（满分</w:t>
            </w:r>
            <w:r>
              <w:rPr>
                <w:rFonts w:hint="eastAsia" w:ascii="仿宋" w:hAnsi="仿宋" w:eastAsia="仿宋" w:cs="仿宋"/>
                <w:b/>
                <w:bCs w:val="0"/>
                <w:snapToGrid w:val="0"/>
                <w:color w:val="auto"/>
                <w:sz w:val="24"/>
                <w:szCs w:val="24"/>
                <w:highlight w:val="none"/>
                <w:lang w:val="en-US" w:eastAsia="zh-CN"/>
              </w:rPr>
              <w:t>5</w:t>
            </w:r>
            <w:r>
              <w:rPr>
                <w:rFonts w:hint="eastAsia" w:ascii="仿宋" w:hAnsi="仿宋" w:eastAsia="仿宋" w:cs="仿宋"/>
                <w:b/>
                <w:bCs w:val="0"/>
                <w:snapToGrid w:val="0"/>
                <w:color w:val="auto"/>
                <w:sz w:val="24"/>
                <w:szCs w:val="24"/>
                <w:highlight w:val="none"/>
              </w:rPr>
              <w:t>分）</w:t>
            </w:r>
          </w:p>
          <w:p w14:paraId="33BCB45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有现场文明施工、环境保护措施，且措施内容达到《建筑施工安全生产检查标准》（JGJ59-2011）合格标准并符合《广西壮族自治区建筑工程文明施工导则》要求。无实现现场文明施工目标的承诺。</w:t>
            </w:r>
          </w:p>
          <w:p w14:paraId="61305392">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二档（</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有现场文明施工、环境保护措施，且措施内容达到《建筑施工安全生产检查标准》（JGJ59-2011）合格标准并符合《广西壮族自治区建筑工程文明施工导则》要求。有实现现场文明施工目标的承诺。</w:t>
            </w:r>
          </w:p>
          <w:p w14:paraId="12E16BEE">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三档（</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针对本工程项目特点，有现场文明施工、环境保护措施，且措施内容达到《建筑施工安全生产检查标准》（JGJ59-2011）合格标准并符合《广西壮族自治区建筑工程文明施工导则》要求。有实现现场文明施工目标的承诺。</w:t>
            </w:r>
          </w:p>
          <w:p w14:paraId="5EF1B4C8">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档（</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针对本工程项目特点，有现场文明施工、环境保护措施，且措施内容达到《建筑施工安全生产检查标准》（JGJ59-2011）合格标准并符合《广西壮族自治区建筑工程文明施工导则》要求。各项措施周全、具体、有效。有具体实现现场文明施工目标的承诺。</w:t>
            </w:r>
          </w:p>
          <w:p w14:paraId="27C49EB0">
            <w:pPr>
              <w:pStyle w:val="51"/>
              <w:ind w:left="0" w:leftChars="0" w:firstLine="480" w:firstLineChars="200"/>
              <w:rPr>
                <w:rFonts w:hint="default" w:eastAsia="仿宋"/>
                <w:color w:val="auto"/>
                <w:highlight w:val="none"/>
                <w:lang w:val="en-US" w:eastAsia="zh-CN"/>
              </w:rPr>
            </w:pPr>
            <w:r>
              <w:rPr>
                <w:rFonts w:hint="eastAsia" w:ascii="仿宋" w:hAnsi="仿宋" w:eastAsia="仿宋" w:cs="仿宋"/>
                <w:b w:val="0"/>
                <w:bCs w:val="0"/>
                <w:color w:val="auto"/>
                <w:sz w:val="24"/>
                <w:szCs w:val="24"/>
                <w:highlight w:val="none"/>
                <w:lang w:val="en-US" w:eastAsia="zh-CN"/>
              </w:rPr>
              <w:t>注：不提供不得分。</w:t>
            </w:r>
          </w:p>
          <w:p w14:paraId="57DC4E58">
            <w:pPr>
              <w:pStyle w:val="29"/>
              <w:keepNext w:val="0"/>
              <w:keepLines w:val="0"/>
              <w:pageBreakBefore w:val="0"/>
              <w:widowControl w:val="0"/>
              <w:kinsoku/>
              <w:wordWrap/>
              <w:overflowPunct/>
              <w:topLinePunct w:val="0"/>
              <w:bidi w:val="0"/>
              <w:adjustRightInd w:val="0"/>
              <w:snapToGrid w:val="0"/>
              <w:spacing w:line="360" w:lineRule="auto"/>
              <w:ind w:firstLine="482" w:firstLineChars="200"/>
              <w:jc w:val="left"/>
              <w:rPr>
                <w:rFonts w:hint="eastAsia" w:ascii="仿宋" w:hAnsi="仿宋" w:eastAsia="仿宋" w:cs="仿宋"/>
                <w:b/>
                <w:bCs w:val="0"/>
                <w:color w:val="auto"/>
                <w:sz w:val="24"/>
                <w:szCs w:val="24"/>
                <w:highlight w:val="none"/>
                <w:lang w:val="zh-CN"/>
              </w:rPr>
            </w:pPr>
            <w:r>
              <w:rPr>
                <w:rFonts w:hint="eastAsia" w:ascii="仿宋" w:hAnsi="仿宋" w:eastAsia="仿宋" w:cs="仿宋"/>
                <w:b/>
                <w:bCs w:val="0"/>
                <w:snapToGrid w:val="0"/>
                <w:color w:val="auto"/>
                <w:sz w:val="24"/>
                <w:szCs w:val="24"/>
                <w:highlight w:val="none"/>
                <w:lang w:eastAsia="zh-CN"/>
              </w:rPr>
              <w:t>（</w:t>
            </w:r>
            <w:r>
              <w:rPr>
                <w:rFonts w:hint="eastAsia" w:ascii="仿宋" w:hAnsi="仿宋" w:eastAsia="仿宋" w:cs="仿宋"/>
                <w:b/>
                <w:bCs w:val="0"/>
                <w:snapToGrid w:val="0"/>
                <w:color w:val="auto"/>
                <w:sz w:val="24"/>
                <w:szCs w:val="24"/>
                <w:highlight w:val="none"/>
                <w:lang w:val="en-US" w:eastAsia="zh-CN"/>
              </w:rPr>
              <w:t>8</w:t>
            </w:r>
            <w:r>
              <w:rPr>
                <w:rFonts w:hint="eastAsia" w:ascii="仿宋" w:hAnsi="仿宋" w:eastAsia="仿宋" w:cs="仿宋"/>
                <w:b/>
                <w:bCs w:val="0"/>
                <w:snapToGrid w:val="0"/>
                <w:color w:val="auto"/>
                <w:sz w:val="24"/>
                <w:szCs w:val="24"/>
                <w:highlight w:val="none"/>
                <w:lang w:eastAsia="zh-CN"/>
              </w:rPr>
              <w:t>）</w:t>
            </w:r>
            <w:r>
              <w:rPr>
                <w:rFonts w:hint="eastAsia" w:ascii="仿宋" w:hAnsi="仿宋" w:eastAsia="仿宋" w:cs="仿宋"/>
                <w:b/>
                <w:bCs w:val="0"/>
                <w:snapToGrid w:val="0"/>
                <w:color w:val="auto"/>
                <w:sz w:val="24"/>
                <w:szCs w:val="24"/>
                <w:highlight w:val="none"/>
                <w:lang w:val="en-US" w:eastAsia="zh-CN"/>
              </w:rPr>
              <w:t>工程施工的重点和难点及保证措施</w:t>
            </w:r>
            <w:r>
              <w:rPr>
                <w:rFonts w:hint="eastAsia" w:ascii="仿宋" w:hAnsi="仿宋" w:eastAsia="仿宋" w:cs="仿宋"/>
                <w:b/>
                <w:bCs w:val="0"/>
                <w:snapToGrid w:val="0"/>
                <w:color w:val="auto"/>
                <w:sz w:val="24"/>
                <w:szCs w:val="24"/>
                <w:highlight w:val="none"/>
              </w:rPr>
              <w:t>（满分</w:t>
            </w:r>
            <w:r>
              <w:rPr>
                <w:rFonts w:hint="eastAsia" w:ascii="仿宋" w:hAnsi="仿宋" w:eastAsia="仿宋" w:cs="仿宋"/>
                <w:b/>
                <w:bCs w:val="0"/>
                <w:snapToGrid w:val="0"/>
                <w:color w:val="auto"/>
                <w:sz w:val="24"/>
                <w:szCs w:val="24"/>
                <w:highlight w:val="none"/>
                <w:lang w:val="en-US" w:eastAsia="zh-CN"/>
              </w:rPr>
              <w:t>5</w:t>
            </w:r>
            <w:r>
              <w:rPr>
                <w:rFonts w:hint="eastAsia" w:ascii="仿宋" w:hAnsi="仿宋" w:eastAsia="仿宋" w:cs="仿宋"/>
                <w:b/>
                <w:bCs w:val="0"/>
                <w:snapToGrid w:val="0"/>
                <w:color w:val="auto"/>
                <w:sz w:val="24"/>
                <w:szCs w:val="24"/>
                <w:highlight w:val="none"/>
              </w:rPr>
              <w:t>分）</w:t>
            </w:r>
          </w:p>
          <w:p w14:paraId="4A781BD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对项目关键技术有表述，对重点、难点有建议，解决方案不可行。</w:t>
            </w:r>
          </w:p>
          <w:p w14:paraId="053270E1">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二档（</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对项目关键技术有一定了解，对重点、难点有建议，解决方案基本可行。</w:t>
            </w:r>
          </w:p>
          <w:p w14:paraId="7E54C2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三档（</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：对项目关键技术、工艺有深入的表述，对重点、难点有合理的建议，解决方案经济、安全、基本可行</w:t>
            </w:r>
            <w:r>
              <w:rPr>
                <w:rFonts w:hint="default" w:ascii="仿宋" w:hAnsi="仿宋" w:eastAsia="仿宋" w:cs="仿宋"/>
                <w:color w:val="auto"/>
                <w:sz w:val="24"/>
                <w:szCs w:val="24"/>
                <w:highlight w:val="none"/>
                <w:lang w:val="en-US" w:eastAsia="zh-CN"/>
              </w:rPr>
              <w:t>。</w:t>
            </w:r>
          </w:p>
          <w:p w14:paraId="096804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档（</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对项目关键技术、工艺有深入的表述，对重点、难点有先进合理的施工措施并有可行的安全措施，解决方案完整、经济、安全、切实可行，措施得力。</w:t>
            </w:r>
          </w:p>
          <w:p w14:paraId="40363275">
            <w:pPr>
              <w:pStyle w:val="5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注：不提供不得分。</w:t>
            </w:r>
          </w:p>
          <w:p w14:paraId="119DE97C">
            <w:pPr>
              <w:pStyle w:val="29"/>
              <w:keepNext w:val="0"/>
              <w:keepLines w:val="0"/>
              <w:pageBreakBefore w:val="0"/>
              <w:widowControl w:val="0"/>
              <w:kinsoku/>
              <w:wordWrap/>
              <w:overflowPunct/>
              <w:topLinePunct w:val="0"/>
              <w:bidi w:val="0"/>
              <w:adjustRightInd w:val="0"/>
              <w:snapToGrid w:val="0"/>
              <w:spacing w:line="360" w:lineRule="auto"/>
              <w:ind w:firstLine="482" w:firstLineChars="200"/>
              <w:jc w:val="left"/>
              <w:rPr>
                <w:rFonts w:hint="eastAsia" w:ascii="仿宋" w:hAnsi="仿宋" w:eastAsia="仿宋" w:cs="仿宋"/>
                <w:b/>
                <w:bCs w:val="0"/>
                <w:color w:val="auto"/>
                <w:sz w:val="24"/>
                <w:szCs w:val="24"/>
                <w:highlight w:val="none"/>
                <w:lang w:val="zh-CN"/>
              </w:rPr>
            </w:pPr>
            <w:r>
              <w:rPr>
                <w:rFonts w:hint="eastAsia" w:ascii="仿宋" w:hAnsi="仿宋" w:eastAsia="仿宋" w:cs="仿宋"/>
                <w:b/>
                <w:bCs w:val="0"/>
                <w:snapToGrid w:val="0"/>
                <w:color w:val="auto"/>
                <w:sz w:val="24"/>
                <w:szCs w:val="24"/>
                <w:highlight w:val="none"/>
                <w:lang w:eastAsia="zh-CN"/>
              </w:rPr>
              <w:t>（</w:t>
            </w:r>
            <w:r>
              <w:rPr>
                <w:rFonts w:hint="eastAsia" w:ascii="仿宋" w:hAnsi="仿宋" w:eastAsia="仿宋" w:cs="仿宋"/>
                <w:b/>
                <w:bCs w:val="0"/>
                <w:snapToGrid w:val="0"/>
                <w:color w:val="auto"/>
                <w:sz w:val="24"/>
                <w:szCs w:val="24"/>
                <w:highlight w:val="none"/>
                <w:lang w:val="en-US" w:eastAsia="zh-CN"/>
              </w:rPr>
              <w:t>9</w:t>
            </w:r>
            <w:r>
              <w:rPr>
                <w:rFonts w:hint="eastAsia" w:ascii="仿宋" w:hAnsi="仿宋" w:eastAsia="仿宋" w:cs="仿宋"/>
                <w:b/>
                <w:bCs w:val="0"/>
                <w:snapToGrid w:val="0"/>
                <w:color w:val="auto"/>
                <w:sz w:val="24"/>
                <w:szCs w:val="24"/>
                <w:highlight w:val="none"/>
                <w:lang w:eastAsia="zh-CN"/>
              </w:rPr>
              <w:t>）</w:t>
            </w:r>
            <w:r>
              <w:rPr>
                <w:rFonts w:hint="eastAsia" w:ascii="仿宋" w:hAnsi="仿宋" w:eastAsia="仿宋" w:cs="仿宋"/>
                <w:b/>
                <w:bCs w:val="0"/>
                <w:snapToGrid w:val="0"/>
                <w:color w:val="auto"/>
                <w:sz w:val="24"/>
                <w:szCs w:val="24"/>
                <w:highlight w:val="none"/>
                <w:lang w:val="en-US" w:eastAsia="zh-CN"/>
              </w:rPr>
              <w:t>针对本项目停电的应急预案</w:t>
            </w:r>
            <w:r>
              <w:rPr>
                <w:rFonts w:hint="eastAsia" w:ascii="仿宋" w:hAnsi="仿宋" w:eastAsia="仿宋" w:cs="仿宋"/>
                <w:b/>
                <w:bCs w:val="0"/>
                <w:snapToGrid w:val="0"/>
                <w:color w:val="auto"/>
                <w:sz w:val="24"/>
                <w:szCs w:val="24"/>
                <w:highlight w:val="none"/>
              </w:rPr>
              <w:t>（满分</w:t>
            </w:r>
            <w:r>
              <w:rPr>
                <w:rFonts w:hint="eastAsia" w:ascii="仿宋" w:hAnsi="仿宋" w:eastAsia="仿宋" w:cs="仿宋"/>
                <w:b/>
                <w:bCs w:val="0"/>
                <w:snapToGrid w:val="0"/>
                <w:color w:val="auto"/>
                <w:sz w:val="24"/>
                <w:szCs w:val="24"/>
                <w:highlight w:val="none"/>
                <w:lang w:val="en-US" w:eastAsia="zh-CN"/>
              </w:rPr>
              <w:t>5</w:t>
            </w:r>
            <w:r>
              <w:rPr>
                <w:rFonts w:hint="eastAsia" w:ascii="仿宋" w:hAnsi="仿宋" w:eastAsia="仿宋" w:cs="仿宋"/>
                <w:b/>
                <w:bCs w:val="0"/>
                <w:snapToGrid w:val="0"/>
                <w:color w:val="auto"/>
                <w:sz w:val="24"/>
                <w:szCs w:val="24"/>
                <w:highlight w:val="none"/>
              </w:rPr>
              <w:t>分）</w:t>
            </w:r>
          </w:p>
          <w:p w14:paraId="54EC59E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明确承诺停电时间不超过1天并提供能够恢复供电、保证生产的应急预案。</w:t>
            </w:r>
          </w:p>
          <w:p w14:paraId="47DC432A">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二档（</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在一档的基础上，应急预案中有明确的拟投入应急供电设备型号及实物图片或协调供电部门提供应急供电设备承诺。</w:t>
            </w:r>
          </w:p>
          <w:p w14:paraId="280F3D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三档（</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：在二档的基础上，应急预案中有具体计算供电功率满足采购人实际情况使用电量计算过程并证实其拟投入应急供电设备能满足此要求</w:t>
            </w:r>
            <w:r>
              <w:rPr>
                <w:rFonts w:hint="default" w:ascii="仿宋" w:hAnsi="仿宋" w:eastAsia="仿宋" w:cs="仿宋"/>
                <w:color w:val="auto"/>
                <w:sz w:val="24"/>
                <w:szCs w:val="24"/>
                <w:highlight w:val="none"/>
                <w:lang w:val="en-US" w:eastAsia="zh-CN"/>
              </w:rPr>
              <w:t>。</w:t>
            </w:r>
          </w:p>
          <w:p w14:paraId="2C359F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档（</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在三档基础上，承诺停电时间不超过12小时。</w:t>
            </w:r>
          </w:p>
          <w:p w14:paraId="1761024E">
            <w:pPr>
              <w:pStyle w:val="51"/>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color w:val="auto"/>
                <w:highlight w:val="none"/>
                <w:lang w:val="en-US" w:eastAsia="zh-CN"/>
              </w:rPr>
            </w:pPr>
            <w:r>
              <w:rPr>
                <w:rFonts w:hint="eastAsia" w:ascii="仿宋" w:hAnsi="仿宋" w:eastAsia="仿宋" w:cs="仿宋"/>
                <w:b w:val="0"/>
                <w:bCs w:val="0"/>
                <w:color w:val="auto"/>
                <w:sz w:val="24"/>
                <w:szCs w:val="24"/>
                <w:highlight w:val="none"/>
                <w:lang w:val="en-US" w:eastAsia="zh-CN"/>
              </w:rPr>
              <w:t>注：不提供不得分。</w:t>
            </w:r>
          </w:p>
        </w:tc>
      </w:tr>
      <w:tr w14:paraId="5DD4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noWrap w:val="0"/>
            <w:vAlign w:val="center"/>
          </w:tcPr>
          <w:p w14:paraId="5C7CE27D">
            <w:pPr>
              <w:keepNext w:val="0"/>
              <w:keepLines w:val="0"/>
              <w:pageBreakBefore w:val="0"/>
              <w:widowControl w:val="0"/>
              <w:kinsoku/>
              <w:wordWrap/>
              <w:overflowPunct/>
              <w:topLinePunct w:val="0"/>
              <w:autoSpaceDE/>
              <w:autoSpaceDN/>
              <w:bidi w:val="0"/>
              <w:adjustRightInd w:val="0"/>
              <w:snapToGrid/>
              <w:spacing w:line="360" w:lineRule="auto"/>
              <w:ind w:left="0" w:leftChars="0"/>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p>
        </w:tc>
        <w:tc>
          <w:tcPr>
            <w:tcW w:w="1280" w:type="dxa"/>
            <w:noWrap w:val="0"/>
            <w:vAlign w:val="center"/>
          </w:tcPr>
          <w:p w14:paraId="52002457">
            <w:pPr>
              <w:keepNext w:val="0"/>
              <w:keepLines w:val="0"/>
              <w:pageBreakBefore w:val="0"/>
              <w:widowControl w:val="0"/>
              <w:kinsoku/>
              <w:wordWrap/>
              <w:overflowPunct/>
              <w:topLinePunct w:val="0"/>
              <w:autoSpaceDE/>
              <w:autoSpaceDN/>
              <w:bidi w:val="0"/>
              <w:adjustRightInd w:val="0"/>
              <w:snapToGrid/>
              <w:spacing w:line="360" w:lineRule="auto"/>
              <w:ind w:left="0" w:leftChars="0"/>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商务部分</w:t>
            </w:r>
          </w:p>
        </w:tc>
        <w:tc>
          <w:tcPr>
            <w:tcW w:w="772" w:type="dxa"/>
            <w:noWrap w:val="0"/>
            <w:vAlign w:val="center"/>
          </w:tcPr>
          <w:p w14:paraId="01891FCC">
            <w:pPr>
              <w:keepNext w:val="0"/>
              <w:keepLines w:val="0"/>
              <w:pageBreakBefore w:val="0"/>
              <w:widowControl w:val="0"/>
              <w:kinsoku/>
              <w:wordWrap/>
              <w:overflowPunct/>
              <w:topLinePunct w:val="0"/>
              <w:autoSpaceDE/>
              <w:autoSpaceDN/>
              <w:bidi w:val="0"/>
              <w:adjustRightInd w:val="0"/>
              <w:snapToGrid/>
              <w:spacing w:line="360" w:lineRule="auto"/>
              <w:ind w:left="0" w:leftChars="0"/>
              <w:jc w:val="center"/>
              <w:textAlignment w:val="baseline"/>
              <w:rPr>
                <w:rFonts w:hint="eastAsia" w:eastAsia="仿宋"/>
                <w:color w:val="auto"/>
                <w:highlight w:val="none"/>
                <w:lang w:val="en-US" w:eastAsia="zh-CN"/>
              </w:rPr>
            </w:pPr>
            <w:r>
              <w:rPr>
                <w:rFonts w:hint="eastAsia" w:ascii="仿宋" w:hAnsi="仿宋" w:eastAsia="仿宋" w:cs="仿宋"/>
                <w:b/>
                <w:strike w:val="0"/>
                <w:dstrike w:val="0"/>
                <w:color w:val="auto"/>
                <w:sz w:val="24"/>
                <w:szCs w:val="24"/>
                <w:highlight w:val="none"/>
                <w:lang w:val="en-US" w:eastAsia="zh-CN"/>
              </w:rPr>
              <w:t>18分</w:t>
            </w:r>
          </w:p>
        </w:tc>
        <w:tc>
          <w:tcPr>
            <w:tcW w:w="6906" w:type="dxa"/>
            <w:noWrap w:val="0"/>
            <w:vAlign w:val="center"/>
          </w:tcPr>
          <w:p w14:paraId="78D500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1.项目管理人员机构情况</w:t>
            </w:r>
          </w:p>
          <w:p w14:paraId="1B6F4E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（1）项目经理：中级（含）职称及以上得4分；初级职称得2分。</w:t>
            </w:r>
          </w:p>
          <w:p w14:paraId="223F0D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注:需提供相关人员职称证书复印件，否则不计分。</w:t>
            </w:r>
          </w:p>
          <w:p w14:paraId="46BDC0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（2）其他主要人员</w:t>
            </w:r>
          </w:p>
          <w:p w14:paraId="032203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①拟派驻技术负责人具有机电工程师等相关专业中级或以上职称，本项得分2分。</w:t>
            </w:r>
          </w:p>
          <w:p w14:paraId="4269F8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②拟投入本工程的施工员、质量员、材料员、预算员配备齐全且全部持证上岗，具备相应岗位资格证书。每满足一人得2分，本项满分为8分。</w:t>
            </w:r>
          </w:p>
          <w:p w14:paraId="115BAC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注:需提供相关人员的岗位证书复印件，否则不计分。</w:t>
            </w:r>
          </w:p>
          <w:p w14:paraId="1C25FA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仿宋"/>
                <w:color w:val="auto"/>
                <w:highlight w:val="none"/>
                <w:lang w:val="en-US" w:eastAsia="zh-CN"/>
              </w:rPr>
            </w:pPr>
            <w:r>
              <w:rPr>
                <w:rFonts w:hint="eastAsia" w:ascii="仿宋" w:hAnsi="仿宋" w:eastAsia="仿宋" w:cs="仿宋"/>
                <w:color w:val="auto"/>
                <w:sz w:val="24"/>
                <w:szCs w:val="24"/>
                <w:highlight w:val="none"/>
                <w:lang w:val="en-US" w:eastAsia="zh-CN"/>
              </w:rPr>
              <w:t>2.企业业绩：自2022年1月1日至响应文件递交截止之日供应商的类似项目的业绩，每具有一份得1分，满分得4分（已完工项目在响应文件中提供施工合同及竣工验收等证明文件、未完工项目在响应文件中提供施工合同及中标通知书等证明文件复印件，加盖供应商单位公章，否则不得分)。</w:t>
            </w:r>
          </w:p>
        </w:tc>
      </w:tr>
      <w:tr w14:paraId="041E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8" w:type="dxa"/>
            <w:gridSpan w:val="4"/>
            <w:noWrap w:val="0"/>
            <w:vAlign w:val="center"/>
          </w:tcPr>
          <w:p w14:paraId="44E63B74">
            <w:pPr>
              <w:pStyle w:val="29"/>
              <w:spacing w:line="360" w:lineRule="auto"/>
              <w:rPr>
                <w:rFonts w:hint="eastAsia" w:ascii="仿宋" w:hAnsi="仿宋" w:eastAsia="仿宋" w:cs="仿宋"/>
                <w:bCs/>
                <w:color w:val="auto"/>
                <w:kern w:val="2"/>
                <w:sz w:val="24"/>
                <w:szCs w:val="24"/>
                <w:highlight w:val="none"/>
              </w:rPr>
            </w:pPr>
            <w:r>
              <w:rPr>
                <w:rFonts w:hint="eastAsia" w:ascii="仿宋" w:hAnsi="仿宋" w:eastAsia="仿宋" w:cs="仿宋"/>
                <w:b/>
                <w:bCs/>
                <w:color w:val="auto"/>
                <w:kern w:val="2"/>
                <w:sz w:val="24"/>
                <w:szCs w:val="24"/>
                <w:highlight w:val="none"/>
              </w:rPr>
              <w:t>总得分=1+2+3</w:t>
            </w:r>
          </w:p>
        </w:tc>
      </w:tr>
    </w:tbl>
    <w:p w14:paraId="79A124C7">
      <w:pPr>
        <w:spacing w:line="360" w:lineRule="auto"/>
        <w:ind w:firstLine="482" w:firstLineChars="200"/>
        <w:rPr>
          <w:rFonts w:ascii="仿宋_GB2312" w:eastAsia="仿宋_GB2312"/>
          <w:b/>
          <w:color w:val="auto"/>
          <w:sz w:val="24"/>
          <w:highlight w:val="none"/>
        </w:rPr>
      </w:pPr>
    </w:p>
    <w:p w14:paraId="1348BC1F">
      <w:pPr>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三、成交候选供应商推荐原则</w:t>
      </w:r>
    </w:p>
    <w:p w14:paraId="0514D0F2">
      <w:pPr>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_GB2312" w:hAnsi="仿宋_GB2312" w:eastAsia="仿宋_GB2312" w:cs="仿宋_GB2312"/>
          <w:b/>
          <w:bCs/>
          <w:color w:val="auto"/>
          <w:sz w:val="24"/>
          <w:highlight w:val="none"/>
        </w:rPr>
      </w:pPr>
      <w:r>
        <w:rPr>
          <w:rFonts w:hint="eastAsia" w:ascii="仿宋_GB2312" w:hAnsi="仿宋_GB2312" w:eastAsia="仿宋_GB2312" w:cs="仿宋_GB2312"/>
          <w:b/>
          <w:color w:val="auto"/>
          <w:sz w:val="24"/>
          <w:highlight w:val="none"/>
        </w:rPr>
        <w:t>竞争性磋商响应文件在质量和服务均能满足竞争性磋商文件实质性响应要求时，磋商小组将根据得分由高到低排列次序（得分相同时，以最后</w:t>
      </w:r>
      <w:r>
        <w:rPr>
          <w:rFonts w:hint="eastAsia" w:ascii="仿宋_GB2312" w:hAnsi="仿宋_GB2312" w:eastAsia="仿宋_GB2312" w:cs="仿宋_GB2312"/>
          <w:b/>
          <w:color w:val="auto"/>
          <w:sz w:val="24"/>
          <w:highlight w:val="none"/>
          <w:lang w:val="en-US" w:eastAsia="zh-CN"/>
        </w:rPr>
        <w:t>报价（不计算价格折扣）由低到高顺序排列；得分相同且最后报价（不计算价格折扣）相同的，按技术指标优劣顺序排列）并推荐3名及</w:t>
      </w:r>
      <w:r>
        <w:rPr>
          <w:rFonts w:hint="eastAsia" w:ascii="仿宋_GB2312" w:hAnsi="仿宋_GB2312" w:eastAsia="仿宋_GB2312" w:cs="仿宋_GB2312"/>
          <w:b/>
          <w:color w:val="auto"/>
          <w:sz w:val="24"/>
          <w:highlight w:val="none"/>
        </w:rPr>
        <w:t>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color w:val="auto"/>
          <w:sz w:val="24"/>
          <w:highlight w:val="none"/>
        </w:rPr>
        <w:t>采购人或采购代理机构应将该情况报政府采购监督管理部门，从合格的成交候选供应商中另行确定成交供应商或重新开展政府采购活动。</w:t>
      </w:r>
    </w:p>
    <w:p w14:paraId="4171CA1A">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color w:val="auto"/>
          <w:sz w:val="24"/>
          <w:highlight w:val="none"/>
          <w:lang w:val="en-US" w:eastAsia="zh-CN"/>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bookmarkEnd w:id="75"/>
    </w:p>
    <w:p w14:paraId="64E7B86D">
      <w:pPr>
        <w:rPr>
          <w:rFonts w:hint="eastAsia" w:ascii="宋体" w:hAnsi="宋体"/>
          <w:color w:val="auto"/>
          <w:sz w:val="32"/>
          <w:highlight w:val="none"/>
          <w:lang w:val="en-US" w:eastAsia="zh-CN"/>
        </w:rPr>
      </w:pPr>
      <w:r>
        <w:rPr>
          <w:rFonts w:hint="eastAsia" w:ascii="宋体" w:hAnsi="宋体"/>
          <w:color w:val="auto"/>
          <w:sz w:val="32"/>
          <w:highlight w:val="none"/>
          <w:lang w:val="en-US" w:eastAsia="zh-CN"/>
        </w:rPr>
        <w:br w:type="page"/>
      </w:r>
    </w:p>
    <w:p w14:paraId="13262868">
      <w:pPr>
        <w:pStyle w:val="3"/>
        <w:keepNext/>
        <w:keepLines/>
        <w:pageBreakBefore w:val="0"/>
        <w:widowControl w:val="0"/>
        <w:kinsoku/>
        <w:wordWrap/>
        <w:overflowPunct/>
        <w:topLinePunct w:val="0"/>
        <w:autoSpaceDE/>
        <w:autoSpaceDN/>
        <w:bidi w:val="0"/>
        <w:adjustRightInd/>
        <w:snapToGrid/>
        <w:spacing w:before="0" w:after="0" w:line="579" w:lineRule="auto"/>
        <w:jc w:val="center"/>
        <w:textAlignment w:val="auto"/>
        <w:outlineLvl w:val="0"/>
        <w:rPr>
          <w:rFonts w:hint="default" w:ascii="宋体" w:hAnsi="宋体" w:eastAsia="宋体"/>
          <w:color w:val="auto"/>
          <w:sz w:val="32"/>
          <w:highlight w:val="none"/>
          <w:lang w:val="en-US" w:eastAsia="zh-CN"/>
        </w:rPr>
      </w:pPr>
      <w:bookmarkStart w:id="76" w:name="_Toc14673"/>
      <w:r>
        <w:rPr>
          <w:rFonts w:hint="eastAsia" w:ascii="宋体" w:hAnsi="宋体"/>
          <w:color w:val="auto"/>
          <w:sz w:val="32"/>
          <w:highlight w:val="none"/>
          <w:lang w:val="en-US" w:eastAsia="zh-CN"/>
        </w:rPr>
        <w:t>第五章  工程量清单及图纸</w:t>
      </w:r>
      <w:bookmarkEnd w:id="76"/>
    </w:p>
    <w:p w14:paraId="5CBAB565">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1.工程量清单编制说明</w:t>
      </w:r>
    </w:p>
    <w:p w14:paraId="38E3B5DC">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rPr>
        <w:t>本工程量清单依据《建设工程工程量清单计价规范》GB50500-2013及《建设工程工程量清单计价规范广西壮族自治区实施细则》（BG50500-2013）、《建设工程工程量计算规范》（GB50854～50862-2013）、《建设工程工程量计算规范广西壮族自治区实施细则(修订本)》（GB50854～50862-2013）、《广西壮族自治区安装拆除工程消耗量定额》（2013）、《广西壮族自治区安装工程消耗量定额》（2023）、《广西壮族自治区市政工程消耗量定额》（2022）及其配套相关工程费用定额</w:t>
      </w:r>
      <w:r>
        <w:rPr>
          <w:rFonts w:hint="eastAsia" w:ascii="仿宋" w:hAnsi="仿宋" w:eastAsia="仿宋" w:cs="仿宋"/>
          <w:color w:val="auto"/>
          <w:sz w:val="24"/>
          <w:szCs w:val="24"/>
          <w:highlight w:val="none"/>
          <w:lang w:eastAsia="zh-CN"/>
        </w:rPr>
        <w:t>、《关于调整建设工程定额人工费及有关费率的通知》(桂建标[2023]7号)、《自治区住房城乡建设厅关于颁布2016（广西壮族自治区建设工程费用定额）的通知》（桂建标[2016]16号）、《自治区住房城乡建设厅关于调整建设工程计价增值税税率的通知》(桂建标[2019]10号)、《关于印发广西壮族自治区房屋建筑和市政基础设施工程安全生产责任保险计价规定的通知》（桂建发〔2023〕6号）、</w:t>
      </w:r>
      <w:r>
        <w:rPr>
          <w:rFonts w:hint="eastAsia" w:ascii="仿宋" w:hAnsi="仿宋" w:eastAsia="仿宋" w:cs="仿宋"/>
          <w:color w:val="auto"/>
          <w:sz w:val="24"/>
          <w:szCs w:val="24"/>
          <w:highlight w:val="none"/>
        </w:rPr>
        <w:t>磋商文件、施工图等编制。</w:t>
      </w:r>
      <w:r>
        <w:rPr>
          <w:rFonts w:hint="eastAsia" w:ascii="仿宋" w:hAnsi="仿宋" w:eastAsia="仿宋" w:cs="仿宋"/>
          <w:color w:val="auto"/>
          <w:sz w:val="24"/>
          <w:szCs w:val="24"/>
          <w:highlight w:val="none"/>
        </w:rPr>
        <w:t>计算规范中没有的清单项目，应在本章第1.4款约定。</w:t>
      </w:r>
    </w:p>
    <w:p w14:paraId="0E0B4F53">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1.2工程量清单应与供应商须知、合同协议条款、合同的通用条款、合同专用条款、技术规范及图纸等文件一起结合使用。</w:t>
      </w:r>
    </w:p>
    <w:p w14:paraId="51552EE9">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1.3工程量清单是磋商文件的组成部分，是工程量清单计价的基础，作为编制招标控制价、</w:t>
      </w:r>
      <w:r>
        <w:rPr>
          <w:rFonts w:hint="eastAsia" w:ascii="仿宋" w:hAnsi="仿宋" w:eastAsia="仿宋" w:cs="仿宋"/>
          <w:color w:val="auto"/>
          <w:sz w:val="24"/>
          <w:szCs w:val="24"/>
          <w:highlight w:val="none"/>
          <w:lang w:val="en-US" w:eastAsia="zh-CN"/>
        </w:rPr>
        <w:t>竞标</w:t>
      </w:r>
      <w:r>
        <w:rPr>
          <w:rFonts w:hint="eastAsia" w:ascii="仿宋" w:hAnsi="仿宋" w:eastAsia="仿宋" w:cs="仿宋"/>
          <w:color w:val="auto"/>
          <w:sz w:val="24"/>
          <w:szCs w:val="24"/>
          <w:highlight w:val="none"/>
        </w:rPr>
        <w:t>报价、计算或调整工程量、索赔等的依据之一。</w:t>
      </w:r>
    </w:p>
    <w:p w14:paraId="61B4D5DC">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1.4补充清单项目的特征、计量单位、工程量计算规则及工作内容说明如下：</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0CD6C8B3">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1.5《允许调整主要材料和工程设备一览表》（表-22，表格编号为计价规范相应表格编号，下同）作为项目实施过程中材料和设备价格风险调整依据。</w:t>
      </w:r>
    </w:p>
    <w:p w14:paraId="4B80D0C9">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1.6本工程暂列金额（约按合同造价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以公布的控制价为准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计算），共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元，作为合同签订时尚未确定或者不可预见但施工中可能发生的费用。</w:t>
      </w:r>
    </w:p>
    <w:p w14:paraId="05572CA0">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1.7本工程发包人提供的材料和设备详见《发包人提供的主要材料和工程设备一览表》（表-21）。</w:t>
      </w:r>
    </w:p>
    <w:p w14:paraId="7CAB4F84">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1.8本工程部分材料和设备在招标时作为暂估价计列，结算按实调整，具体内容详见《材料（工程设备）暂估单价及调整表》（表12-2）。</w:t>
      </w:r>
    </w:p>
    <w:p w14:paraId="5A18788A">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1.9招标时暂估专业工程的价款属于暂估价，结算按实调整，具体内容详见《专业工程暂估价及结算价表》（表12-3）。</w:t>
      </w:r>
    </w:p>
    <w:p w14:paraId="40839048">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1.10本工程量清单编码处标注“*”号的清单项目作为主要清单项目，需要供应商提供《主要清单项目工料机分析表》（表-10）。</w:t>
      </w:r>
    </w:p>
    <w:p w14:paraId="760B15B7">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1.11其它需要说明的问题：</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5D691A98">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工程量清单与磋商文件同时发布。一般计税法建设工程的工程量清单表格按《关于建筑业实施营业税改征增值税后广西壮族自治区建设工程计价依据调整的通知》（桂建标〔2016〕17号）附件“增值税一般计税方法工程计价表”要求提供；简易计税法建设工程按照《计价规范》要求的表格提供，但规费和税费要按照《关于建筑业实施营业税改征增值税后广西壮族自治区建设工程计价依据调整的通知》（桂建标〔2016〕17号）要求调整，具体包括：</w:t>
      </w:r>
    </w:p>
    <w:p w14:paraId="3261B26C">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1.1招标工程量清单（封-1）</w:t>
      </w:r>
    </w:p>
    <w:p w14:paraId="3EF5ABCB">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1.2招标工程量清单（封扉-1）</w:t>
      </w:r>
    </w:p>
    <w:p w14:paraId="5EB27E22">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1.3总说明（表-01）</w:t>
      </w:r>
    </w:p>
    <w:p w14:paraId="653398B5">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1.4建设项目投标报价汇总表（表-02）</w:t>
      </w:r>
    </w:p>
    <w:p w14:paraId="7D281BFE">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1.5单项工程投标报价汇总表（表-03）</w:t>
      </w:r>
    </w:p>
    <w:p w14:paraId="71B1EBEE">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1.6单位工程投标报价汇总表（表-04）</w:t>
      </w:r>
    </w:p>
    <w:p w14:paraId="4BEDA3DD">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1.7分部分项工程和单价措施项目清单与计价表（表-08）</w:t>
      </w:r>
    </w:p>
    <w:p w14:paraId="187B3D9E">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1.8总价措施项目清单与计价表（表-11）</w:t>
      </w:r>
    </w:p>
    <w:p w14:paraId="1840056D">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1.9其他项目清单与计价汇总表（表-12）</w:t>
      </w:r>
    </w:p>
    <w:p w14:paraId="3A64C2E2">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1.10暂列金额明细表（表12-1）</w:t>
      </w:r>
    </w:p>
    <w:p w14:paraId="385623DD">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1.11材料（工程设备）暂估单价及调整表（表12-2）</w:t>
      </w:r>
    </w:p>
    <w:p w14:paraId="464CB580">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1.12专业工程暂估价及结算价表（表12-3）</w:t>
      </w:r>
    </w:p>
    <w:p w14:paraId="4D2E6D7A">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1.13计日工表（表12-4）</w:t>
      </w:r>
    </w:p>
    <w:p w14:paraId="779E4CF0">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1.14总承包服务费计价表（表12-5）</w:t>
      </w:r>
    </w:p>
    <w:p w14:paraId="623CB5FB">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1.15税前项目清单与计价表（表-14）</w:t>
      </w:r>
    </w:p>
    <w:p w14:paraId="53375A6C">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1.16规费、增值税计价表（表-15）</w:t>
      </w:r>
    </w:p>
    <w:p w14:paraId="1A445D26">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1.17发包人提供主要材料和工程设备一览表（表-21）</w:t>
      </w:r>
    </w:p>
    <w:p w14:paraId="671D6ABB">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1.18允许调整主要材料和工程设备一览表（适用于造价信息差额调整法）（表-22）</w:t>
      </w:r>
    </w:p>
    <w:p w14:paraId="2FC503EB">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1.19允许调整主要材料和工程设备一览表（适用于价格指数差额调整法）（表-23）</w:t>
      </w:r>
    </w:p>
    <w:p w14:paraId="6EE9209F">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1.20本工程材料和工程设备一览表（表-24）</w:t>
      </w:r>
    </w:p>
    <w:p w14:paraId="687656F3">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如本工程在合同中约定采用造价信息价差调整法，1.18允许调整主要材料和工程设备一览表（适用于造价信息差额调整法）（表-22）载明的主要材料和工程设备为本工程允许调整材料和工程设备，工程量清单必须提供该表格，并应载明允许调整材料和工程设备名称型号规格、单位、风险系数、基准单价等内容，且不能提供空白表。</w:t>
      </w:r>
    </w:p>
    <w:p w14:paraId="6CCCF538">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以下表格视工程实际需要选用，如该工程不发生如下表格相关项目和费用，所编制工程量清单则不需列入相应表格：</w:t>
      </w:r>
    </w:p>
    <w:p w14:paraId="14B27E47">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①建设项目投标报价汇总表（表-02）</w:t>
      </w:r>
    </w:p>
    <w:p w14:paraId="4E7051F0">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②暂列金额明细表（表12-1）</w:t>
      </w:r>
    </w:p>
    <w:p w14:paraId="54E189C2">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③材料（工程设备）暂估单价及调整表（表12-2）</w:t>
      </w:r>
    </w:p>
    <w:p w14:paraId="31885D0C">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④专业工程暂估价表（表12-3）</w:t>
      </w:r>
    </w:p>
    <w:p w14:paraId="5C589649">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⑤计日工表（表12-4）</w:t>
      </w:r>
    </w:p>
    <w:p w14:paraId="2FB1DE1A">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⑥总承包服务费计价表（表12-5）</w:t>
      </w:r>
    </w:p>
    <w:p w14:paraId="30050DD3">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⑦税前项目清单与计价表（表-14）</w:t>
      </w:r>
    </w:p>
    <w:p w14:paraId="06BDD4B4">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⑧允许调整主要材料和工程设备一览表（适用于价格指数差额调整法）（表-23）</w:t>
      </w:r>
    </w:p>
    <w:p w14:paraId="4A682BA2">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2.招标控制价编制说明</w:t>
      </w:r>
    </w:p>
    <w:p w14:paraId="04197E01">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2.1招标控制价编制依据：</w:t>
      </w:r>
    </w:p>
    <w:p w14:paraId="2423C1F7">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t>建设工程工程量清单计价规范》GB50500-2013及《建设工程工程量清单计价规范广西壮族自治区实施细则》（BG50500-2013）、《建设工程工程量计算规范》（GB50854～50862-2013）、《建设工程工程量计算规范广西壮族自治区实施细则(修订本)》（GB50854～50862-2013）</w:t>
      </w:r>
      <w:r>
        <w:rPr>
          <w:rFonts w:hint="eastAsia" w:ascii="仿宋" w:hAnsi="仿宋" w:eastAsia="仿宋" w:cs="仿宋"/>
          <w:color w:val="auto"/>
          <w:sz w:val="24"/>
          <w:szCs w:val="24"/>
          <w:highlight w:val="none"/>
        </w:rPr>
        <w:t>；</w:t>
      </w:r>
    </w:p>
    <w:p w14:paraId="3CAC3538">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竞争性磋商</w:t>
      </w:r>
      <w:r>
        <w:rPr>
          <w:rFonts w:hint="eastAsia" w:ascii="仿宋" w:hAnsi="仿宋" w:eastAsia="仿宋" w:cs="仿宋"/>
          <w:color w:val="auto"/>
          <w:sz w:val="24"/>
          <w:szCs w:val="24"/>
          <w:highlight w:val="none"/>
        </w:rPr>
        <w:t>文件提供的工程量清单</w:t>
      </w:r>
      <w:r>
        <w:rPr>
          <w:rFonts w:hint="eastAsia" w:ascii="仿宋" w:hAnsi="仿宋" w:eastAsia="仿宋" w:cs="仿宋"/>
          <w:color w:val="auto"/>
          <w:sz w:val="24"/>
          <w:szCs w:val="24"/>
          <w:highlight w:val="none"/>
          <w:lang w:eastAsia="zh-CN"/>
        </w:rPr>
        <w:t>；</w:t>
      </w:r>
    </w:p>
    <w:p w14:paraId="156D0A91">
      <w:pPr>
        <w:pStyle w:val="41"/>
        <w:keepNext w:val="0"/>
        <w:keepLines w:val="0"/>
        <w:pageBreakBefore w:val="0"/>
        <w:widowControl w:val="0"/>
        <w:kinsoku/>
        <w:wordWrap/>
        <w:overflowPunct/>
        <w:topLinePunct w:val="0"/>
        <w:autoSpaceDE/>
        <w:autoSpaceDN/>
        <w:bidi w:val="0"/>
        <w:adjustRightInd/>
        <w:snapToGrid/>
        <w:spacing w:after="0" w:line="300" w:lineRule="auto"/>
        <w:ind w:left="0" w:leftChars="0" w:firstLine="420" w:firstLineChars="175"/>
        <w:textAlignment w:val="auto"/>
        <w:rPr>
          <w:rFonts w:hint="eastAsia"/>
          <w:color w:val="auto"/>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t>《广西壮族自治区安装拆除工程消耗量定额》（2013）、《广西壮族自治区安装工程消耗量定额》（2023）、《广西壮族自治区市政工程消耗量定额》（2022）及其配套相关工程费用定额</w:t>
      </w:r>
      <w:r>
        <w:rPr>
          <w:rFonts w:hint="eastAsia" w:ascii="仿宋" w:hAnsi="仿宋" w:eastAsia="仿宋" w:cs="仿宋"/>
          <w:color w:val="auto"/>
          <w:sz w:val="24"/>
          <w:szCs w:val="24"/>
          <w:highlight w:val="none"/>
          <w:lang w:eastAsia="zh-CN"/>
        </w:rPr>
        <w:t>、《关于调整建设工程定额人工费及有关费率的通知》(桂建标[2023]7号)、《自治区住房城乡建设厅关于颁布2016（广西壮族自治区建设工程费用定额）的通知》（桂建标[2016]16号）</w:t>
      </w:r>
      <w:r>
        <w:rPr>
          <w:rFonts w:hint="eastAsia" w:ascii="仿宋" w:hAnsi="仿宋" w:eastAsia="仿宋" w:cs="仿宋"/>
          <w:color w:val="auto"/>
          <w:sz w:val="24"/>
          <w:szCs w:val="24"/>
          <w:highlight w:val="none"/>
          <w:lang w:eastAsia="zh-CN"/>
        </w:rPr>
        <w:t>；</w:t>
      </w:r>
    </w:p>
    <w:p w14:paraId="45C05BC6">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）材料价格按《柳州市建设工程造价信息》</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年第</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rPr>
        <w:t>，造价信息中没有的材料单价按市场询价计取。</w:t>
      </w:r>
    </w:p>
    <w:p w14:paraId="27FF4524">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《自治区住房城乡建设厅关于调整建设工程计价增值税税率的通知》(桂建标[2019]10号)、《关于印发广西壮族自治区房屋建筑和市政基础设施工程安全生产责任保险计价规定的通知》（桂建发〔2023〕6号）</w:t>
      </w:r>
      <w:r>
        <w:rPr>
          <w:rFonts w:hint="eastAsia" w:ascii="仿宋" w:hAnsi="仿宋" w:eastAsia="仿宋" w:cs="仿宋"/>
          <w:color w:val="auto"/>
          <w:sz w:val="24"/>
          <w:szCs w:val="24"/>
          <w:highlight w:val="none"/>
        </w:rPr>
        <w:t>；</w:t>
      </w:r>
    </w:p>
    <w:p w14:paraId="304F5946">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）管理费、利润的费率取定：按费用定额费率区间的中值计取。</w:t>
      </w:r>
    </w:p>
    <w:p w14:paraId="49A9EDA8">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2.2分部分项及单价措施项目综合单价应包括磋商文件中采购人要求供应商所承担的风险内容及其范围（幅度）产生的风险费用。</w:t>
      </w:r>
    </w:p>
    <w:p w14:paraId="4FD62257">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2.3总价措施项目应根据拟定的磋商文件和常规施工方案按《计价规范》和《计算规范》规定编制。</w:t>
      </w:r>
    </w:p>
    <w:p w14:paraId="73048EDF">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2.4其他项目费应按下列规定报价：</w:t>
      </w:r>
    </w:p>
    <w:p w14:paraId="39A37C26">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（1）暂列金额应按工程量清单中列出的金额填写；</w:t>
      </w:r>
    </w:p>
    <w:p w14:paraId="5323D4FD">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（2）材料、工程设备暂估价应按工程量清单中列出的单价计入综合单价；</w:t>
      </w:r>
    </w:p>
    <w:p w14:paraId="32ED6890">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（3）专业工程暂估价应按工程量清单中列出的金额填写；</w:t>
      </w:r>
    </w:p>
    <w:p w14:paraId="7AB5DA61">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（4）计日工应按工程量清单中列出的项目和数量，根据工程特点和有关计价依据确定的综合单价计算；</w:t>
      </w:r>
    </w:p>
    <w:p w14:paraId="04A2DDAB">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（5）总承包服务费应根据工程量清单列出的内容和要求，按自治区住房城乡建设行政主管部门颁发的计价定额及有关规定计算。</w:t>
      </w:r>
    </w:p>
    <w:p w14:paraId="5F9E3271">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（6）对建设单位创建优质工程的，鼓励在招标控制价和预算中按广西区工程建设定额规定计列工程优质费，并明确工程优质费不可竞争。</w:t>
      </w:r>
    </w:p>
    <w:p w14:paraId="59B6B83B">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2.5规费和增值税应按规定确定，作为不可竞争费用。</w:t>
      </w:r>
    </w:p>
    <w:p w14:paraId="10EC5F5E">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2.6其它需要说明的问题：</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65CF99C2">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val="en-US" w:eastAsia="zh-CN"/>
        </w:rPr>
        <w:t>竞标</w:t>
      </w:r>
      <w:r>
        <w:rPr>
          <w:rFonts w:hint="eastAsia" w:ascii="仿宋" w:hAnsi="仿宋" w:eastAsia="仿宋" w:cs="仿宋"/>
          <w:b/>
          <w:bCs/>
          <w:color w:val="auto"/>
          <w:sz w:val="24"/>
          <w:szCs w:val="24"/>
          <w:highlight w:val="none"/>
        </w:rPr>
        <w:t>报价（已标价工程量清单）编制说明</w:t>
      </w:r>
    </w:p>
    <w:p w14:paraId="0E8FD9A5">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供应商应依据磋商文件、工程量清单以及《计价规范》、《计算规范》自主报价，自主报价不得违反计价规范强制性条文规定。供应商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14:paraId="3CFB7B11">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3.2供应商应按工程量清单填报价格。项目编码、项目名称、项目特征、计量单位、工程量必须与工程量清单一致，供应商不得对工程量清单项目进行增减调整。</w:t>
      </w:r>
    </w:p>
    <w:p w14:paraId="433AD79B">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3.3综合单价中应包含磋商文件中划分的应由供应商承担的风险范围及其费用。</w:t>
      </w:r>
    </w:p>
    <w:p w14:paraId="09E96BFF">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3.4分部分项工程项目和单价措施项目，应根据磋商文件和工程量清单项目中的特征描述确定综合单价计算。如出现工程量清单特征描述与设计图纸不符时，供应商应以工程量清单的项目特征描述为准，确定</w:t>
      </w:r>
      <w:r>
        <w:rPr>
          <w:rFonts w:hint="eastAsia" w:ascii="仿宋" w:hAnsi="仿宋" w:eastAsia="仿宋" w:cs="仿宋"/>
          <w:color w:val="auto"/>
          <w:sz w:val="24"/>
          <w:szCs w:val="24"/>
          <w:highlight w:val="none"/>
          <w:lang w:val="en-US" w:eastAsia="zh-CN"/>
        </w:rPr>
        <w:t>竞标</w:t>
      </w:r>
      <w:r>
        <w:rPr>
          <w:rFonts w:hint="eastAsia" w:ascii="仿宋" w:hAnsi="仿宋" w:eastAsia="仿宋" w:cs="仿宋"/>
          <w:color w:val="auto"/>
          <w:sz w:val="24"/>
          <w:szCs w:val="24"/>
          <w:highlight w:val="none"/>
        </w:rPr>
        <w:t>报价的综合单价。</w:t>
      </w:r>
    </w:p>
    <w:p w14:paraId="35DF1A37">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3.5总价措施项目的金额应根据磋商文件及</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时拟定的施工组织设计或施工方案，按计价规范的规定自主确定。但安全文明施工费按国家、省级或行业建设主管部门的有关规定执行，作为不竞争费用单列。</w:t>
      </w:r>
    </w:p>
    <w:p w14:paraId="73A83804">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3.6其他项目费应按下列规定报价：</w:t>
      </w:r>
    </w:p>
    <w:p w14:paraId="0E6C1CD2">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（1）暂列金额应按工程量清单中列出的金额填写；</w:t>
      </w:r>
    </w:p>
    <w:p w14:paraId="4A0A62E8">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（2）材料、工程设备暂估价应按工程量清单中列出的单价计入综合单价；</w:t>
      </w:r>
    </w:p>
    <w:p w14:paraId="255ED3D8">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（3）专业工程暂估价应按工程量清单中列出的金额填写；</w:t>
      </w:r>
    </w:p>
    <w:p w14:paraId="61AB893E">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（4）计日工应按工程量清单中列出的项目和估算数量，自主确定综合单价并计算计日工总额；计日工单价均不含规费和税金；</w:t>
      </w:r>
    </w:p>
    <w:p w14:paraId="12979EAD">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（5）总承包服务费应根据工程量清单中列出的内容和供应材料、设备情况，按照采购人提出的协调、配合与服务要求和施工现场管理需要自主确定。</w:t>
      </w:r>
    </w:p>
    <w:p w14:paraId="56DCF88F">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（6）对建设单位创建优质工程的，鼓励在招标控制价和预算中按我区工程建设定额规定计列工程优质费，并明确工程优质费不可竞争。</w:t>
      </w:r>
    </w:p>
    <w:p w14:paraId="119101C9">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3.7规费和增值税应按规定确定，作为不可竞争费用。</w:t>
      </w:r>
    </w:p>
    <w:p w14:paraId="444CE795">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工程量清单与计价表中列明的所有需要填写的单价和合价的项目，供应商均应填写且只允许有一个报价。未填写单价和合价的项目，视为此项费用已包含在已标价工程量清单中其他项目的单价和合价之中。竣工结算时，此项目不得重新组价予以调整。</w:t>
      </w:r>
    </w:p>
    <w:p w14:paraId="6E441E35">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3.9投标总价应当与分部分项工程费、措施项目费、其他项目费和规费、增值税的合计金额一致。</w:t>
      </w:r>
    </w:p>
    <w:p w14:paraId="74955CC6">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3.10供应商应按《允许调整主要材料和工程设备一览表》的内容填报，不得擅自调整材料和设备名称型号规格、单位、风险系数、基准单价。</w:t>
      </w:r>
    </w:p>
    <w:p w14:paraId="14CFC309">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w:t>
      </w:r>
      <w:r>
        <w:rPr>
          <w:rFonts w:hint="eastAsia" w:ascii="仿宋" w:hAnsi="仿宋" w:eastAsia="仿宋" w:cs="仿宋"/>
          <w:color w:val="auto"/>
          <w:sz w:val="24"/>
          <w:szCs w:val="24"/>
          <w:highlight w:val="none"/>
          <w:lang w:val="en-US" w:eastAsia="zh-CN"/>
        </w:rPr>
        <w:t>竞标</w:t>
      </w:r>
      <w:r>
        <w:rPr>
          <w:rFonts w:hint="eastAsia" w:ascii="仿宋" w:hAnsi="仿宋" w:eastAsia="仿宋" w:cs="仿宋"/>
          <w:color w:val="auto"/>
          <w:sz w:val="24"/>
          <w:szCs w:val="24"/>
          <w:highlight w:val="none"/>
        </w:rPr>
        <w:t>报价表格按本工程工程量清单表格要求填写，并应按磋商文件的要求，附上《工程量清单综合单价分析表》（表-09）和《主要清单项目工料机分析表》（表-10）。</w:t>
      </w:r>
    </w:p>
    <w:p w14:paraId="6362EB00">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未尽事宜详见本工程工程量清单、招标控制价编制说明以及现行《计价规范》等有关规定执行。</w:t>
      </w:r>
    </w:p>
    <w:p w14:paraId="051FC231">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因2021年《广西壮族自治区园林绿化及仿古建筑工程费用定额》采用全费用综合单价形式，故园林绿化及仿古建筑工程的工程量清单及计价采用《自治区住房和城乡建设厅关于建设工程造价改革试点项目招投标及计价规定调整的通知》（桂建标〔2021〕6号）中附件1《建设工程工程量清单计价规范（GB50500-2013）广西壮族自治区实施细则》（适用于工程造价改革试点项目）相关表格，具体以采购人另册发放的工程量清单及相关说明为准。</w:t>
      </w:r>
    </w:p>
    <w:p w14:paraId="41069052">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工程量清单及图纸另册发放。供应商可自行在“广西政府采购云平台”上自行随竞争性磋商文件一同下载。</w:t>
      </w:r>
    </w:p>
    <w:p w14:paraId="69496466">
      <w:pPr>
        <w:pStyle w:val="41"/>
        <w:keepNext w:val="0"/>
        <w:keepLines w:val="0"/>
        <w:pageBreakBefore w:val="0"/>
        <w:widowControl w:val="0"/>
        <w:tabs>
          <w:tab w:val="left" w:pos="0"/>
        </w:tabs>
        <w:kinsoku/>
        <w:wordWrap/>
        <w:overflowPunct/>
        <w:topLinePunct w:val="0"/>
        <w:autoSpaceDE/>
        <w:autoSpaceDN/>
        <w:bidi w:val="0"/>
        <w:adjustRightInd/>
        <w:snapToGrid/>
        <w:spacing w:after="0" w:line="300" w:lineRule="auto"/>
        <w:ind w:left="0" w:leftChars="0" w:firstLine="280" w:firstLineChars="175"/>
        <w:textAlignment w:val="auto"/>
        <w:rPr>
          <w:rFonts w:hint="eastAsia"/>
          <w:color w:val="auto"/>
          <w:highlight w:val="none"/>
        </w:rPr>
      </w:pPr>
    </w:p>
    <w:p w14:paraId="5D205FD8">
      <w:pPr>
        <w:jc w:val="both"/>
        <w:outlineLvl w:val="9"/>
        <w:rPr>
          <w:rFonts w:hint="eastAsia" w:ascii="宋体" w:hAnsi="宋体"/>
          <w:color w:val="auto"/>
          <w:sz w:val="32"/>
          <w:highlight w:val="none"/>
        </w:rPr>
      </w:pPr>
    </w:p>
    <w:p w14:paraId="65D59745">
      <w:pPr>
        <w:jc w:val="center"/>
        <w:outlineLvl w:val="9"/>
        <w:rPr>
          <w:rFonts w:hint="eastAsia" w:ascii="宋体" w:hAnsi="宋体"/>
          <w:color w:val="auto"/>
          <w:sz w:val="32"/>
          <w:highlight w:val="none"/>
        </w:rPr>
      </w:pPr>
    </w:p>
    <w:p w14:paraId="460AD732">
      <w:pPr>
        <w:rPr>
          <w:rFonts w:hint="eastAsia" w:ascii="宋体" w:hAnsi="宋体"/>
          <w:color w:val="auto"/>
          <w:sz w:val="32"/>
          <w:highlight w:val="none"/>
        </w:rPr>
      </w:pPr>
      <w:r>
        <w:rPr>
          <w:rFonts w:hint="eastAsia" w:ascii="宋体" w:hAnsi="宋体"/>
          <w:color w:val="auto"/>
          <w:sz w:val="32"/>
          <w:highlight w:val="none"/>
        </w:rPr>
        <w:br w:type="page"/>
      </w:r>
    </w:p>
    <w:p w14:paraId="1B2ED249">
      <w:pPr>
        <w:pStyle w:val="41"/>
        <w:rPr>
          <w:rFonts w:hint="eastAsia"/>
          <w:color w:val="auto"/>
          <w:highlight w:val="none"/>
        </w:rPr>
      </w:pPr>
    </w:p>
    <w:p w14:paraId="1BF636B8">
      <w:pPr>
        <w:jc w:val="center"/>
        <w:outlineLvl w:val="9"/>
        <w:rPr>
          <w:rFonts w:hint="eastAsia" w:ascii="宋体" w:hAnsi="宋体"/>
          <w:color w:val="auto"/>
          <w:sz w:val="32"/>
          <w:highlight w:val="none"/>
        </w:rPr>
      </w:pPr>
    </w:p>
    <w:p w14:paraId="046FD3B1">
      <w:pPr>
        <w:pStyle w:val="41"/>
        <w:rPr>
          <w:rFonts w:hint="eastAsia" w:ascii="宋体" w:hAnsi="宋体"/>
          <w:color w:val="auto"/>
          <w:sz w:val="32"/>
          <w:highlight w:val="none"/>
        </w:rPr>
      </w:pPr>
    </w:p>
    <w:p w14:paraId="4BC9A9C2">
      <w:pPr>
        <w:pStyle w:val="41"/>
        <w:rPr>
          <w:rFonts w:hint="eastAsia" w:ascii="宋体" w:hAnsi="宋体"/>
          <w:color w:val="auto"/>
          <w:sz w:val="32"/>
          <w:highlight w:val="none"/>
        </w:rPr>
      </w:pPr>
    </w:p>
    <w:p w14:paraId="338BB069">
      <w:pPr>
        <w:pStyle w:val="41"/>
        <w:rPr>
          <w:rFonts w:hint="eastAsia" w:ascii="宋体" w:hAnsi="宋体"/>
          <w:color w:val="auto"/>
          <w:sz w:val="32"/>
          <w:highlight w:val="none"/>
        </w:rPr>
      </w:pPr>
    </w:p>
    <w:p w14:paraId="157C422D">
      <w:pPr>
        <w:pStyle w:val="41"/>
        <w:rPr>
          <w:rFonts w:hint="eastAsia" w:ascii="宋体" w:hAnsi="宋体"/>
          <w:color w:val="auto"/>
          <w:sz w:val="32"/>
          <w:highlight w:val="none"/>
        </w:rPr>
      </w:pPr>
    </w:p>
    <w:p w14:paraId="746F50E8">
      <w:pPr>
        <w:pStyle w:val="41"/>
        <w:rPr>
          <w:rFonts w:hint="eastAsia" w:ascii="宋体" w:hAnsi="宋体"/>
          <w:color w:val="auto"/>
          <w:sz w:val="32"/>
          <w:highlight w:val="none"/>
        </w:rPr>
      </w:pPr>
    </w:p>
    <w:p w14:paraId="79397A9D">
      <w:pPr>
        <w:pStyle w:val="41"/>
        <w:rPr>
          <w:rFonts w:hint="eastAsia" w:ascii="宋体" w:hAnsi="宋体"/>
          <w:color w:val="auto"/>
          <w:sz w:val="32"/>
          <w:highlight w:val="none"/>
        </w:rPr>
      </w:pPr>
    </w:p>
    <w:p w14:paraId="7633E7CF">
      <w:pPr>
        <w:pStyle w:val="41"/>
        <w:rPr>
          <w:rFonts w:hint="eastAsia" w:ascii="宋体" w:hAnsi="宋体"/>
          <w:color w:val="auto"/>
          <w:sz w:val="32"/>
          <w:highlight w:val="none"/>
        </w:rPr>
      </w:pPr>
    </w:p>
    <w:p w14:paraId="3ECF6106">
      <w:pPr>
        <w:pStyle w:val="41"/>
        <w:rPr>
          <w:rFonts w:hint="eastAsia" w:ascii="宋体" w:hAnsi="宋体"/>
          <w:color w:val="auto"/>
          <w:sz w:val="32"/>
          <w:highlight w:val="none"/>
        </w:rPr>
      </w:pPr>
    </w:p>
    <w:p w14:paraId="443832AB">
      <w:pPr>
        <w:pStyle w:val="41"/>
        <w:rPr>
          <w:rFonts w:hint="eastAsia" w:ascii="宋体" w:hAnsi="宋体"/>
          <w:color w:val="auto"/>
          <w:sz w:val="32"/>
          <w:highlight w:val="none"/>
        </w:rPr>
      </w:pPr>
    </w:p>
    <w:p w14:paraId="481BBF6B">
      <w:pPr>
        <w:pStyle w:val="3"/>
        <w:jc w:val="center"/>
        <w:rPr>
          <w:rFonts w:hint="eastAsia" w:ascii="宋体" w:hAnsi="宋体"/>
          <w:color w:val="auto"/>
          <w:sz w:val="32"/>
          <w:highlight w:val="none"/>
        </w:rPr>
      </w:pPr>
      <w:bookmarkStart w:id="77" w:name="_Toc20801"/>
      <w:r>
        <w:rPr>
          <w:rFonts w:hint="eastAsia" w:ascii="宋体" w:hAnsi="宋体"/>
          <w:color w:val="auto"/>
          <w:sz w:val="32"/>
          <w:highlight w:val="none"/>
        </w:rPr>
        <w:t>第</w:t>
      </w:r>
      <w:r>
        <w:rPr>
          <w:rFonts w:hint="eastAsia" w:ascii="宋体" w:hAnsi="宋体"/>
          <w:color w:val="auto"/>
          <w:sz w:val="32"/>
          <w:highlight w:val="none"/>
          <w:lang w:val="en-US" w:eastAsia="zh-CN"/>
        </w:rPr>
        <w:t>六</w:t>
      </w:r>
      <w:r>
        <w:rPr>
          <w:rFonts w:hint="eastAsia" w:ascii="宋体" w:hAnsi="宋体"/>
          <w:color w:val="auto"/>
          <w:sz w:val="32"/>
          <w:highlight w:val="none"/>
        </w:rPr>
        <w:t xml:space="preserve">章 </w:t>
      </w:r>
      <w:r>
        <w:rPr>
          <w:rFonts w:hint="eastAsia" w:ascii="宋体" w:hAnsi="宋体"/>
          <w:color w:val="auto"/>
          <w:sz w:val="32"/>
          <w:highlight w:val="none"/>
          <w:lang w:val="en-US" w:eastAsia="zh-CN"/>
        </w:rPr>
        <w:t xml:space="preserve"> </w:t>
      </w:r>
      <w:r>
        <w:rPr>
          <w:rFonts w:hint="eastAsia" w:ascii="宋体" w:hAnsi="宋体"/>
          <w:color w:val="auto"/>
          <w:sz w:val="32"/>
          <w:highlight w:val="none"/>
        </w:rPr>
        <w:t>响应文件格式</w:t>
      </w:r>
      <w:bookmarkEnd w:id="65"/>
      <w:bookmarkEnd w:id="66"/>
      <w:bookmarkEnd w:id="71"/>
      <w:bookmarkEnd w:id="72"/>
      <w:bookmarkEnd w:id="73"/>
      <w:bookmarkEnd w:id="77"/>
    </w:p>
    <w:p w14:paraId="3F1F8095">
      <w:pPr>
        <w:rPr>
          <w:rFonts w:ascii="仿宋_GB2312" w:eastAsia="仿宋_GB2312"/>
          <w:b/>
          <w:color w:val="auto"/>
          <w:sz w:val="44"/>
          <w:szCs w:val="44"/>
          <w:highlight w:val="none"/>
        </w:rPr>
      </w:pPr>
      <w:r>
        <w:rPr>
          <w:rFonts w:hint="eastAsia" w:ascii="宋体" w:hAnsi="宋体"/>
          <w:color w:val="auto"/>
          <w:sz w:val="32"/>
          <w:highlight w:val="none"/>
        </w:rPr>
        <w:br w:type="page"/>
      </w:r>
    </w:p>
    <w:p w14:paraId="7449D6EB">
      <w:pPr>
        <w:pageBreakBefore/>
        <w:spacing w:line="460" w:lineRule="exact"/>
        <w:jc w:val="center"/>
        <w:rPr>
          <w:rFonts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供应商提交电子响应文件须知</w:t>
      </w:r>
    </w:p>
    <w:p w14:paraId="5D8AE18E">
      <w:pPr>
        <w:adjustRightInd w:val="0"/>
        <w:snapToGrid w:val="0"/>
        <w:spacing w:line="460" w:lineRule="exact"/>
        <w:ind w:firstLine="480" w:firstLineChars="200"/>
        <w:jc w:val="left"/>
        <w:rPr>
          <w:rFonts w:ascii="仿宋_GB2312" w:hAnsi="仿宋_GB2312" w:eastAsia="仿宋_GB2312" w:cs="仿宋_GB2312"/>
          <w:bCs/>
          <w:color w:val="auto"/>
          <w:sz w:val="24"/>
          <w:highlight w:val="none"/>
        </w:rPr>
      </w:pPr>
    </w:p>
    <w:p w14:paraId="4F8C7EAC">
      <w:pPr>
        <w:adjustRightInd w:val="0"/>
        <w:snapToGrid w:val="0"/>
        <w:spacing w:line="420" w:lineRule="exact"/>
        <w:ind w:firstLine="48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参与电子标的供应商必须为</w:t>
      </w:r>
      <w:r>
        <w:rPr>
          <w:rFonts w:hint="eastAsia" w:ascii="仿宋_GB2312" w:hAnsi="仿宋_GB2312" w:eastAsia="仿宋_GB2312" w:cs="仿宋_GB2312"/>
          <w:b/>
          <w:color w:val="auto"/>
          <w:sz w:val="24"/>
          <w:highlight w:val="none"/>
          <w:lang w:eastAsia="zh-CN"/>
        </w:rPr>
        <w:t>广西政府采购云平台</w:t>
      </w:r>
      <w:r>
        <w:rPr>
          <w:rFonts w:hint="eastAsia" w:ascii="仿宋_GB2312" w:hAnsi="仿宋_GB2312" w:eastAsia="仿宋_GB2312" w:cs="仿宋_GB2312"/>
          <w:b/>
          <w:color w:val="auto"/>
          <w:sz w:val="24"/>
          <w:highlight w:val="none"/>
        </w:rPr>
        <w:t>的正式供应商且申领CA证书，各供应商应在开标前及时完成平台注册、CA证书申领、CA证书绑定、下载投标客户端，熟悉并掌握</w:t>
      </w:r>
      <w:r>
        <w:rPr>
          <w:rFonts w:hint="eastAsia" w:ascii="仿宋_GB2312" w:hAnsi="仿宋_GB2312" w:eastAsia="仿宋_GB2312" w:cs="仿宋_GB2312"/>
          <w:b/>
          <w:color w:val="auto"/>
          <w:sz w:val="24"/>
          <w:highlight w:val="none"/>
          <w:lang w:eastAsia="zh-CN"/>
        </w:rPr>
        <w:t>广西政府采购云平台</w:t>
      </w:r>
      <w:r>
        <w:rPr>
          <w:rFonts w:hint="eastAsia" w:ascii="仿宋_GB2312" w:hAnsi="仿宋_GB2312" w:eastAsia="仿宋_GB2312" w:cs="仿宋_GB2312"/>
          <w:b/>
          <w:color w:val="auto"/>
          <w:sz w:val="24"/>
          <w:highlight w:val="none"/>
        </w:rPr>
        <w:t>电子标系统操作。</w:t>
      </w:r>
    </w:p>
    <w:p w14:paraId="2A6E30FB">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一、供应商应保证全部声明和问题的回答是真实的和准确的。</w:t>
      </w:r>
    </w:p>
    <w:p w14:paraId="75959B1F">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二、磋商小组将应用供应商提交的资料作出自己的判断。</w:t>
      </w:r>
    </w:p>
    <w:p w14:paraId="61BC9CA4">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三、供应商提交的材料将在一定期限内被保密保存，不予退还。</w:t>
      </w:r>
    </w:p>
    <w:p w14:paraId="26C35552">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四、电子响应文件编制格式及规范要求：</w:t>
      </w:r>
    </w:p>
    <w:p w14:paraId="5A842218">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（一）响应文件应使用</w:t>
      </w:r>
      <w:r>
        <w:rPr>
          <w:rFonts w:hint="eastAsia" w:ascii="仿宋_GB2312" w:hAnsi="仿宋_GB2312" w:eastAsia="仿宋_GB2312" w:cs="仿宋_GB2312"/>
          <w:bCs/>
          <w:color w:val="auto"/>
          <w:sz w:val="24"/>
          <w:highlight w:val="none"/>
          <w:lang w:eastAsia="zh-CN"/>
        </w:rPr>
        <w:t>广西政府采购云平台客户端</w:t>
      </w:r>
      <w:r>
        <w:rPr>
          <w:rFonts w:hint="eastAsia" w:ascii="仿宋_GB2312" w:hAnsi="仿宋_GB2312" w:eastAsia="仿宋_GB2312" w:cs="仿宋_GB2312"/>
          <w:bCs/>
          <w:color w:val="auto"/>
          <w:sz w:val="24"/>
          <w:highlight w:val="none"/>
        </w:rPr>
        <w:t>软件，并按照本竞争性磋商文件和</w:t>
      </w:r>
      <w:r>
        <w:rPr>
          <w:rFonts w:hint="eastAsia" w:ascii="仿宋_GB2312" w:hAnsi="仿宋_GB2312" w:eastAsia="仿宋_GB2312" w:cs="仿宋_GB2312"/>
          <w:bCs/>
          <w:color w:val="auto"/>
          <w:sz w:val="24"/>
          <w:highlight w:val="none"/>
          <w:lang w:eastAsia="zh-CN"/>
        </w:rPr>
        <w:t>广西政府采购云平台</w:t>
      </w:r>
      <w:r>
        <w:rPr>
          <w:rFonts w:hint="eastAsia" w:ascii="仿宋_GB2312" w:hAnsi="仿宋_GB2312" w:eastAsia="仿宋_GB2312" w:cs="仿宋_GB2312"/>
          <w:bCs/>
          <w:color w:val="auto"/>
          <w:sz w:val="24"/>
          <w:highlight w:val="none"/>
        </w:rPr>
        <w:t>要求编制并加密响应文件。未按规定加密的响应文件，</w:t>
      </w:r>
      <w:r>
        <w:rPr>
          <w:rFonts w:hint="eastAsia" w:ascii="仿宋_GB2312" w:hAnsi="仿宋_GB2312" w:eastAsia="仿宋_GB2312" w:cs="仿宋_GB2312"/>
          <w:bCs/>
          <w:color w:val="auto"/>
          <w:sz w:val="24"/>
          <w:highlight w:val="none"/>
          <w:lang w:eastAsia="zh-CN"/>
        </w:rPr>
        <w:t>广西政府采购云平台</w:t>
      </w:r>
      <w:r>
        <w:rPr>
          <w:rFonts w:hint="eastAsia" w:ascii="仿宋_GB2312" w:hAnsi="仿宋_GB2312" w:eastAsia="仿宋_GB2312" w:cs="仿宋_GB2312"/>
          <w:bCs/>
          <w:color w:val="auto"/>
          <w:sz w:val="24"/>
          <w:highlight w:val="none"/>
        </w:rPr>
        <w:t>将拒收。</w:t>
      </w:r>
    </w:p>
    <w:p w14:paraId="343E7F2A">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（二）响应文件制作并加密完成后应在</w:t>
      </w:r>
      <w:r>
        <w:rPr>
          <w:rFonts w:hint="eastAsia" w:ascii="仿宋_GB2312" w:hAnsi="仿宋_GB2312" w:eastAsia="仿宋_GB2312" w:cs="仿宋_GB2312"/>
          <w:bCs/>
          <w:color w:val="auto"/>
          <w:sz w:val="24"/>
          <w:highlight w:val="none"/>
          <w:lang w:eastAsia="zh-CN"/>
        </w:rPr>
        <w:t>广西政府采购云平台</w:t>
      </w:r>
      <w:r>
        <w:rPr>
          <w:rFonts w:hint="eastAsia" w:ascii="仿宋_GB2312" w:hAnsi="仿宋_GB2312" w:eastAsia="仿宋_GB2312" w:cs="仿宋_GB2312"/>
          <w:bCs/>
          <w:color w:val="auto"/>
          <w:sz w:val="24"/>
          <w:highlight w:val="none"/>
        </w:rPr>
        <w:t>上传完成。</w:t>
      </w:r>
    </w:p>
    <w:p w14:paraId="6F8B90D9">
      <w:pPr>
        <w:adjustRightInd w:val="0"/>
        <w:snapToGrid w:val="0"/>
        <w:spacing w:line="420" w:lineRule="exact"/>
        <w:ind w:firstLine="482" w:firstLineChars="200"/>
        <w:jc w:val="left"/>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（三）响应文件应使用CA证书进行电子签章。在签章时，供应商应注意CA电子签章的位置，如因CA电子签章遮挡重要、关键信息导致磋商小组作出对供应商不利评审的，后果由供应商负责。</w:t>
      </w:r>
    </w:p>
    <w:p w14:paraId="6D3477D8">
      <w:pPr>
        <w:adjustRightInd w:val="0"/>
        <w:snapToGrid w:val="0"/>
        <w:spacing w:line="420" w:lineRule="exact"/>
        <w:ind w:firstLine="482" w:firstLineChars="200"/>
        <w:jc w:val="left"/>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（四）供应商应准确设置评审关联点。未设置或设置错误导致响应文件被误读、漏读或者查找不到相关内容的，是供应商的责任。</w:t>
      </w:r>
    </w:p>
    <w:p w14:paraId="118B2A57">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（五）响应文件所提供的相关材料的尺寸和清晰度应该能够在电脑上被阅读、识别和判断。</w:t>
      </w:r>
    </w:p>
    <w:p w14:paraId="52D563AF">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（六）响应文件内容无法阅读、识别和判断的，视为未提供。</w:t>
      </w:r>
    </w:p>
    <w:p w14:paraId="569A9682">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（七）响应文件的容量大小须符合</w:t>
      </w:r>
      <w:r>
        <w:rPr>
          <w:rFonts w:hint="eastAsia" w:ascii="仿宋_GB2312" w:hAnsi="仿宋_GB2312" w:eastAsia="仿宋_GB2312" w:cs="仿宋_GB2312"/>
          <w:bCs/>
          <w:color w:val="auto"/>
          <w:sz w:val="24"/>
          <w:highlight w:val="none"/>
          <w:lang w:eastAsia="zh-CN"/>
        </w:rPr>
        <w:t>广西政府采购云平台</w:t>
      </w:r>
      <w:r>
        <w:rPr>
          <w:rFonts w:hint="eastAsia" w:ascii="仿宋_GB2312" w:hAnsi="仿宋_GB2312" w:eastAsia="仿宋_GB2312" w:cs="仿宋_GB2312"/>
          <w:bCs/>
          <w:color w:val="auto"/>
          <w:sz w:val="24"/>
          <w:highlight w:val="none"/>
        </w:rPr>
        <w:t>规定。</w:t>
      </w:r>
    </w:p>
    <w:p w14:paraId="54F23DD9">
      <w:pPr>
        <w:adjustRightInd w:val="0"/>
        <w:snapToGrid w:val="0"/>
        <w:spacing w:line="420" w:lineRule="exact"/>
        <w:ind w:firstLine="482" w:firstLineChars="20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五、供应商在使用</w:t>
      </w:r>
      <w:r>
        <w:rPr>
          <w:rFonts w:hint="eastAsia" w:ascii="仿宋_GB2312" w:hAnsi="仿宋_GB2312" w:eastAsia="仿宋_GB2312" w:cs="仿宋_GB2312"/>
          <w:b/>
          <w:color w:val="auto"/>
          <w:sz w:val="24"/>
          <w:highlight w:val="none"/>
          <w:lang w:eastAsia="zh-CN"/>
        </w:rPr>
        <w:t>广西政府采购云平台</w:t>
      </w:r>
      <w:r>
        <w:rPr>
          <w:rFonts w:hint="eastAsia" w:ascii="仿宋_GB2312" w:hAnsi="仿宋_GB2312" w:eastAsia="仿宋_GB2312" w:cs="仿宋_GB2312"/>
          <w:b/>
          <w:color w:val="auto"/>
          <w:sz w:val="24"/>
          <w:highlight w:val="none"/>
        </w:rPr>
        <w:t>进行投标过程中遇到涉及平台使用的任何问题，可致电平台技术支持热线咨询，联系方式：</w:t>
      </w:r>
      <w:r>
        <w:rPr>
          <w:rFonts w:ascii="仿宋_GB2312" w:hAnsi="仿宋_GB2312" w:eastAsia="仿宋_GB2312" w:cs="仿宋_GB2312"/>
          <w:b/>
          <w:color w:val="auto"/>
          <w:sz w:val="24"/>
          <w:highlight w:val="none"/>
        </w:rPr>
        <w:t>95763</w:t>
      </w:r>
      <w:r>
        <w:rPr>
          <w:rFonts w:hint="eastAsia" w:ascii="仿宋_GB2312" w:hAnsi="仿宋_GB2312" w:eastAsia="仿宋_GB2312" w:cs="仿宋_GB2312"/>
          <w:b/>
          <w:color w:val="auto"/>
          <w:sz w:val="24"/>
          <w:highlight w:val="none"/>
        </w:rPr>
        <w:t>。</w:t>
      </w:r>
    </w:p>
    <w:p w14:paraId="00E7373E">
      <w:pPr>
        <w:snapToGrid w:val="0"/>
        <w:spacing w:line="420" w:lineRule="exact"/>
        <w:ind w:firstLine="482" w:firstLineChars="200"/>
        <w:jc w:val="lef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六、特别说明</w:t>
      </w:r>
    </w:p>
    <w:p w14:paraId="509EE6ED">
      <w:pPr>
        <w:adjustRightInd w:val="0"/>
        <w:snapToGrid w:val="0"/>
        <w:spacing w:line="420" w:lineRule="exact"/>
        <w:ind w:firstLine="482" w:firstLineChars="20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（一）响应文件中须加盖公章部分均采用供应商CA电子签章，否则视为响应无效。</w:t>
      </w:r>
    </w:p>
    <w:p w14:paraId="2ECF9433">
      <w:pPr>
        <w:adjustRightInd w:val="0"/>
        <w:snapToGrid w:val="0"/>
        <w:spacing w:line="420" w:lineRule="exact"/>
        <w:ind w:firstLine="482" w:firstLineChars="20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（二）</w:t>
      </w:r>
      <w:r>
        <w:rPr>
          <w:rFonts w:hint="eastAsia" w:ascii="仿宋_GB2312" w:eastAsia="仿宋_GB2312"/>
          <w:b/>
          <w:bCs/>
          <w:color w:val="auto"/>
          <w:sz w:val="24"/>
          <w:highlight w:val="none"/>
        </w:rPr>
        <w:t>竞争性</w:t>
      </w:r>
      <w:r>
        <w:rPr>
          <w:rFonts w:hint="eastAsia" w:ascii="仿宋_GB2312" w:hAnsi="仿宋_GB2312" w:eastAsia="仿宋_GB2312" w:cs="仿宋_GB2312"/>
          <w:b/>
          <w:color w:val="auto"/>
          <w:sz w:val="24"/>
          <w:highlight w:val="none"/>
        </w:rPr>
        <w:t>磋商</w:t>
      </w:r>
      <w:r>
        <w:rPr>
          <w:rFonts w:hint="eastAsia" w:ascii="仿宋_GB2312" w:eastAsia="仿宋_GB2312"/>
          <w:b/>
          <w:bCs/>
          <w:color w:val="auto"/>
          <w:sz w:val="24"/>
          <w:highlight w:val="none"/>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color w:val="auto"/>
          <w:sz w:val="24"/>
          <w:highlight w:val="none"/>
        </w:rPr>
        <w:t>否则视为响应无效。</w:t>
      </w:r>
    </w:p>
    <w:p w14:paraId="20B693FA">
      <w:pPr>
        <w:rPr>
          <w:rFonts w:ascii="仿宋_GB2312" w:hAnsi="宋体" w:eastAsia="仿宋_GB2312"/>
          <w:b/>
          <w:color w:val="auto"/>
          <w:sz w:val="24"/>
          <w:highlight w:val="none"/>
        </w:rPr>
      </w:pPr>
      <w:r>
        <w:rPr>
          <w:rFonts w:hint="eastAsia" w:ascii="仿宋_GB2312" w:hAnsi="宋体" w:eastAsia="仿宋_GB2312"/>
          <w:b/>
          <w:color w:val="auto"/>
          <w:sz w:val="24"/>
          <w:highlight w:val="none"/>
        </w:rPr>
        <w:br w:type="page"/>
      </w:r>
    </w:p>
    <w:p w14:paraId="46A1088E">
      <w:pPr>
        <w:snapToGrid w:val="0"/>
        <w:spacing w:before="120" w:beforeLines="50" w:after="50" w:line="360" w:lineRule="exact"/>
        <w:jc w:val="right"/>
        <w:rPr>
          <w:rFonts w:ascii="仿宋_GB2312" w:hAnsi="宋体" w:eastAsia="仿宋_GB2312"/>
          <w:b/>
          <w:bCs/>
          <w:color w:val="auto"/>
          <w:sz w:val="32"/>
          <w:szCs w:val="32"/>
          <w:highlight w:val="none"/>
        </w:rPr>
      </w:pPr>
    </w:p>
    <w:p w14:paraId="401B2259">
      <w:pPr>
        <w:snapToGrid w:val="0"/>
        <w:spacing w:before="120" w:beforeLines="50" w:after="50" w:line="360" w:lineRule="exact"/>
        <w:jc w:val="center"/>
        <w:rPr>
          <w:rFonts w:ascii="仿宋_GB2312" w:hAnsi="宋体" w:eastAsia="仿宋_GB2312"/>
          <w:bCs/>
          <w:color w:val="auto"/>
          <w:sz w:val="24"/>
          <w:highlight w:val="none"/>
        </w:rPr>
      </w:pPr>
    </w:p>
    <w:p w14:paraId="768AA659">
      <w:pPr>
        <w:jc w:val="center"/>
        <w:rPr>
          <w:rFonts w:ascii="仿宋_GB2312" w:hAnsi="宋体" w:eastAsia="仿宋_GB2312"/>
          <w:b/>
          <w:bCs/>
          <w:color w:val="auto"/>
          <w:sz w:val="72"/>
          <w:szCs w:val="72"/>
          <w:highlight w:val="none"/>
        </w:rPr>
      </w:pPr>
    </w:p>
    <w:p w14:paraId="01656991">
      <w:pPr>
        <w:jc w:val="center"/>
        <w:rPr>
          <w:rFonts w:ascii="仿宋_GB2312" w:hAnsi="宋体" w:eastAsia="仿宋_GB2312"/>
          <w:b/>
          <w:bCs/>
          <w:color w:val="auto"/>
          <w:sz w:val="72"/>
          <w:szCs w:val="72"/>
          <w:highlight w:val="none"/>
        </w:rPr>
      </w:pPr>
    </w:p>
    <w:p w14:paraId="6DE5D626">
      <w:pPr>
        <w:jc w:val="center"/>
        <w:rPr>
          <w:rFonts w:ascii="仿宋_GB2312" w:hAnsi="宋体" w:eastAsia="仿宋_GB2312"/>
          <w:b/>
          <w:bCs/>
          <w:color w:val="auto"/>
          <w:sz w:val="72"/>
          <w:szCs w:val="72"/>
          <w:highlight w:val="none"/>
        </w:rPr>
      </w:pPr>
    </w:p>
    <w:p w14:paraId="05B59BCA">
      <w:pPr>
        <w:snapToGrid w:val="0"/>
        <w:spacing w:before="120" w:beforeLines="50" w:after="50" w:line="500" w:lineRule="exact"/>
        <w:jc w:val="center"/>
        <w:rPr>
          <w:rFonts w:ascii="仿宋_GB2312" w:hAnsi="宋体" w:eastAsia="仿宋_GB2312"/>
          <w:b/>
          <w:bCs/>
          <w:color w:val="auto"/>
          <w:sz w:val="56"/>
          <w:szCs w:val="56"/>
          <w:highlight w:val="none"/>
        </w:rPr>
      </w:pPr>
    </w:p>
    <w:p w14:paraId="2AAE5463">
      <w:pPr>
        <w:snapToGrid w:val="0"/>
        <w:spacing w:before="120" w:beforeLines="50" w:after="50" w:line="500" w:lineRule="exact"/>
        <w:jc w:val="center"/>
        <w:rPr>
          <w:rFonts w:ascii="仿宋_GB2312" w:hAnsi="宋体" w:eastAsia="仿宋_GB2312"/>
          <w:b/>
          <w:bCs/>
          <w:color w:val="auto"/>
          <w:sz w:val="56"/>
          <w:szCs w:val="56"/>
          <w:highlight w:val="none"/>
        </w:rPr>
      </w:pPr>
    </w:p>
    <w:p w14:paraId="43F552B3">
      <w:pPr>
        <w:snapToGrid w:val="0"/>
        <w:spacing w:before="120" w:beforeLines="50" w:after="50" w:line="500" w:lineRule="exact"/>
        <w:jc w:val="center"/>
        <w:rPr>
          <w:rFonts w:ascii="仿宋_GB2312" w:hAnsi="宋体" w:eastAsia="仿宋_GB2312"/>
          <w:b/>
          <w:bCs/>
          <w:color w:val="auto"/>
          <w:sz w:val="24"/>
          <w:highlight w:val="none"/>
        </w:rPr>
        <w:sectPr>
          <w:headerReference r:id="rId9" w:type="default"/>
          <w:footerReference r:id="rId10" w:type="default"/>
          <w:pgSz w:w="11906" w:h="16838"/>
          <w:pgMar w:top="1440" w:right="1080" w:bottom="1440" w:left="1080" w:header="851" w:footer="992" w:gutter="0"/>
          <w:cols w:space="720" w:num="1"/>
          <w:docGrid w:linePitch="312" w:charSpace="0"/>
        </w:sectPr>
      </w:pPr>
      <w:r>
        <w:rPr>
          <w:rFonts w:hint="eastAsia" w:ascii="仿宋_GB2312" w:hAnsi="宋体" w:eastAsia="仿宋_GB2312"/>
          <w:b/>
          <w:bCs/>
          <w:color w:val="auto"/>
          <w:sz w:val="56"/>
          <w:szCs w:val="56"/>
          <w:highlight w:val="none"/>
        </w:rPr>
        <w:t>一、资 格 文 件 格 式</w:t>
      </w:r>
    </w:p>
    <w:p w14:paraId="28E3D5C7">
      <w:pPr>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 xml:space="preserve">响应文件封面格式： </w:t>
      </w:r>
    </w:p>
    <w:p w14:paraId="794675F6">
      <w:pPr>
        <w:snapToGrid w:val="0"/>
        <w:spacing w:before="157" w:beforeLines="50" w:after="50" w:line="360" w:lineRule="exact"/>
        <w:rPr>
          <w:rFonts w:hint="eastAsia" w:ascii="仿宋_GB2312" w:hAnsi="宋体" w:eastAsia="仿宋_GB2312"/>
          <w:color w:val="auto"/>
          <w:sz w:val="24"/>
          <w:highlight w:val="none"/>
        </w:rPr>
      </w:pPr>
    </w:p>
    <w:p w14:paraId="6D60271E">
      <w:pPr>
        <w:snapToGrid w:val="0"/>
        <w:spacing w:before="157" w:beforeLines="50" w:after="50" w:line="360" w:lineRule="exact"/>
        <w:jc w:val="right"/>
        <w:rPr>
          <w:rFonts w:hint="eastAsia" w:ascii="仿宋_GB2312" w:hAnsi="宋体" w:eastAsia="仿宋_GB2312"/>
          <w:b/>
          <w:bCs/>
          <w:color w:val="auto"/>
          <w:sz w:val="32"/>
          <w:szCs w:val="32"/>
          <w:highlight w:val="none"/>
        </w:rPr>
      </w:pPr>
    </w:p>
    <w:p w14:paraId="28AC94F9">
      <w:pPr>
        <w:snapToGrid w:val="0"/>
        <w:spacing w:before="157" w:beforeLines="50" w:after="50" w:line="360" w:lineRule="exact"/>
        <w:jc w:val="center"/>
        <w:rPr>
          <w:rFonts w:hint="eastAsia" w:ascii="仿宋_GB2312" w:hAnsi="宋体" w:eastAsia="仿宋_GB2312"/>
          <w:bCs/>
          <w:color w:val="auto"/>
          <w:sz w:val="24"/>
          <w:highlight w:val="none"/>
        </w:rPr>
      </w:pPr>
    </w:p>
    <w:p w14:paraId="6D5095BA">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响</w:t>
      </w:r>
    </w:p>
    <w:p w14:paraId="466B13FE">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应</w:t>
      </w:r>
    </w:p>
    <w:p w14:paraId="3CB2566F">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文</w:t>
      </w:r>
    </w:p>
    <w:p w14:paraId="11FAA097">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件</w:t>
      </w:r>
    </w:p>
    <w:p w14:paraId="42F7A05E">
      <w:pPr>
        <w:snapToGrid w:val="0"/>
        <w:spacing w:before="157" w:beforeLines="50" w:after="50" w:line="360" w:lineRule="exact"/>
        <w:jc w:val="center"/>
        <w:rPr>
          <w:rFonts w:hint="eastAsia" w:ascii="仿宋_GB2312" w:hAnsi="宋体" w:eastAsia="仿宋_GB2312"/>
          <w:b/>
          <w:bCs/>
          <w:color w:val="auto"/>
          <w:sz w:val="44"/>
          <w:szCs w:val="44"/>
          <w:highlight w:val="none"/>
        </w:rPr>
      </w:pPr>
    </w:p>
    <w:p w14:paraId="370C5686">
      <w:pPr>
        <w:snapToGrid w:val="0"/>
        <w:spacing w:before="157" w:beforeLines="50" w:after="50" w:line="360" w:lineRule="exact"/>
        <w:jc w:val="center"/>
        <w:rPr>
          <w:rFonts w:hint="eastAsia" w:ascii="仿宋_GB2312" w:hAnsi="宋体" w:eastAsia="仿宋_GB2312"/>
          <w:bCs/>
          <w:color w:val="auto"/>
          <w:sz w:val="24"/>
          <w:highlight w:val="none"/>
        </w:rPr>
      </w:pPr>
    </w:p>
    <w:p w14:paraId="6F759D53">
      <w:pPr>
        <w:snapToGrid w:val="0"/>
        <w:spacing w:before="157" w:beforeLines="50" w:after="50" w:line="360" w:lineRule="exact"/>
        <w:jc w:val="center"/>
        <w:rPr>
          <w:rFonts w:hint="eastAsia" w:ascii="仿宋_GB2312" w:hAnsi="宋体" w:eastAsia="仿宋_GB2312"/>
          <w:bCs/>
          <w:color w:val="auto"/>
          <w:sz w:val="24"/>
          <w:highlight w:val="none"/>
        </w:rPr>
      </w:pPr>
    </w:p>
    <w:p w14:paraId="2FE91CEF">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项目名称：</w:t>
      </w:r>
      <w:r>
        <w:rPr>
          <w:rFonts w:hint="eastAsia" w:ascii="仿宋_GB2312" w:hAnsi="宋体" w:eastAsia="仿宋_GB2312"/>
          <w:bCs/>
          <w:color w:val="auto"/>
          <w:sz w:val="32"/>
          <w:szCs w:val="32"/>
          <w:highlight w:val="none"/>
          <w:u w:val="single"/>
        </w:rPr>
        <w:t xml:space="preserve">                                  </w:t>
      </w:r>
    </w:p>
    <w:p w14:paraId="5C3929B8">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项目编号：</w:t>
      </w:r>
      <w:r>
        <w:rPr>
          <w:rFonts w:hint="eastAsia" w:ascii="仿宋_GB2312" w:hAnsi="宋体" w:eastAsia="仿宋_GB2312"/>
          <w:bCs/>
          <w:color w:val="auto"/>
          <w:sz w:val="32"/>
          <w:szCs w:val="32"/>
          <w:highlight w:val="none"/>
          <w:u w:val="single"/>
        </w:rPr>
        <w:t xml:space="preserve">                                  </w:t>
      </w:r>
    </w:p>
    <w:p w14:paraId="735F3523">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default" w:ascii="仿宋_GB2312" w:hAnsi="宋体" w:eastAsia="仿宋_GB2312"/>
          <w:bCs/>
          <w:color w:val="auto"/>
          <w:sz w:val="32"/>
          <w:szCs w:val="32"/>
          <w:highlight w:val="none"/>
          <w:u w:val="single"/>
          <w:lang w:val="en-US" w:eastAsia="zh-CN"/>
        </w:rPr>
      </w:pPr>
      <w:r>
        <w:rPr>
          <w:rFonts w:hint="eastAsia" w:ascii="仿宋_GB2312" w:hAnsi="宋体" w:eastAsia="仿宋_GB2312"/>
          <w:bCs/>
          <w:color w:val="auto"/>
          <w:sz w:val="32"/>
          <w:szCs w:val="32"/>
          <w:highlight w:val="none"/>
          <w:lang w:val="en-US" w:eastAsia="zh-CN"/>
        </w:rPr>
        <w:t>响应文件内容：</w:t>
      </w:r>
      <w:r>
        <w:rPr>
          <w:rFonts w:hint="eastAsia" w:ascii="仿宋_GB2312" w:hAnsi="宋体" w:eastAsia="仿宋_GB2312"/>
          <w:bCs/>
          <w:color w:val="auto"/>
          <w:sz w:val="32"/>
          <w:szCs w:val="32"/>
          <w:highlight w:val="none"/>
          <w:u w:val="single"/>
          <w:lang w:val="en-US" w:eastAsia="zh-CN"/>
        </w:rPr>
        <w:t xml:space="preserve">        资格文件              </w:t>
      </w:r>
    </w:p>
    <w:p w14:paraId="3B431192">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rPr>
      </w:pPr>
    </w:p>
    <w:p w14:paraId="109C5AB9">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rPr>
      </w:pPr>
    </w:p>
    <w:p w14:paraId="35A5B760">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供应商名称：</w:t>
      </w:r>
      <w:r>
        <w:rPr>
          <w:rFonts w:hint="eastAsia" w:ascii="仿宋_GB2312" w:hAnsi="宋体" w:eastAsia="仿宋_GB2312"/>
          <w:bCs/>
          <w:color w:val="auto"/>
          <w:sz w:val="32"/>
          <w:szCs w:val="32"/>
          <w:highlight w:val="none"/>
          <w:u w:val="single"/>
        </w:rPr>
        <w:t xml:space="preserve">         </w:t>
      </w:r>
      <w:r>
        <w:rPr>
          <w:rFonts w:hint="eastAsia" w:ascii="仿宋_GB2312" w:hAnsi="宋体" w:eastAsia="仿宋_GB2312"/>
          <w:bCs/>
          <w:color w:val="auto"/>
          <w:sz w:val="32"/>
          <w:szCs w:val="32"/>
          <w:highlight w:val="none"/>
          <w:u w:val="single"/>
          <w:lang w:val="en-US" w:eastAsia="zh-CN"/>
        </w:rPr>
        <w:t>(盖CA电子签章)</w:t>
      </w:r>
      <w:r>
        <w:rPr>
          <w:rFonts w:hint="eastAsia" w:ascii="仿宋_GB2312" w:hAnsi="宋体" w:eastAsia="仿宋_GB2312"/>
          <w:bCs/>
          <w:color w:val="auto"/>
          <w:sz w:val="32"/>
          <w:szCs w:val="32"/>
          <w:highlight w:val="none"/>
          <w:u w:val="single"/>
        </w:rPr>
        <w:t xml:space="preserve">        </w:t>
      </w:r>
    </w:p>
    <w:p w14:paraId="38209337">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联系人：</w:t>
      </w:r>
      <w:r>
        <w:rPr>
          <w:rFonts w:hint="eastAsia" w:ascii="仿宋_GB2312" w:hAnsi="宋体" w:eastAsia="仿宋_GB2312"/>
          <w:bCs/>
          <w:color w:val="auto"/>
          <w:sz w:val="32"/>
          <w:szCs w:val="32"/>
          <w:highlight w:val="none"/>
          <w:u w:val="single"/>
        </w:rPr>
        <w:t xml:space="preserve">          </w:t>
      </w:r>
      <w:r>
        <w:rPr>
          <w:rFonts w:hint="eastAsia" w:ascii="仿宋_GB2312" w:hAnsi="宋体" w:eastAsia="仿宋_GB2312"/>
          <w:bCs/>
          <w:color w:val="auto"/>
          <w:sz w:val="32"/>
          <w:szCs w:val="32"/>
          <w:highlight w:val="none"/>
        </w:rPr>
        <w:t xml:space="preserve"> 联系电话：</w:t>
      </w:r>
      <w:r>
        <w:rPr>
          <w:rFonts w:hint="eastAsia" w:ascii="仿宋_GB2312" w:hAnsi="宋体" w:eastAsia="仿宋_GB2312"/>
          <w:bCs/>
          <w:color w:val="auto"/>
          <w:sz w:val="32"/>
          <w:szCs w:val="32"/>
          <w:highlight w:val="none"/>
          <w:u w:val="single"/>
        </w:rPr>
        <w:t xml:space="preserve">           </w:t>
      </w:r>
    </w:p>
    <w:p w14:paraId="761C5807">
      <w:pPr>
        <w:pStyle w:val="19"/>
        <w:ind w:firstLine="640" w:firstLineChars="200"/>
        <w:rPr>
          <w:color w:val="auto"/>
          <w:highlight w:val="none"/>
        </w:rPr>
      </w:pPr>
      <w:r>
        <w:rPr>
          <w:rFonts w:hint="eastAsia" w:ascii="仿宋_GB2312" w:hAnsi="宋体" w:eastAsia="仿宋_GB2312"/>
          <w:color w:val="auto"/>
          <w:sz w:val="32"/>
          <w:szCs w:val="32"/>
          <w:highlight w:val="none"/>
          <w:lang w:val="en-US" w:eastAsia="zh-CN"/>
        </w:rPr>
        <w:t>日期：</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年</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月</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日</w:t>
      </w:r>
    </w:p>
    <w:p w14:paraId="3FBF8AD9">
      <w:pPr>
        <w:snapToGrid w:val="0"/>
        <w:spacing w:before="50" w:after="50"/>
        <w:jc w:val="left"/>
        <w:rPr>
          <w:rFonts w:hint="eastAsia" w:ascii="仿宋_GB2312" w:hAnsi="宋体" w:eastAsia="仿宋_GB2312"/>
          <w:b/>
          <w:bCs/>
          <w:color w:val="auto"/>
          <w:sz w:val="24"/>
          <w:highlight w:val="none"/>
        </w:rPr>
      </w:pPr>
    </w:p>
    <w:p w14:paraId="2CAEA199">
      <w:pPr>
        <w:snapToGrid w:val="0"/>
        <w:spacing w:before="50" w:after="50"/>
        <w:jc w:val="left"/>
        <w:rPr>
          <w:rFonts w:hint="eastAsia" w:ascii="仿宋_GB2312" w:hAnsi="宋体" w:eastAsia="仿宋_GB2312"/>
          <w:b/>
          <w:bCs/>
          <w:color w:val="auto"/>
          <w:sz w:val="24"/>
          <w:highlight w:val="none"/>
        </w:rPr>
      </w:pPr>
    </w:p>
    <w:p w14:paraId="77C6202B">
      <w:pPr>
        <w:snapToGrid w:val="0"/>
        <w:spacing w:before="50" w:after="50"/>
        <w:jc w:val="left"/>
        <w:rPr>
          <w:rFonts w:hint="eastAsia" w:ascii="仿宋_GB2312" w:hAnsi="宋体" w:eastAsia="仿宋_GB2312"/>
          <w:b/>
          <w:bCs/>
          <w:color w:val="auto"/>
          <w:sz w:val="24"/>
          <w:highlight w:val="none"/>
        </w:rPr>
      </w:pPr>
    </w:p>
    <w:p w14:paraId="08164F54">
      <w:pPr>
        <w:rPr>
          <w:rFonts w:ascii="仿宋_GB2312" w:eastAsia="仿宋_GB2312"/>
          <w:bCs/>
          <w:color w:val="auto"/>
          <w:highlight w:val="none"/>
        </w:rPr>
      </w:pPr>
      <w:r>
        <w:rPr>
          <w:rFonts w:hint="eastAsia" w:ascii="仿宋_GB2312" w:eastAsia="仿宋_GB2312"/>
          <w:b/>
          <w:bCs/>
          <w:color w:val="auto"/>
          <w:sz w:val="24"/>
          <w:highlight w:val="none"/>
        </w:rPr>
        <w:t>资格文件目录</w:t>
      </w:r>
      <w:r>
        <w:rPr>
          <w:rFonts w:hint="eastAsia" w:ascii="仿宋_GB2312" w:eastAsia="仿宋_GB2312"/>
          <w:b/>
          <w:color w:val="auto"/>
          <w:sz w:val="24"/>
          <w:highlight w:val="none"/>
        </w:rPr>
        <w:t>：</w:t>
      </w:r>
    </w:p>
    <w:p w14:paraId="607A6409">
      <w:pPr>
        <w:tabs>
          <w:tab w:val="left" w:pos="3870"/>
          <w:tab w:val="left" w:pos="4085"/>
        </w:tabs>
        <w:snapToGrid w:val="0"/>
        <w:spacing w:line="500" w:lineRule="exact"/>
        <w:ind w:right="-754" w:rightChars="-359"/>
        <w:jc w:val="center"/>
        <w:rPr>
          <w:rFonts w:ascii="仿宋_GB2312" w:eastAsia="仿宋_GB2312"/>
          <w:color w:val="auto"/>
          <w:sz w:val="44"/>
          <w:szCs w:val="44"/>
          <w:highlight w:val="none"/>
        </w:rPr>
      </w:pPr>
      <w:r>
        <w:rPr>
          <w:rFonts w:hint="eastAsia" w:ascii="仿宋_GB2312" w:eastAsia="仿宋_GB2312"/>
          <w:color w:val="auto"/>
          <w:sz w:val="44"/>
          <w:szCs w:val="44"/>
          <w:highlight w:val="none"/>
        </w:rPr>
        <w:t>目    录</w:t>
      </w:r>
    </w:p>
    <w:p w14:paraId="7B712C59">
      <w:pPr>
        <w:snapToGrid w:val="0"/>
        <w:spacing w:before="50" w:after="50"/>
        <w:jc w:val="left"/>
        <w:rPr>
          <w:rFonts w:hint="eastAsia" w:ascii="仿宋_GB2312" w:hAnsi="宋体" w:eastAsia="仿宋_GB2312"/>
          <w:b/>
          <w:bCs/>
          <w:color w:val="auto"/>
          <w:sz w:val="24"/>
          <w:highlight w:val="none"/>
        </w:rPr>
      </w:pPr>
    </w:p>
    <w:p w14:paraId="22DDB3F4">
      <w:pPr>
        <w:snapToGrid w:val="0"/>
        <w:spacing w:before="50" w:after="50"/>
        <w:jc w:val="left"/>
        <w:rPr>
          <w:rFonts w:hint="eastAsia" w:ascii="仿宋_GB2312" w:hAnsi="宋体" w:eastAsia="仿宋_GB2312"/>
          <w:b/>
          <w:bCs/>
          <w:color w:val="auto"/>
          <w:sz w:val="24"/>
          <w:highlight w:val="none"/>
        </w:rPr>
      </w:pPr>
    </w:p>
    <w:p w14:paraId="593C4298">
      <w:pPr>
        <w:snapToGrid w:val="0"/>
        <w:spacing w:before="50" w:after="50"/>
        <w:jc w:val="center"/>
        <w:rPr>
          <w:rFonts w:hint="eastAsia" w:ascii="仿宋_GB2312" w:hAnsi="宋体" w:eastAsia="仿宋_GB2312"/>
          <w:b/>
          <w:bCs/>
          <w:color w:val="auto"/>
          <w:sz w:val="28"/>
          <w:szCs w:val="28"/>
          <w:highlight w:val="none"/>
          <w:lang w:eastAsia="zh-CN"/>
        </w:rPr>
      </w:pPr>
      <w:r>
        <w:rPr>
          <w:rFonts w:hint="eastAsia" w:ascii="仿宋_GB2312" w:eastAsia="仿宋_GB2312"/>
          <w:color w:val="auto"/>
          <w:sz w:val="28"/>
          <w:szCs w:val="28"/>
          <w:highlight w:val="none"/>
          <w:lang w:val="en-US" w:eastAsia="zh-CN"/>
        </w:rPr>
        <w:t xml:space="preserve">      格式自拟</w:t>
      </w:r>
    </w:p>
    <w:p w14:paraId="2272EAFE">
      <w:pPr>
        <w:snapToGrid w:val="0"/>
        <w:spacing w:before="50" w:after="50"/>
        <w:jc w:val="left"/>
        <w:rPr>
          <w:rFonts w:hint="eastAsia" w:ascii="仿宋_GB2312" w:hAnsi="宋体" w:eastAsia="仿宋_GB2312"/>
          <w:b/>
          <w:bCs/>
          <w:color w:val="auto"/>
          <w:sz w:val="24"/>
          <w:highlight w:val="none"/>
          <w:lang w:val="en-US" w:eastAsia="zh-CN"/>
        </w:rPr>
      </w:pPr>
      <w:r>
        <w:rPr>
          <w:rFonts w:hint="eastAsia" w:ascii="仿宋_GB2312" w:hAnsi="宋体" w:eastAsia="仿宋_GB2312"/>
          <w:b/>
          <w:bCs/>
          <w:color w:val="auto"/>
          <w:sz w:val="24"/>
          <w:highlight w:val="none"/>
          <w:lang w:val="en-US" w:eastAsia="zh-CN"/>
        </w:rPr>
        <w:t xml:space="preserve"> </w:t>
      </w:r>
    </w:p>
    <w:p w14:paraId="616B4F30">
      <w:pPr>
        <w:snapToGrid w:val="0"/>
        <w:spacing w:before="50" w:after="50"/>
        <w:jc w:val="left"/>
        <w:rPr>
          <w:rFonts w:hint="eastAsia" w:ascii="仿宋_GB2312" w:hAnsi="宋体" w:eastAsia="仿宋_GB2312"/>
          <w:b/>
          <w:bCs/>
          <w:color w:val="auto"/>
          <w:sz w:val="24"/>
          <w:highlight w:val="none"/>
        </w:rPr>
      </w:pPr>
    </w:p>
    <w:p w14:paraId="24C32728">
      <w:pPr>
        <w:snapToGrid w:val="0"/>
        <w:spacing w:before="50" w:after="50"/>
        <w:jc w:val="left"/>
        <w:rPr>
          <w:rFonts w:hint="eastAsia" w:ascii="仿宋_GB2312" w:hAnsi="宋体" w:eastAsia="仿宋_GB2312"/>
          <w:b/>
          <w:bCs/>
          <w:color w:val="auto"/>
          <w:sz w:val="24"/>
          <w:highlight w:val="none"/>
        </w:rPr>
      </w:pPr>
    </w:p>
    <w:p w14:paraId="6FC63D80">
      <w:pPr>
        <w:snapToGrid w:val="0"/>
        <w:spacing w:before="50" w:after="50"/>
        <w:jc w:val="left"/>
        <w:rPr>
          <w:rFonts w:hint="eastAsia" w:ascii="仿宋_GB2312" w:hAnsi="宋体" w:eastAsia="仿宋_GB2312"/>
          <w:b/>
          <w:bCs/>
          <w:color w:val="auto"/>
          <w:sz w:val="24"/>
          <w:highlight w:val="none"/>
        </w:rPr>
      </w:pPr>
    </w:p>
    <w:p w14:paraId="7B252E22">
      <w:pPr>
        <w:snapToGrid w:val="0"/>
        <w:spacing w:before="50" w:after="50"/>
        <w:jc w:val="left"/>
        <w:rPr>
          <w:rFonts w:hint="eastAsia" w:ascii="仿宋_GB2312" w:hAnsi="宋体" w:eastAsia="仿宋_GB2312"/>
          <w:b/>
          <w:bCs/>
          <w:color w:val="auto"/>
          <w:sz w:val="24"/>
          <w:highlight w:val="none"/>
        </w:rPr>
      </w:pPr>
    </w:p>
    <w:p w14:paraId="151AAC56">
      <w:pPr>
        <w:snapToGrid w:val="0"/>
        <w:spacing w:before="50" w:after="50"/>
        <w:jc w:val="left"/>
        <w:rPr>
          <w:rFonts w:hint="eastAsia" w:ascii="仿宋_GB2312" w:hAnsi="宋体" w:eastAsia="仿宋_GB2312"/>
          <w:b/>
          <w:bCs/>
          <w:color w:val="auto"/>
          <w:sz w:val="24"/>
          <w:highlight w:val="none"/>
        </w:rPr>
      </w:pPr>
    </w:p>
    <w:p w14:paraId="1ACF9AE8">
      <w:pPr>
        <w:snapToGrid w:val="0"/>
        <w:spacing w:before="50" w:after="50"/>
        <w:jc w:val="left"/>
        <w:rPr>
          <w:rFonts w:hint="eastAsia" w:ascii="仿宋_GB2312" w:hAnsi="宋体" w:eastAsia="仿宋_GB2312"/>
          <w:b/>
          <w:bCs/>
          <w:color w:val="auto"/>
          <w:sz w:val="24"/>
          <w:highlight w:val="none"/>
        </w:rPr>
      </w:pPr>
    </w:p>
    <w:p w14:paraId="227A2065">
      <w:pPr>
        <w:snapToGrid w:val="0"/>
        <w:spacing w:before="50" w:after="50"/>
        <w:jc w:val="left"/>
        <w:rPr>
          <w:rFonts w:hint="eastAsia" w:ascii="仿宋_GB2312" w:hAnsi="宋体" w:eastAsia="仿宋_GB2312"/>
          <w:b/>
          <w:bCs/>
          <w:color w:val="auto"/>
          <w:sz w:val="24"/>
          <w:highlight w:val="none"/>
        </w:rPr>
      </w:pPr>
    </w:p>
    <w:p w14:paraId="0EAFE219">
      <w:pPr>
        <w:snapToGrid w:val="0"/>
        <w:spacing w:before="50" w:after="50"/>
        <w:jc w:val="left"/>
        <w:rPr>
          <w:rFonts w:hint="eastAsia" w:ascii="仿宋_GB2312" w:hAnsi="宋体" w:eastAsia="仿宋_GB2312"/>
          <w:b/>
          <w:bCs/>
          <w:color w:val="auto"/>
          <w:sz w:val="24"/>
          <w:highlight w:val="none"/>
        </w:rPr>
      </w:pPr>
    </w:p>
    <w:p w14:paraId="74E41ED8">
      <w:pPr>
        <w:snapToGrid w:val="0"/>
        <w:spacing w:before="50" w:after="50"/>
        <w:jc w:val="left"/>
        <w:rPr>
          <w:rFonts w:hint="eastAsia" w:ascii="仿宋_GB2312" w:hAnsi="宋体" w:eastAsia="仿宋_GB2312"/>
          <w:b/>
          <w:bCs/>
          <w:color w:val="auto"/>
          <w:sz w:val="24"/>
          <w:highlight w:val="none"/>
        </w:rPr>
      </w:pPr>
    </w:p>
    <w:p w14:paraId="3B12DEF3">
      <w:pPr>
        <w:snapToGrid w:val="0"/>
        <w:spacing w:before="50" w:after="50"/>
        <w:jc w:val="left"/>
        <w:rPr>
          <w:rFonts w:hint="eastAsia" w:ascii="仿宋_GB2312" w:hAnsi="宋体" w:eastAsia="仿宋_GB2312"/>
          <w:b/>
          <w:bCs/>
          <w:color w:val="auto"/>
          <w:sz w:val="24"/>
          <w:highlight w:val="none"/>
        </w:rPr>
      </w:pPr>
    </w:p>
    <w:p w14:paraId="2AD95A07">
      <w:pPr>
        <w:snapToGrid w:val="0"/>
        <w:spacing w:before="50" w:after="50"/>
        <w:jc w:val="left"/>
        <w:rPr>
          <w:rFonts w:hint="eastAsia" w:ascii="仿宋_GB2312" w:hAnsi="宋体" w:eastAsia="仿宋_GB2312"/>
          <w:b/>
          <w:bCs/>
          <w:color w:val="auto"/>
          <w:sz w:val="24"/>
          <w:highlight w:val="none"/>
        </w:rPr>
      </w:pPr>
    </w:p>
    <w:p w14:paraId="006564C0">
      <w:pPr>
        <w:snapToGrid w:val="0"/>
        <w:spacing w:before="50" w:after="50"/>
        <w:jc w:val="left"/>
        <w:rPr>
          <w:rFonts w:hint="eastAsia" w:ascii="仿宋_GB2312" w:hAnsi="宋体" w:eastAsia="仿宋_GB2312"/>
          <w:b/>
          <w:bCs/>
          <w:color w:val="auto"/>
          <w:sz w:val="24"/>
          <w:highlight w:val="none"/>
        </w:rPr>
      </w:pPr>
    </w:p>
    <w:p w14:paraId="3DB39A9E">
      <w:pPr>
        <w:snapToGrid w:val="0"/>
        <w:spacing w:before="50" w:after="50"/>
        <w:jc w:val="left"/>
        <w:rPr>
          <w:rFonts w:hint="eastAsia" w:ascii="仿宋_GB2312" w:hAnsi="宋体" w:eastAsia="仿宋_GB2312"/>
          <w:b/>
          <w:bCs/>
          <w:color w:val="auto"/>
          <w:sz w:val="24"/>
          <w:highlight w:val="none"/>
        </w:rPr>
      </w:pPr>
    </w:p>
    <w:p w14:paraId="14A58551">
      <w:pPr>
        <w:snapToGrid w:val="0"/>
        <w:spacing w:before="50" w:after="50"/>
        <w:jc w:val="left"/>
        <w:rPr>
          <w:rFonts w:hint="eastAsia" w:ascii="仿宋_GB2312" w:hAnsi="宋体" w:eastAsia="仿宋_GB2312"/>
          <w:b/>
          <w:bCs/>
          <w:color w:val="auto"/>
          <w:sz w:val="24"/>
          <w:highlight w:val="none"/>
        </w:rPr>
      </w:pPr>
    </w:p>
    <w:p w14:paraId="35FFF7A6">
      <w:pPr>
        <w:snapToGrid w:val="0"/>
        <w:spacing w:before="50" w:after="50"/>
        <w:jc w:val="left"/>
        <w:rPr>
          <w:rFonts w:hint="eastAsia" w:ascii="仿宋_GB2312" w:hAnsi="宋体" w:eastAsia="仿宋_GB2312"/>
          <w:b/>
          <w:bCs/>
          <w:color w:val="auto"/>
          <w:sz w:val="24"/>
          <w:highlight w:val="none"/>
        </w:rPr>
      </w:pPr>
    </w:p>
    <w:p w14:paraId="2F76F9D4">
      <w:pPr>
        <w:snapToGrid w:val="0"/>
        <w:spacing w:before="50" w:after="50"/>
        <w:jc w:val="left"/>
        <w:rPr>
          <w:rFonts w:hint="eastAsia" w:ascii="仿宋_GB2312" w:hAnsi="宋体" w:eastAsia="仿宋_GB2312"/>
          <w:b/>
          <w:bCs/>
          <w:color w:val="auto"/>
          <w:sz w:val="24"/>
          <w:highlight w:val="none"/>
        </w:rPr>
      </w:pPr>
    </w:p>
    <w:p w14:paraId="0319DB14">
      <w:pPr>
        <w:snapToGrid w:val="0"/>
        <w:spacing w:before="50" w:after="50"/>
        <w:jc w:val="left"/>
        <w:rPr>
          <w:rFonts w:hint="eastAsia" w:ascii="仿宋_GB2312" w:hAnsi="宋体" w:eastAsia="仿宋_GB2312"/>
          <w:b/>
          <w:bCs/>
          <w:color w:val="auto"/>
          <w:sz w:val="24"/>
          <w:highlight w:val="none"/>
        </w:rPr>
      </w:pPr>
    </w:p>
    <w:p w14:paraId="4F7708A3">
      <w:pPr>
        <w:snapToGrid w:val="0"/>
        <w:spacing w:before="50" w:after="50"/>
        <w:jc w:val="left"/>
        <w:rPr>
          <w:rFonts w:hint="eastAsia" w:ascii="仿宋_GB2312" w:hAnsi="宋体" w:eastAsia="仿宋_GB2312"/>
          <w:b/>
          <w:bCs/>
          <w:color w:val="auto"/>
          <w:sz w:val="24"/>
          <w:highlight w:val="none"/>
        </w:rPr>
      </w:pPr>
    </w:p>
    <w:p w14:paraId="70E4F815">
      <w:pPr>
        <w:snapToGrid w:val="0"/>
        <w:spacing w:before="50" w:after="50"/>
        <w:jc w:val="left"/>
        <w:rPr>
          <w:rFonts w:hint="eastAsia" w:ascii="仿宋_GB2312" w:hAnsi="宋体" w:eastAsia="仿宋_GB2312"/>
          <w:b/>
          <w:bCs/>
          <w:color w:val="auto"/>
          <w:sz w:val="24"/>
          <w:highlight w:val="none"/>
        </w:rPr>
      </w:pPr>
    </w:p>
    <w:p w14:paraId="7D0DE10C">
      <w:pPr>
        <w:snapToGrid w:val="0"/>
        <w:spacing w:before="50" w:after="50"/>
        <w:jc w:val="left"/>
        <w:rPr>
          <w:rFonts w:hint="eastAsia" w:ascii="仿宋_GB2312" w:hAnsi="宋体" w:eastAsia="仿宋_GB2312"/>
          <w:b/>
          <w:bCs/>
          <w:color w:val="auto"/>
          <w:sz w:val="24"/>
          <w:highlight w:val="none"/>
        </w:rPr>
      </w:pPr>
    </w:p>
    <w:p w14:paraId="209F8107">
      <w:pPr>
        <w:snapToGrid w:val="0"/>
        <w:spacing w:before="50" w:after="50"/>
        <w:jc w:val="left"/>
        <w:rPr>
          <w:rFonts w:hint="eastAsia" w:ascii="仿宋_GB2312" w:hAnsi="宋体" w:eastAsia="仿宋_GB2312"/>
          <w:b/>
          <w:bCs/>
          <w:color w:val="auto"/>
          <w:sz w:val="24"/>
          <w:highlight w:val="none"/>
        </w:rPr>
      </w:pPr>
    </w:p>
    <w:p w14:paraId="14EE5BB6">
      <w:pPr>
        <w:snapToGrid w:val="0"/>
        <w:spacing w:before="50" w:after="50"/>
        <w:jc w:val="left"/>
        <w:rPr>
          <w:rFonts w:hint="eastAsia" w:ascii="仿宋_GB2312" w:hAnsi="宋体" w:eastAsia="仿宋_GB2312"/>
          <w:b/>
          <w:bCs/>
          <w:color w:val="auto"/>
          <w:sz w:val="24"/>
          <w:highlight w:val="none"/>
        </w:rPr>
      </w:pPr>
    </w:p>
    <w:p w14:paraId="6D4D4D9C">
      <w:pPr>
        <w:snapToGrid w:val="0"/>
        <w:spacing w:before="50" w:after="50"/>
        <w:jc w:val="left"/>
        <w:rPr>
          <w:rFonts w:hint="eastAsia" w:ascii="仿宋_GB2312" w:hAnsi="宋体" w:eastAsia="仿宋_GB2312"/>
          <w:b/>
          <w:bCs/>
          <w:color w:val="auto"/>
          <w:sz w:val="24"/>
          <w:highlight w:val="none"/>
        </w:rPr>
      </w:pPr>
    </w:p>
    <w:p w14:paraId="67F01C1E">
      <w:pPr>
        <w:snapToGrid w:val="0"/>
        <w:spacing w:before="50" w:after="50"/>
        <w:jc w:val="left"/>
        <w:rPr>
          <w:rFonts w:hint="eastAsia" w:ascii="仿宋_GB2312" w:hAnsi="宋体" w:eastAsia="仿宋_GB2312"/>
          <w:b/>
          <w:bCs/>
          <w:color w:val="auto"/>
          <w:sz w:val="24"/>
          <w:highlight w:val="none"/>
        </w:rPr>
      </w:pPr>
    </w:p>
    <w:p w14:paraId="06A41DB0">
      <w:pPr>
        <w:snapToGrid w:val="0"/>
        <w:spacing w:before="50" w:after="50"/>
        <w:jc w:val="left"/>
        <w:rPr>
          <w:rFonts w:hint="eastAsia" w:ascii="仿宋_GB2312" w:hAnsi="宋体" w:eastAsia="仿宋_GB2312"/>
          <w:b/>
          <w:bCs/>
          <w:color w:val="auto"/>
          <w:sz w:val="24"/>
          <w:highlight w:val="none"/>
        </w:rPr>
      </w:pPr>
    </w:p>
    <w:p w14:paraId="1A222CDF">
      <w:pPr>
        <w:snapToGrid w:val="0"/>
        <w:spacing w:before="50" w:after="50"/>
        <w:jc w:val="left"/>
        <w:rPr>
          <w:rFonts w:hint="eastAsia" w:ascii="仿宋_GB2312" w:hAnsi="宋体" w:eastAsia="仿宋_GB2312"/>
          <w:b/>
          <w:bCs/>
          <w:color w:val="auto"/>
          <w:sz w:val="24"/>
          <w:highlight w:val="none"/>
        </w:rPr>
      </w:pPr>
    </w:p>
    <w:p w14:paraId="1D068F28">
      <w:pPr>
        <w:pStyle w:val="41"/>
        <w:rPr>
          <w:rFonts w:hint="eastAsia" w:ascii="仿宋_GB2312" w:hAnsi="宋体" w:eastAsia="仿宋_GB2312"/>
          <w:b/>
          <w:bCs/>
          <w:color w:val="auto"/>
          <w:sz w:val="24"/>
          <w:highlight w:val="none"/>
        </w:rPr>
      </w:pPr>
    </w:p>
    <w:p w14:paraId="54D5FF77">
      <w:pPr>
        <w:pStyle w:val="41"/>
        <w:rPr>
          <w:rFonts w:hint="eastAsia" w:ascii="仿宋_GB2312" w:hAnsi="宋体" w:eastAsia="仿宋_GB2312"/>
          <w:b/>
          <w:bCs/>
          <w:color w:val="auto"/>
          <w:sz w:val="24"/>
          <w:highlight w:val="none"/>
        </w:rPr>
      </w:pPr>
    </w:p>
    <w:p w14:paraId="55E8719C">
      <w:pPr>
        <w:snapToGrid w:val="0"/>
        <w:spacing w:before="50" w:after="50"/>
        <w:jc w:val="left"/>
        <w:rPr>
          <w:rFonts w:hint="eastAsia" w:ascii="仿宋_GB2312" w:hAnsi="宋体" w:eastAsia="仿宋_GB2312"/>
          <w:b/>
          <w:bCs/>
          <w:color w:val="auto"/>
          <w:sz w:val="24"/>
          <w:highlight w:val="none"/>
        </w:rPr>
      </w:pPr>
    </w:p>
    <w:p w14:paraId="4F0CC690">
      <w:pPr>
        <w:snapToGrid w:val="0"/>
        <w:spacing w:before="50" w:after="50"/>
        <w:jc w:val="left"/>
        <w:rPr>
          <w:rFonts w:hint="eastAsia" w:ascii="仿宋_GB2312" w:hAnsi="宋体" w:eastAsia="仿宋_GB2312"/>
          <w:b/>
          <w:bCs/>
          <w:color w:val="auto"/>
          <w:sz w:val="24"/>
          <w:highlight w:val="none"/>
        </w:rPr>
      </w:pPr>
    </w:p>
    <w:p w14:paraId="3E5BC20E">
      <w:pPr>
        <w:snapToGrid w:val="0"/>
        <w:spacing w:before="50" w:after="50"/>
        <w:jc w:val="left"/>
        <w:rPr>
          <w:rFonts w:hint="eastAsia" w:ascii="仿宋_GB2312" w:hAnsi="宋体" w:eastAsia="仿宋_GB2312"/>
          <w:b/>
          <w:bCs/>
          <w:color w:val="auto"/>
          <w:sz w:val="24"/>
          <w:highlight w:val="none"/>
        </w:rPr>
      </w:pPr>
    </w:p>
    <w:p w14:paraId="695B7C27">
      <w:pPr>
        <w:snapToGrid w:val="0"/>
        <w:spacing w:before="50" w:after="50"/>
        <w:jc w:val="left"/>
        <w:rPr>
          <w:rFonts w:hint="eastAsia" w:ascii="仿宋_GB2312" w:hAnsi="宋体" w:eastAsia="仿宋_GB2312"/>
          <w:b/>
          <w:bCs/>
          <w:color w:val="auto"/>
          <w:sz w:val="24"/>
          <w:highlight w:val="none"/>
        </w:rPr>
      </w:pPr>
    </w:p>
    <w:p w14:paraId="076AE72F">
      <w:pPr>
        <w:snapToGrid w:val="0"/>
        <w:spacing w:before="50" w:after="50"/>
        <w:jc w:val="lef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（1）法定代表人身份证明书格式</w:t>
      </w:r>
      <w:r>
        <w:rPr>
          <w:rFonts w:hint="eastAsia" w:ascii="仿宋_GB2312" w:eastAsia="仿宋_GB2312"/>
          <w:b/>
          <w:color w:val="auto"/>
          <w:sz w:val="24"/>
          <w:highlight w:val="none"/>
        </w:rPr>
        <w:t>（必须提供）</w:t>
      </w:r>
      <w:r>
        <w:rPr>
          <w:rFonts w:hint="eastAsia" w:ascii="仿宋_GB2312" w:hAnsi="宋体" w:eastAsia="仿宋_GB2312"/>
          <w:b/>
          <w:bCs/>
          <w:color w:val="auto"/>
          <w:sz w:val="24"/>
          <w:highlight w:val="none"/>
        </w:rPr>
        <w:t>：</w:t>
      </w:r>
    </w:p>
    <w:p w14:paraId="46A8752F">
      <w:pPr>
        <w:snapToGrid w:val="0"/>
        <w:spacing w:before="50" w:after="50"/>
        <w:jc w:val="left"/>
        <w:rPr>
          <w:rFonts w:ascii="仿宋_GB2312" w:hAnsi="宋体" w:eastAsia="仿宋_GB2312"/>
          <w:b/>
          <w:bCs/>
          <w:color w:val="auto"/>
          <w:sz w:val="24"/>
          <w:highlight w:val="none"/>
        </w:rPr>
      </w:pPr>
    </w:p>
    <w:p w14:paraId="28170ED3">
      <w:pPr>
        <w:snapToGrid w:val="0"/>
        <w:spacing w:line="400" w:lineRule="exact"/>
        <w:ind w:firstLine="643" w:firstLineChars="200"/>
        <w:jc w:val="center"/>
        <w:rPr>
          <w:rFonts w:ascii="宋体" w:hAnsi="宋体"/>
          <w:color w:val="auto"/>
          <w:sz w:val="32"/>
          <w:szCs w:val="32"/>
          <w:highlight w:val="none"/>
        </w:rPr>
      </w:pPr>
      <w:r>
        <w:rPr>
          <w:rFonts w:hint="eastAsia" w:ascii="宋体" w:hAnsi="宋体"/>
          <w:b/>
          <w:color w:val="auto"/>
          <w:sz w:val="32"/>
          <w:szCs w:val="32"/>
          <w:highlight w:val="none"/>
        </w:rPr>
        <w:t>法定代表人身份证明书</w:t>
      </w:r>
    </w:p>
    <w:p w14:paraId="0D78899B">
      <w:pPr>
        <w:pStyle w:val="29"/>
        <w:spacing w:line="276" w:lineRule="auto"/>
        <w:jc w:val="center"/>
        <w:rPr>
          <w:rFonts w:ascii="仿宋_GB2312" w:hAnsi="宋体" w:eastAsia="仿宋_GB2312"/>
          <w:color w:val="auto"/>
          <w:sz w:val="24"/>
          <w:szCs w:val="24"/>
          <w:highlight w:val="none"/>
        </w:rPr>
      </w:pPr>
    </w:p>
    <w:p w14:paraId="3ED15791">
      <w:pPr>
        <w:pStyle w:val="29"/>
        <w:spacing w:line="276" w:lineRule="auto"/>
        <w:ind w:firstLine="480" w:firstLineChars="200"/>
        <w:rPr>
          <w:rFonts w:ascii="仿宋_GB2312" w:hAnsi="宋体" w:eastAsia="仿宋_GB2312"/>
          <w:color w:val="auto"/>
          <w:sz w:val="24"/>
          <w:szCs w:val="24"/>
          <w:highlight w:val="none"/>
          <w:u w:val="single"/>
        </w:rPr>
      </w:pPr>
      <w:r>
        <w:rPr>
          <w:rFonts w:hint="eastAsia" w:ascii="仿宋_GB2312" w:hAnsi="宋体" w:eastAsia="仿宋_GB2312"/>
          <w:color w:val="auto"/>
          <w:sz w:val="24"/>
          <w:szCs w:val="24"/>
          <w:highlight w:val="none"/>
        </w:rPr>
        <w:t>单位名称：</w:t>
      </w:r>
      <w:r>
        <w:rPr>
          <w:rFonts w:hint="eastAsia" w:ascii="仿宋_GB2312" w:hAnsi="宋体" w:eastAsia="仿宋_GB2312"/>
          <w:color w:val="auto"/>
          <w:sz w:val="24"/>
          <w:szCs w:val="24"/>
          <w:highlight w:val="none"/>
          <w:u w:val="single"/>
        </w:rPr>
        <w:t xml:space="preserve">                               </w:t>
      </w:r>
    </w:p>
    <w:p w14:paraId="1A5AFDBF">
      <w:pPr>
        <w:pStyle w:val="29"/>
        <w:spacing w:line="276"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经济性质：</w:t>
      </w:r>
      <w:r>
        <w:rPr>
          <w:rFonts w:hint="eastAsia" w:ascii="仿宋_GB2312" w:hAnsi="宋体" w:eastAsia="仿宋_GB2312"/>
          <w:color w:val="auto"/>
          <w:sz w:val="24"/>
          <w:szCs w:val="24"/>
          <w:highlight w:val="none"/>
          <w:u w:val="single"/>
        </w:rPr>
        <w:t xml:space="preserve">                               </w:t>
      </w:r>
    </w:p>
    <w:p w14:paraId="40B685EF">
      <w:pPr>
        <w:pStyle w:val="29"/>
        <w:spacing w:line="276"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地    址：</w:t>
      </w:r>
      <w:r>
        <w:rPr>
          <w:rFonts w:hint="eastAsia" w:ascii="仿宋_GB2312" w:hAnsi="宋体" w:eastAsia="仿宋_GB2312"/>
          <w:color w:val="auto"/>
          <w:sz w:val="24"/>
          <w:szCs w:val="24"/>
          <w:highlight w:val="none"/>
          <w:u w:val="single"/>
        </w:rPr>
        <w:t xml:space="preserve">                               </w:t>
      </w:r>
    </w:p>
    <w:p w14:paraId="29115CF9">
      <w:pPr>
        <w:pStyle w:val="29"/>
        <w:spacing w:line="276"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成立时间：</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年</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月</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日</w:t>
      </w:r>
    </w:p>
    <w:p w14:paraId="14023A58">
      <w:pPr>
        <w:pStyle w:val="29"/>
        <w:spacing w:line="276"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经营期限：</w:t>
      </w:r>
      <w:r>
        <w:rPr>
          <w:rFonts w:hint="eastAsia" w:ascii="仿宋_GB2312" w:hAnsi="宋体" w:eastAsia="仿宋_GB2312"/>
          <w:color w:val="auto"/>
          <w:sz w:val="24"/>
          <w:szCs w:val="24"/>
          <w:highlight w:val="none"/>
          <w:u w:val="single"/>
        </w:rPr>
        <w:t xml:space="preserve">                               </w:t>
      </w:r>
    </w:p>
    <w:p w14:paraId="244C2A9F">
      <w:pPr>
        <w:pStyle w:val="29"/>
        <w:spacing w:line="276"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姓名：</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性别：</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年龄：</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职务：</w:t>
      </w:r>
      <w:r>
        <w:rPr>
          <w:rFonts w:hint="eastAsia" w:ascii="仿宋_GB2312" w:hAnsi="宋体" w:eastAsia="仿宋_GB2312"/>
          <w:color w:val="auto"/>
          <w:sz w:val="24"/>
          <w:szCs w:val="24"/>
          <w:highlight w:val="none"/>
          <w:u w:val="single"/>
        </w:rPr>
        <w:t xml:space="preserve">       </w:t>
      </w:r>
    </w:p>
    <w:p w14:paraId="638753C0">
      <w:pPr>
        <w:pStyle w:val="29"/>
        <w:spacing w:line="276"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系</w:t>
      </w:r>
      <w:r>
        <w:rPr>
          <w:rFonts w:hint="eastAsia" w:ascii="仿宋_GB2312" w:hAnsi="宋体" w:eastAsia="仿宋_GB2312"/>
          <w:color w:val="auto"/>
          <w:sz w:val="24"/>
          <w:szCs w:val="24"/>
          <w:highlight w:val="none"/>
          <w:u w:val="single"/>
        </w:rPr>
        <w:t xml:space="preserve">       （供应商名称）         </w:t>
      </w:r>
      <w:r>
        <w:rPr>
          <w:rFonts w:hint="eastAsia" w:ascii="仿宋_GB2312" w:hAnsi="宋体" w:eastAsia="仿宋_GB2312"/>
          <w:color w:val="auto"/>
          <w:sz w:val="24"/>
          <w:szCs w:val="24"/>
          <w:highlight w:val="none"/>
        </w:rPr>
        <w:t>的法定代表人。</w:t>
      </w:r>
    </w:p>
    <w:p w14:paraId="6A2B1A30">
      <w:pPr>
        <w:pStyle w:val="29"/>
        <w:spacing w:line="276"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特此证明。</w:t>
      </w:r>
    </w:p>
    <w:p w14:paraId="59B3557A">
      <w:pPr>
        <w:spacing w:line="276" w:lineRule="auto"/>
        <w:ind w:firstLine="480"/>
        <w:rPr>
          <w:rFonts w:ascii="仿宋_GB2312" w:eastAsia="仿宋_GB2312"/>
          <w:color w:val="auto"/>
          <w:sz w:val="24"/>
          <w:highlight w:val="none"/>
          <w:u w:val="single"/>
        </w:rPr>
      </w:pPr>
      <w:r>
        <w:rPr>
          <w:rFonts w:hint="eastAsia" w:ascii="仿宋_GB2312" w:eastAsia="仿宋_GB2312"/>
          <w:color w:val="auto"/>
          <w:sz w:val="24"/>
          <w:highlight w:val="none"/>
        </w:rPr>
        <w:t xml:space="preserve">                              供应商名称</w:t>
      </w:r>
      <w:r>
        <w:rPr>
          <w:rFonts w:hint="eastAsia" w:ascii="仿宋_GB2312" w:eastAsia="仿宋_GB2312"/>
          <w:b/>
          <w:color w:val="auto"/>
          <w:sz w:val="24"/>
          <w:highlight w:val="none"/>
        </w:rPr>
        <w:t>（</w:t>
      </w:r>
      <w:r>
        <w:rPr>
          <w:rFonts w:hint="eastAsia" w:ascii="仿宋_GB2312" w:eastAsia="仿宋_GB2312"/>
          <w:b/>
          <w:bCs/>
          <w:color w:val="auto"/>
          <w:sz w:val="24"/>
          <w:highlight w:val="none"/>
        </w:rPr>
        <w:t>CA电子签章</w:t>
      </w:r>
      <w:r>
        <w:rPr>
          <w:rFonts w:hint="eastAsia" w:ascii="仿宋_GB2312" w:eastAsia="仿宋_GB2312"/>
          <w:b/>
          <w:color w:val="auto"/>
          <w:sz w:val="24"/>
          <w:highlight w:val="none"/>
        </w:rPr>
        <w:t>）</w:t>
      </w:r>
      <w:r>
        <w:rPr>
          <w:rFonts w:hint="eastAsia" w:ascii="仿宋_GB2312" w:eastAsia="仿宋_GB2312"/>
          <w:color w:val="auto"/>
          <w:sz w:val="24"/>
          <w:highlight w:val="none"/>
        </w:rPr>
        <w:t>：</w:t>
      </w:r>
      <w:r>
        <w:rPr>
          <w:rFonts w:hint="eastAsia" w:ascii="仿宋_GB2312" w:eastAsia="仿宋_GB2312"/>
          <w:color w:val="auto"/>
          <w:sz w:val="24"/>
          <w:highlight w:val="none"/>
          <w:u w:val="single"/>
        </w:rPr>
        <w:t xml:space="preserve">                     </w:t>
      </w:r>
    </w:p>
    <w:p w14:paraId="5698E244">
      <w:pPr>
        <w:jc w:val="right"/>
        <w:rPr>
          <w:rFonts w:ascii="仿宋_GB2312" w:hAnsi="宋体" w:eastAsia="仿宋_GB2312"/>
          <w:color w:val="auto"/>
          <w:sz w:val="24"/>
          <w:highlight w:val="none"/>
        </w:rPr>
      </w:pPr>
      <w:r>
        <w:rPr>
          <w:rFonts w:hint="eastAsia" w:ascii="仿宋_GB2312" w:eastAsia="仿宋_GB2312"/>
          <w:color w:val="auto"/>
          <w:sz w:val="24"/>
          <w:highlight w:val="none"/>
        </w:rPr>
        <w:t xml:space="preserve">      </w:t>
      </w:r>
      <w:r>
        <w:rPr>
          <w:rFonts w:hint="eastAsia" w:ascii="仿宋_GB2312" w:hAnsi="宋体" w:eastAsia="仿宋_GB2312"/>
          <w:color w:val="auto"/>
          <w:sz w:val="24"/>
          <w:highlight w:val="none"/>
        </w:rPr>
        <w:t>日期：</w:t>
      </w:r>
      <w:r>
        <w:rPr>
          <w:rFonts w:hint="eastAsia" w:ascii="仿宋_GB2312" w:eastAsia="仿宋_GB2312"/>
          <w:color w:val="auto"/>
          <w:sz w:val="24"/>
          <w:highlight w:val="none"/>
        </w:rPr>
        <w:t xml:space="preserve">       年   月   日</w:t>
      </w:r>
    </w:p>
    <w:p w14:paraId="0BCAEA77">
      <w:pPr>
        <w:pStyle w:val="29"/>
        <w:rPr>
          <w:rFonts w:ascii="仿宋_GB2312" w:eastAsia="仿宋_GB2312"/>
          <w:color w:val="auto"/>
          <w:sz w:val="24"/>
          <w:szCs w:val="24"/>
          <w:highlight w:val="none"/>
        </w:rPr>
      </w:pPr>
      <w:r>
        <w:rPr>
          <w:rFonts w:hint="eastAsia" w:ascii="仿宋_GB2312" w:eastAsia="仿宋_GB2312"/>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347345</wp:posOffset>
                </wp:positionV>
                <wp:extent cx="3239770" cy="1798320"/>
                <wp:effectExtent l="4445" t="4445" r="13335" b="6985"/>
                <wp:wrapNone/>
                <wp:docPr id="7" name="矩形 2"/>
                <wp:cNvGraphicFramePr/>
                <a:graphic xmlns:a="http://schemas.openxmlformats.org/drawingml/2006/main">
                  <a:graphicData uri="http://schemas.microsoft.com/office/word/2010/wordprocessingShape">
                    <wps:wsp>
                      <wps:cNvSpPr/>
                      <wps:spPr>
                        <a:xfrm>
                          <a:off x="0" y="0"/>
                          <a:ext cx="3239770" cy="1798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A5587C"/>
                          <w:p w14:paraId="62D506AD"/>
                          <w:p w14:paraId="11F136C7"/>
                          <w:p w14:paraId="52970C37">
                            <w:pPr>
                              <w:rPr>
                                <w:sz w:val="24"/>
                                <w:szCs w:val="24"/>
                              </w:rPr>
                            </w:pPr>
                          </w:p>
                          <w:p w14:paraId="243202D9">
                            <w:pPr>
                              <w:jc w:val="center"/>
                              <w:rPr>
                                <w:rFonts w:hint="eastAsia" w:ascii="仿宋" w:hAnsi="仿宋" w:eastAsia="仿宋" w:cs="仿宋"/>
                                <w:sz w:val="24"/>
                                <w:szCs w:val="24"/>
                              </w:rPr>
                            </w:pPr>
                            <w:r>
                              <w:rPr>
                                <w:rFonts w:hint="eastAsia" w:ascii="仿宋" w:hAnsi="仿宋" w:eastAsia="仿宋" w:cs="仿宋"/>
                                <w:sz w:val="24"/>
                                <w:szCs w:val="24"/>
                              </w:rPr>
                              <w:t>法定代表人第二代居民身份证复印件</w:t>
                            </w:r>
                          </w:p>
                          <w:p w14:paraId="187F1BB1">
                            <w:pPr>
                              <w:jc w:val="center"/>
                              <w:rPr>
                                <w:rFonts w:hint="eastAsia" w:ascii="仿宋" w:hAnsi="仿宋" w:eastAsia="仿宋" w:cs="仿宋"/>
                                <w:b/>
                                <w:sz w:val="24"/>
                                <w:szCs w:val="24"/>
                              </w:rPr>
                            </w:pPr>
                            <w:r>
                              <w:rPr>
                                <w:rFonts w:hint="eastAsia" w:ascii="仿宋" w:hAnsi="仿宋" w:eastAsia="仿宋" w:cs="仿宋"/>
                                <w:b/>
                                <w:sz w:val="24"/>
                                <w:szCs w:val="24"/>
                              </w:rPr>
                              <w:t>（正面）</w:t>
                            </w:r>
                          </w:p>
                        </w:txbxContent>
                      </wps:txbx>
                      <wps:bodyPr wrap="square" upright="1"/>
                    </wps:wsp>
                  </a:graphicData>
                </a:graphic>
              </wp:anchor>
            </w:drawing>
          </mc:Choice>
          <mc:Fallback>
            <w:pict>
              <v:rect id="矩形 2" o:spid="_x0000_s1026" o:spt="1" style="position:absolute;left:0pt;margin-left:0pt;margin-top:27.35pt;height:141.6pt;width:255.1pt;z-index:251661312;mso-width-relative:page;mso-height-relative:page;" fillcolor="#FFFFFF" filled="t" stroked="t" coordsize="21600,21600" o:gfxdata="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K+ZQ9cAAAAHAQAADwAAAAAAAAABACAA&#10;AAAiAAAAZHJzL2Rvd25yZXYueG1sUEsBAhQAFAAAAAgAh07iQIBmMgcOAgAAOAQAAA4AAAAAAAAA&#10;AQAgAAAAJgEAAGRycy9lMm9Eb2MueG1sUEsFBgAAAAAGAAYAWQEAAKYFAAAAAA==&#10;">
                <v:fill on="t" focussize="0,0"/>
                <v:stroke color="#000000" joinstyle="miter"/>
                <v:imagedata o:title=""/>
                <o:lock v:ext="edit" aspectratio="f"/>
                <v:textbox>
                  <w:txbxContent>
                    <w:p w14:paraId="1AA5587C"/>
                    <w:p w14:paraId="62D506AD"/>
                    <w:p w14:paraId="11F136C7"/>
                    <w:p w14:paraId="52970C37">
                      <w:pPr>
                        <w:rPr>
                          <w:sz w:val="24"/>
                          <w:szCs w:val="24"/>
                        </w:rPr>
                      </w:pPr>
                    </w:p>
                    <w:p w14:paraId="243202D9">
                      <w:pPr>
                        <w:jc w:val="center"/>
                        <w:rPr>
                          <w:rFonts w:hint="eastAsia" w:ascii="仿宋" w:hAnsi="仿宋" w:eastAsia="仿宋" w:cs="仿宋"/>
                          <w:sz w:val="24"/>
                          <w:szCs w:val="24"/>
                        </w:rPr>
                      </w:pPr>
                      <w:r>
                        <w:rPr>
                          <w:rFonts w:hint="eastAsia" w:ascii="仿宋" w:hAnsi="仿宋" w:eastAsia="仿宋" w:cs="仿宋"/>
                          <w:sz w:val="24"/>
                          <w:szCs w:val="24"/>
                        </w:rPr>
                        <w:t>法定代表人第二代居民身份证复印件</w:t>
                      </w:r>
                    </w:p>
                    <w:p w14:paraId="187F1BB1">
                      <w:pPr>
                        <w:jc w:val="center"/>
                        <w:rPr>
                          <w:rFonts w:hint="eastAsia" w:ascii="仿宋" w:hAnsi="仿宋" w:eastAsia="仿宋" w:cs="仿宋"/>
                          <w:b/>
                          <w:sz w:val="24"/>
                          <w:szCs w:val="24"/>
                        </w:rPr>
                      </w:pPr>
                      <w:r>
                        <w:rPr>
                          <w:rFonts w:hint="eastAsia" w:ascii="仿宋" w:hAnsi="仿宋" w:eastAsia="仿宋" w:cs="仿宋"/>
                          <w:b/>
                          <w:sz w:val="24"/>
                          <w:szCs w:val="24"/>
                        </w:rPr>
                        <w:t>（正面）</w:t>
                      </w:r>
                    </w:p>
                  </w:txbxContent>
                </v:textbox>
              </v:rect>
            </w:pict>
          </mc:Fallback>
        </mc:AlternateContent>
      </w:r>
      <w:r>
        <w:rPr>
          <w:rFonts w:hint="eastAsia" w:ascii="仿宋_GB2312" w:eastAsia="仿宋_GB2312"/>
          <w:color w:val="auto"/>
          <w:sz w:val="24"/>
          <w:szCs w:val="24"/>
          <w:highlight w:val="none"/>
        </w:rPr>
        <mc:AlternateContent>
          <mc:Choice Requires="wps">
            <w:drawing>
              <wp:anchor distT="180340" distB="0" distL="114300" distR="114300" simplePos="0" relativeHeight="251659264" behindDoc="0" locked="0" layoutInCell="0" allowOverlap="1">
                <wp:simplePos x="0" y="0"/>
                <wp:positionH relativeFrom="column">
                  <wp:posOffset>0</wp:posOffset>
                </wp:positionH>
                <wp:positionV relativeFrom="paragraph">
                  <wp:posOffset>227965</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wps:spPr>
                        <a:xfrm>
                          <a:off x="0" y="0"/>
                          <a:ext cx="576199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0pt;margin-top:17.95pt;height:0pt;width:453.7pt;mso-wrap-distance-bottom:0pt;mso-wrap-distance-top:14.2pt;z-index:251659264;mso-width-relative:page;mso-height-relative:page;" filled="f" stroked="t" coordsize="21600,21600" o:allowincell="f" o:gfxdata="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6gxh9UAAAAGAQAADwAA&#10;AAAAAAABACAAAAAiAAAAZHJzL2Rvd25yZXYueG1sUEsBAhQAFAAAAAgAh07iQL4kD8zgAQAAzwMA&#10;AA4AAAAAAAAAAQAgAAAAJAEAAGRycy9lMm9Eb2MueG1sUEsFBgAAAAAGAAYAWQEAAHYFAAAAAA==&#10;">
                <v:fill on="f" focussize="0,0"/>
                <v:stroke color="#000000" joinstyle="round"/>
                <v:imagedata o:title=""/>
                <o:lock v:ext="edit" aspectratio="f"/>
                <w10:wrap type="topAndBottom"/>
              </v:line>
            </w:pict>
          </mc:Fallback>
        </mc:AlternateContent>
      </w:r>
      <w:r>
        <w:rPr>
          <w:rFonts w:hint="eastAsia" w:ascii="仿宋_GB2312" w:eastAsia="仿宋_GB2312"/>
          <w:color w:val="auto"/>
          <w:sz w:val="24"/>
          <w:szCs w:val="24"/>
          <w:highlight w:val="none"/>
        </w:rPr>
        <w:t xml:space="preserve">                                                                                                                                                                                        </w:t>
      </w:r>
    </w:p>
    <w:p w14:paraId="1F21B0CE">
      <w:pPr>
        <w:pStyle w:val="29"/>
        <w:spacing w:line="276" w:lineRule="auto"/>
        <w:rPr>
          <w:rFonts w:ascii="仿宋_GB2312" w:eastAsia="仿宋_GB2312"/>
          <w:color w:val="auto"/>
          <w:sz w:val="24"/>
          <w:szCs w:val="24"/>
          <w:highlight w:val="none"/>
        </w:rPr>
      </w:pPr>
    </w:p>
    <w:p w14:paraId="46F03EFA">
      <w:pPr>
        <w:pStyle w:val="29"/>
        <w:spacing w:line="276" w:lineRule="auto"/>
        <w:rPr>
          <w:rFonts w:ascii="仿宋_GB2312" w:eastAsia="仿宋_GB2312"/>
          <w:color w:val="auto"/>
          <w:sz w:val="24"/>
          <w:szCs w:val="24"/>
          <w:highlight w:val="none"/>
        </w:rPr>
      </w:pPr>
    </w:p>
    <w:p w14:paraId="140184DA">
      <w:pPr>
        <w:pStyle w:val="29"/>
        <w:spacing w:line="276" w:lineRule="auto"/>
        <w:rPr>
          <w:rFonts w:ascii="仿宋_GB2312" w:eastAsia="仿宋_GB2312"/>
          <w:color w:val="auto"/>
          <w:sz w:val="24"/>
          <w:szCs w:val="24"/>
          <w:highlight w:val="none"/>
        </w:rPr>
      </w:pPr>
    </w:p>
    <w:p w14:paraId="4E43F81C">
      <w:pPr>
        <w:pStyle w:val="29"/>
        <w:spacing w:line="276" w:lineRule="auto"/>
        <w:rPr>
          <w:rFonts w:ascii="仿宋_GB2312" w:eastAsia="仿宋_GB2312"/>
          <w:color w:val="auto"/>
          <w:sz w:val="24"/>
          <w:szCs w:val="24"/>
          <w:highlight w:val="none"/>
        </w:rPr>
      </w:pPr>
    </w:p>
    <w:p w14:paraId="3E45056A">
      <w:pPr>
        <w:pStyle w:val="29"/>
        <w:spacing w:line="276" w:lineRule="auto"/>
        <w:rPr>
          <w:rFonts w:ascii="仿宋_GB2312" w:eastAsia="仿宋_GB2312"/>
          <w:color w:val="auto"/>
          <w:sz w:val="24"/>
          <w:szCs w:val="24"/>
          <w:highlight w:val="none"/>
        </w:rPr>
      </w:pPr>
    </w:p>
    <w:p w14:paraId="16EF4520">
      <w:pPr>
        <w:pStyle w:val="29"/>
        <w:spacing w:line="276" w:lineRule="auto"/>
        <w:ind w:firstLine="7200" w:firstLineChars="3000"/>
        <w:rPr>
          <w:rFonts w:ascii="仿宋_GB2312" w:eastAsia="仿宋_GB2312"/>
          <w:color w:val="auto"/>
          <w:sz w:val="24"/>
          <w:szCs w:val="24"/>
          <w:highlight w:val="none"/>
        </w:rPr>
      </w:pPr>
    </w:p>
    <w:p w14:paraId="1DC58A87">
      <w:pPr>
        <w:pStyle w:val="29"/>
        <w:spacing w:line="276" w:lineRule="auto"/>
        <w:ind w:firstLine="7200" w:firstLineChars="3000"/>
        <w:rPr>
          <w:rFonts w:ascii="仿宋_GB2312" w:eastAsia="仿宋_GB2312"/>
          <w:color w:val="auto"/>
          <w:sz w:val="24"/>
          <w:szCs w:val="24"/>
          <w:highlight w:val="none"/>
        </w:rPr>
      </w:pPr>
    </w:p>
    <w:p w14:paraId="4040B0CB">
      <w:pPr>
        <w:pStyle w:val="29"/>
        <w:spacing w:line="276" w:lineRule="auto"/>
        <w:rPr>
          <w:rFonts w:ascii="仿宋_GB2312" w:eastAsia="仿宋_GB2312"/>
          <w:color w:val="auto"/>
          <w:sz w:val="24"/>
          <w:szCs w:val="24"/>
          <w:highlight w:val="none"/>
        </w:rPr>
      </w:pPr>
    </w:p>
    <w:p w14:paraId="638F5899">
      <w:pPr>
        <w:pStyle w:val="29"/>
        <w:spacing w:line="276" w:lineRule="auto"/>
        <w:rPr>
          <w:rFonts w:ascii="仿宋_GB2312" w:eastAsia="仿宋_GB2312"/>
          <w:color w:val="auto"/>
          <w:sz w:val="24"/>
          <w:szCs w:val="24"/>
          <w:highlight w:val="none"/>
        </w:rPr>
      </w:pPr>
      <w:r>
        <w:rPr>
          <w:rFonts w:hint="eastAsia" w:ascii="仿宋_GB2312" w:eastAsia="仿宋_GB2312"/>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61595</wp:posOffset>
                </wp:positionV>
                <wp:extent cx="3239770" cy="1703070"/>
                <wp:effectExtent l="4445" t="4445" r="13335" b="6985"/>
                <wp:wrapNone/>
                <wp:docPr id="6" name="矩形 4"/>
                <wp:cNvGraphicFramePr/>
                <a:graphic xmlns:a="http://schemas.openxmlformats.org/drawingml/2006/main">
                  <a:graphicData uri="http://schemas.microsoft.com/office/word/2010/wordprocessingShape">
                    <wps:wsp>
                      <wps:cNvSpPr/>
                      <wps:spPr>
                        <a:xfrm>
                          <a:off x="0" y="0"/>
                          <a:ext cx="3239770" cy="17030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1ABC47"/>
                          <w:p w14:paraId="028115D2"/>
                          <w:p w14:paraId="5D9E5E08"/>
                          <w:p w14:paraId="329618F5"/>
                          <w:p w14:paraId="3E76CAF1">
                            <w:pPr>
                              <w:jc w:val="center"/>
                              <w:rPr>
                                <w:rFonts w:hint="eastAsia" w:ascii="仿宋" w:hAnsi="仿宋" w:eastAsia="仿宋" w:cs="仿宋"/>
                                <w:sz w:val="24"/>
                                <w:szCs w:val="24"/>
                              </w:rPr>
                            </w:pPr>
                            <w:r>
                              <w:rPr>
                                <w:rFonts w:hint="eastAsia" w:ascii="仿宋" w:hAnsi="仿宋" w:eastAsia="仿宋" w:cs="仿宋"/>
                                <w:sz w:val="24"/>
                                <w:szCs w:val="24"/>
                              </w:rPr>
                              <w:t>法定代表人第二代居民身份证复印件</w:t>
                            </w:r>
                          </w:p>
                          <w:p w14:paraId="22937515">
                            <w:pPr>
                              <w:jc w:val="center"/>
                              <w:rPr>
                                <w:rFonts w:hint="eastAsia" w:ascii="仿宋" w:hAnsi="仿宋" w:eastAsia="仿宋" w:cs="仿宋"/>
                                <w:b/>
                                <w:sz w:val="24"/>
                                <w:szCs w:val="24"/>
                              </w:rPr>
                            </w:pPr>
                            <w:r>
                              <w:rPr>
                                <w:rFonts w:hint="eastAsia" w:ascii="仿宋" w:hAnsi="仿宋" w:eastAsia="仿宋" w:cs="仿宋"/>
                                <w:b/>
                                <w:sz w:val="24"/>
                                <w:szCs w:val="24"/>
                              </w:rPr>
                              <w:t>（反面）</w:t>
                            </w:r>
                          </w:p>
                        </w:txbxContent>
                      </wps:txbx>
                      <wps:bodyPr wrap="square" upright="1"/>
                    </wps:wsp>
                  </a:graphicData>
                </a:graphic>
              </wp:anchor>
            </w:drawing>
          </mc:Choice>
          <mc:Fallback>
            <w:pict>
              <v:rect id="矩形 4" o:spid="_x0000_s1026" o:spt="1" style="position:absolute;left:0pt;margin-left:0pt;margin-top:4.85pt;height:134.1pt;width:255.1pt;z-index:251660288;mso-width-relative:page;mso-height-relative:page;" fillcolor="#FFFFFF" filled="t" stroked="t" coordsize="21600,21600" o:gfxdata="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2hTVE1AAAAAYBAAAPAAAAAAAAAAEAIAAAACIAAABk&#10;cnMvZG93bnJldi54bWxQSwECFAAUAAAACACHTuJATs9u0woCAAA4BAAADgAAAAAAAAABACAAAAAj&#10;AQAAZHJzL2Uyb0RvYy54bWxQSwUGAAAAAAYABgBZAQAAnwUAAAAA&#10;">
                <v:fill on="t" focussize="0,0"/>
                <v:stroke color="#000000" joinstyle="miter"/>
                <v:imagedata o:title=""/>
                <o:lock v:ext="edit" aspectratio="f"/>
                <v:textbox>
                  <w:txbxContent>
                    <w:p w14:paraId="1B1ABC47"/>
                    <w:p w14:paraId="028115D2"/>
                    <w:p w14:paraId="5D9E5E08"/>
                    <w:p w14:paraId="329618F5"/>
                    <w:p w14:paraId="3E76CAF1">
                      <w:pPr>
                        <w:jc w:val="center"/>
                        <w:rPr>
                          <w:rFonts w:hint="eastAsia" w:ascii="仿宋" w:hAnsi="仿宋" w:eastAsia="仿宋" w:cs="仿宋"/>
                          <w:sz w:val="24"/>
                          <w:szCs w:val="24"/>
                        </w:rPr>
                      </w:pPr>
                      <w:r>
                        <w:rPr>
                          <w:rFonts w:hint="eastAsia" w:ascii="仿宋" w:hAnsi="仿宋" w:eastAsia="仿宋" w:cs="仿宋"/>
                          <w:sz w:val="24"/>
                          <w:szCs w:val="24"/>
                        </w:rPr>
                        <w:t>法定代表人第二代居民身份证复印件</w:t>
                      </w:r>
                    </w:p>
                    <w:p w14:paraId="22937515">
                      <w:pPr>
                        <w:jc w:val="center"/>
                        <w:rPr>
                          <w:rFonts w:hint="eastAsia" w:ascii="仿宋" w:hAnsi="仿宋" w:eastAsia="仿宋" w:cs="仿宋"/>
                          <w:b/>
                          <w:sz w:val="24"/>
                          <w:szCs w:val="24"/>
                        </w:rPr>
                      </w:pPr>
                      <w:r>
                        <w:rPr>
                          <w:rFonts w:hint="eastAsia" w:ascii="仿宋" w:hAnsi="仿宋" w:eastAsia="仿宋" w:cs="仿宋"/>
                          <w:b/>
                          <w:sz w:val="24"/>
                          <w:szCs w:val="24"/>
                        </w:rPr>
                        <w:t>（反面）</w:t>
                      </w:r>
                    </w:p>
                  </w:txbxContent>
                </v:textbox>
              </v:rect>
            </w:pict>
          </mc:Fallback>
        </mc:AlternateContent>
      </w:r>
    </w:p>
    <w:p w14:paraId="52638F30">
      <w:pPr>
        <w:pStyle w:val="29"/>
        <w:spacing w:line="276" w:lineRule="auto"/>
        <w:rPr>
          <w:rFonts w:ascii="仿宋_GB2312" w:eastAsia="仿宋_GB2312"/>
          <w:color w:val="auto"/>
          <w:sz w:val="24"/>
          <w:szCs w:val="24"/>
          <w:highlight w:val="none"/>
        </w:rPr>
      </w:pPr>
    </w:p>
    <w:p w14:paraId="183DA4D9">
      <w:pPr>
        <w:pStyle w:val="29"/>
        <w:spacing w:line="276" w:lineRule="auto"/>
        <w:rPr>
          <w:rFonts w:ascii="仿宋_GB2312" w:eastAsia="仿宋_GB2312"/>
          <w:color w:val="auto"/>
          <w:sz w:val="24"/>
          <w:szCs w:val="24"/>
          <w:highlight w:val="none"/>
        </w:rPr>
      </w:pPr>
    </w:p>
    <w:p w14:paraId="60F6B512">
      <w:pPr>
        <w:pStyle w:val="29"/>
        <w:spacing w:line="276" w:lineRule="auto"/>
        <w:rPr>
          <w:rFonts w:ascii="仿宋_GB2312" w:eastAsia="仿宋_GB2312"/>
          <w:color w:val="auto"/>
          <w:sz w:val="24"/>
          <w:szCs w:val="24"/>
          <w:highlight w:val="none"/>
        </w:rPr>
      </w:pPr>
    </w:p>
    <w:p w14:paraId="53A4900A">
      <w:pPr>
        <w:pStyle w:val="29"/>
        <w:spacing w:line="276" w:lineRule="auto"/>
        <w:rPr>
          <w:rFonts w:ascii="仿宋_GB2312" w:eastAsia="仿宋_GB2312"/>
          <w:color w:val="auto"/>
          <w:sz w:val="24"/>
          <w:szCs w:val="24"/>
          <w:highlight w:val="none"/>
        </w:rPr>
      </w:pPr>
    </w:p>
    <w:p w14:paraId="04FA6DBF">
      <w:pPr>
        <w:pStyle w:val="29"/>
        <w:spacing w:line="276" w:lineRule="auto"/>
        <w:rPr>
          <w:rFonts w:ascii="仿宋_GB2312" w:eastAsia="仿宋_GB2312"/>
          <w:color w:val="auto"/>
          <w:sz w:val="24"/>
          <w:szCs w:val="24"/>
          <w:highlight w:val="none"/>
        </w:rPr>
      </w:pPr>
    </w:p>
    <w:p w14:paraId="173511E8">
      <w:pPr>
        <w:pStyle w:val="29"/>
        <w:spacing w:line="276" w:lineRule="auto"/>
        <w:rPr>
          <w:rFonts w:ascii="仿宋_GB2312" w:eastAsia="仿宋_GB2312"/>
          <w:color w:val="auto"/>
          <w:sz w:val="24"/>
          <w:szCs w:val="24"/>
          <w:highlight w:val="none"/>
        </w:rPr>
      </w:pPr>
    </w:p>
    <w:p w14:paraId="67F73485">
      <w:pPr>
        <w:pStyle w:val="29"/>
        <w:spacing w:line="276" w:lineRule="auto"/>
        <w:rPr>
          <w:rFonts w:ascii="仿宋_GB2312" w:eastAsia="仿宋_GB2312"/>
          <w:color w:val="auto"/>
          <w:sz w:val="24"/>
          <w:szCs w:val="24"/>
          <w:highlight w:val="none"/>
        </w:rPr>
      </w:pPr>
    </w:p>
    <w:p w14:paraId="1C8712DA">
      <w:pPr>
        <w:spacing w:line="276" w:lineRule="auto"/>
        <w:jc w:val="center"/>
        <w:rPr>
          <w:rFonts w:ascii="仿宋_GB2312" w:eastAsia="仿宋_GB2312"/>
          <w:color w:val="auto"/>
          <w:sz w:val="24"/>
          <w:highlight w:val="none"/>
        </w:rPr>
      </w:pPr>
    </w:p>
    <w:p w14:paraId="7844ACB1">
      <w:pPr>
        <w:spacing w:line="276" w:lineRule="auto"/>
        <w:jc w:val="left"/>
        <w:rPr>
          <w:rFonts w:ascii="仿宋_GB2312" w:eastAsia="仿宋_GB2312"/>
          <w:b/>
          <w:bCs/>
          <w:color w:val="auto"/>
          <w:sz w:val="24"/>
          <w:highlight w:val="none"/>
          <w:u w:val="single"/>
        </w:rPr>
      </w:pPr>
      <w:r>
        <w:rPr>
          <w:rFonts w:hint="eastAsia" w:ascii="仿宋_GB2312" w:eastAsia="仿宋_GB2312"/>
          <w:color w:val="auto"/>
          <w:sz w:val="24"/>
          <w:highlight w:val="none"/>
        </w:rPr>
        <w:t xml:space="preserve">                      </w:t>
      </w:r>
      <w:r>
        <w:rPr>
          <w:rFonts w:hint="eastAsia" w:ascii="仿宋_GB2312" w:eastAsia="仿宋_GB2312"/>
          <w:color w:val="auto"/>
          <w:sz w:val="24"/>
          <w:highlight w:val="none"/>
          <w:lang w:val="en-US" w:eastAsia="zh-CN"/>
        </w:rPr>
        <w:t xml:space="preserve">               </w:t>
      </w:r>
      <w:r>
        <w:rPr>
          <w:rFonts w:hint="eastAsia" w:ascii="仿宋_GB2312" w:eastAsia="仿宋_GB2312"/>
          <w:color w:val="auto"/>
          <w:sz w:val="24"/>
          <w:highlight w:val="none"/>
        </w:rPr>
        <w:t xml:space="preserve">      </w:t>
      </w:r>
      <w:r>
        <w:rPr>
          <w:rFonts w:hint="eastAsia" w:ascii="仿宋_GB2312" w:eastAsia="仿宋_GB2312"/>
          <w:color w:val="auto"/>
          <w:sz w:val="24"/>
          <w:szCs w:val="24"/>
          <w:highlight w:val="none"/>
        </w:rPr>
        <w:t>法定代表人</w:t>
      </w:r>
      <w:r>
        <w:rPr>
          <w:rFonts w:hint="eastAsia" w:ascii="仿宋_GB2312" w:eastAsia="仿宋_GB2312"/>
          <w:b/>
          <w:bCs/>
          <w:color w:val="auto"/>
          <w:sz w:val="24"/>
          <w:szCs w:val="24"/>
          <w:highlight w:val="none"/>
        </w:rPr>
        <w:t>（签字）：</w:t>
      </w:r>
      <w:r>
        <w:rPr>
          <w:rFonts w:hint="eastAsia" w:ascii="仿宋_GB2312" w:eastAsia="仿宋_GB2312"/>
          <w:color w:val="auto"/>
          <w:sz w:val="24"/>
          <w:szCs w:val="24"/>
          <w:highlight w:val="none"/>
          <w:u w:val="single"/>
        </w:rPr>
        <w:t xml:space="preserve">                   </w:t>
      </w:r>
    </w:p>
    <w:p w14:paraId="0CE9AC5C">
      <w:pPr>
        <w:spacing w:line="276" w:lineRule="auto"/>
        <w:jc w:val="left"/>
        <w:rPr>
          <w:rFonts w:ascii="仿宋_GB2312" w:eastAsia="仿宋_GB2312"/>
          <w:b/>
          <w:bCs/>
          <w:color w:val="auto"/>
          <w:sz w:val="24"/>
          <w:highlight w:val="none"/>
          <w:u w:val="single"/>
        </w:rPr>
      </w:pPr>
    </w:p>
    <w:p w14:paraId="5BA0EB2D">
      <w:pPr>
        <w:pStyle w:val="29"/>
        <w:spacing w:line="276" w:lineRule="auto"/>
        <w:jc w:val="left"/>
        <w:rPr>
          <w:rFonts w:hint="eastAsia" w:ascii="仿宋_GB2312" w:hAnsi="宋体" w:eastAsia="仿宋_GB2312"/>
          <w:b/>
          <w:bCs/>
          <w:color w:val="auto"/>
          <w:sz w:val="24"/>
          <w:highlight w:val="none"/>
        </w:rPr>
      </w:pPr>
      <w:r>
        <w:rPr>
          <w:rFonts w:hint="eastAsia" w:ascii="仿宋_GB2312" w:eastAsia="仿宋_GB2312"/>
          <w:b/>
          <w:color w:val="auto"/>
          <w:sz w:val="24"/>
          <w:highlight w:val="none"/>
        </w:rPr>
        <w:t>注：此项材料必须</w:t>
      </w:r>
      <w:r>
        <w:rPr>
          <w:rFonts w:hint="eastAsia" w:ascii="仿宋_GB2312" w:hAnsi="宋体" w:eastAsia="仿宋_GB2312"/>
          <w:b/>
          <w:bCs/>
          <w:color w:val="auto"/>
          <w:sz w:val="24"/>
          <w:highlight w:val="none"/>
        </w:rPr>
        <w:t>以PDF格式上传</w:t>
      </w:r>
    </w:p>
    <w:p w14:paraId="7F23B06B">
      <w:pPr>
        <w:pStyle w:val="29"/>
        <w:spacing w:line="276" w:lineRule="auto"/>
        <w:ind w:firstLine="480" w:firstLineChars="200"/>
        <w:jc w:val="left"/>
        <w:rPr>
          <w:rFonts w:ascii="仿宋_GB2312" w:hAnsi="宋体" w:eastAsia="仿宋_GB2312"/>
          <w:b/>
          <w:bCs/>
          <w:color w:val="auto"/>
          <w:sz w:val="24"/>
          <w:highlight w:val="none"/>
        </w:rPr>
      </w:pPr>
      <w:r>
        <w:rPr>
          <w:rFonts w:hint="eastAsia" w:ascii="仿宋_GB2312" w:eastAsia="仿宋_GB2312"/>
          <w:color w:val="auto"/>
          <w:sz w:val="24"/>
          <w:szCs w:val="24"/>
          <w:highlight w:val="none"/>
        </w:rPr>
        <w:br w:type="page"/>
      </w:r>
      <w:r>
        <w:rPr>
          <w:rFonts w:hint="eastAsia" w:ascii="仿宋_GB2312" w:hAnsi="宋体" w:eastAsia="仿宋_GB2312"/>
          <w:b/>
          <w:bCs/>
          <w:color w:val="auto"/>
          <w:sz w:val="24"/>
          <w:highlight w:val="none"/>
        </w:rPr>
        <w:t>（2）法定代表人授权委托书格式</w:t>
      </w:r>
      <w:r>
        <w:rPr>
          <w:rFonts w:hint="eastAsia" w:ascii="仿宋_GB2312" w:eastAsia="仿宋_GB2312"/>
          <w:b/>
          <w:color w:val="auto"/>
          <w:sz w:val="24"/>
          <w:highlight w:val="none"/>
        </w:rPr>
        <w:t>（委托代理时必须提供）</w:t>
      </w:r>
      <w:r>
        <w:rPr>
          <w:rFonts w:hint="eastAsia" w:ascii="仿宋_GB2312" w:hAnsi="宋体" w:eastAsia="仿宋_GB2312"/>
          <w:b/>
          <w:bCs/>
          <w:color w:val="auto"/>
          <w:sz w:val="24"/>
          <w:highlight w:val="none"/>
        </w:rPr>
        <w:t>：</w:t>
      </w:r>
    </w:p>
    <w:p w14:paraId="1ECA23EC">
      <w:pPr>
        <w:pStyle w:val="29"/>
        <w:spacing w:line="276" w:lineRule="auto"/>
        <w:jc w:val="left"/>
        <w:rPr>
          <w:rFonts w:ascii="仿宋_GB2312" w:hAnsi="宋体" w:eastAsia="仿宋_GB2312"/>
          <w:b/>
          <w:bCs/>
          <w:color w:val="auto"/>
          <w:sz w:val="24"/>
          <w:highlight w:val="none"/>
        </w:rPr>
      </w:pPr>
    </w:p>
    <w:p w14:paraId="1EBB3D73">
      <w:pPr>
        <w:pStyle w:val="29"/>
        <w:spacing w:line="276" w:lineRule="auto"/>
        <w:ind w:firstLine="643" w:firstLineChars="200"/>
        <w:jc w:val="center"/>
        <w:rPr>
          <w:rFonts w:hint="eastAsia" w:hAnsi="宋体"/>
          <w:b/>
          <w:color w:val="auto"/>
          <w:sz w:val="32"/>
          <w:szCs w:val="32"/>
          <w:highlight w:val="none"/>
        </w:rPr>
      </w:pPr>
      <w:r>
        <w:rPr>
          <w:rFonts w:hint="eastAsia" w:hAnsi="宋体"/>
          <w:b/>
          <w:color w:val="auto"/>
          <w:sz w:val="32"/>
          <w:szCs w:val="32"/>
          <w:highlight w:val="none"/>
        </w:rPr>
        <w:t>法定代表人授权委托书</w:t>
      </w:r>
    </w:p>
    <w:p w14:paraId="6A4F7663">
      <w:pPr>
        <w:rPr>
          <w:color w:val="auto"/>
          <w:highlight w:val="none"/>
        </w:rPr>
      </w:pPr>
      <w:r>
        <w:rPr>
          <w:rFonts w:hint="eastAsia" w:ascii="仿宋_GB2312" w:eastAsia="仿宋_GB2312"/>
          <w:color w:val="auto"/>
          <w:spacing w:val="6"/>
          <w:sz w:val="24"/>
          <w:highlight w:val="none"/>
        </w:rPr>
        <w:t>致：</w:t>
      </w:r>
      <w:r>
        <w:rPr>
          <w:rFonts w:hint="eastAsia" w:ascii="仿宋_GB2312" w:eastAsia="仿宋_GB2312"/>
          <w:color w:val="auto"/>
          <w:spacing w:val="6"/>
          <w:sz w:val="24"/>
          <w:highlight w:val="none"/>
          <w:u w:val="single"/>
        </w:rPr>
        <w:t xml:space="preserve">     （采购人、采购代理机构）    </w:t>
      </w:r>
      <w:r>
        <w:rPr>
          <w:rFonts w:hint="eastAsia" w:ascii="仿宋_GB2312" w:eastAsia="仿宋_GB2312"/>
          <w:color w:val="auto"/>
          <w:spacing w:val="6"/>
          <w:sz w:val="24"/>
          <w:highlight w:val="none"/>
        </w:rPr>
        <w:t>：</w:t>
      </w:r>
    </w:p>
    <w:p w14:paraId="45E4E577">
      <w:pPr>
        <w:snapToGrid w:val="0"/>
        <w:spacing w:line="360" w:lineRule="exact"/>
        <w:ind w:firstLine="720" w:firstLineChars="300"/>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我 </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（姓名）系</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lang w:eastAsia="zh-CN"/>
        </w:rPr>
        <w:t>供应商</w:t>
      </w:r>
      <w:r>
        <w:rPr>
          <w:rFonts w:hint="eastAsia" w:ascii="仿宋_GB2312" w:eastAsia="仿宋_GB2312"/>
          <w:color w:val="auto"/>
          <w:sz w:val="24"/>
          <w:szCs w:val="24"/>
          <w:highlight w:val="none"/>
        </w:rPr>
        <w:t>名称）的法定代表人，现授权委托</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（姓名）以我方的名义参加</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项目的</w:t>
      </w:r>
      <w:r>
        <w:rPr>
          <w:rFonts w:hint="eastAsia" w:ascii="仿宋_GB2312" w:eastAsia="仿宋_GB2312"/>
          <w:color w:val="auto"/>
          <w:sz w:val="24"/>
          <w:szCs w:val="24"/>
          <w:highlight w:val="none"/>
          <w:lang w:eastAsia="zh-CN"/>
        </w:rPr>
        <w:t>响应</w:t>
      </w:r>
      <w:r>
        <w:rPr>
          <w:rFonts w:hint="eastAsia" w:ascii="仿宋_GB2312" w:eastAsia="仿宋_GB2312"/>
          <w:color w:val="auto"/>
          <w:sz w:val="24"/>
          <w:szCs w:val="24"/>
          <w:highlight w:val="none"/>
        </w:rPr>
        <w:t>活动，并代表我方全权办理针对上述项目的</w:t>
      </w:r>
      <w:r>
        <w:rPr>
          <w:rFonts w:hint="eastAsia" w:ascii="仿宋_GB2312" w:eastAsia="仿宋_GB2312"/>
          <w:color w:val="auto"/>
          <w:sz w:val="24"/>
          <w:szCs w:val="24"/>
          <w:highlight w:val="none"/>
          <w:lang w:eastAsia="zh-CN"/>
        </w:rPr>
        <w:t>响应</w:t>
      </w:r>
      <w:r>
        <w:rPr>
          <w:rFonts w:hint="eastAsia" w:ascii="仿宋_GB2312" w:eastAsia="仿宋_GB2312"/>
          <w:color w:val="auto"/>
          <w:sz w:val="24"/>
          <w:szCs w:val="24"/>
          <w:highlight w:val="none"/>
        </w:rPr>
        <w:t>、开标、转为其他方式采购、评标、签约等具体事务和签署相关文件。</w:t>
      </w:r>
    </w:p>
    <w:p w14:paraId="14218E04">
      <w:pPr>
        <w:snapToGrid w:val="0"/>
        <w:spacing w:line="36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    我方对被授权人的签名事项负全部责任。</w:t>
      </w:r>
    </w:p>
    <w:p w14:paraId="0867AE88">
      <w:pPr>
        <w:snapToGrid w:val="0"/>
        <w:spacing w:line="360" w:lineRule="exact"/>
        <w:ind w:firstLine="480"/>
        <w:rPr>
          <w:rFonts w:ascii="仿宋_GB2312" w:eastAsia="仿宋_GB2312"/>
          <w:color w:val="auto"/>
          <w:sz w:val="24"/>
          <w:szCs w:val="24"/>
          <w:highlight w:val="none"/>
        </w:rPr>
      </w:pPr>
      <w:r>
        <w:rPr>
          <w:rFonts w:hint="eastAsia" w:ascii="仿宋_GB2312" w:eastAsia="仿宋_GB2312"/>
          <w:color w:val="auto"/>
          <w:sz w:val="24"/>
          <w:szCs w:val="24"/>
          <w:highlight w:val="none"/>
          <w:u w:val="single"/>
        </w:rPr>
        <w:t>在撤销授权的书面通知以前，本授权书一直有效。</w:t>
      </w:r>
      <w:r>
        <w:rPr>
          <w:rFonts w:hint="eastAsia" w:ascii="仿宋_GB2312" w:eastAsia="仿宋_GB2312"/>
          <w:color w:val="auto"/>
          <w:sz w:val="24"/>
          <w:szCs w:val="24"/>
          <w:highlight w:val="none"/>
        </w:rPr>
        <w:t>被授权人在授权书有效期内签署的所有文件不因授权的撤销而失效。</w:t>
      </w:r>
    </w:p>
    <w:p w14:paraId="55A6251B">
      <w:pPr>
        <w:snapToGrid w:val="0"/>
        <w:spacing w:line="360" w:lineRule="exact"/>
        <w:ind w:firstLine="480"/>
        <w:rPr>
          <w:rFonts w:ascii="仿宋_GB2312" w:eastAsia="仿宋_GB2312"/>
          <w:color w:val="auto"/>
          <w:szCs w:val="21"/>
          <w:highlight w:val="none"/>
        </w:rPr>
      </w:pPr>
      <w:r>
        <w:rPr>
          <w:rFonts w:hint="eastAsia" w:ascii="仿宋_GB2312" w:eastAsia="仿宋_GB2312"/>
          <w:color w:val="auto"/>
          <w:sz w:val="24"/>
          <w:szCs w:val="24"/>
          <w:highlight w:val="none"/>
        </w:rPr>
        <w:t>被授权人无转委托权，特此委托。</w:t>
      </w:r>
    </w:p>
    <w:p w14:paraId="68CC2DF5">
      <w:pPr>
        <w:snapToGrid w:val="0"/>
        <w:spacing w:line="360" w:lineRule="exact"/>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被授权人</w:t>
      </w:r>
      <w:r>
        <w:rPr>
          <w:rFonts w:hint="eastAsia" w:ascii="仿宋_GB2312" w:eastAsia="仿宋_GB2312"/>
          <w:b/>
          <w:bCs/>
          <w:color w:val="auto"/>
          <w:sz w:val="24"/>
          <w:szCs w:val="24"/>
          <w:highlight w:val="none"/>
        </w:rPr>
        <w:t>（签字）</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 xml:space="preserve">  </w:t>
      </w:r>
      <w:r>
        <w:rPr>
          <w:rFonts w:hint="eastAsia" w:ascii="仿宋_GB2312" w:eastAsia="仿宋_GB2312"/>
          <w:color w:val="auto"/>
          <w:sz w:val="24"/>
          <w:szCs w:val="24"/>
          <w:highlight w:val="none"/>
          <w:lang w:val="en-US" w:eastAsia="zh-CN"/>
        </w:rPr>
        <w:t xml:space="preserve">    </w:t>
      </w:r>
      <w:r>
        <w:rPr>
          <w:rFonts w:hint="eastAsia" w:ascii="仿宋_GB2312" w:eastAsia="仿宋_GB2312"/>
          <w:color w:val="auto"/>
          <w:sz w:val="24"/>
          <w:szCs w:val="24"/>
          <w:highlight w:val="none"/>
        </w:rPr>
        <w:t xml:space="preserve"> 法定代表人</w:t>
      </w:r>
      <w:r>
        <w:rPr>
          <w:rFonts w:hint="eastAsia" w:ascii="仿宋_GB2312" w:eastAsia="仿宋_GB2312"/>
          <w:b/>
          <w:bCs/>
          <w:color w:val="auto"/>
          <w:sz w:val="24"/>
          <w:szCs w:val="24"/>
          <w:highlight w:val="none"/>
        </w:rPr>
        <w:t>（</w:t>
      </w:r>
      <w:r>
        <w:rPr>
          <w:rFonts w:hint="eastAsia" w:ascii="仿宋_GB2312" w:eastAsia="仿宋_GB2312"/>
          <w:b/>
          <w:color w:val="auto"/>
          <w:sz w:val="24"/>
          <w:szCs w:val="24"/>
          <w:highlight w:val="none"/>
        </w:rPr>
        <w:t>签字</w:t>
      </w:r>
      <w:r>
        <w:rPr>
          <w:rFonts w:hint="eastAsia" w:ascii="仿宋_GB2312" w:eastAsia="仿宋_GB2312"/>
          <w:b/>
          <w:bCs/>
          <w:color w:val="auto"/>
          <w:sz w:val="24"/>
          <w:szCs w:val="24"/>
          <w:highlight w:val="none"/>
        </w:rPr>
        <w:t>）</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rPr>
        <w:t xml:space="preserve">                       </w:t>
      </w:r>
    </w:p>
    <w:p w14:paraId="511CCA16">
      <w:pPr>
        <w:snapToGrid w:val="0"/>
        <w:spacing w:line="36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被授权人所在部门：</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 xml:space="preserve">           被授权人职务：</w:t>
      </w:r>
      <w:r>
        <w:rPr>
          <w:rFonts w:hint="eastAsia" w:ascii="仿宋_GB2312" w:eastAsia="仿宋_GB2312"/>
          <w:color w:val="auto"/>
          <w:sz w:val="24"/>
          <w:szCs w:val="24"/>
          <w:highlight w:val="none"/>
          <w:u w:val="single"/>
        </w:rPr>
        <w:t xml:space="preserve">                             </w:t>
      </w:r>
    </w:p>
    <w:p w14:paraId="2AA334B0">
      <w:pPr>
        <w:snapToGrid w:val="0"/>
        <w:spacing w:line="360" w:lineRule="exact"/>
        <w:rPr>
          <w:rFonts w:ascii="仿宋_GB2312" w:eastAsia="仿宋_GB2312"/>
          <w:color w:val="auto"/>
          <w:szCs w:val="21"/>
          <w:highlight w:val="none"/>
        </w:rPr>
      </w:pPr>
      <w:r>
        <w:rPr>
          <w:rFonts w:hint="eastAsia" w:ascii="仿宋_GB2312" w:eastAsia="仿宋_GB2312"/>
          <w:color w:val="auto"/>
          <w:sz w:val="24"/>
          <w:szCs w:val="24"/>
          <w:highlight w:val="none"/>
        </w:rPr>
        <w:t>被授权人身份证号码：</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 xml:space="preserve"> </w:t>
      </w:r>
    </w:p>
    <w:p w14:paraId="516088D0">
      <w:pPr>
        <w:snapToGrid w:val="0"/>
        <w:spacing w:line="360" w:lineRule="exact"/>
        <w:jc w:val="center"/>
        <w:rPr>
          <w:rFonts w:ascii="仿宋_GB2312" w:eastAsia="仿宋_GB2312"/>
          <w:color w:val="auto"/>
          <w:sz w:val="24"/>
          <w:szCs w:val="24"/>
          <w:highlight w:val="none"/>
        </w:rPr>
      </w:pPr>
      <w:r>
        <w:rPr>
          <w:rFonts w:hint="eastAsia" w:ascii="仿宋_GB2312" w:eastAsia="仿宋_GB2312"/>
          <w:color w:val="auto"/>
          <w:szCs w:val="21"/>
          <w:highlight w:val="none"/>
        </w:rPr>
        <w:t xml:space="preserve">                                  </w:t>
      </w:r>
      <w:r>
        <w:rPr>
          <w:rFonts w:hint="eastAsia" w:ascii="仿宋_GB2312" w:eastAsia="仿宋_GB2312"/>
          <w:color w:val="auto"/>
          <w:sz w:val="24"/>
          <w:szCs w:val="24"/>
          <w:highlight w:val="none"/>
        </w:rPr>
        <w:t xml:space="preserve"> </w:t>
      </w:r>
      <w:r>
        <w:rPr>
          <w:rFonts w:hint="eastAsia" w:ascii="仿宋_GB2312" w:eastAsia="仿宋_GB2312"/>
          <w:color w:val="auto"/>
          <w:sz w:val="24"/>
          <w:szCs w:val="24"/>
          <w:highlight w:val="none"/>
          <w:lang w:eastAsia="zh-CN"/>
        </w:rPr>
        <w:t>供应商</w:t>
      </w:r>
      <w:r>
        <w:rPr>
          <w:rFonts w:hint="eastAsia" w:ascii="仿宋_GB2312" w:eastAsia="仿宋_GB2312"/>
          <w:color w:val="auto"/>
          <w:sz w:val="24"/>
          <w:szCs w:val="24"/>
          <w:highlight w:val="none"/>
        </w:rPr>
        <w:t>（</w:t>
      </w:r>
      <w:r>
        <w:rPr>
          <w:rFonts w:hint="eastAsia" w:ascii="仿宋_GB2312" w:eastAsia="仿宋_GB2312"/>
          <w:b/>
          <w:bCs/>
          <w:color w:val="auto"/>
          <w:sz w:val="24"/>
          <w:szCs w:val="24"/>
          <w:highlight w:val="none"/>
        </w:rPr>
        <w:t>CA电子签章</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rPr>
        <w:t xml:space="preserve">                </w:t>
      </w:r>
    </w:p>
    <w:p w14:paraId="440B9AB8">
      <w:pPr>
        <w:pStyle w:val="29"/>
        <w:spacing w:line="276" w:lineRule="auto"/>
        <w:ind w:firstLine="420"/>
        <w:jc w:val="center"/>
        <w:rPr>
          <w:rFonts w:ascii="仿宋_GB2312" w:eastAsia="仿宋_GB2312"/>
          <w:color w:val="auto"/>
          <w:sz w:val="24"/>
          <w:szCs w:val="24"/>
          <w:highlight w:val="none"/>
        </w:rPr>
      </w:pPr>
      <w:r>
        <w:rPr>
          <w:rFonts w:hint="eastAsia" w:ascii="仿宋_GB2312" w:hAnsi="Times New Roman" w:eastAsia="仿宋_GB2312"/>
          <w:color w:val="auto"/>
          <w:sz w:val="24"/>
          <w:szCs w:val="24"/>
          <w:highlight w:val="none"/>
        </w:rPr>
        <w:t xml:space="preserve">                                               </w:t>
      </w:r>
      <w:r>
        <w:rPr>
          <w:rFonts w:hint="eastAsia" w:ascii="仿宋_GB2312" w:hAnsi="宋体" w:eastAsia="仿宋_GB2312"/>
          <w:color w:val="auto"/>
          <w:sz w:val="24"/>
          <w:szCs w:val="24"/>
          <w:highlight w:val="none"/>
        </w:rPr>
        <w:t>日期：       年   月   日</w:t>
      </w:r>
    </w:p>
    <w:p w14:paraId="02C3D413">
      <w:pPr>
        <w:pStyle w:val="29"/>
        <w:spacing w:line="276" w:lineRule="auto"/>
        <w:rPr>
          <w:rFonts w:ascii="仿宋_GB2312" w:eastAsia="仿宋_GB2312"/>
          <w:color w:val="auto"/>
          <w:sz w:val="24"/>
          <w:szCs w:val="24"/>
          <w:highlight w:val="none"/>
        </w:rPr>
      </w:pP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55245</wp:posOffset>
                </wp:positionH>
                <wp:positionV relativeFrom="paragraph">
                  <wp:posOffset>298450</wp:posOffset>
                </wp:positionV>
                <wp:extent cx="3239770" cy="1801495"/>
                <wp:effectExtent l="4445" t="4445" r="13335" b="22860"/>
                <wp:wrapNone/>
                <wp:docPr id="10" name="矩形 5"/>
                <wp:cNvGraphicFramePr/>
                <a:graphic xmlns:a="http://schemas.openxmlformats.org/drawingml/2006/main">
                  <a:graphicData uri="http://schemas.microsoft.com/office/word/2010/wordprocessingShape">
                    <wps:wsp>
                      <wps:cNvSpPr>
                        <a:spLocks noChangeArrowheads="1"/>
                      </wps:cNvSpPr>
                      <wps:spPr bwMode="auto">
                        <a:xfrm>
                          <a:off x="0" y="0"/>
                          <a:ext cx="3239770" cy="1801495"/>
                        </a:xfrm>
                        <a:prstGeom prst="rect">
                          <a:avLst/>
                        </a:prstGeom>
                        <a:solidFill>
                          <a:srgbClr val="FFFFFF"/>
                        </a:solidFill>
                        <a:ln w="9525">
                          <a:solidFill>
                            <a:srgbClr val="000000"/>
                          </a:solidFill>
                          <a:miter lim="800000"/>
                        </a:ln>
                      </wps:spPr>
                      <wps:txbx>
                        <w:txbxContent>
                          <w:p w14:paraId="6257D567"/>
                          <w:p w14:paraId="35C23634"/>
                          <w:p w14:paraId="772168F4"/>
                          <w:p w14:paraId="373F8DD3">
                            <w:pPr>
                              <w:rPr>
                                <w:rFonts w:hint="eastAsia" w:ascii="仿宋" w:hAnsi="仿宋" w:eastAsia="仿宋" w:cs="仿宋"/>
                                <w:sz w:val="24"/>
                                <w:szCs w:val="24"/>
                              </w:rPr>
                            </w:pPr>
                          </w:p>
                          <w:p w14:paraId="1F9C5A0F">
                            <w:pPr>
                              <w:jc w:val="center"/>
                              <w:rPr>
                                <w:rFonts w:hint="eastAsia" w:ascii="仿宋" w:hAnsi="仿宋" w:eastAsia="仿宋" w:cs="仿宋"/>
                                <w:sz w:val="24"/>
                                <w:szCs w:val="24"/>
                              </w:rPr>
                            </w:pPr>
                            <w:r>
                              <w:rPr>
                                <w:rFonts w:hint="eastAsia" w:ascii="仿宋" w:hAnsi="仿宋" w:eastAsia="仿宋" w:cs="仿宋"/>
                                <w:sz w:val="24"/>
                                <w:szCs w:val="24"/>
                              </w:rPr>
                              <w:t>委托代理人第二代居民身份证复印件</w:t>
                            </w:r>
                          </w:p>
                          <w:p w14:paraId="0225E73A">
                            <w:pPr>
                              <w:jc w:val="center"/>
                              <w:rPr>
                                <w:rFonts w:hint="eastAsia" w:ascii="仿宋" w:hAnsi="仿宋" w:eastAsia="仿宋" w:cs="仿宋"/>
                                <w:sz w:val="24"/>
                                <w:szCs w:val="24"/>
                              </w:rPr>
                            </w:pPr>
                            <w:r>
                              <w:rPr>
                                <w:rFonts w:hint="eastAsia" w:ascii="仿宋" w:hAnsi="仿宋" w:eastAsia="仿宋" w:cs="仿宋"/>
                                <w:b/>
                                <w:sz w:val="24"/>
                                <w:szCs w:val="24"/>
                              </w:rPr>
                              <w:t>（正面）</w:t>
                            </w:r>
                          </w:p>
                          <w:p w14:paraId="4C32C2DF">
                            <w:pPr>
                              <w:jc w:val="center"/>
                            </w:pPr>
                          </w:p>
                        </w:txbxContent>
                      </wps:txbx>
                      <wps:bodyPr rot="0" vert="horz" wrap="square" lIns="91440" tIns="45720" rIns="91440" bIns="45720" anchor="t" anchorCtr="0" upright="1">
                        <a:noAutofit/>
                      </wps:bodyPr>
                    </wps:wsp>
                  </a:graphicData>
                </a:graphic>
              </wp:anchor>
            </w:drawing>
          </mc:Choice>
          <mc:Fallback>
            <w:pict>
              <v:rect id="矩形 5" o:spid="_x0000_s1026" o:spt="1" style="position:absolute;left:0pt;margin-left:4.35pt;margin-top:23.5pt;height:141.85pt;width:255.1pt;z-index:251664384;mso-width-relative:page;mso-height-relative:page;" fillcolor="#FFFFFF" filled="t" stroked="t" coordsize="21600,21600" o:gfxdata="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7YAwNNcAAAAIAQAADwAAAAAAAAABACAAAAAiAAAAZHJzL2Rv&#10;d25yZXYueG1sUEsBAhQAFAAAAAgAh07iQHsvdO07AgAAfAQAAA4AAAAAAAAAAQAgAAAAJgEAAGRy&#10;cy9lMm9Eb2MueG1sUEsFBgAAAAAGAAYAWQEAANMFAAAAAA==&#10;">
                <v:fill on="t" focussize="0,0"/>
                <v:stroke color="#000000" miterlimit="8" joinstyle="miter"/>
                <v:imagedata o:title=""/>
                <o:lock v:ext="edit" aspectratio="f"/>
                <v:textbox>
                  <w:txbxContent>
                    <w:p w14:paraId="6257D567"/>
                    <w:p w14:paraId="35C23634"/>
                    <w:p w14:paraId="772168F4"/>
                    <w:p w14:paraId="373F8DD3">
                      <w:pPr>
                        <w:rPr>
                          <w:rFonts w:hint="eastAsia" w:ascii="仿宋" w:hAnsi="仿宋" w:eastAsia="仿宋" w:cs="仿宋"/>
                          <w:sz w:val="24"/>
                          <w:szCs w:val="24"/>
                        </w:rPr>
                      </w:pPr>
                    </w:p>
                    <w:p w14:paraId="1F9C5A0F">
                      <w:pPr>
                        <w:jc w:val="center"/>
                        <w:rPr>
                          <w:rFonts w:hint="eastAsia" w:ascii="仿宋" w:hAnsi="仿宋" w:eastAsia="仿宋" w:cs="仿宋"/>
                          <w:sz w:val="24"/>
                          <w:szCs w:val="24"/>
                        </w:rPr>
                      </w:pPr>
                      <w:r>
                        <w:rPr>
                          <w:rFonts w:hint="eastAsia" w:ascii="仿宋" w:hAnsi="仿宋" w:eastAsia="仿宋" w:cs="仿宋"/>
                          <w:sz w:val="24"/>
                          <w:szCs w:val="24"/>
                        </w:rPr>
                        <w:t>委托代理人第二代居民身份证复印件</w:t>
                      </w:r>
                    </w:p>
                    <w:p w14:paraId="0225E73A">
                      <w:pPr>
                        <w:jc w:val="center"/>
                        <w:rPr>
                          <w:rFonts w:hint="eastAsia" w:ascii="仿宋" w:hAnsi="仿宋" w:eastAsia="仿宋" w:cs="仿宋"/>
                          <w:sz w:val="24"/>
                          <w:szCs w:val="24"/>
                        </w:rPr>
                      </w:pPr>
                      <w:r>
                        <w:rPr>
                          <w:rFonts w:hint="eastAsia" w:ascii="仿宋" w:hAnsi="仿宋" w:eastAsia="仿宋" w:cs="仿宋"/>
                          <w:b/>
                          <w:sz w:val="24"/>
                          <w:szCs w:val="24"/>
                        </w:rPr>
                        <w:t>（正面）</w:t>
                      </w:r>
                    </w:p>
                    <w:p w14:paraId="4C32C2DF">
                      <w:pPr>
                        <w:jc w:val="center"/>
                      </w:pPr>
                    </w:p>
                  </w:txbxContent>
                </v:textbox>
              </v:rect>
            </w:pict>
          </mc:Fallback>
        </mc:AlternateContent>
      </w:r>
      <w:r>
        <w:rPr>
          <w:rFonts w:hint="eastAsia" w:ascii="仿宋_GB2312" w:eastAsia="仿宋_GB2312"/>
          <w:color w:val="auto"/>
          <w:sz w:val="24"/>
          <w:szCs w:val="24"/>
          <w:highlight w:val="none"/>
        </w:rPr>
        <w:t xml:space="preserve">                                                                                                                                                                                        </w:t>
      </w:r>
    </w:p>
    <w:p w14:paraId="13EBB169">
      <w:pPr>
        <w:pStyle w:val="29"/>
        <w:spacing w:line="276" w:lineRule="auto"/>
        <w:rPr>
          <w:rFonts w:ascii="仿宋_GB2312" w:eastAsia="仿宋_GB2312"/>
          <w:color w:val="auto"/>
          <w:sz w:val="24"/>
          <w:szCs w:val="24"/>
          <w:highlight w:val="none"/>
        </w:rPr>
      </w:pPr>
      <w:r>
        <w:rPr>
          <w:color w:val="auto"/>
          <w:highlight w:val="none"/>
        </w:rPr>
        <mc:AlternateContent>
          <mc:Choice Requires="wps">
            <w:drawing>
              <wp:anchor distT="179705"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6134100" cy="0"/>
                <wp:effectExtent l="0" t="0" r="0" b="0"/>
                <wp:wrapTopAndBottom/>
                <wp:docPr id="11" name="直线 6"/>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ln>
                      </wps:spPr>
                      <wps:bodyPr/>
                    </wps:wsp>
                  </a:graphicData>
                </a:graphic>
              </wp:anchor>
            </w:drawing>
          </mc:Choice>
          <mc:Fallback>
            <w:pict>
              <v:line id="直线 6" o:spid="_x0000_s1026" o:spt="20" style="position:absolute;left:0pt;margin-left:0pt;margin-top:0pt;height:0pt;width:483pt;mso-wrap-distance-bottom:0pt;mso-wrap-distance-top:14.15pt;z-index:251662336;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cB1T30AAAAAIBAAAPAAAAAAAAAAEAIAAAACIA&#10;AABkcnMvZG93bnJldi54bWxQSwECFAAUAAAACACHTuJAzw9g4tgBAACiAwAADgAAAAAAAAABACAA&#10;AAAfAQAAZHJzL2Uyb0RvYy54bWxQSwUGAAAAAAYABgBZAQAAaQUAAAAA&#10;">
                <v:fill on="f" focussize="0,0"/>
                <v:stroke color="#000000" joinstyle="round"/>
                <v:imagedata o:title=""/>
                <o:lock v:ext="edit" aspectratio="f"/>
                <w10:wrap type="topAndBottom"/>
              </v:line>
            </w:pict>
          </mc:Fallback>
        </mc:AlternateContent>
      </w:r>
      <w:r>
        <w:rPr>
          <w:rFonts w:hint="eastAsia" w:ascii="仿宋_GB2312" w:eastAsia="仿宋_GB2312"/>
          <w:color w:val="auto"/>
          <w:sz w:val="24"/>
          <w:szCs w:val="24"/>
          <w:highlight w:val="none"/>
        </w:rPr>
        <w:t xml:space="preserve">  </w:t>
      </w:r>
    </w:p>
    <w:p w14:paraId="28B4E4F5">
      <w:pPr>
        <w:pStyle w:val="29"/>
        <w:spacing w:line="276" w:lineRule="auto"/>
        <w:rPr>
          <w:rFonts w:ascii="仿宋_GB2312" w:eastAsia="仿宋_GB2312"/>
          <w:color w:val="auto"/>
          <w:sz w:val="24"/>
          <w:szCs w:val="24"/>
          <w:highlight w:val="none"/>
        </w:rPr>
      </w:pPr>
    </w:p>
    <w:p w14:paraId="1F943B6B">
      <w:pPr>
        <w:pStyle w:val="29"/>
        <w:spacing w:line="276" w:lineRule="auto"/>
        <w:rPr>
          <w:rFonts w:ascii="仿宋_GB2312" w:eastAsia="仿宋_GB2312"/>
          <w:color w:val="auto"/>
          <w:sz w:val="24"/>
          <w:szCs w:val="24"/>
          <w:highlight w:val="none"/>
        </w:rPr>
      </w:pPr>
    </w:p>
    <w:p w14:paraId="1ABA49A4">
      <w:pPr>
        <w:pStyle w:val="29"/>
        <w:spacing w:line="276" w:lineRule="auto"/>
        <w:rPr>
          <w:rFonts w:ascii="仿宋_GB2312" w:eastAsia="仿宋_GB2312"/>
          <w:color w:val="auto"/>
          <w:sz w:val="24"/>
          <w:szCs w:val="24"/>
          <w:highlight w:val="none"/>
        </w:rPr>
      </w:pPr>
    </w:p>
    <w:p w14:paraId="7353C3D5">
      <w:pPr>
        <w:pStyle w:val="29"/>
        <w:spacing w:line="276" w:lineRule="auto"/>
        <w:rPr>
          <w:rFonts w:ascii="仿宋_GB2312" w:eastAsia="仿宋_GB2312"/>
          <w:color w:val="auto"/>
          <w:sz w:val="24"/>
          <w:szCs w:val="24"/>
          <w:highlight w:val="none"/>
        </w:rPr>
      </w:pPr>
    </w:p>
    <w:p w14:paraId="2DC96963">
      <w:pPr>
        <w:pStyle w:val="29"/>
        <w:spacing w:line="276" w:lineRule="auto"/>
        <w:rPr>
          <w:rFonts w:ascii="仿宋_GB2312" w:eastAsia="仿宋_GB2312"/>
          <w:color w:val="auto"/>
          <w:sz w:val="24"/>
          <w:szCs w:val="24"/>
          <w:highlight w:val="none"/>
        </w:rPr>
      </w:pPr>
    </w:p>
    <w:p w14:paraId="4D28A00C">
      <w:pPr>
        <w:pStyle w:val="29"/>
        <w:spacing w:line="276" w:lineRule="auto"/>
        <w:rPr>
          <w:rFonts w:ascii="仿宋_GB2312" w:eastAsia="仿宋_GB2312"/>
          <w:color w:val="auto"/>
          <w:sz w:val="24"/>
          <w:szCs w:val="24"/>
          <w:highlight w:val="none"/>
        </w:rPr>
      </w:pPr>
    </w:p>
    <w:p w14:paraId="39C2F95E">
      <w:pPr>
        <w:pStyle w:val="29"/>
        <w:spacing w:line="276" w:lineRule="auto"/>
        <w:rPr>
          <w:rFonts w:ascii="仿宋_GB2312" w:eastAsia="仿宋_GB2312"/>
          <w:color w:val="auto"/>
          <w:sz w:val="24"/>
          <w:szCs w:val="24"/>
          <w:highlight w:val="none"/>
        </w:rPr>
      </w:pPr>
    </w:p>
    <w:p w14:paraId="168AF1CD">
      <w:pPr>
        <w:pStyle w:val="29"/>
        <w:spacing w:line="276" w:lineRule="auto"/>
        <w:rPr>
          <w:rFonts w:ascii="仿宋_GB2312" w:eastAsia="仿宋_GB2312"/>
          <w:color w:val="auto"/>
          <w:sz w:val="24"/>
          <w:szCs w:val="24"/>
          <w:highlight w:val="none"/>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55245</wp:posOffset>
                </wp:positionH>
                <wp:positionV relativeFrom="paragraph">
                  <wp:posOffset>70485</wp:posOffset>
                </wp:positionV>
                <wp:extent cx="3239770" cy="1790065"/>
                <wp:effectExtent l="5080" t="4445" r="12700" b="15240"/>
                <wp:wrapNone/>
                <wp:docPr id="12" name="矩形 7"/>
                <wp:cNvGraphicFramePr/>
                <a:graphic xmlns:a="http://schemas.openxmlformats.org/drawingml/2006/main">
                  <a:graphicData uri="http://schemas.microsoft.com/office/word/2010/wordprocessingShape">
                    <wps:wsp>
                      <wps:cNvSpPr>
                        <a:spLocks noChangeArrowheads="1"/>
                      </wps:cNvSpPr>
                      <wps:spPr bwMode="auto">
                        <a:xfrm>
                          <a:off x="0" y="0"/>
                          <a:ext cx="3239770" cy="1790065"/>
                        </a:xfrm>
                        <a:prstGeom prst="rect">
                          <a:avLst/>
                        </a:prstGeom>
                        <a:solidFill>
                          <a:srgbClr val="FFFFFF"/>
                        </a:solidFill>
                        <a:ln w="9525">
                          <a:solidFill>
                            <a:srgbClr val="000000"/>
                          </a:solidFill>
                          <a:miter lim="800000"/>
                        </a:ln>
                      </wps:spPr>
                      <wps:txbx>
                        <w:txbxContent>
                          <w:p w14:paraId="7938FB56"/>
                          <w:p w14:paraId="233E2A2D"/>
                          <w:p w14:paraId="7C5DFB19"/>
                          <w:p w14:paraId="5D324FC9">
                            <w:pPr>
                              <w:rPr>
                                <w:rFonts w:hint="eastAsia" w:ascii="仿宋" w:hAnsi="仿宋" w:eastAsia="仿宋" w:cs="仿宋"/>
                                <w:sz w:val="24"/>
                                <w:szCs w:val="24"/>
                              </w:rPr>
                            </w:pPr>
                          </w:p>
                          <w:p w14:paraId="0830133F">
                            <w:pPr>
                              <w:jc w:val="center"/>
                              <w:rPr>
                                <w:rFonts w:hint="eastAsia" w:ascii="仿宋" w:hAnsi="仿宋" w:eastAsia="仿宋" w:cs="仿宋"/>
                                <w:sz w:val="24"/>
                                <w:szCs w:val="24"/>
                              </w:rPr>
                            </w:pPr>
                            <w:r>
                              <w:rPr>
                                <w:rFonts w:hint="eastAsia" w:ascii="仿宋" w:hAnsi="仿宋" w:eastAsia="仿宋" w:cs="仿宋"/>
                                <w:sz w:val="24"/>
                                <w:szCs w:val="24"/>
                              </w:rPr>
                              <w:t>委托代理人第二代居民身份证复印件</w:t>
                            </w:r>
                          </w:p>
                          <w:p w14:paraId="5D1BBB3E">
                            <w:pPr>
                              <w:jc w:val="center"/>
                              <w:rPr>
                                <w:rFonts w:hint="eastAsia" w:ascii="仿宋" w:hAnsi="仿宋" w:eastAsia="仿宋" w:cs="仿宋"/>
                                <w:sz w:val="24"/>
                                <w:szCs w:val="24"/>
                              </w:rPr>
                            </w:pPr>
                            <w:r>
                              <w:rPr>
                                <w:rFonts w:hint="eastAsia" w:ascii="仿宋" w:hAnsi="仿宋" w:eastAsia="仿宋" w:cs="仿宋"/>
                                <w:b/>
                                <w:sz w:val="24"/>
                                <w:szCs w:val="24"/>
                              </w:rPr>
                              <w:t>（反面）</w:t>
                            </w:r>
                          </w:p>
                          <w:p w14:paraId="26ABDBE3">
                            <w:pPr>
                              <w:jc w:val="center"/>
                            </w:pPr>
                          </w:p>
                        </w:txbxContent>
                      </wps:txbx>
                      <wps:bodyPr rot="0" vert="horz" wrap="square" lIns="91440" tIns="45720" rIns="91440" bIns="45720" anchor="t" anchorCtr="0" upright="1">
                        <a:noAutofit/>
                      </wps:bodyPr>
                    </wps:wsp>
                  </a:graphicData>
                </a:graphic>
              </wp:anchor>
            </w:drawing>
          </mc:Choice>
          <mc:Fallback>
            <w:pict>
              <v:rect id="矩形 7" o:spid="_x0000_s1026" o:spt="1" style="position:absolute;left:0pt;margin-left:4.35pt;margin-top:5.55pt;height:140.95pt;width:255.1pt;z-index:251663360;mso-width-relative:page;mso-height-relative:page;" fillcolor="#FFFFFF" filled="t" stroked="t" coordsize="21600,21600" o:gfxdata="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6HkWz1wAAAAgBAAAPAAAAAAAAAAEAIAAAACIAAABkcnMvZG93&#10;bnJldi54bWxQSwECFAAUAAAACACHTuJAgpBOlDoCAAB8BAAADgAAAAAAAAABACAAAAAmAQAAZHJz&#10;L2Uyb0RvYy54bWxQSwUGAAAAAAYABgBZAQAA0gUAAAAA&#10;">
                <v:fill on="t" focussize="0,0"/>
                <v:stroke color="#000000" miterlimit="8" joinstyle="miter"/>
                <v:imagedata o:title=""/>
                <o:lock v:ext="edit" aspectratio="f"/>
                <v:textbox>
                  <w:txbxContent>
                    <w:p w14:paraId="7938FB56"/>
                    <w:p w14:paraId="233E2A2D"/>
                    <w:p w14:paraId="7C5DFB19"/>
                    <w:p w14:paraId="5D324FC9">
                      <w:pPr>
                        <w:rPr>
                          <w:rFonts w:hint="eastAsia" w:ascii="仿宋" w:hAnsi="仿宋" w:eastAsia="仿宋" w:cs="仿宋"/>
                          <w:sz w:val="24"/>
                          <w:szCs w:val="24"/>
                        </w:rPr>
                      </w:pPr>
                    </w:p>
                    <w:p w14:paraId="0830133F">
                      <w:pPr>
                        <w:jc w:val="center"/>
                        <w:rPr>
                          <w:rFonts w:hint="eastAsia" w:ascii="仿宋" w:hAnsi="仿宋" w:eastAsia="仿宋" w:cs="仿宋"/>
                          <w:sz w:val="24"/>
                          <w:szCs w:val="24"/>
                        </w:rPr>
                      </w:pPr>
                      <w:r>
                        <w:rPr>
                          <w:rFonts w:hint="eastAsia" w:ascii="仿宋" w:hAnsi="仿宋" w:eastAsia="仿宋" w:cs="仿宋"/>
                          <w:sz w:val="24"/>
                          <w:szCs w:val="24"/>
                        </w:rPr>
                        <w:t>委托代理人第二代居民身份证复印件</w:t>
                      </w:r>
                    </w:p>
                    <w:p w14:paraId="5D1BBB3E">
                      <w:pPr>
                        <w:jc w:val="center"/>
                        <w:rPr>
                          <w:rFonts w:hint="eastAsia" w:ascii="仿宋" w:hAnsi="仿宋" w:eastAsia="仿宋" w:cs="仿宋"/>
                          <w:sz w:val="24"/>
                          <w:szCs w:val="24"/>
                        </w:rPr>
                      </w:pPr>
                      <w:r>
                        <w:rPr>
                          <w:rFonts w:hint="eastAsia" w:ascii="仿宋" w:hAnsi="仿宋" w:eastAsia="仿宋" w:cs="仿宋"/>
                          <w:b/>
                          <w:sz w:val="24"/>
                          <w:szCs w:val="24"/>
                        </w:rPr>
                        <w:t>（反面）</w:t>
                      </w:r>
                    </w:p>
                    <w:p w14:paraId="26ABDBE3">
                      <w:pPr>
                        <w:jc w:val="center"/>
                      </w:pPr>
                    </w:p>
                  </w:txbxContent>
                </v:textbox>
              </v:rect>
            </w:pict>
          </mc:Fallback>
        </mc:AlternateContent>
      </w:r>
    </w:p>
    <w:p w14:paraId="50135E8B">
      <w:pPr>
        <w:pStyle w:val="29"/>
        <w:spacing w:line="276" w:lineRule="auto"/>
        <w:rPr>
          <w:rFonts w:ascii="仿宋_GB2312" w:eastAsia="仿宋_GB2312"/>
          <w:color w:val="auto"/>
          <w:sz w:val="24"/>
          <w:szCs w:val="24"/>
          <w:highlight w:val="none"/>
        </w:rPr>
      </w:pPr>
    </w:p>
    <w:p w14:paraId="253C7E7B">
      <w:pPr>
        <w:pStyle w:val="29"/>
        <w:spacing w:line="276" w:lineRule="auto"/>
        <w:rPr>
          <w:rFonts w:ascii="仿宋_GB2312" w:eastAsia="仿宋_GB2312"/>
          <w:color w:val="auto"/>
          <w:sz w:val="24"/>
          <w:szCs w:val="24"/>
          <w:highlight w:val="none"/>
        </w:rPr>
      </w:pPr>
    </w:p>
    <w:p w14:paraId="098C41FB">
      <w:pPr>
        <w:pStyle w:val="29"/>
        <w:spacing w:line="276" w:lineRule="auto"/>
        <w:rPr>
          <w:rFonts w:ascii="仿宋_GB2312" w:eastAsia="仿宋_GB2312"/>
          <w:color w:val="auto"/>
          <w:sz w:val="24"/>
          <w:szCs w:val="24"/>
          <w:highlight w:val="none"/>
        </w:rPr>
      </w:pPr>
    </w:p>
    <w:p w14:paraId="47E65676">
      <w:pPr>
        <w:pStyle w:val="29"/>
        <w:spacing w:line="276" w:lineRule="auto"/>
        <w:rPr>
          <w:rFonts w:ascii="仿宋_GB2312" w:eastAsia="仿宋_GB2312"/>
          <w:color w:val="auto"/>
          <w:sz w:val="24"/>
          <w:szCs w:val="24"/>
          <w:highlight w:val="none"/>
        </w:rPr>
      </w:pPr>
    </w:p>
    <w:p w14:paraId="5E9EB13D">
      <w:pPr>
        <w:pStyle w:val="29"/>
        <w:spacing w:line="276" w:lineRule="auto"/>
        <w:rPr>
          <w:rFonts w:ascii="仿宋_GB2312" w:eastAsia="仿宋_GB2312"/>
          <w:color w:val="auto"/>
          <w:sz w:val="24"/>
          <w:szCs w:val="24"/>
          <w:highlight w:val="none"/>
        </w:rPr>
      </w:pPr>
    </w:p>
    <w:p w14:paraId="60C362A9">
      <w:pPr>
        <w:pStyle w:val="29"/>
        <w:spacing w:line="276" w:lineRule="auto"/>
        <w:rPr>
          <w:rFonts w:ascii="仿宋_GB2312" w:eastAsia="仿宋_GB2312"/>
          <w:color w:val="auto"/>
          <w:sz w:val="24"/>
          <w:szCs w:val="24"/>
          <w:highlight w:val="none"/>
        </w:rPr>
      </w:pPr>
    </w:p>
    <w:p w14:paraId="432DE66B">
      <w:pPr>
        <w:spacing w:line="276" w:lineRule="auto"/>
        <w:rPr>
          <w:rFonts w:ascii="仿宋_GB2312" w:eastAsia="仿宋_GB2312"/>
          <w:color w:val="auto"/>
          <w:sz w:val="24"/>
          <w:highlight w:val="none"/>
        </w:rPr>
      </w:pPr>
    </w:p>
    <w:p w14:paraId="39FF7638">
      <w:pPr>
        <w:wordWrap w:val="0"/>
        <w:spacing w:line="276" w:lineRule="auto"/>
        <w:jc w:val="right"/>
        <w:rPr>
          <w:rFonts w:ascii="仿宋_GB2312" w:eastAsia="仿宋_GB2312"/>
          <w:b/>
          <w:bCs/>
          <w:color w:val="auto"/>
          <w:sz w:val="24"/>
          <w:highlight w:val="none"/>
          <w:u w:val="single"/>
        </w:rPr>
      </w:pPr>
    </w:p>
    <w:p w14:paraId="5EBA49EE">
      <w:pPr>
        <w:spacing w:line="276" w:lineRule="auto"/>
        <w:jc w:val="left"/>
        <w:rPr>
          <w:rFonts w:hint="eastAsia" w:ascii="仿宋_GB2312" w:hAnsi="宋体" w:eastAsia="仿宋_GB2312"/>
          <w:b/>
          <w:bCs/>
          <w:color w:val="auto"/>
          <w:sz w:val="24"/>
          <w:highlight w:val="none"/>
        </w:rPr>
      </w:pPr>
      <w:r>
        <w:rPr>
          <w:rFonts w:hint="eastAsia" w:ascii="仿宋_GB2312" w:eastAsia="仿宋_GB2312"/>
          <w:b/>
          <w:color w:val="auto"/>
          <w:sz w:val="24"/>
          <w:highlight w:val="none"/>
        </w:rPr>
        <w:t>注：此项材料必须</w:t>
      </w:r>
      <w:r>
        <w:rPr>
          <w:rFonts w:hint="eastAsia" w:ascii="仿宋_GB2312" w:hAnsi="宋体" w:eastAsia="仿宋_GB2312"/>
          <w:b/>
          <w:bCs/>
          <w:color w:val="auto"/>
          <w:sz w:val="24"/>
          <w:highlight w:val="none"/>
        </w:rPr>
        <w:t>以PDF格式上传。</w:t>
      </w:r>
    </w:p>
    <w:p w14:paraId="74D9E816">
      <w:pPr>
        <w:pStyle w:val="51"/>
        <w:ind w:left="0" w:leftChars="0" w:firstLine="420" w:firstLineChars="200"/>
        <w:rPr>
          <w:rFonts w:hint="eastAsia" w:eastAsia="仿宋_GB2312"/>
          <w:color w:val="auto"/>
          <w:highlight w:val="none"/>
          <w:lang w:val="en-US" w:eastAsia="zh-CN"/>
        </w:rPr>
      </w:pPr>
    </w:p>
    <w:p w14:paraId="3ACF265E">
      <w:pPr>
        <w:rPr>
          <w:rFonts w:hint="eastAsia" w:ascii="仿宋_GB2312" w:hAnsi="宋体" w:eastAsia="仿宋_GB2312"/>
          <w:b/>
          <w:bCs/>
          <w:color w:val="auto"/>
          <w:sz w:val="24"/>
          <w:highlight w:val="none"/>
        </w:rPr>
      </w:pPr>
      <w:r>
        <w:rPr>
          <w:rFonts w:hint="eastAsia" w:ascii="仿宋_GB2312" w:hAnsi="宋体" w:eastAsia="仿宋_GB2312"/>
          <w:b/>
          <w:bCs/>
          <w:color w:val="auto"/>
          <w:sz w:val="24"/>
          <w:highlight w:val="none"/>
        </w:rPr>
        <w:br w:type="page"/>
      </w:r>
    </w:p>
    <w:p w14:paraId="3578EBB0">
      <w:pPr>
        <w:snapToGrid w:val="0"/>
        <w:spacing w:line="400" w:lineRule="exact"/>
        <w:jc w:val="left"/>
        <w:rPr>
          <w:rFonts w:ascii="仿宋_GB2312" w:hAnsi="宋体" w:eastAsia="仿宋_GB2312" w:cs="Courier New"/>
          <w:b/>
          <w:bCs/>
          <w:color w:val="auto"/>
          <w:sz w:val="24"/>
          <w:szCs w:val="21"/>
          <w:highlight w:val="none"/>
        </w:rPr>
      </w:pPr>
      <w:r>
        <w:rPr>
          <w:rFonts w:hint="eastAsia" w:ascii="仿宋_GB2312" w:hAnsi="宋体" w:eastAsia="仿宋_GB2312" w:cs="Courier New"/>
          <w:b/>
          <w:bCs/>
          <w:color w:val="auto"/>
          <w:sz w:val="24"/>
          <w:szCs w:val="21"/>
          <w:highlight w:val="none"/>
        </w:rPr>
        <w:t>（3）供应商资格声明函格式（必须提供）：</w:t>
      </w:r>
    </w:p>
    <w:p w14:paraId="1774AC8E">
      <w:pPr>
        <w:snapToGrid w:val="0"/>
        <w:spacing w:before="50" w:after="157" w:afterLines="50" w:line="400" w:lineRule="exact"/>
        <w:jc w:val="center"/>
        <w:rPr>
          <w:rFonts w:ascii="仿宋_GB2312" w:eastAsia="仿宋_GB2312"/>
          <w:b/>
          <w:bCs/>
          <w:color w:val="auto"/>
          <w:sz w:val="32"/>
          <w:szCs w:val="32"/>
          <w:highlight w:val="none"/>
        </w:rPr>
      </w:pPr>
    </w:p>
    <w:p w14:paraId="719EF339">
      <w:pPr>
        <w:autoSpaceDE w:val="0"/>
        <w:autoSpaceDN w:val="0"/>
        <w:adjustRightInd w:val="0"/>
        <w:spacing w:line="400" w:lineRule="exact"/>
        <w:ind w:firstLine="640"/>
        <w:jc w:val="center"/>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供应商资格声明函</w:t>
      </w:r>
    </w:p>
    <w:p w14:paraId="2035D3AB">
      <w:pPr>
        <w:autoSpaceDE w:val="0"/>
        <w:autoSpaceDN w:val="0"/>
        <w:adjustRightInd w:val="0"/>
        <w:spacing w:line="400" w:lineRule="exact"/>
        <w:rPr>
          <w:rFonts w:ascii="仿宋_GB2312" w:eastAsia="仿宋_GB2312"/>
          <w:color w:val="auto"/>
          <w:spacing w:val="6"/>
          <w:sz w:val="24"/>
          <w:highlight w:val="none"/>
        </w:rPr>
      </w:pPr>
      <w:r>
        <w:rPr>
          <w:rFonts w:hint="eastAsia" w:ascii="仿宋_GB2312" w:eastAsia="仿宋_GB2312"/>
          <w:color w:val="auto"/>
          <w:spacing w:val="6"/>
          <w:sz w:val="24"/>
          <w:highlight w:val="none"/>
        </w:rPr>
        <w:t>致：</w:t>
      </w:r>
      <w:r>
        <w:rPr>
          <w:rFonts w:hint="eastAsia" w:ascii="仿宋_GB2312" w:eastAsia="仿宋_GB2312"/>
          <w:color w:val="auto"/>
          <w:spacing w:val="6"/>
          <w:sz w:val="24"/>
          <w:highlight w:val="none"/>
          <w:u w:val="single"/>
        </w:rPr>
        <w:t xml:space="preserve">     （采购人、采购代理机构）    </w:t>
      </w:r>
      <w:r>
        <w:rPr>
          <w:rFonts w:hint="eastAsia" w:ascii="仿宋_GB2312" w:eastAsia="仿宋_GB2312"/>
          <w:color w:val="auto"/>
          <w:spacing w:val="6"/>
          <w:sz w:val="24"/>
          <w:highlight w:val="none"/>
        </w:rPr>
        <w:t>：</w:t>
      </w:r>
    </w:p>
    <w:p w14:paraId="3E790187">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我方自愿参加</w:t>
      </w:r>
      <w:r>
        <w:rPr>
          <w:rFonts w:hint="eastAsia" w:ascii="仿宋_GB2312" w:eastAsia="仿宋_GB2312"/>
          <w:color w:val="auto"/>
          <w:spacing w:val="6"/>
          <w:sz w:val="24"/>
          <w:highlight w:val="none"/>
          <w:u w:val="single"/>
        </w:rPr>
        <w:t xml:space="preserve">                       </w:t>
      </w:r>
      <w:r>
        <w:rPr>
          <w:rFonts w:hint="eastAsia" w:ascii="仿宋_GB2312" w:eastAsia="仿宋_GB2312"/>
          <w:color w:val="auto"/>
          <w:spacing w:val="6"/>
          <w:sz w:val="24"/>
          <w:highlight w:val="none"/>
        </w:rPr>
        <w:t>项目（项目编号：</w:t>
      </w:r>
      <w:r>
        <w:rPr>
          <w:rFonts w:hint="eastAsia" w:ascii="仿宋_GB2312" w:eastAsia="仿宋_GB2312"/>
          <w:color w:val="auto"/>
          <w:spacing w:val="6"/>
          <w:sz w:val="24"/>
          <w:highlight w:val="none"/>
          <w:u w:val="single"/>
        </w:rPr>
        <w:t xml:space="preserve">           </w:t>
      </w:r>
      <w:r>
        <w:rPr>
          <w:rFonts w:hint="eastAsia" w:ascii="仿宋_GB2312" w:eastAsia="仿宋_GB2312"/>
          <w:color w:val="auto"/>
          <w:spacing w:val="6"/>
          <w:sz w:val="24"/>
          <w:highlight w:val="none"/>
        </w:rPr>
        <w:t>）的政府采购活动，并郑重承诺我方符合《中华人民共和国政府采购法》第二十二条规定的条件：</w:t>
      </w:r>
    </w:p>
    <w:p w14:paraId="52DE41FF">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（一）具有独立承担民事责任的能力；</w:t>
      </w:r>
    </w:p>
    <w:p w14:paraId="6872AED9">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（二）具有良好的商业信誉和健全的财务会计制度；</w:t>
      </w:r>
    </w:p>
    <w:p w14:paraId="5F8165FB">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（三）具有履行合同所必需的设备和专业技术能力；</w:t>
      </w:r>
    </w:p>
    <w:p w14:paraId="732A18C0">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（四）有依法缴纳税收和社会保障资金的良好记录；</w:t>
      </w:r>
    </w:p>
    <w:p w14:paraId="21F3C1C0">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（五）参加政府采购活动前三年内，在经营活动中没有重大违法记录；</w:t>
      </w:r>
    </w:p>
    <w:p w14:paraId="6AA50C30">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（六）法律、行政法规规定的其他条件。</w:t>
      </w:r>
    </w:p>
    <w:p w14:paraId="6D80382C">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我方保证上述承诺事项的真实性，如有弄虚作假或其他违法违规行为，愿意承担一切法律责任，并承担因此所造成的一切损失。</w:t>
      </w:r>
    </w:p>
    <w:p w14:paraId="1B867749">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b/>
          <w:bCs/>
          <w:color w:val="auto"/>
          <w:spacing w:val="6"/>
          <w:sz w:val="24"/>
          <w:highlight w:val="none"/>
        </w:rPr>
        <w:t>特此声明！</w:t>
      </w:r>
    </w:p>
    <w:p w14:paraId="00110D07">
      <w:pPr>
        <w:pStyle w:val="51"/>
        <w:tabs>
          <w:tab w:val="left" w:pos="0"/>
        </w:tabs>
        <w:spacing w:line="400" w:lineRule="exact"/>
        <w:ind w:firstLine="504"/>
        <w:rPr>
          <w:rFonts w:ascii="仿宋_GB2312" w:eastAsia="仿宋_GB2312"/>
          <w:color w:val="auto"/>
          <w:spacing w:val="6"/>
          <w:sz w:val="24"/>
          <w:highlight w:val="none"/>
        </w:rPr>
      </w:pPr>
    </w:p>
    <w:p w14:paraId="3A4175D6">
      <w:pPr>
        <w:spacing w:line="400" w:lineRule="exact"/>
        <w:rPr>
          <w:color w:val="auto"/>
          <w:sz w:val="24"/>
          <w:highlight w:val="none"/>
        </w:rPr>
      </w:pPr>
    </w:p>
    <w:p w14:paraId="01E89F6D">
      <w:pPr>
        <w:spacing w:line="400" w:lineRule="exact"/>
        <w:ind w:firstLine="4320" w:firstLineChars="1800"/>
        <w:rPr>
          <w:rFonts w:ascii="仿宋_GB2312" w:eastAsia="仿宋_GB2312"/>
          <w:color w:val="auto"/>
          <w:sz w:val="24"/>
          <w:highlight w:val="none"/>
          <w:u w:val="single"/>
        </w:rPr>
      </w:pPr>
      <w:r>
        <w:rPr>
          <w:rFonts w:hint="eastAsia" w:ascii="仿宋_GB2312" w:eastAsia="仿宋_GB2312"/>
          <w:color w:val="auto"/>
          <w:sz w:val="24"/>
          <w:highlight w:val="none"/>
        </w:rPr>
        <w:t>法定代表人或委托代理人</w:t>
      </w:r>
      <w:r>
        <w:rPr>
          <w:rFonts w:hint="eastAsia" w:ascii="仿宋_GB2312" w:eastAsia="仿宋_GB2312"/>
          <w:b/>
          <w:bCs/>
          <w:color w:val="auto"/>
          <w:sz w:val="24"/>
          <w:highlight w:val="none"/>
        </w:rPr>
        <w:t>（签字）：</w:t>
      </w:r>
      <w:r>
        <w:rPr>
          <w:rFonts w:hint="eastAsia" w:ascii="仿宋_GB2312" w:eastAsia="仿宋_GB2312"/>
          <w:color w:val="auto"/>
          <w:sz w:val="24"/>
          <w:highlight w:val="none"/>
          <w:u w:val="single"/>
        </w:rPr>
        <w:t xml:space="preserve">              </w:t>
      </w:r>
    </w:p>
    <w:p w14:paraId="23C9A4B3">
      <w:pPr>
        <w:spacing w:line="400" w:lineRule="exact"/>
        <w:jc w:val="center"/>
        <w:rPr>
          <w:rFonts w:ascii="仿宋_GB2312" w:eastAsia="仿宋_GB2312"/>
          <w:color w:val="auto"/>
          <w:sz w:val="24"/>
          <w:highlight w:val="none"/>
          <w:u w:val="single"/>
        </w:rPr>
      </w:pPr>
    </w:p>
    <w:p w14:paraId="32DAAE48">
      <w:pPr>
        <w:pStyle w:val="29"/>
        <w:spacing w:line="400" w:lineRule="exact"/>
        <w:ind w:firstLine="5160" w:firstLineChars="2150"/>
        <w:rPr>
          <w:rFonts w:ascii="仿宋_GB2312" w:eastAsia="仿宋_GB2312"/>
          <w:color w:val="auto"/>
          <w:sz w:val="24"/>
          <w:szCs w:val="24"/>
          <w:highlight w:val="none"/>
        </w:rPr>
      </w:pPr>
      <w:r>
        <w:rPr>
          <w:rFonts w:hint="eastAsia" w:ascii="仿宋_GB2312" w:eastAsia="仿宋_GB2312"/>
          <w:color w:val="auto"/>
          <w:sz w:val="24"/>
          <w:szCs w:val="24"/>
          <w:highlight w:val="none"/>
        </w:rPr>
        <w:t>供应商</w:t>
      </w:r>
      <w:r>
        <w:rPr>
          <w:rFonts w:hint="eastAsia" w:ascii="仿宋_GB2312" w:eastAsia="仿宋_GB2312"/>
          <w:b/>
          <w:bCs/>
          <w:color w:val="auto"/>
          <w:sz w:val="24"/>
          <w:szCs w:val="24"/>
          <w:highlight w:val="none"/>
        </w:rPr>
        <w:t>（CA电子签章）</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rPr>
        <w:t xml:space="preserve">                </w:t>
      </w:r>
    </w:p>
    <w:p w14:paraId="2C0F4710">
      <w:pPr>
        <w:pStyle w:val="29"/>
        <w:spacing w:line="400" w:lineRule="exact"/>
        <w:rPr>
          <w:rFonts w:ascii="仿宋_GB2312" w:hAnsi="宋体" w:eastAsia="仿宋_GB2312"/>
          <w:color w:val="auto"/>
          <w:sz w:val="24"/>
          <w:szCs w:val="24"/>
          <w:highlight w:val="none"/>
        </w:rPr>
      </w:pPr>
    </w:p>
    <w:p w14:paraId="7B87F3D1">
      <w:pPr>
        <w:pStyle w:val="29"/>
        <w:spacing w:line="400" w:lineRule="exact"/>
        <w:jc w:val="righ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日期：       年   月   日</w:t>
      </w:r>
    </w:p>
    <w:p w14:paraId="69DC3422">
      <w:pPr>
        <w:pStyle w:val="29"/>
        <w:spacing w:line="400" w:lineRule="exact"/>
        <w:ind w:firstLine="482" w:firstLineChars="200"/>
        <w:rPr>
          <w:rFonts w:ascii="仿宋_GB2312" w:hAnsi="宋体" w:eastAsia="仿宋_GB2312"/>
          <w:b/>
          <w:bCs/>
          <w:color w:val="auto"/>
          <w:sz w:val="24"/>
          <w:szCs w:val="24"/>
          <w:highlight w:val="none"/>
        </w:rPr>
      </w:pPr>
      <w:r>
        <w:rPr>
          <w:rFonts w:hint="eastAsia" w:ascii="仿宋_GB2312" w:eastAsia="仿宋_GB2312"/>
          <w:b/>
          <w:color w:val="auto"/>
          <w:sz w:val="24"/>
          <w:szCs w:val="24"/>
          <w:highlight w:val="none"/>
        </w:rPr>
        <w:t>注：此项材料必须</w:t>
      </w:r>
      <w:r>
        <w:rPr>
          <w:rFonts w:hint="eastAsia" w:ascii="仿宋_GB2312" w:hAnsi="宋体" w:eastAsia="仿宋_GB2312"/>
          <w:b/>
          <w:bCs/>
          <w:color w:val="auto"/>
          <w:sz w:val="24"/>
          <w:szCs w:val="24"/>
          <w:highlight w:val="none"/>
        </w:rPr>
        <w:t>以PDF格式上传。</w:t>
      </w:r>
    </w:p>
    <w:p w14:paraId="5B2FC8BA">
      <w:pPr>
        <w:pStyle w:val="41"/>
        <w:ind w:left="0" w:leftChars="0"/>
        <w:rPr>
          <w:rFonts w:ascii="仿宋_GB2312" w:hAnsi="宋体" w:eastAsia="仿宋_GB2312"/>
          <w:b/>
          <w:bCs/>
          <w:color w:val="auto"/>
          <w:sz w:val="24"/>
          <w:highlight w:val="none"/>
        </w:rPr>
      </w:pPr>
    </w:p>
    <w:p w14:paraId="519D51FB">
      <w:pPr>
        <w:pStyle w:val="41"/>
        <w:ind w:left="0" w:leftChars="0"/>
        <w:rPr>
          <w:rFonts w:ascii="仿宋_GB2312" w:hAnsi="宋体" w:eastAsia="仿宋_GB2312"/>
          <w:b/>
          <w:bCs/>
          <w:color w:val="auto"/>
          <w:sz w:val="24"/>
          <w:highlight w:val="none"/>
        </w:rPr>
      </w:pPr>
    </w:p>
    <w:p w14:paraId="32FD0E65">
      <w:pPr>
        <w:pStyle w:val="41"/>
        <w:ind w:left="0" w:leftChars="0"/>
        <w:rPr>
          <w:rFonts w:ascii="仿宋_GB2312" w:hAnsi="宋体" w:eastAsia="仿宋_GB2312"/>
          <w:b/>
          <w:bCs/>
          <w:color w:val="auto"/>
          <w:sz w:val="24"/>
          <w:highlight w:val="none"/>
        </w:rPr>
      </w:pPr>
    </w:p>
    <w:p w14:paraId="1FE6FA96">
      <w:pPr>
        <w:pStyle w:val="41"/>
        <w:ind w:left="0" w:leftChars="0"/>
        <w:rPr>
          <w:rFonts w:ascii="仿宋_GB2312" w:hAnsi="宋体" w:eastAsia="仿宋_GB2312"/>
          <w:b/>
          <w:bCs/>
          <w:color w:val="auto"/>
          <w:sz w:val="24"/>
          <w:highlight w:val="none"/>
        </w:rPr>
      </w:pPr>
    </w:p>
    <w:p w14:paraId="5DB01169">
      <w:pPr>
        <w:pStyle w:val="41"/>
        <w:ind w:left="0" w:leftChars="0"/>
        <w:rPr>
          <w:rFonts w:ascii="仿宋_GB2312" w:hAnsi="宋体" w:eastAsia="仿宋_GB2312"/>
          <w:b/>
          <w:bCs/>
          <w:color w:val="auto"/>
          <w:sz w:val="24"/>
          <w:highlight w:val="none"/>
        </w:rPr>
      </w:pPr>
    </w:p>
    <w:p w14:paraId="7C18715D">
      <w:pPr>
        <w:pStyle w:val="41"/>
        <w:ind w:left="0" w:leftChars="0"/>
        <w:rPr>
          <w:rFonts w:ascii="仿宋_GB2312" w:hAnsi="宋体" w:eastAsia="仿宋_GB2312"/>
          <w:b/>
          <w:bCs/>
          <w:color w:val="auto"/>
          <w:sz w:val="24"/>
          <w:highlight w:val="none"/>
        </w:rPr>
      </w:pPr>
    </w:p>
    <w:p w14:paraId="564B4D26">
      <w:pPr>
        <w:pStyle w:val="41"/>
        <w:ind w:left="0" w:leftChars="0"/>
        <w:rPr>
          <w:rFonts w:ascii="仿宋_GB2312" w:hAnsi="宋体" w:eastAsia="仿宋_GB2312"/>
          <w:b/>
          <w:bCs/>
          <w:color w:val="auto"/>
          <w:sz w:val="24"/>
          <w:highlight w:val="none"/>
        </w:rPr>
      </w:pPr>
    </w:p>
    <w:p w14:paraId="2A1B0B4A">
      <w:pPr>
        <w:pStyle w:val="41"/>
        <w:ind w:left="0" w:leftChars="0"/>
        <w:rPr>
          <w:rFonts w:ascii="仿宋_GB2312" w:hAnsi="宋体" w:eastAsia="仿宋_GB2312"/>
          <w:b/>
          <w:bCs/>
          <w:color w:val="auto"/>
          <w:sz w:val="24"/>
          <w:highlight w:val="none"/>
        </w:rPr>
      </w:pPr>
    </w:p>
    <w:p w14:paraId="3EB801C4">
      <w:pPr>
        <w:pStyle w:val="41"/>
        <w:ind w:left="0" w:leftChars="0"/>
        <w:rPr>
          <w:rFonts w:ascii="仿宋_GB2312" w:hAnsi="宋体" w:eastAsia="仿宋_GB2312"/>
          <w:b/>
          <w:bCs/>
          <w:color w:val="auto"/>
          <w:sz w:val="24"/>
          <w:highlight w:val="none"/>
        </w:rPr>
      </w:pPr>
    </w:p>
    <w:p w14:paraId="35BEAAD4">
      <w:pPr>
        <w:pStyle w:val="41"/>
        <w:ind w:left="0" w:leftChars="0"/>
        <w:rPr>
          <w:rFonts w:ascii="仿宋_GB2312" w:hAnsi="宋体" w:eastAsia="仿宋_GB2312"/>
          <w:b/>
          <w:bCs/>
          <w:color w:val="auto"/>
          <w:sz w:val="24"/>
          <w:highlight w:val="none"/>
        </w:rPr>
      </w:pPr>
    </w:p>
    <w:p w14:paraId="2DA5F961">
      <w:pPr>
        <w:tabs>
          <w:tab w:val="left" w:pos="3870"/>
          <w:tab w:val="left" w:pos="4085"/>
        </w:tabs>
        <w:snapToGrid w:val="0"/>
        <w:spacing w:line="400" w:lineRule="exact"/>
        <w:jc w:val="left"/>
        <w:rPr>
          <w:rFonts w:ascii="仿宋_GB2312" w:eastAsia="仿宋_GB2312"/>
          <w:color w:val="auto"/>
          <w:sz w:val="24"/>
          <w:highlight w:val="none"/>
        </w:rPr>
      </w:pPr>
      <w:r>
        <w:rPr>
          <w:rFonts w:hint="eastAsia" w:ascii="仿宋_GB2312" w:eastAsia="仿宋_GB2312"/>
          <w:color w:val="auto"/>
          <w:sz w:val="24"/>
          <w:highlight w:val="none"/>
        </w:rPr>
        <w:t>（4）供应商有效主体资格证明（如营业执照、事业单位法人证书、执业许可证、自然人身份证等）（</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w:t>
      </w:r>
    </w:p>
    <w:p w14:paraId="50FB2DD3">
      <w:pPr>
        <w:jc w:val="left"/>
        <w:rPr>
          <w:rFonts w:hint="eastAsia" w:ascii="仿宋_GB2312" w:eastAsia="仿宋_GB2312"/>
          <w:b/>
          <w:bCs/>
          <w:color w:val="auto"/>
          <w:sz w:val="24"/>
          <w:highlight w:val="none"/>
        </w:rPr>
      </w:pPr>
    </w:p>
    <w:p w14:paraId="10E70294">
      <w:pPr>
        <w:jc w:val="left"/>
        <w:rPr>
          <w:rFonts w:ascii="仿宋_GB2312" w:eastAsia="仿宋_GB2312"/>
          <w:b/>
          <w:bCs/>
          <w:color w:val="auto"/>
          <w:sz w:val="24"/>
          <w:highlight w:val="none"/>
        </w:rPr>
      </w:pPr>
      <w:r>
        <w:rPr>
          <w:rFonts w:hint="eastAsia" w:ascii="仿宋_GB2312" w:eastAsia="仿宋_GB2312"/>
          <w:b/>
          <w:bCs/>
          <w:color w:val="auto"/>
          <w:sz w:val="24"/>
          <w:highlight w:val="none"/>
        </w:rPr>
        <w:t>注：第（</w:t>
      </w:r>
      <w:r>
        <w:rPr>
          <w:rFonts w:ascii="仿宋_GB2312" w:eastAsia="仿宋_GB2312"/>
          <w:b/>
          <w:bCs/>
          <w:color w:val="auto"/>
          <w:sz w:val="24"/>
          <w:highlight w:val="none"/>
        </w:rPr>
        <w:t>4</w:t>
      </w:r>
      <w:r>
        <w:rPr>
          <w:rFonts w:hint="eastAsia" w:ascii="仿宋_GB2312" w:eastAsia="仿宋_GB2312"/>
          <w:b/>
          <w:bCs/>
          <w:color w:val="auto"/>
          <w:sz w:val="24"/>
          <w:highlight w:val="none"/>
        </w:rPr>
        <w:t>）项必须提供且为PDF格式，并加盖供应商CA电子签章。</w:t>
      </w:r>
    </w:p>
    <w:p w14:paraId="5BD6E4CC">
      <w:pPr>
        <w:jc w:val="left"/>
        <w:rPr>
          <w:rFonts w:ascii="仿宋_GB2312" w:eastAsia="仿宋_GB2312"/>
          <w:b/>
          <w:bCs/>
          <w:color w:val="auto"/>
          <w:sz w:val="24"/>
          <w:highlight w:val="none"/>
        </w:rPr>
      </w:pPr>
    </w:p>
    <w:p w14:paraId="63A2DBB1">
      <w:pPr>
        <w:jc w:val="left"/>
        <w:rPr>
          <w:rFonts w:ascii="仿宋_GB2312" w:eastAsia="仿宋_GB2312"/>
          <w:b/>
          <w:bCs/>
          <w:color w:val="auto"/>
          <w:sz w:val="24"/>
          <w:highlight w:val="none"/>
        </w:rPr>
      </w:pPr>
    </w:p>
    <w:p w14:paraId="33BDFD7F">
      <w:pPr>
        <w:pStyle w:val="41"/>
        <w:ind w:left="0" w:leftChars="0"/>
        <w:rPr>
          <w:rFonts w:ascii="仿宋_GB2312" w:hAnsi="宋体" w:eastAsia="仿宋_GB2312"/>
          <w:b/>
          <w:bCs/>
          <w:color w:val="auto"/>
          <w:sz w:val="24"/>
          <w:highlight w:val="none"/>
        </w:rPr>
      </w:pPr>
    </w:p>
    <w:p w14:paraId="4F20085B">
      <w:pPr>
        <w:pStyle w:val="41"/>
        <w:ind w:left="0" w:leftChars="0"/>
        <w:rPr>
          <w:rFonts w:ascii="仿宋_GB2312" w:hAnsi="宋体" w:eastAsia="仿宋_GB2312"/>
          <w:b/>
          <w:bCs/>
          <w:color w:val="auto"/>
          <w:sz w:val="24"/>
          <w:highlight w:val="none"/>
        </w:rPr>
      </w:pPr>
    </w:p>
    <w:p w14:paraId="5342094B">
      <w:pPr>
        <w:pStyle w:val="41"/>
        <w:ind w:left="0" w:leftChars="0"/>
        <w:rPr>
          <w:rFonts w:ascii="仿宋_GB2312" w:hAnsi="宋体" w:eastAsia="仿宋_GB2312"/>
          <w:b/>
          <w:bCs/>
          <w:color w:val="auto"/>
          <w:sz w:val="24"/>
          <w:highlight w:val="none"/>
        </w:rPr>
      </w:pPr>
    </w:p>
    <w:p w14:paraId="4A7CFDAF">
      <w:pPr>
        <w:pStyle w:val="41"/>
        <w:ind w:left="0" w:leftChars="0"/>
        <w:rPr>
          <w:rFonts w:ascii="仿宋_GB2312" w:hAnsi="宋体" w:eastAsia="仿宋_GB2312"/>
          <w:b/>
          <w:bCs/>
          <w:color w:val="auto"/>
          <w:sz w:val="24"/>
          <w:highlight w:val="none"/>
        </w:rPr>
      </w:pPr>
    </w:p>
    <w:p w14:paraId="021E4D8A">
      <w:pPr>
        <w:pStyle w:val="41"/>
        <w:ind w:left="0" w:leftChars="0"/>
        <w:rPr>
          <w:rFonts w:ascii="仿宋_GB2312" w:hAnsi="宋体" w:eastAsia="仿宋_GB2312"/>
          <w:b/>
          <w:bCs/>
          <w:color w:val="auto"/>
          <w:sz w:val="24"/>
          <w:highlight w:val="none"/>
        </w:rPr>
      </w:pPr>
    </w:p>
    <w:p w14:paraId="2D31B814">
      <w:pPr>
        <w:pStyle w:val="41"/>
        <w:ind w:left="0" w:leftChars="0"/>
        <w:rPr>
          <w:rFonts w:ascii="仿宋_GB2312" w:hAnsi="宋体" w:eastAsia="仿宋_GB2312"/>
          <w:b/>
          <w:bCs/>
          <w:color w:val="auto"/>
          <w:sz w:val="24"/>
          <w:highlight w:val="none"/>
        </w:rPr>
      </w:pPr>
    </w:p>
    <w:p w14:paraId="476A25E2">
      <w:pPr>
        <w:pStyle w:val="41"/>
        <w:ind w:left="0" w:leftChars="0"/>
        <w:rPr>
          <w:rFonts w:ascii="仿宋_GB2312" w:hAnsi="宋体" w:eastAsia="仿宋_GB2312"/>
          <w:b/>
          <w:bCs/>
          <w:color w:val="auto"/>
          <w:sz w:val="24"/>
          <w:highlight w:val="none"/>
        </w:rPr>
      </w:pPr>
    </w:p>
    <w:p w14:paraId="0CAEB40F">
      <w:pPr>
        <w:pStyle w:val="41"/>
        <w:ind w:left="0" w:leftChars="0"/>
        <w:rPr>
          <w:rFonts w:ascii="仿宋_GB2312" w:hAnsi="宋体" w:eastAsia="仿宋_GB2312"/>
          <w:b/>
          <w:bCs/>
          <w:color w:val="auto"/>
          <w:sz w:val="24"/>
          <w:highlight w:val="none"/>
        </w:rPr>
      </w:pPr>
    </w:p>
    <w:p w14:paraId="4197B45F">
      <w:pPr>
        <w:pStyle w:val="41"/>
        <w:ind w:left="0" w:leftChars="0"/>
        <w:rPr>
          <w:rFonts w:ascii="仿宋_GB2312" w:hAnsi="宋体" w:eastAsia="仿宋_GB2312"/>
          <w:b/>
          <w:bCs/>
          <w:color w:val="auto"/>
          <w:sz w:val="24"/>
          <w:highlight w:val="none"/>
        </w:rPr>
      </w:pPr>
    </w:p>
    <w:p w14:paraId="574417FB">
      <w:pPr>
        <w:pStyle w:val="41"/>
        <w:ind w:left="0" w:leftChars="0"/>
        <w:rPr>
          <w:rFonts w:ascii="仿宋_GB2312" w:hAnsi="宋体" w:eastAsia="仿宋_GB2312"/>
          <w:b/>
          <w:bCs/>
          <w:color w:val="auto"/>
          <w:sz w:val="24"/>
          <w:highlight w:val="none"/>
        </w:rPr>
      </w:pPr>
    </w:p>
    <w:p w14:paraId="0161F769">
      <w:pPr>
        <w:pStyle w:val="41"/>
        <w:ind w:left="0" w:leftChars="0"/>
        <w:rPr>
          <w:rFonts w:ascii="仿宋_GB2312" w:hAnsi="宋体" w:eastAsia="仿宋_GB2312"/>
          <w:b/>
          <w:bCs/>
          <w:color w:val="auto"/>
          <w:sz w:val="24"/>
          <w:highlight w:val="none"/>
        </w:rPr>
      </w:pPr>
    </w:p>
    <w:p w14:paraId="424D212C">
      <w:pPr>
        <w:pStyle w:val="41"/>
        <w:ind w:left="0" w:leftChars="0"/>
        <w:rPr>
          <w:rFonts w:ascii="仿宋_GB2312" w:hAnsi="宋体" w:eastAsia="仿宋_GB2312"/>
          <w:b/>
          <w:bCs/>
          <w:color w:val="auto"/>
          <w:sz w:val="24"/>
          <w:highlight w:val="none"/>
        </w:rPr>
      </w:pPr>
    </w:p>
    <w:p w14:paraId="307A2AA1">
      <w:pPr>
        <w:pStyle w:val="41"/>
        <w:ind w:left="0" w:leftChars="0"/>
        <w:rPr>
          <w:rFonts w:ascii="仿宋_GB2312" w:hAnsi="宋体" w:eastAsia="仿宋_GB2312"/>
          <w:b/>
          <w:bCs/>
          <w:color w:val="auto"/>
          <w:sz w:val="24"/>
          <w:highlight w:val="none"/>
        </w:rPr>
      </w:pPr>
    </w:p>
    <w:p w14:paraId="6C599E6E">
      <w:pPr>
        <w:pStyle w:val="41"/>
        <w:ind w:left="0" w:leftChars="0"/>
        <w:rPr>
          <w:rFonts w:ascii="仿宋_GB2312" w:hAnsi="宋体" w:eastAsia="仿宋_GB2312"/>
          <w:b/>
          <w:bCs/>
          <w:color w:val="auto"/>
          <w:sz w:val="24"/>
          <w:highlight w:val="none"/>
        </w:rPr>
      </w:pPr>
    </w:p>
    <w:p w14:paraId="1C2A3FD5">
      <w:pPr>
        <w:pStyle w:val="41"/>
        <w:ind w:left="0" w:leftChars="0"/>
        <w:rPr>
          <w:rFonts w:ascii="仿宋_GB2312" w:hAnsi="宋体" w:eastAsia="仿宋_GB2312"/>
          <w:b/>
          <w:bCs/>
          <w:color w:val="auto"/>
          <w:sz w:val="24"/>
          <w:highlight w:val="none"/>
        </w:rPr>
      </w:pPr>
    </w:p>
    <w:p w14:paraId="23429E6C">
      <w:pPr>
        <w:pStyle w:val="41"/>
        <w:ind w:left="0" w:leftChars="0"/>
        <w:rPr>
          <w:rFonts w:ascii="仿宋_GB2312" w:hAnsi="宋体" w:eastAsia="仿宋_GB2312"/>
          <w:b/>
          <w:bCs/>
          <w:color w:val="auto"/>
          <w:sz w:val="24"/>
          <w:highlight w:val="none"/>
        </w:rPr>
      </w:pPr>
    </w:p>
    <w:p w14:paraId="1A245B6A">
      <w:pPr>
        <w:pStyle w:val="41"/>
        <w:ind w:left="0" w:leftChars="0"/>
        <w:rPr>
          <w:rFonts w:ascii="仿宋_GB2312" w:hAnsi="宋体" w:eastAsia="仿宋_GB2312"/>
          <w:b/>
          <w:bCs/>
          <w:color w:val="auto"/>
          <w:sz w:val="24"/>
          <w:highlight w:val="none"/>
        </w:rPr>
      </w:pPr>
    </w:p>
    <w:p w14:paraId="70B28CFE">
      <w:pPr>
        <w:pStyle w:val="41"/>
        <w:ind w:left="0" w:leftChars="0"/>
        <w:rPr>
          <w:rFonts w:ascii="仿宋_GB2312" w:hAnsi="宋体" w:eastAsia="仿宋_GB2312"/>
          <w:b/>
          <w:bCs/>
          <w:color w:val="auto"/>
          <w:sz w:val="24"/>
          <w:highlight w:val="none"/>
        </w:rPr>
      </w:pPr>
    </w:p>
    <w:p w14:paraId="6905DCC1">
      <w:pPr>
        <w:pStyle w:val="41"/>
        <w:ind w:left="0" w:leftChars="0"/>
        <w:rPr>
          <w:rFonts w:ascii="仿宋_GB2312" w:hAnsi="宋体" w:eastAsia="仿宋_GB2312"/>
          <w:b/>
          <w:bCs/>
          <w:color w:val="auto"/>
          <w:sz w:val="24"/>
          <w:highlight w:val="none"/>
        </w:rPr>
      </w:pPr>
    </w:p>
    <w:p w14:paraId="1F491DF1">
      <w:pPr>
        <w:pStyle w:val="41"/>
        <w:ind w:left="0" w:leftChars="0"/>
        <w:rPr>
          <w:rFonts w:ascii="仿宋_GB2312" w:hAnsi="宋体" w:eastAsia="仿宋_GB2312"/>
          <w:b/>
          <w:bCs/>
          <w:color w:val="auto"/>
          <w:sz w:val="24"/>
          <w:highlight w:val="none"/>
        </w:rPr>
      </w:pPr>
    </w:p>
    <w:p w14:paraId="47E01A8C">
      <w:pPr>
        <w:pStyle w:val="41"/>
        <w:ind w:left="0" w:leftChars="0"/>
        <w:rPr>
          <w:rFonts w:ascii="仿宋_GB2312" w:hAnsi="宋体" w:eastAsia="仿宋_GB2312"/>
          <w:b/>
          <w:bCs/>
          <w:color w:val="auto"/>
          <w:sz w:val="24"/>
          <w:highlight w:val="none"/>
        </w:rPr>
      </w:pPr>
    </w:p>
    <w:p w14:paraId="42D1CE65">
      <w:pPr>
        <w:pStyle w:val="41"/>
        <w:ind w:left="0" w:leftChars="0"/>
        <w:rPr>
          <w:rFonts w:ascii="仿宋_GB2312" w:hAnsi="宋体" w:eastAsia="仿宋_GB2312"/>
          <w:b/>
          <w:bCs/>
          <w:color w:val="auto"/>
          <w:sz w:val="24"/>
          <w:highlight w:val="none"/>
        </w:rPr>
      </w:pPr>
    </w:p>
    <w:p w14:paraId="55A2D950">
      <w:pPr>
        <w:pStyle w:val="41"/>
        <w:ind w:left="0" w:leftChars="0"/>
        <w:rPr>
          <w:rFonts w:ascii="仿宋_GB2312" w:hAnsi="宋体" w:eastAsia="仿宋_GB2312"/>
          <w:b/>
          <w:bCs/>
          <w:color w:val="auto"/>
          <w:sz w:val="24"/>
          <w:highlight w:val="none"/>
        </w:rPr>
      </w:pPr>
    </w:p>
    <w:p w14:paraId="4E6F779E">
      <w:pPr>
        <w:snapToGrid w:val="0"/>
        <w:spacing w:line="460" w:lineRule="exact"/>
        <w:jc w:val="left"/>
        <w:rPr>
          <w:rFonts w:hint="eastAsia" w:ascii="仿宋_GB2312" w:eastAsia="仿宋_GB2312"/>
          <w:b/>
          <w:bCs/>
          <w:color w:val="auto"/>
          <w:sz w:val="24"/>
          <w:highlight w:val="none"/>
        </w:rPr>
      </w:pPr>
    </w:p>
    <w:p w14:paraId="01FA76A5">
      <w:pPr>
        <w:rPr>
          <w:rFonts w:hint="eastAsia" w:ascii="仿宋_GB2312" w:eastAsia="仿宋_GB2312"/>
          <w:b/>
          <w:bCs/>
          <w:color w:val="auto"/>
          <w:sz w:val="24"/>
          <w:highlight w:val="none"/>
        </w:rPr>
      </w:pPr>
      <w:r>
        <w:rPr>
          <w:rFonts w:hint="eastAsia" w:ascii="仿宋_GB2312" w:eastAsia="仿宋_GB2312"/>
          <w:b/>
          <w:bCs/>
          <w:color w:val="auto"/>
          <w:sz w:val="24"/>
          <w:highlight w:val="none"/>
        </w:rPr>
        <w:br w:type="page"/>
      </w:r>
    </w:p>
    <w:p w14:paraId="3286F71A">
      <w:pPr>
        <w:snapToGrid w:val="0"/>
        <w:spacing w:before="157" w:beforeLines="50" w:after="50" w:line="320" w:lineRule="exact"/>
        <w:rPr>
          <w:rFonts w:ascii="仿宋_GB2312" w:eastAsia="仿宋_GB2312"/>
          <w:color w:val="auto"/>
          <w:sz w:val="32"/>
          <w:szCs w:val="32"/>
          <w:highlight w:val="none"/>
        </w:rPr>
      </w:pPr>
      <w:r>
        <w:rPr>
          <w:rFonts w:hint="eastAsia" w:ascii="仿宋_GB2312" w:eastAsia="仿宋_GB2312"/>
          <w:b/>
          <w:color w:val="auto"/>
          <w:sz w:val="24"/>
          <w:highlight w:val="none"/>
        </w:rPr>
        <w:t>（</w:t>
      </w:r>
      <w:r>
        <w:rPr>
          <w:rFonts w:hint="eastAsia" w:ascii="仿宋_GB2312" w:eastAsia="仿宋_GB2312"/>
          <w:b/>
          <w:color w:val="auto"/>
          <w:sz w:val="24"/>
          <w:highlight w:val="none"/>
          <w:lang w:val="en-US" w:eastAsia="zh-CN"/>
        </w:rPr>
        <w:t>5</w:t>
      </w:r>
      <w:r>
        <w:rPr>
          <w:rFonts w:hint="eastAsia" w:ascii="仿宋_GB2312" w:eastAsia="仿宋_GB2312"/>
          <w:b/>
          <w:color w:val="auto"/>
          <w:sz w:val="24"/>
          <w:highlight w:val="none"/>
        </w:rPr>
        <w:t>）</w:t>
      </w:r>
      <w:r>
        <w:rPr>
          <w:rFonts w:hint="eastAsia" w:ascii="仿宋_GB2312" w:hAnsi="Times New Roman" w:eastAsia="仿宋_GB2312" w:cs="Times New Roman"/>
          <w:b/>
          <w:color w:val="auto"/>
          <w:kern w:val="2"/>
          <w:sz w:val="24"/>
          <w:szCs w:val="16"/>
          <w:highlight w:val="none"/>
          <w:lang w:val="en-US" w:eastAsia="zh-CN" w:bidi="ar-SA"/>
        </w:rPr>
        <w:t>本项目属于专门面向</w:t>
      </w:r>
      <w:r>
        <w:rPr>
          <w:rFonts w:hint="eastAsia" w:ascii="仿宋_GB2312" w:eastAsia="仿宋_GB2312" w:cs="Times New Roman"/>
          <w:b/>
          <w:color w:val="auto"/>
          <w:kern w:val="2"/>
          <w:sz w:val="24"/>
          <w:szCs w:val="16"/>
          <w:highlight w:val="none"/>
          <w:lang w:val="en-US" w:eastAsia="zh-CN" w:bidi="ar-SA"/>
        </w:rPr>
        <w:t>小微</w:t>
      </w:r>
      <w:r>
        <w:rPr>
          <w:rFonts w:hint="eastAsia" w:ascii="仿宋_GB2312" w:hAnsi="Times New Roman" w:eastAsia="仿宋_GB2312" w:cs="Times New Roman"/>
          <w:b/>
          <w:color w:val="auto"/>
          <w:kern w:val="2"/>
          <w:sz w:val="24"/>
          <w:szCs w:val="16"/>
          <w:highlight w:val="none"/>
          <w:lang w:val="en-US" w:eastAsia="zh-CN" w:bidi="ar-SA"/>
        </w:rPr>
        <w:t>企业采购的项目，供应商必须提供以下中小企业证明材料之一</w:t>
      </w:r>
      <w:r>
        <w:rPr>
          <w:rFonts w:hint="eastAsia" w:ascii="仿宋_GB2312" w:eastAsia="仿宋_GB2312"/>
          <w:b/>
          <w:color w:val="auto"/>
          <w:sz w:val="24"/>
          <w:highlight w:val="none"/>
        </w:rPr>
        <w:t>：</w:t>
      </w:r>
    </w:p>
    <w:p w14:paraId="337590AF">
      <w:pPr>
        <w:jc w:val="left"/>
        <w:rPr>
          <w:rFonts w:hint="eastAsia" w:ascii="仿宋_GB2312" w:hAnsi="Times New Roman" w:eastAsia="仿宋_GB2312" w:cs="Times New Roman"/>
          <w:b/>
          <w:color w:val="auto"/>
          <w:kern w:val="2"/>
          <w:sz w:val="24"/>
          <w:szCs w:val="16"/>
          <w:highlight w:val="none"/>
          <w:lang w:val="en-US" w:eastAsia="zh-CN" w:bidi="ar-SA"/>
        </w:rPr>
      </w:pPr>
      <w:r>
        <w:rPr>
          <w:rFonts w:hint="eastAsia" w:ascii="仿宋_GB2312" w:hAnsi="Times New Roman" w:eastAsia="仿宋_GB2312" w:cs="Times New Roman"/>
          <w:b/>
          <w:color w:val="auto"/>
          <w:kern w:val="2"/>
          <w:sz w:val="24"/>
          <w:szCs w:val="16"/>
          <w:highlight w:val="none"/>
          <w:lang w:val="en-US" w:eastAsia="zh-CN" w:bidi="ar-SA"/>
        </w:rPr>
        <w:t>①中小企业声明函格式（工程由</w:t>
      </w:r>
      <w:r>
        <w:rPr>
          <w:rFonts w:hint="eastAsia" w:ascii="仿宋_GB2312" w:eastAsia="仿宋_GB2312" w:cs="Times New Roman"/>
          <w:b/>
          <w:color w:val="auto"/>
          <w:kern w:val="2"/>
          <w:sz w:val="24"/>
          <w:szCs w:val="16"/>
          <w:highlight w:val="none"/>
          <w:lang w:val="en-US" w:eastAsia="zh-CN" w:bidi="ar-SA"/>
        </w:rPr>
        <w:t>小微</w:t>
      </w:r>
      <w:r>
        <w:rPr>
          <w:rFonts w:hint="eastAsia" w:ascii="仿宋_GB2312" w:hAnsi="Times New Roman" w:eastAsia="仿宋_GB2312" w:cs="Times New Roman"/>
          <w:b/>
          <w:color w:val="auto"/>
          <w:kern w:val="2"/>
          <w:sz w:val="24"/>
          <w:szCs w:val="16"/>
          <w:highlight w:val="none"/>
          <w:lang w:val="en-US" w:eastAsia="zh-CN" w:bidi="ar-SA"/>
        </w:rPr>
        <w:t>企业承建的必须提供）：</w:t>
      </w:r>
    </w:p>
    <w:p w14:paraId="76E17788">
      <w:pPr>
        <w:widowControl/>
        <w:snapToGrid w:val="0"/>
        <w:spacing w:before="50" w:after="50" w:line="400" w:lineRule="exact"/>
        <w:jc w:val="center"/>
        <w:rPr>
          <w:rFonts w:hint="eastAsia" w:ascii="仿宋_GB2312" w:eastAsia="仿宋_GB2312"/>
          <w:b/>
          <w:bCs/>
          <w:color w:val="auto"/>
          <w:sz w:val="32"/>
          <w:szCs w:val="32"/>
          <w:highlight w:val="none"/>
          <w:lang w:bidi="ar"/>
        </w:rPr>
      </w:pPr>
    </w:p>
    <w:p w14:paraId="4DB44FB7">
      <w:pPr>
        <w:widowControl/>
        <w:snapToGrid w:val="0"/>
        <w:spacing w:before="50" w:after="50" w:line="400" w:lineRule="exact"/>
        <w:jc w:val="center"/>
        <w:rPr>
          <w:rFonts w:ascii="仿宋_GB2312" w:hAnsi="仿宋_GB2312" w:eastAsia="仿宋_GB2312" w:cs="仿宋_GB2312"/>
          <w:b/>
          <w:bCs/>
          <w:color w:val="auto"/>
          <w:sz w:val="24"/>
          <w:highlight w:val="none"/>
          <w:lang w:bidi="ar"/>
        </w:rPr>
      </w:pPr>
      <w:r>
        <w:rPr>
          <w:rFonts w:hint="eastAsia" w:ascii="仿宋_GB2312" w:eastAsia="仿宋_GB2312"/>
          <w:b/>
          <w:bCs/>
          <w:color w:val="auto"/>
          <w:sz w:val="32"/>
          <w:szCs w:val="32"/>
          <w:highlight w:val="none"/>
          <w:lang w:bidi="ar"/>
        </w:rPr>
        <w:t>中小企业声明函（</w:t>
      </w:r>
      <w:r>
        <w:rPr>
          <w:rFonts w:hint="eastAsia" w:ascii="仿宋_GB2312" w:eastAsia="仿宋_GB2312"/>
          <w:b/>
          <w:bCs/>
          <w:color w:val="auto"/>
          <w:sz w:val="32"/>
          <w:szCs w:val="32"/>
          <w:highlight w:val="none"/>
          <w:lang w:val="en-US" w:eastAsia="zh-CN" w:bidi="ar"/>
        </w:rPr>
        <w:t>工程</w:t>
      </w:r>
      <w:r>
        <w:rPr>
          <w:rFonts w:hint="eastAsia" w:ascii="仿宋_GB2312" w:eastAsia="仿宋_GB2312"/>
          <w:b/>
          <w:bCs/>
          <w:color w:val="auto"/>
          <w:sz w:val="32"/>
          <w:szCs w:val="32"/>
          <w:highlight w:val="none"/>
          <w:lang w:bidi="ar"/>
        </w:rPr>
        <w:t>）</w:t>
      </w:r>
    </w:p>
    <w:p w14:paraId="6CBECD37">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本公司（联合体）郑重声明，根据《政府采购促进中小企业发展管理办法》（财库</w:t>
      </w:r>
      <w:r>
        <w:rPr>
          <w:rFonts w:hint="eastAsia" w:ascii="微软雅黑" w:hAnsi="微软雅黑" w:eastAsia="微软雅黑" w:cs="微软雅黑"/>
          <w:color w:val="auto"/>
          <w:kern w:val="0"/>
          <w:sz w:val="24"/>
          <w:highlight w:val="none"/>
          <w:lang w:bidi="ar"/>
        </w:rPr>
        <w:t>﹝</w:t>
      </w:r>
      <w:r>
        <w:rPr>
          <w:rFonts w:hint="eastAsia" w:ascii="仿宋_GB2312" w:hAnsi="仿宋_GB2312" w:eastAsia="仿宋_GB2312" w:cs="仿宋_GB2312"/>
          <w:color w:val="auto"/>
          <w:kern w:val="0"/>
          <w:sz w:val="24"/>
          <w:highlight w:val="none"/>
          <w:lang w:bidi="ar"/>
        </w:rPr>
        <w:t>2020</w:t>
      </w:r>
      <w:r>
        <w:rPr>
          <w:rFonts w:hint="eastAsia" w:ascii="微软雅黑" w:hAnsi="微软雅黑" w:eastAsia="微软雅黑" w:cs="微软雅黑"/>
          <w:color w:val="auto"/>
          <w:kern w:val="0"/>
          <w:sz w:val="24"/>
          <w:highlight w:val="none"/>
          <w:lang w:bidi="ar"/>
        </w:rPr>
        <w:t>﹞</w:t>
      </w:r>
      <w:r>
        <w:rPr>
          <w:rFonts w:hint="eastAsia" w:ascii="仿宋_GB2312" w:hAnsi="仿宋_GB2312" w:eastAsia="仿宋_GB2312" w:cs="仿宋_GB2312"/>
          <w:color w:val="auto"/>
          <w:kern w:val="0"/>
          <w:sz w:val="24"/>
          <w:highlight w:val="none"/>
          <w:lang w:bidi="ar"/>
        </w:rPr>
        <w:t>46号）的规定，本公司（联合体）参加</w:t>
      </w:r>
      <w:r>
        <w:rPr>
          <w:rFonts w:hint="eastAsia" w:ascii="仿宋_GB2312" w:hAnsi="仿宋_GB2312" w:eastAsia="仿宋_GB2312" w:cs="仿宋_GB2312"/>
          <w:color w:val="auto"/>
          <w:kern w:val="0"/>
          <w:sz w:val="24"/>
          <w:highlight w:val="none"/>
          <w:u w:val="single"/>
          <w:lang w:val="en-US" w:eastAsia="zh-CN" w:bidi="ar"/>
        </w:rPr>
        <w:t xml:space="preserve">     （单位名称）     </w:t>
      </w:r>
      <w:r>
        <w:rPr>
          <w:rFonts w:hint="eastAsia" w:ascii="仿宋_GB2312" w:hAnsi="仿宋_GB2312" w:eastAsia="仿宋_GB2312" w:cs="仿宋_GB2312"/>
          <w:iCs/>
          <w:color w:val="auto"/>
          <w:kern w:val="0"/>
          <w:sz w:val="24"/>
          <w:highlight w:val="none"/>
          <w:lang w:bidi="ar"/>
        </w:rPr>
        <w:t>的</w:t>
      </w:r>
      <w:r>
        <w:rPr>
          <w:rFonts w:hint="eastAsia" w:ascii="仿宋_GB2312" w:hAnsi="仿宋_GB2312" w:eastAsia="仿宋_GB2312" w:cs="仿宋_GB2312"/>
          <w:color w:val="auto"/>
          <w:kern w:val="0"/>
          <w:sz w:val="24"/>
          <w:highlight w:val="none"/>
          <w:u w:val="single"/>
          <w:lang w:val="en-US" w:eastAsia="zh-CN" w:bidi="ar"/>
        </w:rPr>
        <w:t xml:space="preserve">  （项目名称）     </w:t>
      </w:r>
      <w:r>
        <w:rPr>
          <w:rFonts w:hint="eastAsia" w:ascii="仿宋_GB2312" w:hAnsi="仿宋_GB2312" w:eastAsia="仿宋_GB2312" w:cs="仿宋_GB2312"/>
          <w:color w:val="auto"/>
          <w:kern w:val="0"/>
          <w:sz w:val="24"/>
          <w:highlight w:val="none"/>
          <w:lang w:bidi="ar"/>
        </w:rPr>
        <w:t>采购活动，</w:t>
      </w:r>
      <w:r>
        <w:rPr>
          <w:rFonts w:hint="eastAsia" w:ascii="仿宋_GB2312" w:hAnsi="仿宋_GB2312" w:eastAsia="仿宋_GB2312" w:cs="仿宋_GB2312"/>
          <w:color w:val="auto"/>
          <w:kern w:val="0"/>
          <w:sz w:val="24"/>
          <w:highlight w:val="none"/>
          <w:lang w:val="en-US" w:eastAsia="zh-CN" w:bidi="ar"/>
        </w:rPr>
        <w:t>工程的施工单位</w:t>
      </w:r>
      <w:r>
        <w:rPr>
          <w:rFonts w:hint="eastAsia" w:ascii="仿宋_GB2312" w:hAnsi="仿宋_GB2312" w:eastAsia="仿宋_GB2312" w:cs="仿宋_GB2312"/>
          <w:color w:val="auto"/>
          <w:kern w:val="0"/>
          <w:sz w:val="24"/>
          <w:highlight w:val="none"/>
          <w:lang w:bidi="ar"/>
        </w:rPr>
        <w:t xml:space="preserve">全部由符合政策要求的中小企业。相关企业（含联合体中的中小企业、签订分包意向协议的中小企业）的具体情况如下： </w:t>
      </w:r>
    </w:p>
    <w:p w14:paraId="60EF365C">
      <w:pPr>
        <w:widowControl/>
        <w:spacing w:line="360" w:lineRule="auto"/>
        <w:ind w:firstLine="480" w:firstLineChars="200"/>
        <w:jc w:val="left"/>
        <w:rPr>
          <w:rFonts w:ascii="仿宋_GB2312" w:hAnsi="仿宋_GB2312" w:eastAsia="仿宋_GB2312" w:cs="仿宋_GB2312"/>
          <w:i w:val="0"/>
          <w:iCs w:val="0"/>
          <w:color w:val="auto"/>
          <w:sz w:val="24"/>
          <w:highlight w:val="none"/>
        </w:rPr>
      </w:pPr>
      <w:r>
        <w:rPr>
          <w:rFonts w:ascii="仿宋_GB2312" w:hAnsi="仿宋_GB2312" w:eastAsia="仿宋_GB2312" w:cs="仿宋_GB2312"/>
          <w:i w:val="0"/>
          <w:iCs w:val="0"/>
          <w:color w:val="auto"/>
          <w:kern w:val="0"/>
          <w:sz w:val="24"/>
          <w:highlight w:val="none"/>
          <w:lang w:bidi="ar"/>
        </w:rPr>
        <w:t>1.</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bidi="ar"/>
        </w:rPr>
        <w:t xml:space="preserve">     （标的名称）</w:t>
      </w:r>
      <w:r>
        <w:rPr>
          <w:rFonts w:ascii="仿宋_GB2312" w:hAnsi="仿宋_GB2312" w:eastAsia="仿宋_GB2312" w:cs="仿宋_GB2312"/>
          <w:i w:val="0"/>
          <w:iCs w:val="0"/>
          <w:color w:val="auto"/>
          <w:kern w:val="0"/>
          <w:sz w:val="24"/>
          <w:highlight w:val="none"/>
          <w:lang w:bidi="ar"/>
        </w:rPr>
        <w:t xml:space="preserve"> </w:t>
      </w:r>
      <w:r>
        <w:rPr>
          <w:rFonts w:hint="eastAsia" w:ascii="仿宋_GB2312" w:hAnsi="仿宋_GB2312" w:eastAsia="仿宋_GB2312" w:cs="仿宋_GB2312"/>
          <w:i w:val="0"/>
          <w:iCs w:val="0"/>
          <w:color w:val="auto"/>
          <w:kern w:val="0"/>
          <w:sz w:val="24"/>
          <w:highlight w:val="none"/>
          <w:lang w:bidi="ar"/>
        </w:rPr>
        <w:t>，属于</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b/>
          <w:bCs/>
          <w:i w:val="0"/>
          <w:iCs w:val="0"/>
          <w:color w:val="auto"/>
          <w:kern w:val="0"/>
          <w:sz w:val="24"/>
          <w:highlight w:val="none"/>
          <w:u w:val="single"/>
          <w:lang w:bidi="ar"/>
        </w:rPr>
        <w:t>（填写采购文件中明确的所属行业，详见本声明函“注”第2点）</w:t>
      </w:r>
      <w:r>
        <w:rPr>
          <w:rFonts w:ascii="仿宋_GB2312" w:hAnsi="仿宋_GB2312" w:eastAsia="仿宋_GB2312" w:cs="仿宋_GB2312"/>
          <w:i w:val="0"/>
          <w:iCs w:val="0"/>
          <w:color w:val="auto"/>
          <w:kern w:val="0"/>
          <w:sz w:val="24"/>
          <w:highlight w:val="none"/>
          <w:lang w:bidi="ar"/>
        </w:rPr>
        <w:t xml:space="preserve"> </w:t>
      </w:r>
      <w:r>
        <w:rPr>
          <w:rFonts w:hint="eastAsia" w:ascii="仿宋_GB2312" w:hAnsi="仿宋_GB2312" w:eastAsia="仿宋_GB2312" w:cs="仿宋_GB2312"/>
          <w:i w:val="0"/>
          <w:iCs w:val="0"/>
          <w:color w:val="auto"/>
          <w:kern w:val="0"/>
          <w:sz w:val="24"/>
          <w:highlight w:val="none"/>
          <w:lang w:bidi="ar"/>
        </w:rPr>
        <w:t>；承</w:t>
      </w:r>
      <w:r>
        <w:rPr>
          <w:rFonts w:hint="eastAsia" w:ascii="仿宋_GB2312" w:hAnsi="仿宋_GB2312" w:eastAsia="仿宋_GB2312" w:cs="仿宋_GB2312"/>
          <w:i w:val="0"/>
          <w:iCs w:val="0"/>
          <w:color w:val="auto"/>
          <w:kern w:val="0"/>
          <w:sz w:val="24"/>
          <w:highlight w:val="none"/>
          <w:lang w:val="en-US" w:eastAsia="zh-CN" w:bidi="ar"/>
        </w:rPr>
        <w:t>建</w:t>
      </w:r>
      <w:r>
        <w:rPr>
          <w:rFonts w:hint="eastAsia" w:ascii="仿宋_GB2312" w:hAnsi="仿宋_GB2312" w:eastAsia="仿宋_GB2312" w:cs="仿宋_GB2312"/>
          <w:i w:val="0"/>
          <w:iCs w:val="0"/>
          <w:color w:val="auto"/>
          <w:kern w:val="0"/>
          <w:sz w:val="24"/>
          <w:highlight w:val="none"/>
          <w:lang w:bidi="ar"/>
        </w:rPr>
        <w:t>企业为</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bidi="ar"/>
        </w:rPr>
        <w:t xml:space="preserve">     （企业名称）</w:t>
      </w:r>
      <w:r>
        <w:rPr>
          <w:rFonts w:hint="eastAsia" w:ascii="仿宋_GB2312" w:hAnsi="仿宋_GB2312" w:eastAsia="仿宋_GB2312" w:cs="仿宋_GB2312"/>
          <w:i w:val="0"/>
          <w:iCs w:val="0"/>
          <w:color w:val="auto"/>
          <w:kern w:val="0"/>
          <w:sz w:val="24"/>
          <w:highlight w:val="none"/>
          <w:lang w:bidi="ar"/>
        </w:rPr>
        <w:t>，从业人员</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lang w:bidi="ar"/>
        </w:rPr>
        <w:t>人，营业收入为</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lang w:bidi="ar"/>
        </w:rPr>
        <w:t>万元，资产总额为</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lang w:bidi="ar"/>
        </w:rPr>
        <w:t>万元，属于</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bidi="ar"/>
        </w:rPr>
        <w:t xml:space="preserve">     （中型企业、小型企业、微型企业）</w:t>
      </w:r>
      <w:r>
        <w:rPr>
          <w:rFonts w:hint="eastAsia" w:ascii="仿宋_GB2312" w:hAnsi="仿宋_GB2312" w:eastAsia="仿宋_GB2312" w:cs="仿宋_GB2312"/>
          <w:i w:val="0"/>
          <w:iCs w:val="0"/>
          <w:color w:val="auto"/>
          <w:kern w:val="0"/>
          <w:sz w:val="24"/>
          <w:highlight w:val="none"/>
          <w:lang w:bidi="ar"/>
        </w:rPr>
        <w:t>；</w:t>
      </w:r>
      <w:r>
        <w:rPr>
          <w:rFonts w:ascii="仿宋_GB2312" w:hAnsi="仿宋_GB2312" w:eastAsia="仿宋_GB2312" w:cs="仿宋_GB2312"/>
          <w:i w:val="0"/>
          <w:iCs w:val="0"/>
          <w:color w:val="auto"/>
          <w:kern w:val="0"/>
          <w:sz w:val="24"/>
          <w:highlight w:val="none"/>
          <w:lang w:bidi="ar"/>
        </w:rPr>
        <w:t xml:space="preserve"> </w:t>
      </w:r>
    </w:p>
    <w:p w14:paraId="14522FA6">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i w:val="0"/>
          <w:iCs w:val="0"/>
          <w:color w:val="auto"/>
          <w:kern w:val="0"/>
          <w:sz w:val="24"/>
          <w:highlight w:val="none"/>
          <w:lang w:val="en-US" w:eastAsia="zh-CN" w:bidi="ar"/>
        </w:rPr>
        <w:t>2</w:t>
      </w:r>
      <w:r>
        <w:rPr>
          <w:rFonts w:ascii="仿宋_GB2312" w:hAnsi="仿宋_GB2312" w:eastAsia="仿宋_GB2312" w:cs="仿宋_GB2312"/>
          <w:i w:val="0"/>
          <w:iCs w:val="0"/>
          <w:color w:val="auto"/>
          <w:kern w:val="0"/>
          <w:sz w:val="24"/>
          <w:highlight w:val="none"/>
          <w:lang w:bidi="ar"/>
        </w:rPr>
        <w:t>.</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bidi="ar"/>
        </w:rPr>
        <w:t xml:space="preserve">     （标的名称）</w:t>
      </w:r>
      <w:r>
        <w:rPr>
          <w:rFonts w:ascii="仿宋_GB2312" w:hAnsi="仿宋_GB2312" w:eastAsia="仿宋_GB2312" w:cs="仿宋_GB2312"/>
          <w:i w:val="0"/>
          <w:iCs w:val="0"/>
          <w:color w:val="auto"/>
          <w:kern w:val="0"/>
          <w:sz w:val="24"/>
          <w:highlight w:val="none"/>
          <w:lang w:bidi="ar"/>
        </w:rPr>
        <w:t xml:space="preserve"> </w:t>
      </w:r>
      <w:r>
        <w:rPr>
          <w:rFonts w:hint="eastAsia" w:ascii="仿宋_GB2312" w:hAnsi="仿宋_GB2312" w:eastAsia="仿宋_GB2312" w:cs="仿宋_GB2312"/>
          <w:i w:val="0"/>
          <w:iCs w:val="0"/>
          <w:color w:val="auto"/>
          <w:kern w:val="0"/>
          <w:sz w:val="24"/>
          <w:highlight w:val="none"/>
          <w:lang w:bidi="ar"/>
        </w:rPr>
        <w:t>，属于</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b/>
          <w:bCs/>
          <w:i w:val="0"/>
          <w:iCs w:val="0"/>
          <w:color w:val="auto"/>
          <w:kern w:val="0"/>
          <w:sz w:val="24"/>
          <w:highlight w:val="none"/>
          <w:u w:val="single"/>
          <w:lang w:bidi="ar"/>
        </w:rPr>
        <w:t>（填写采购文件中明确的所属行业，详见本声明函“注”第2点）</w:t>
      </w:r>
      <w:r>
        <w:rPr>
          <w:rFonts w:ascii="仿宋_GB2312" w:hAnsi="仿宋_GB2312" w:eastAsia="仿宋_GB2312" w:cs="仿宋_GB2312"/>
          <w:i w:val="0"/>
          <w:iCs w:val="0"/>
          <w:color w:val="auto"/>
          <w:kern w:val="0"/>
          <w:sz w:val="24"/>
          <w:highlight w:val="none"/>
          <w:lang w:bidi="ar"/>
        </w:rPr>
        <w:t xml:space="preserve"> </w:t>
      </w:r>
      <w:r>
        <w:rPr>
          <w:rFonts w:hint="eastAsia" w:ascii="仿宋_GB2312" w:hAnsi="仿宋_GB2312" w:eastAsia="仿宋_GB2312" w:cs="仿宋_GB2312"/>
          <w:i w:val="0"/>
          <w:iCs w:val="0"/>
          <w:color w:val="auto"/>
          <w:kern w:val="0"/>
          <w:sz w:val="24"/>
          <w:highlight w:val="none"/>
          <w:lang w:bidi="ar"/>
        </w:rPr>
        <w:t>；承</w:t>
      </w:r>
      <w:r>
        <w:rPr>
          <w:rFonts w:hint="eastAsia" w:ascii="仿宋_GB2312" w:hAnsi="仿宋_GB2312" w:eastAsia="仿宋_GB2312" w:cs="仿宋_GB2312"/>
          <w:i w:val="0"/>
          <w:iCs w:val="0"/>
          <w:color w:val="auto"/>
          <w:kern w:val="0"/>
          <w:sz w:val="24"/>
          <w:highlight w:val="none"/>
          <w:lang w:val="en-US" w:eastAsia="zh-CN" w:bidi="ar"/>
        </w:rPr>
        <w:t>建</w:t>
      </w:r>
      <w:r>
        <w:rPr>
          <w:rFonts w:hint="eastAsia" w:ascii="仿宋_GB2312" w:hAnsi="仿宋_GB2312" w:eastAsia="仿宋_GB2312" w:cs="仿宋_GB2312"/>
          <w:i w:val="0"/>
          <w:iCs w:val="0"/>
          <w:color w:val="auto"/>
          <w:kern w:val="0"/>
          <w:sz w:val="24"/>
          <w:highlight w:val="none"/>
          <w:lang w:bidi="ar"/>
        </w:rPr>
        <w:t>企业为</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bidi="ar"/>
        </w:rPr>
        <w:t xml:space="preserve">     （企业名称）</w:t>
      </w:r>
      <w:r>
        <w:rPr>
          <w:rFonts w:hint="eastAsia" w:ascii="仿宋_GB2312" w:hAnsi="仿宋_GB2312" w:eastAsia="仿宋_GB2312" w:cs="仿宋_GB2312"/>
          <w:i w:val="0"/>
          <w:iCs w:val="0"/>
          <w:color w:val="auto"/>
          <w:kern w:val="0"/>
          <w:sz w:val="24"/>
          <w:highlight w:val="none"/>
          <w:lang w:bidi="ar"/>
        </w:rPr>
        <w:t>，从业人员</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lang w:bidi="ar"/>
        </w:rPr>
        <w:t>人，营业收入为</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lang w:bidi="ar"/>
        </w:rPr>
        <w:t>万元，资产总额为</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lang w:bidi="ar"/>
        </w:rPr>
        <w:t>万元，属于</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bidi="ar"/>
        </w:rPr>
        <w:t xml:space="preserve">     （中型企业、小型企业、微型企业）</w:t>
      </w:r>
      <w:r>
        <w:rPr>
          <w:rFonts w:hint="eastAsia" w:ascii="仿宋_GB2312" w:hAnsi="仿宋_GB2312" w:eastAsia="仿宋_GB2312" w:cs="仿宋_GB2312"/>
          <w:i w:val="0"/>
          <w:iCs w:val="0"/>
          <w:color w:val="auto"/>
          <w:kern w:val="0"/>
          <w:sz w:val="24"/>
          <w:highlight w:val="none"/>
          <w:lang w:bidi="ar"/>
        </w:rPr>
        <w:t>；</w:t>
      </w:r>
    </w:p>
    <w:p w14:paraId="79A8C3DF">
      <w:pPr>
        <w:widowControl/>
        <w:spacing w:line="360" w:lineRule="auto"/>
        <w:ind w:firstLine="480" w:firstLineChars="200"/>
        <w:jc w:val="left"/>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w:t>
      </w:r>
    </w:p>
    <w:p w14:paraId="633D6F7B">
      <w:pPr>
        <w:widowControl/>
        <w:spacing w:line="360" w:lineRule="auto"/>
        <w:ind w:firstLine="480" w:firstLineChars="200"/>
        <w:jc w:val="left"/>
        <w:rPr>
          <w:rFonts w:ascii="仿宋_GB2312" w:hAnsi="仿宋_GB2312" w:eastAsia="仿宋_GB2312" w:cs="仿宋_GB2312"/>
          <w:color w:val="auto"/>
          <w:kern w:val="0"/>
          <w:sz w:val="24"/>
          <w:highlight w:val="none"/>
          <w:lang w:bidi="ar"/>
        </w:rPr>
      </w:pPr>
    </w:p>
    <w:p w14:paraId="43F67DD6">
      <w:pPr>
        <w:widowControl/>
        <w:spacing w:line="360" w:lineRule="auto"/>
        <w:ind w:firstLine="480" w:firstLineChars="200"/>
        <w:jc w:val="left"/>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以上企业，不属于大企业的分支机构，不存在控股股东为大企业的情形，也不存在与大企业的负责人为同一人的情形。</w:t>
      </w:r>
    </w:p>
    <w:p w14:paraId="05545E38">
      <w:pPr>
        <w:widowControl/>
        <w:spacing w:line="360" w:lineRule="auto"/>
        <w:ind w:firstLine="480" w:firstLineChars="200"/>
        <w:jc w:val="left"/>
        <w:rPr>
          <w:rFonts w:ascii="仿宋_GB2312" w:eastAsia="仿宋_GB2312"/>
          <w:color w:val="auto"/>
          <w:sz w:val="24"/>
          <w:highlight w:val="none"/>
        </w:rPr>
      </w:pPr>
      <w:r>
        <w:rPr>
          <w:rFonts w:hint="eastAsia" w:ascii="仿宋_GB2312" w:hAnsi="仿宋_GB2312" w:eastAsia="仿宋_GB2312" w:cs="仿宋_GB2312"/>
          <w:color w:val="auto"/>
          <w:kern w:val="0"/>
          <w:sz w:val="24"/>
          <w:highlight w:val="none"/>
          <w:lang w:bidi="ar"/>
        </w:rPr>
        <w:t>本企业对上述声明内容的真实性负责。如有虚假，将依法承担相应责任</w:t>
      </w:r>
      <w:r>
        <w:rPr>
          <w:rFonts w:hint="eastAsia" w:ascii="仿宋_GB2312" w:eastAsia="仿宋_GB2312"/>
          <w:color w:val="auto"/>
          <w:kern w:val="0"/>
          <w:sz w:val="24"/>
          <w:highlight w:val="none"/>
        </w:rPr>
        <w:t>。</w:t>
      </w:r>
    </w:p>
    <w:p w14:paraId="17804921">
      <w:pPr>
        <w:pStyle w:val="29"/>
        <w:spacing w:line="400" w:lineRule="exact"/>
        <w:ind w:right="-754" w:rightChars="-359" w:firstLine="4800" w:firstLineChars="2000"/>
        <w:rPr>
          <w:rFonts w:hint="eastAsia" w:ascii="仿宋_GB2312" w:eastAsia="仿宋_GB2312"/>
          <w:color w:val="auto"/>
          <w:sz w:val="24"/>
          <w:szCs w:val="24"/>
          <w:highlight w:val="none"/>
        </w:rPr>
      </w:pPr>
    </w:p>
    <w:p w14:paraId="794B2BD3">
      <w:pPr>
        <w:pStyle w:val="29"/>
        <w:spacing w:line="400" w:lineRule="exact"/>
        <w:ind w:right="-754" w:rightChars="-359" w:firstLine="4800" w:firstLineChars="2000"/>
        <w:rPr>
          <w:rFonts w:ascii="仿宋_GB2312" w:eastAsia="仿宋_GB2312"/>
          <w:color w:val="auto"/>
          <w:sz w:val="24"/>
          <w:szCs w:val="24"/>
          <w:highlight w:val="none"/>
        </w:rPr>
      </w:pPr>
      <w:r>
        <w:rPr>
          <w:rFonts w:hint="eastAsia" w:ascii="仿宋_GB2312" w:eastAsia="仿宋_GB2312"/>
          <w:color w:val="auto"/>
          <w:sz w:val="24"/>
          <w:szCs w:val="24"/>
          <w:highlight w:val="none"/>
        </w:rPr>
        <w:t>供应商名称</w:t>
      </w:r>
      <w:r>
        <w:rPr>
          <w:rFonts w:hint="eastAsia" w:ascii="仿宋_GB2312" w:eastAsia="仿宋_GB2312"/>
          <w:b/>
          <w:bCs/>
          <w:color w:val="auto"/>
          <w:sz w:val="24"/>
          <w:szCs w:val="24"/>
          <w:highlight w:val="none"/>
        </w:rPr>
        <w:t>（CA电子签章）</w:t>
      </w:r>
      <w:r>
        <w:rPr>
          <w:rFonts w:hint="eastAsia" w:ascii="仿宋_GB2312" w:eastAsia="仿宋_GB2312"/>
          <w:color w:val="auto"/>
          <w:sz w:val="24"/>
          <w:szCs w:val="24"/>
          <w:highlight w:val="none"/>
        </w:rPr>
        <w:t>：</w:t>
      </w:r>
      <w:r>
        <w:rPr>
          <w:rFonts w:hint="eastAsia" w:ascii="仿宋_GB2312" w:eastAsia="仿宋_GB2312"/>
          <w:color w:val="auto"/>
          <w:sz w:val="24"/>
          <w:highlight w:val="none"/>
          <w:u w:val="single"/>
        </w:rPr>
        <w:t xml:space="preserve">                </w:t>
      </w:r>
      <w:r>
        <w:rPr>
          <w:rFonts w:hint="eastAsia" w:ascii="仿宋_GB2312" w:eastAsia="仿宋_GB2312"/>
          <w:color w:val="auto"/>
          <w:sz w:val="24"/>
          <w:szCs w:val="24"/>
          <w:highlight w:val="none"/>
        </w:rPr>
        <w:t xml:space="preserve">               </w:t>
      </w:r>
      <w:r>
        <w:rPr>
          <w:rFonts w:hint="eastAsia" w:ascii="仿宋_GB2312" w:eastAsia="仿宋_GB2312"/>
          <w:color w:val="auto"/>
          <w:sz w:val="24"/>
          <w:highlight w:val="none"/>
          <w:u w:val="single"/>
        </w:rPr>
        <w:t xml:space="preserve">                      </w:t>
      </w:r>
      <w:r>
        <w:rPr>
          <w:rFonts w:hint="eastAsia" w:ascii="仿宋_GB2312" w:eastAsia="仿宋_GB2312"/>
          <w:color w:val="auto"/>
          <w:sz w:val="24"/>
          <w:szCs w:val="24"/>
          <w:highlight w:val="none"/>
        </w:rPr>
        <w:t xml:space="preserve">                   </w:t>
      </w:r>
    </w:p>
    <w:p w14:paraId="4E6CD5AA">
      <w:pPr>
        <w:pStyle w:val="29"/>
        <w:spacing w:line="360" w:lineRule="exact"/>
        <w:rPr>
          <w:rFonts w:ascii="仿宋_GB2312" w:hAnsi="ˎ̥" w:eastAsia="仿宋_GB2312"/>
          <w:color w:val="auto"/>
          <w:kern w:val="0"/>
          <w:sz w:val="24"/>
          <w:highlight w:val="none"/>
        </w:rPr>
      </w:pPr>
      <w:r>
        <w:rPr>
          <w:rFonts w:hint="eastAsia" w:ascii="仿宋_GB2312" w:eastAsia="仿宋_GB2312"/>
          <w:color w:val="auto"/>
          <w:sz w:val="24"/>
          <w:highlight w:val="none"/>
        </w:rPr>
        <w:t xml:space="preserve">                                                  日期：       年   月   日</w:t>
      </w:r>
    </w:p>
    <w:p w14:paraId="7CBE0E7B">
      <w:pPr>
        <w:pStyle w:val="8"/>
        <w:overflowPunct w:val="0"/>
        <w:spacing w:line="340" w:lineRule="exact"/>
        <w:ind w:left="0" w:leftChars="0" w:firstLine="0" w:firstLineChars="0"/>
        <w:rPr>
          <w:rFonts w:hint="eastAsia" w:ascii="仿宋_GB2312" w:eastAsia="仿宋_GB2312"/>
          <w:b/>
          <w:bCs/>
          <w:color w:val="auto"/>
          <w:sz w:val="24"/>
          <w:szCs w:val="24"/>
          <w:highlight w:val="none"/>
        </w:rPr>
      </w:pPr>
    </w:p>
    <w:p w14:paraId="58DF94EC">
      <w:pPr>
        <w:pStyle w:val="8"/>
        <w:overflowPunct w:val="0"/>
        <w:spacing w:line="240" w:lineRule="auto"/>
        <w:ind w:left="0" w:firstLine="482" w:firstLineChars="200"/>
        <w:rPr>
          <w:rFonts w:ascii="仿宋_GB2312" w:eastAsia="仿宋_GB2312"/>
          <w:b/>
          <w:bCs/>
          <w:color w:val="auto"/>
          <w:sz w:val="24"/>
          <w:szCs w:val="24"/>
          <w:highlight w:val="none"/>
        </w:rPr>
      </w:pPr>
      <w:r>
        <w:rPr>
          <w:rFonts w:hint="eastAsia" w:ascii="仿宋_GB2312" w:eastAsia="仿宋_GB2312"/>
          <w:b/>
          <w:bCs/>
          <w:color w:val="auto"/>
          <w:sz w:val="24"/>
          <w:szCs w:val="24"/>
          <w:highlight w:val="none"/>
        </w:rPr>
        <w:t>注：1.此项材料</w:t>
      </w:r>
      <w:r>
        <w:rPr>
          <w:rFonts w:hint="eastAsia" w:ascii="仿宋_GB2312" w:eastAsia="仿宋_GB2312"/>
          <w:b/>
          <w:bCs/>
          <w:color w:val="auto"/>
          <w:sz w:val="24"/>
          <w:szCs w:val="24"/>
          <w:highlight w:val="none"/>
          <w:lang w:val="en-US" w:eastAsia="zh-CN"/>
        </w:rPr>
        <w:t>如有</w:t>
      </w:r>
      <w:r>
        <w:rPr>
          <w:rFonts w:hint="eastAsia" w:ascii="仿宋_GB2312" w:eastAsia="仿宋_GB2312"/>
          <w:b/>
          <w:bCs/>
          <w:color w:val="auto"/>
          <w:sz w:val="24"/>
          <w:szCs w:val="24"/>
          <w:highlight w:val="none"/>
        </w:rPr>
        <w:t>以PDF格式上传；</w:t>
      </w:r>
    </w:p>
    <w:p w14:paraId="35EF5BA7">
      <w:pPr>
        <w:pStyle w:val="8"/>
        <w:overflowPunct w:val="0"/>
        <w:spacing w:line="240" w:lineRule="auto"/>
        <w:ind w:left="0" w:firstLine="482" w:firstLineChars="200"/>
        <w:rPr>
          <w:rFonts w:ascii="仿宋_GB2312" w:eastAsia="仿宋_GB2312"/>
          <w:b/>
          <w:bCs/>
          <w:color w:val="auto"/>
          <w:sz w:val="24"/>
          <w:szCs w:val="24"/>
          <w:highlight w:val="none"/>
        </w:rPr>
      </w:pPr>
      <w:r>
        <w:rPr>
          <w:rFonts w:hint="eastAsia" w:ascii="仿宋_GB2312" w:eastAsia="仿宋_GB2312"/>
          <w:b/>
          <w:bCs/>
          <w:color w:val="auto"/>
          <w:sz w:val="24"/>
          <w:szCs w:val="24"/>
          <w:highlight w:val="none"/>
        </w:rPr>
        <w:t>2.供应商出具的《中小企业声明函》中填写的“所属行业”应与采购文件明确的“所属行业”内容一致。</w:t>
      </w:r>
    </w:p>
    <w:p w14:paraId="21D1DECD">
      <w:pPr>
        <w:pStyle w:val="8"/>
        <w:overflowPunct w:val="0"/>
        <w:spacing w:line="240" w:lineRule="auto"/>
        <w:ind w:left="0" w:firstLine="482" w:firstLineChars="200"/>
        <w:rPr>
          <w:rFonts w:ascii="仿宋_GB2312" w:eastAsia="仿宋_GB2312"/>
          <w:b/>
          <w:bCs/>
          <w:color w:val="auto"/>
          <w:sz w:val="24"/>
          <w:szCs w:val="24"/>
          <w:highlight w:val="none"/>
        </w:rPr>
      </w:pPr>
      <w:r>
        <w:rPr>
          <w:rFonts w:hint="eastAsia" w:ascii="仿宋_GB2312" w:eastAsia="仿宋_GB2312"/>
          <w:b/>
          <w:bCs/>
          <w:color w:val="auto"/>
          <w:sz w:val="24"/>
          <w:szCs w:val="24"/>
          <w:highlight w:val="none"/>
        </w:rPr>
        <w:t>采购标的对应的中小企业划分标准所属行业：</w:t>
      </w:r>
      <w:r>
        <w:rPr>
          <w:rFonts w:hint="eastAsia" w:ascii="仿宋_GB2312" w:eastAsia="仿宋_GB2312"/>
          <w:b/>
          <w:bCs/>
          <w:color w:val="auto"/>
          <w:sz w:val="24"/>
          <w:szCs w:val="24"/>
          <w:highlight w:val="none"/>
          <w:u w:val="single"/>
          <w:lang w:val="en-US" w:eastAsia="zh-CN"/>
        </w:rPr>
        <w:t>建筑业</w:t>
      </w:r>
      <w:r>
        <w:rPr>
          <w:rFonts w:hint="eastAsia" w:ascii="仿宋_GB2312" w:eastAsia="仿宋_GB2312"/>
          <w:b/>
          <w:bCs/>
          <w:color w:val="auto"/>
          <w:sz w:val="24"/>
          <w:szCs w:val="24"/>
          <w:highlight w:val="none"/>
        </w:rPr>
        <w:t>。</w:t>
      </w:r>
    </w:p>
    <w:p w14:paraId="027EC26B">
      <w:pPr>
        <w:pStyle w:val="8"/>
        <w:overflowPunct w:val="0"/>
        <w:spacing w:line="240" w:lineRule="auto"/>
        <w:ind w:left="0"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3.从业人员、营业收入、资产总额填报上一年度数据，无上一年度数据的新成立企业可不填报。</w:t>
      </w:r>
    </w:p>
    <w:p w14:paraId="5836AE09">
      <w:pPr>
        <w:pStyle w:val="8"/>
        <w:overflowPunct w:val="0"/>
        <w:spacing w:line="240" w:lineRule="auto"/>
        <w:ind w:left="0"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4</w:t>
      </w:r>
      <w:r>
        <w:rPr>
          <w:rFonts w:hint="eastAsia" w:ascii="仿宋_GB2312" w:eastAsia="仿宋_GB2312"/>
          <w:color w:val="auto"/>
          <w:sz w:val="24"/>
          <w:szCs w:val="24"/>
          <w:highlight w:val="none"/>
        </w:rPr>
        <w:t>.供应商须按上述格式要求如实填写中小企业声明函，并对该声明函的真实性负责，否则不得享受相关中小企业扶持政策；</w:t>
      </w:r>
    </w:p>
    <w:p w14:paraId="489264AB">
      <w:pPr>
        <w:pStyle w:val="41"/>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仿宋_GB2312" w:hAnsi="宋体" w:eastAsia="仿宋_GB2312"/>
          <w:b/>
          <w:bCs/>
          <w:color w:val="auto"/>
          <w:sz w:val="24"/>
          <w:highlight w:val="none"/>
        </w:rPr>
      </w:pPr>
      <w:r>
        <w:rPr>
          <w:rFonts w:hint="eastAsia" w:ascii="仿宋_GB2312" w:eastAsia="仿宋_GB2312"/>
          <w:color w:val="auto"/>
          <w:sz w:val="24"/>
          <w:highlight w:val="none"/>
          <w:lang w:val="en-US" w:eastAsia="zh-CN"/>
        </w:rPr>
        <w:t>5</w:t>
      </w:r>
      <w:r>
        <w:rPr>
          <w:rFonts w:hint="eastAsia" w:ascii="仿宋_GB2312" w:eastAsia="仿宋_GB2312"/>
          <w:color w:val="auto"/>
          <w:sz w:val="24"/>
          <w:highlight w:val="none"/>
        </w:rPr>
        <w:t>.成交供应商</w:t>
      </w:r>
      <w:r>
        <w:rPr>
          <w:rFonts w:hint="eastAsia" w:ascii="仿宋_GB2312" w:eastAsia="仿宋_GB2312"/>
          <w:color w:val="auto"/>
          <w:spacing w:val="6"/>
          <w:sz w:val="24"/>
          <w:highlight w:val="none"/>
        </w:rPr>
        <w:t>依法享受中小企业扶持政策</w:t>
      </w:r>
      <w:r>
        <w:rPr>
          <w:rFonts w:hint="eastAsia" w:ascii="仿宋_GB2312" w:eastAsia="仿宋_GB2312"/>
          <w:color w:val="auto"/>
          <w:sz w:val="24"/>
          <w:highlight w:val="none"/>
        </w:rPr>
        <w:t>的，采购代理机构将在成交结果公告中公告其《中小企业声明函》</w:t>
      </w:r>
      <w:r>
        <w:rPr>
          <w:rFonts w:hint="eastAsia" w:ascii="仿宋_GB2312" w:eastAsia="仿宋_GB2312"/>
          <w:color w:val="auto"/>
          <w:sz w:val="24"/>
          <w:szCs w:val="24"/>
          <w:highlight w:val="none"/>
        </w:rPr>
        <w:t>。</w:t>
      </w:r>
    </w:p>
    <w:p w14:paraId="49A3A668">
      <w:pPr>
        <w:spacing w:line="240" w:lineRule="auto"/>
        <w:ind w:firstLine="504" w:firstLineChars="200"/>
        <w:rPr>
          <w:rFonts w:hint="eastAsia" w:ascii="仿宋_GB2312" w:hAnsi="Times New Roman" w:eastAsia="仿宋_GB2312" w:cs="Times New Roman"/>
          <w:color w:val="auto"/>
          <w:spacing w:val="6"/>
          <w:kern w:val="2"/>
          <w:sz w:val="24"/>
          <w:szCs w:val="16"/>
          <w:highlight w:val="none"/>
          <w:lang w:val="en-US" w:eastAsia="zh-CN" w:bidi="ar-SA"/>
        </w:rPr>
      </w:pPr>
      <w:r>
        <w:rPr>
          <w:rFonts w:hint="eastAsia" w:ascii="仿宋_GB2312" w:hAnsi="Times New Roman" w:eastAsia="仿宋_GB2312" w:cs="Times New Roman"/>
          <w:color w:val="auto"/>
          <w:spacing w:val="6"/>
          <w:kern w:val="2"/>
          <w:sz w:val="24"/>
          <w:szCs w:val="16"/>
          <w:highlight w:val="none"/>
          <w:lang w:val="en-US" w:eastAsia="zh-CN" w:bidi="ar-SA"/>
        </w:rPr>
        <w:t>6.中小微企业划型标准附表：</w:t>
      </w:r>
    </w:p>
    <w:p w14:paraId="000C8D75">
      <w:pPr>
        <w:pStyle w:val="280"/>
        <w:jc w:val="center"/>
        <w:rPr>
          <w:rFonts w:hint="eastAsia" w:ascii="仿宋_GB2312" w:eastAsia="仿宋_GB2312"/>
          <w:b/>
          <w:bCs/>
          <w:color w:val="auto"/>
          <w:highlight w:val="none"/>
        </w:rPr>
      </w:pPr>
      <w:r>
        <w:rPr>
          <w:rFonts w:hint="eastAsia" w:ascii="仿宋_GB2312" w:eastAsia="仿宋_GB2312"/>
          <w:b/>
          <w:bCs/>
          <w:color w:val="auto"/>
          <w:sz w:val="33"/>
          <w:szCs w:val="33"/>
          <w:highlight w:val="none"/>
        </w:rPr>
        <w:t>中小微企业划型标准</w:t>
      </w:r>
    </w:p>
    <w:tbl>
      <w:tblPr>
        <w:tblStyle w:val="52"/>
        <w:tblW w:w="989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18"/>
        <w:gridCol w:w="1975"/>
        <w:gridCol w:w="1236"/>
        <w:gridCol w:w="2023"/>
        <w:gridCol w:w="1702"/>
        <w:gridCol w:w="1236"/>
      </w:tblGrid>
      <w:tr w14:paraId="5F64F1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71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A314F6">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行业名称</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87BAC4">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指标名称</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7D9BD3">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计量单位</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E6D34A">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中型</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A9EF0D">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小型</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422991">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微型</w:t>
            </w:r>
          </w:p>
        </w:tc>
      </w:tr>
      <w:tr w14:paraId="668FD28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A036F1">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农、林、牧、渔</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B1F17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9D4C9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275D7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500≤Y&lt;20000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70308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50≤Y&lt;500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64AD3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Y&lt;50</w:t>
            </w:r>
          </w:p>
        </w:tc>
      </w:tr>
      <w:tr w14:paraId="26AEB4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F943B9">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工业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BA5D885">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9D38D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F4C859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300≤X&lt;1000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7DEEAB">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20≤X&lt;300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B46515">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X&lt;20</w:t>
            </w:r>
          </w:p>
        </w:tc>
      </w:tr>
      <w:tr w14:paraId="4340D13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08695E6D">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B9D752">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B317F7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FAEA1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2000≤Y&lt;40000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70B8D8">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300≤Y&lt;2000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E7466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Y&lt;300</w:t>
            </w:r>
          </w:p>
        </w:tc>
      </w:tr>
      <w:tr w14:paraId="6FF9834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EB6DAEB">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建筑业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002A1C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7BED62">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D8E4C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6000≤Y&lt;80000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8A7C61">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300≤Y&lt;6000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DFDB9D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Y&lt;300</w:t>
            </w:r>
          </w:p>
        </w:tc>
      </w:tr>
      <w:tr w14:paraId="011FC43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6B6C6FE9">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4F887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资产总额(Z)</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E9F4DB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673144">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5000≤Z&lt;80000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B7D04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300≤Z&lt;5000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BAB61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Z&lt;300</w:t>
            </w:r>
          </w:p>
        </w:tc>
      </w:tr>
      <w:tr w14:paraId="5A0191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1C1BC84">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批发业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9691A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D210BC4">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EBFC8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20≤X&lt;200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B736F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5≤X&lt;20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07833A">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X&lt;5</w:t>
            </w:r>
          </w:p>
        </w:tc>
      </w:tr>
      <w:tr w14:paraId="7EEC23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5DB490E2">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3AB30C">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0D973CC">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152E6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5000≤Y&lt;40000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BDC4CB">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1000≤Y&lt;5000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7DF5C2">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Y&lt;1000</w:t>
            </w:r>
          </w:p>
        </w:tc>
      </w:tr>
      <w:tr w14:paraId="2D4AA7A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E740B7C">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零售业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602926">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16FDD4">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93AB2D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50≤X&lt;300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05E79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10≤X&lt;50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409B9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w:t>
            </w:r>
          </w:p>
        </w:tc>
      </w:tr>
      <w:tr w14:paraId="0B6DF1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57D3AF32">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806446">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EB793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C535B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500≤Y&lt;20000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F0B7A5">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100≤Y&lt;500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2F8B9DC">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Y&lt;100</w:t>
            </w:r>
          </w:p>
        </w:tc>
      </w:tr>
      <w:tr w14:paraId="74EC13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94ED94A">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交通运输业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8582C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94A5825">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6F3C6A">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300≤X&lt;1000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4C6E42">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20≤X&lt;300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0D4C7B2">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X&lt;20</w:t>
            </w:r>
          </w:p>
        </w:tc>
      </w:tr>
      <w:tr w14:paraId="71966EC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3C1F9E5A">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E7445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78DCA8">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5B7398">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3000≤Y&lt;30000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CB8B52">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200≤Y&lt;3000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51411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Y&lt;200</w:t>
            </w:r>
          </w:p>
        </w:tc>
      </w:tr>
      <w:tr w14:paraId="69685F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6F7EBE">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仓储业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D13BF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B81FAF">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CA912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100≤X&lt;200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04F44A">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20≤X&lt;100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B2658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X&lt;20</w:t>
            </w:r>
          </w:p>
        </w:tc>
      </w:tr>
      <w:tr w14:paraId="12A2172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5B1F8BB5">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E6785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A75DCB">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B15B01">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1000≤Y&lt;30000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C852B1">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100≤Y&lt;1000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7431EE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Y&lt;100</w:t>
            </w:r>
          </w:p>
        </w:tc>
      </w:tr>
      <w:tr w14:paraId="28FDD10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B95E99">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邮政业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E83B7F">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17C2CC">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F1F7C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300≤X&lt;1000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81E81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20≤X&lt;300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B66D7F">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X&lt;20</w:t>
            </w:r>
          </w:p>
        </w:tc>
      </w:tr>
      <w:tr w14:paraId="5CB6DF2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3364FBE3">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57979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059DDC">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0CC05D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2000≤Y&lt;30000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1B9C2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100≤Y&lt;2000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3328528">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Y&lt;100</w:t>
            </w:r>
          </w:p>
        </w:tc>
      </w:tr>
      <w:tr w14:paraId="75F571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101817">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住宿业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54B85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96B6766">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AC526C">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100≤X&lt;300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10E935">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10≤X&lt;100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6578F6">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w:t>
            </w:r>
          </w:p>
        </w:tc>
      </w:tr>
      <w:tr w14:paraId="048943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656838A3">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7724FF">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94D8F3C">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9C345F">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2000≤Y&lt;10000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C2C88B">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100≤Y&lt;2000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DE06B2">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Y&lt;100</w:t>
            </w:r>
          </w:p>
        </w:tc>
      </w:tr>
      <w:tr w14:paraId="491AA1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ADC051">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餐饮业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C7F9E88">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E14B42">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2E02CB">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100≤X&lt;300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857F2B">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10≤X&lt;100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79061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w:t>
            </w:r>
          </w:p>
        </w:tc>
      </w:tr>
      <w:tr w14:paraId="661EEB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06DB7019">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DB0A7B">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EC24E5B">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65450B">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2000≤Y&lt;10000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277576">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100≤Y&lt;2000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8582017">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Y&lt;100</w:t>
            </w:r>
          </w:p>
        </w:tc>
      </w:tr>
      <w:tr w14:paraId="5ACEEE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55FAF6">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信息传输业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96B84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0B965DA">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3310F1">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100≤X&lt;2000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96EAE8">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10≤X&lt;100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EE117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w:t>
            </w:r>
          </w:p>
        </w:tc>
      </w:tr>
      <w:tr w14:paraId="00DCB62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17D08BCA">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29194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64008F">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3E2D9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1000≤Y&lt;100000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57A99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100≤Y&lt;1000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60961F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Y&lt;100</w:t>
            </w:r>
          </w:p>
        </w:tc>
      </w:tr>
      <w:tr w14:paraId="0253275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73C305">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软件和信息</w:t>
            </w:r>
            <w:r>
              <w:rPr>
                <w:rFonts w:hint="eastAsia" w:ascii="仿宋_GB2312" w:eastAsia="仿宋_GB2312"/>
                <w:color w:val="auto"/>
                <w:highlight w:val="none"/>
              </w:rPr>
              <w:t xml:space="preserve"> </w:t>
            </w:r>
            <w:r>
              <w:rPr>
                <w:rFonts w:hint="eastAsia" w:ascii="仿宋_GB2312" w:eastAsia="仿宋_GB2312"/>
                <w:b/>
                <w:bCs/>
                <w:color w:val="auto"/>
                <w:highlight w:val="none"/>
              </w:rPr>
              <w:t>技术服务业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0C30A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7C1D0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F1AB78">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100≤X&lt;300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8D313A">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10≤X&lt;100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D136F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w:t>
            </w:r>
          </w:p>
        </w:tc>
      </w:tr>
      <w:tr w14:paraId="12E71D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6008F6BB">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873B7B">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A0CB5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6E06E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1000≤Y&lt;10000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AA400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50≤Y&lt;1000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F872B18">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Y&lt;50</w:t>
            </w:r>
          </w:p>
        </w:tc>
      </w:tr>
      <w:tr w14:paraId="627EDA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212211F">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房地产</w:t>
            </w:r>
            <w:r>
              <w:rPr>
                <w:rFonts w:hint="eastAsia" w:ascii="仿宋_GB2312" w:eastAsia="仿宋_GB2312"/>
                <w:color w:val="auto"/>
                <w:highlight w:val="none"/>
              </w:rPr>
              <w:t xml:space="preserve"> </w:t>
            </w:r>
            <w:r>
              <w:rPr>
                <w:rFonts w:hint="eastAsia" w:ascii="仿宋_GB2312" w:eastAsia="仿宋_GB2312"/>
                <w:b/>
                <w:bCs/>
                <w:color w:val="auto"/>
                <w:highlight w:val="none"/>
              </w:rPr>
              <w:t>开发经营</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7075A1">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BAB6A9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C7346F">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1000≤Y&lt;200000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1DFC8BB">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100≤X&lt;1000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545EEB">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X&lt;100</w:t>
            </w:r>
          </w:p>
        </w:tc>
      </w:tr>
      <w:tr w14:paraId="0C0CB6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7B1664BD">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C972F3A">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资产总额(Z)</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08E4E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CB759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5000≤Z&lt;10000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34B48A">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2000≤Y&lt;5000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13939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Y&lt;2000</w:t>
            </w:r>
          </w:p>
        </w:tc>
      </w:tr>
      <w:tr w14:paraId="62C60E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21C84B">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物业管理</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0DF22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36B8F6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8F8BA1">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300≤X&lt;1000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1215FD">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100≤X&lt;300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DA5BE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X&lt;100</w:t>
            </w:r>
          </w:p>
        </w:tc>
      </w:tr>
      <w:tr w14:paraId="47BF490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1B7A707E">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0BEC17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BC0B14">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EA596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1000≤Y&lt;5000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2E7269">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500≤Y&lt;1000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5FD09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Y&lt;500</w:t>
            </w:r>
          </w:p>
        </w:tc>
      </w:tr>
      <w:tr w14:paraId="2ED8FC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93F8E0">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租赁和商务服务业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3DCF9C2">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7A10C4">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06CAD8">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100≤X&lt;300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441F21">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10≤X&lt;100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ACDFC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w:t>
            </w:r>
          </w:p>
        </w:tc>
      </w:tr>
      <w:tr w14:paraId="73388C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14:paraId="697ACBAE">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17A13A">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资产总额(Z)</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19AB5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C1B0EE">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8000≤Z&lt;120000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72A6BC">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100≤Z&lt;8000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93E92C">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Y&lt;100</w:t>
            </w:r>
          </w:p>
        </w:tc>
      </w:tr>
      <w:tr w14:paraId="4FADF82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C6C253">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其他未列明行业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430EE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AE51F26">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FA26F0">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100≤X&lt;300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2DDE83">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10≤X&lt;100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7905EA">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w:t>
            </w:r>
          </w:p>
        </w:tc>
      </w:tr>
    </w:tbl>
    <w:p w14:paraId="3BF35949">
      <w:pPr>
        <w:spacing w:line="400" w:lineRule="exact"/>
        <w:rPr>
          <w:rFonts w:ascii="仿宋_GB2312" w:eastAsia="仿宋_GB2312" w:cs="Courier New"/>
          <w:b w:val="0"/>
          <w:bCs w:val="0"/>
          <w:color w:val="auto"/>
          <w:sz w:val="24"/>
          <w:highlight w:val="none"/>
        </w:rPr>
      </w:pPr>
      <w:r>
        <w:rPr>
          <w:rFonts w:hint="eastAsia" w:ascii="仿宋_GB2312" w:eastAsia="仿宋_GB2312"/>
          <w:b/>
          <w:bCs/>
          <w:color w:val="auto"/>
          <w:highlight w:val="none"/>
        </w:rPr>
        <w:t>说明:</w:t>
      </w:r>
      <w:r>
        <w:rPr>
          <w:rFonts w:hint="eastAsia" w:ascii="仿宋_GB2312" w:eastAsia="仿宋_GB2312"/>
          <w:b w:val="0"/>
          <w:bCs w:val="0"/>
          <w:color w:val="auto"/>
          <w:highlight w:val="none"/>
          <w:lang w:val="en-US" w:eastAsia="zh-CN"/>
        </w:rPr>
        <w:t>1.</w:t>
      </w:r>
      <w:r>
        <w:rPr>
          <w:rFonts w:hint="eastAsia" w:ascii="仿宋_GB2312" w:eastAsia="仿宋_GB2312"/>
          <w:b w:val="0"/>
          <w:bCs w:val="0"/>
          <w:color w:val="auto"/>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0B77CD94">
      <w:pPr>
        <w:spacing w:line="400" w:lineRule="exact"/>
        <w:ind w:firstLine="420" w:firstLineChars="200"/>
        <w:rPr>
          <w:rFonts w:hint="eastAsia" w:ascii="仿宋_GB2312" w:hAnsi="Times New Roman" w:eastAsia="仿宋_GB2312" w:cs="Times New Roman"/>
          <w:b w:val="0"/>
          <w:bCs w:val="0"/>
          <w:color w:val="auto"/>
          <w:highlight w:val="none"/>
        </w:rPr>
      </w:pPr>
      <w:r>
        <w:rPr>
          <w:rFonts w:hint="eastAsia" w:ascii="仿宋_GB2312" w:hAnsi="Times New Roman" w:eastAsia="仿宋_GB2312" w:cs="Times New Roman"/>
          <w:b w:val="0"/>
          <w:bCs w:val="0"/>
          <w:color w:val="auto"/>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F53C182">
      <w:pPr>
        <w:spacing w:line="400" w:lineRule="exact"/>
        <w:ind w:left="0" w:leftChars="0" w:firstLine="420" w:firstLineChars="200"/>
        <w:rPr>
          <w:rFonts w:hint="eastAsia" w:ascii="仿宋_GB2312" w:hAnsi="Times New Roman" w:eastAsia="仿宋_GB2312" w:cs="Times New Roman"/>
          <w:b w:val="0"/>
          <w:bCs w:val="0"/>
          <w:color w:val="auto"/>
          <w:highlight w:val="none"/>
          <w:lang w:eastAsia="zh-CN"/>
        </w:rPr>
      </w:pPr>
      <w:r>
        <w:rPr>
          <w:rFonts w:hint="eastAsia" w:ascii="仿宋_GB2312" w:hAnsi="Times New Roman" w:eastAsia="仿宋_GB2312" w:cs="Times New Roman"/>
          <w:b w:val="0"/>
          <w:bCs w:val="0"/>
          <w:color w:val="auto"/>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F6F20FD">
      <w:pPr>
        <w:rPr>
          <w:rFonts w:hint="eastAsia" w:ascii="仿宋_GB2312" w:hAnsi="Times New Roman" w:eastAsia="仿宋_GB2312" w:cs="Courier New"/>
          <w:b/>
          <w:color w:val="auto"/>
          <w:sz w:val="24"/>
          <w:highlight w:val="none"/>
          <w:lang w:eastAsia="zh-CN"/>
        </w:rPr>
      </w:pPr>
      <w:r>
        <w:rPr>
          <w:rFonts w:hint="eastAsia" w:ascii="仿宋_GB2312" w:hAnsi="Times New Roman" w:eastAsia="仿宋_GB2312" w:cs="Courier New"/>
          <w:b/>
          <w:color w:val="auto"/>
          <w:sz w:val="24"/>
          <w:highlight w:val="none"/>
          <w:lang w:eastAsia="zh-CN"/>
        </w:rPr>
        <w:br w:type="page"/>
      </w:r>
    </w:p>
    <w:p w14:paraId="27B86936">
      <w:pPr>
        <w:spacing w:line="400" w:lineRule="exact"/>
        <w:rPr>
          <w:rFonts w:hint="eastAsia" w:ascii="仿宋_GB2312" w:hAnsi="Times New Roman" w:eastAsia="仿宋_GB2312" w:cs="Courier New"/>
          <w:b/>
          <w:color w:val="auto"/>
          <w:sz w:val="24"/>
          <w:highlight w:val="none"/>
          <w:lang w:val="en-US" w:eastAsia="zh-CN"/>
        </w:rPr>
      </w:pPr>
      <w:r>
        <w:rPr>
          <w:rFonts w:hint="eastAsia" w:ascii="仿宋_GB2312" w:hAnsi="Times New Roman" w:eastAsia="仿宋_GB2312" w:cs="Courier New"/>
          <w:b/>
          <w:color w:val="auto"/>
          <w:sz w:val="24"/>
          <w:highlight w:val="none"/>
          <w:lang w:val="en-US" w:eastAsia="zh-CN"/>
        </w:rPr>
        <w:t>②残疾人福利性单位声明函格式（工程由残疾人福利性单位承建的必须提供）：</w:t>
      </w:r>
    </w:p>
    <w:p w14:paraId="5368D62D">
      <w:pPr>
        <w:spacing w:line="400" w:lineRule="exact"/>
        <w:rPr>
          <w:rFonts w:hint="eastAsia" w:ascii="仿宋_GB2312" w:hAnsi="Times New Roman" w:eastAsia="仿宋_GB2312" w:cs="Courier New"/>
          <w:b/>
          <w:color w:val="auto"/>
          <w:sz w:val="24"/>
          <w:highlight w:val="none"/>
          <w:lang w:val="en-US" w:eastAsia="zh-CN"/>
        </w:rPr>
      </w:pPr>
    </w:p>
    <w:p w14:paraId="18A558E3">
      <w:pPr>
        <w:spacing w:before="314" w:beforeLines="100" w:after="314" w:afterLines="100" w:line="400" w:lineRule="exact"/>
        <w:jc w:val="center"/>
        <w:rPr>
          <w:rFonts w:ascii="仿宋_GB2312" w:eastAsia="仿宋_GB2312"/>
          <w:color w:val="auto"/>
          <w:spacing w:val="6"/>
          <w:szCs w:val="21"/>
          <w:highlight w:val="none"/>
        </w:rPr>
      </w:pPr>
      <w:r>
        <w:rPr>
          <w:rFonts w:hint="eastAsia" w:ascii="仿宋_GB2312" w:eastAsia="仿宋_GB2312"/>
          <w:b/>
          <w:color w:val="auto"/>
          <w:spacing w:val="6"/>
          <w:sz w:val="32"/>
          <w:szCs w:val="32"/>
          <w:highlight w:val="none"/>
        </w:rPr>
        <w:t>残疾人福利性单位声明函</w:t>
      </w:r>
    </w:p>
    <w:p w14:paraId="1C2A7CCC">
      <w:pPr>
        <w:spacing w:line="400" w:lineRule="exact"/>
        <w:ind w:firstLine="504" w:firstLineChars="200"/>
        <w:rPr>
          <w:rFonts w:ascii="仿宋_GB2312" w:eastAsia="仿宋_GB2312"/>
          <w:color w:val="auto"/>
          <w:spacing w:val="6"/>
          <w:sz w:val="24"/>
          <w:highlight w:val="none"/>
        </w:rPr>
      </w:pPr>
      <w:r>
        <w:rPr>
          <w:rFonts w:hint="eastAsia" w:ascii="仿宋_GB2312" w:eastAsia="仿宋_GB2312"/>
          <w:color w:val="auto"/>
          <w:spacing w:val="6"/>
          <w:sz w:val="24"/>
          <w:highlight w:val="none"/>
        </w:rPr>
        <w:t>本单位郑重声明，根据《财政部 民政部 中国残疾人联合会关于促进残疾人就业政府采购政策的通知》（财库</w:t>
      </w:r>
      <w:r>
        <w:rPr>
          <w:rFonts w:hint="eastAsia" w:ascii="仿宋_GB2312" w:eastAsia="仿宋_GB2312"/>
          <w:color w:val="auto"/>
          <w:sz w:val="24"/>
          <w:highlight w:val="none"/>
        </w:rPr>
        <w:t>〔2017〕141</w:t>
      </w:r>
      <w:r>
        <w:rPr>
          <w:rFonts w:hint="eastAsia" w:ascii="仿宋_GB2312" w:eastAsia="仿宋_GB2312"/>
          <w:color w:val="auto"/>
          <w:spacing w:val="6"/>
          <w:sz w:val="24"/>
          <w:highlight w:val="none"/>
        </w:rPr>
        <w:t>号）的规定，本单位为符合条件的残疾人福利性单位，且本单位参加</w:t>
      </w:r>
      <w:r>
        <w:rPr>
          <w:rFonts w:hint="eastAsia" w:ascii="仿宋_GB2312" w:eastAsia="仿宋_GB2312"/>
          <w:color w:val="auto"/>
          <w:spacing w:val="6"/>
          <w:sz w:val="24"/>
          <w:highlight w:val="none"/>
          <w:u w:val="single"/>
        </w:rPr>
        <w:t xml:space="preserve">     </w:t>
      </w:r>
      <w:r>
        <w:rPr>
          <w:rFonts w:hint="eastAsia" w:ascii="仿宋_GB2312" w:eastAsia="仿宋_GB2312"/>
          <w:color w:val="auto"/>
          <w:spacing w:val="6"/>
          <w:sz w:val="24"/>
          <w:highlight w:val="none"/>
        </w:rPr>
        <w:t>单位的</w:t>
      </w:r>
      <w:r>
        <w:rPr>
          <w:rFonts w:hint="eastAsia" w:ascii="仿宋_GB2312" w:eastAsia="仿宋_GB2312"/>
          <w:color w:val="auto"/>
          <w:spacing w:val="6"/>
          <w:sz w:val="24"/>
          <w:highlight w:val="none"/>
          <w:u w:val="single"/>
        </w:rPr>
        <w:t xml:space="preserve">     </w:t>
      </w:r>
      <w:r>
        <w:rPr>
          <w:rFonts w:hint="eastAsia" w:ascii="仿宋_GB2312" w:eastAsia="仿宋_GB2312"/>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14:paraId="17747445">
      <w:pPr>
        <w:spacing w:line="400" w:lineRule="exact"/>
        <w:ind w:firstLine="504" w:firstLineChars="200"/>
        <w:rPr>
          <w:rFonts w:ascii="仿宋_GB2312" w:eastAsia="仿宋_GB2312"/>
          <w:color w:val="auto"/>
          <w:spacing w:val="6"/>
          <w:sz w:val="24"/>
          <w:highlight w:val="none"/>
        </w:rPr>
      </w:pPr>
      <w:r>
        <w:rPr>
          <w:rFonts w:hint="eastAsia" w:ascii="仿宋_GB2312" w:eastAsia="仿宋_GB2312"/>
          <w:color w:val="auto"/>
          <w:spacing w:val="6"/>
          <w:sz w:val="24"/>
          <w:highlight w:val="none"/>
        </w:rPr>
        <w:t>本单位对上述声明的真实性负责。如有虚假，将依法承担相应责任。</w:t>
      </w:r>
    </w:p>
    <w:p w14:paraId="68CB5FB4">
      <w:pPr>
        <w:spacing w:line="400" w:lineRule="exact"/>
        <w:ind w:firstLine="504" w:firstLineChars="200"/>
        <w:rPr>
          <w:rFonts w:ascii="仿宋_GB2312" w:eastAsia="仿宋_GB2312"/>
          <w:color w:val="auto"/>
          <w:spacing w:val="6"/>
          <w:sz w:val="24"/>
          <w:highlight w:val="none"/>
        </w:rPr>
      </w:pPr>
    </w:p>
    <w:p w14:paraId="5554CB74">
      <w:pPr>
        <w:tabs>
          <w:tab w:val="left" w:pos="4860"/>
        </w:tabs>
        <w:spacing w:line="400" w:lineRule="exact"/>
        <w:ind w:right="1560" w:firstLine="504" w:firstLineChars="200"/>
        <w:jc w:val="center"/>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                                          </w:t>
      </w:r>
    </w:p>
    <w:p w14:paraId="50EA5F18">
      <w:pPr>
        <w:tabs>
          <w:tab w:val="left" w:pos="4860"/>
        </w:tabs>
        <w:spacing w:line="400" w:lineRule="exact"/>
        <w:ind w:right="1560" w:firstLine="504" w:firstLineChars="200"/>
        <w:jc w:val="right"/>
        <w:rPr>
          <w:rFonts w:ascii="仿宋_GB2312" w:eastAsia="仿宋_GB2312"/>
          <w:color w:val="auto"/>
          <w:spacing w:val="6"/>
          <w:sz w:val="24"/>
          <w:highlight w:val="none"/>
        </w:rPr>
      </w:pPr>
      <w:r>
        <w:rPr>
          <w:rFonts w:hint="eastAsia" w:ascii="仿宋_GB2312" w:eastAsia="仿宋_GB2312"/>
          <w:color w:val="auto"/>
          <w:spacing w:val="6"/>
          <w:sz w:val="24"/>
          <w:highlight w:val="none"/>
        </w:rPr>
        <w:t>单位名称（</w:t>
      </w:r>
      <w:r>
        <w:rPr>
          <w:rFonts w:hint="eastAsia" w:ascii="仿宋_GB2312" w:eastAsia="仿宋_GB2312"/>
          <w:b/>
          <w:bCs/>
          <w:color w:val="auto"/>
          <w:sz w:val="24"/>
          <w:highlight w:val="none"/>
        </w:rPr>
        <w:t>CA电子签章</w:t>
      </w:r>
      <w:r>
        <w:rPr>
          <w:rFonts w:hint="eastAsia" w:ascii="仿宋_GB2312" w:eastAsia="仿宋_GB2312"/>
          <w:color w:val="auto"/>
          <w:spacing w:val="6"/>
          <w:sz w:val="24"/>
          <w:highlight w:val="none"/>
        </w:rPr>
        <w:t>）：</w:t>
      </w:r>
    </w:p>
    <w:p w14:paraId="0C51C481">
      <w:pPr>
        <w:widowControl/>
        <w:spacing w:line="400" w:lineRule="exact"/>
        <w:jc w:val="center"/>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                                            </w:t>
      </w:r>
    </w:p>
    <w:p w14:paraId="16750A70">
      <w:pPr>
        <w:widowControl/>
        <w:spacing w:line="400" w:lineRule="exact"/>
        <w:jc w:val="center"/>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                                          </w:t>
      </w:r>
    </w:p>
    <w:p w14:paraId="1CB99ED1">
      <w:pPr>
        <w:widowControl/>
        <w:spacing w:line="400" w:lineRule="exact"/>
        <w:jc w:val="center"/>
        <w:rPr>
          <w:rFonts w:ascii="仿宋_GB2312" w:eastAsia="仿宋_GB2312"/>
          <w:color w:val="auto"/>
          <w:spacing w:val="6"/>
          <w:sz w:val="24"/>
          <w:highlight w:val="none"/>
        </w:rPr>
      </w:pPr>
    </w:p>
    <w:p w14:paraId="72DAD37F">
      <w:pPr>
        <w:widowControl/>
        <w:spacing w:line="400" w:lineRule="exact"/>
        <w:ind w:right="504"/>
        <w:jc w:val="center"/>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                                              日  期：</w:t>
      </w:r>
    </w:p>
    <w:p w14:paraId="30299EC8">
      <w:pPr>
        <w:snapToGrid w:val="0"/>
        <w:spacing w:before="157" w:beforeLines="50" w:after="50" w:line="400" w:lineRule="exact"/>
        <w:ind w:firstLine="482" w:firstLineChars="200"/>
        <w:outlineLvl w:val="9"/>
        <w:rPr>
          <w:rFonts w:ascii="仿宋_GB2312" w:eastAsia="仿宋_GB2312"/>
          <w:b/>
          <w:bCs/>
          <w:color w:val="auto"/>
          <w:sz w:val="24"/>
          <w:highlight w:val="none"/>
        </w:rPr>
      </w:pPr>
      <w:r>
        <w:rPr>
          <w:rFonts w:hint="eastAsia" w:ascii="仿宋_GB2312" w:eastAsia="仿宋_GB2312"/>
          <w:b/>
          <w:bCs/>
          <w:color w:val="auto"/>
          <w:sz w:val="24"/>
          <w:highlight w:val="none"/>
        </w:rPr>
        <w:t>注：1.此项材料</w:t>
      </w:r>
      <w:r>
        <w:rPr>
          <w:rFonts w:hint="eastAsia" w:ascii="仿宋_GB2312" w:eastAsia="仿宋_GB2312"/>
          <w:b/>
          <w:bCs/>
          <w:color w:val="auto"/>
          <w:sz w:val="24"/>
          <w:highlight w:val="none"/>
          <w:lang w:val="en-US" w:eastAsia="zh-CN"/>
        </w:rPr>
        <w:t>如有</w:t>
      </w:r>
      <w:r>
        <w:rPr>
          <w:rFonts w:hint="eastAsia" w:ascii="仿宋_GB2312" w:eastAsia="仿宋_GB2312"/>
          <w:b/>
          <w:bCs/>
          <w:color w:val="auto"/>
          <w:sz w:val="24"/>
          <w:highlight w:val="none"/>
        </w:rPr>
        <w:t>以PDF格式上传；</w:t>
      </w:r>
    </w:p>
    <w:p w14:paraId="2DD50E01">
      <w:pPr>
        <w:snapToGrid w:val="0"/>
        <w:spacing w:before="157" w:beforeLines="50" w:after="50" w:line="400" w:lineRule="exact"/>
        <w:ind w:firstLine="964" w:firstLineChars="400"/>
        <w:outlineLvl w:val="9"/>
        <w:rPr>
          <w:rFonts w:ascii="仿宋_GB2312" w:eastAsia="仿宋_GB2312"/>
          <w:b/>
          <w:bCs/>
          <w:color w:val="auto"/>
          <w:sz w:val="24"/>
          <w:highlight w:val="none"/>
        </w:rPr>
      </w:pPr>
      <w:r>
        <w:rPr>
          <w:rFonts w:hint="eastAsia" w:ascii="仿宋_GB2312" w:eastAsia="仿宋_GB2312"/>
          <w:b/>
          <w:bCs/>
          <w:color w:val="auto"/>
          <w:sz w:val="24"/>
          <w:highlight w:val="none"/>
        </w:rPr>
        <w:t>2.成交供应商声明为残疾人福利性单位的，采购代理机构将随成交结果同时公告其《残疾人福利性单位声明函》，接受社会监督；</w:t>
      </w:r>
    </w:p>
    <w:p w14:paraId="5F61A906">
      <w:pPr>
        <w:pStyle w:val="63"/>
        <w:ind w:firstLine="964" w:firstLineChars="400"/>
        <w:outlineLvl w:val="9"/>
        <w:rPr>
          <w:rFonts w:ascii="仿宋_GB2312" w:eastAsia="仿宋_GB2312"/>
          <w:b/>
          <w:color w:val="auto"/>
          <w:spacing w:val="0"/>
          <w:kern w:val="2"/>
          <w:highlight w:val="none"/>
        </w:rPr>
      </w:pPr>
      <w:r>
        <w:rPr>
          <w:rFonts w:hint="eastAsia" w:ascii="仿宋_GB2312" w:eastAsia="仿宋_GB2312"/>
          <w:b/>
          <w:color w:val="auto"/>
          <w:spacing w:val="0"/>
          <w:kern w:val="2"/>
          <w:highlight w:val="none"/>
        </w:rPr>
        <w:t>3</w:t>
      </w:r>
      <w:r>
        <w:rPr>
          <w:rFonts w:ascii="仿宋_GB2312" w:eastAsia="仿宋_GB2312"/>
          <w:b/>
          <w:color w:val="auto"/>
          <w:spacing w:val="0"/>
          <w:kern w:val="2"/>
          <w:highlight w:val="none"/>
        </w:rPr>
        <w:t>.享受政府采购支持政策的残疾人福利性单位应当同时满足以下条件：</w:t>
      </w:r>
    </w:p>
    <w:p w14:paraId="5B9AE991">
      <w:pPr>
        <w:pStyle w:val="63"/>
        <w:ind w:firstLine="480" w:firstLineChars="200"/>
        <w:rPr>
          <w:rFonts w:ascii="仿宋_GB2312" w:eastAsia="仿宋_GB2312"/>
          <w:bCs w:val="0"/>
          <w:color w:val="auto"/>
          <w:spacing w:val="0"/>
          <w:kern w:val="2"/>
          <w:highlight w:val="none"/>
        </w:rPr>
      </w:pPr>
      <w:r>
        <w:rPr>
          <w:rFonts w:ascii="仿宋_GB2312" w:eastAsia="仿宋_GB2312"/>
          <w:bCs w:val="0"/>
          <w:color w:val="auto"/>
          <w:spacing w:val="0"/>
          <w:kern w:val="2"/>
          <w:highlight w:val="none"/>
        </w:rPr>
        <w:t>（</w:t>
      </w:r>
      <w:r>
        <w:rPr>
          <w:rFonts w:hint="eastAsia" w:ascii="仿宋_GB2312" w:eastAsia="仿宋_GB2312"/>
          <w:bCs w:val="0"/>
          <w:color w:val="auto"/>
          <w:spacing w:val="0"/>
          <w:kern w:val="2"/>
          <w:highlight w:val="none"/>
        </w:rPr>
        <w:t>1</w:t>
      </w:r>
      <w:r>
        <w:rPr>
          <w:rFonts w:ascii="仿宋_GB2312" w:eastAsia="仿宋_GB2312"/>
          <w:bCs w:val="0"/>
          <w:color w:val="auto"/>
          <w:spacing w:val="0"/>
          <w:kern w:val="2"/>
          <w:highlight w:val="none"/>
        </w:rPr>
        <w:t>）安置的残疾人占本单位在职职工人数的比例不低于25%（含25%），并且安置的残疾人人数不少于10人（含10人）；</w:t>
      </w:r>
    </w:p>
    <w:p w14:paraId="7011AF6D">
      <w:pPr>
        <w:pStyle w:val="63"/>
        <w:ind w:firstLine="480" w:firstLineChars="200"/>
        <w:rPr>
          <w:rFonts w:ascii="仿宋_GB2312" w:eastAsia="仿宋_GB2312"/>
          <w:bCs w:val="0"/>
          <w:color w:val="auto"/>
          <w:spacing w:val="0"/>
          <w:kern w:val="2"/>
          <w:highlight w:val="none"/>
        </w:rPr>
      </w:pPr>
      <w:r>
        <w:rPr>
          <w:rFonts w:ascii="仿宋_GB2312" w:eastAsia="仿宋_GB2312"/>
          <w:bCs w:val="0"/>
          <w:color w:val="auto"/>
          <w:spacing w:val="0"/>
          <w:kern w:val="2"/>
          <w:highlight w:val="none"/>
        </w:rPr>
        <w:t>（</w:t>
      </w:r>
      <w:r>
        <w:rPr>
          <w:rFonts w:hint="eastAsia" w:ascii="仿宋_GB2312" w:eastAsia="仿宋_GB2312"/>
          <w:bCs w:val="0"/>
          <w:color w:val="auto"/>
          <w:spacing w:val="0"/>
          <w:kern w:val="2"/>
          <w:highlight w:val="none"/>
        </w:rPr>
        <w:t>2</w:t>
      </w:r>
      <w:r>
        <w:rPr>
          <w:rFonts w:ascii="仿宋_GB2312" w:eastAsia="仿宋_GB2312"/>
          <w:bCs w:val="0"/>
          <w:color w:val="auto"/>
          <w:spacing w:val="0"/>
          <w:kern w:val="2"/>
          <w:highlight w:val="none"/>
        </w:rPr>
        <w:t>）依法与安置的每位残疾人签订了一年以上（含一年）的劳动合同或服务协议；</w:t>
      </w:r>
    </w:p>
    <w:p w14:paraId="1A6900A2">
      <w:pPr>
        <w:pStyle w:val="63"/>
        <w:ind w:firstLine="480" w:firstLineChars="200"/>
        <w:rPr>
          <w:rFonts w:ascii="仿宋_GB2312" w:eastAsia="仿宋_GB2312"/>
          <w:bCs w:val="0"/>
          <w:color w:val="auto"/>
          <w:spacing w:val="0"/>
          <w:kern w:val="2"/>
          <w:highlight w:val="none"/>
        </w:rPr>
      </w:pPr>
      <w:r>
        <w:rPr>
          <w:rFonts w:ascii="仿宋_GB2312" w:eastAsia="仿宋_GB2312"/>
          <w:bCs w:val="0"/>
          <w:color w:val="auto"/>
          <w:spacing w:val="0"/>
          <w:kern w:val="2"/>
          <w:highlight w:val="none"/>
        </w:rPr>
        <w:t>（</w:t>
      </w:r>
      <w:r>
        <w:rPr>
          <w:rFonts w:hint="eastAsia" w:ascii="仿宋_GB2312" w:eastAsia="仿宋_GB2312"/>
          <w:bCs w:val="0"/>
          <w:color w:val="auto"/>
          <w:spacing w:val="0"/>
          <w:kern w:val="2"/>
          <w:highlight w:val="none"/>
        </w:rPr>
        <w:t>3</w:t>
      </w:r>
      <w:r>
        <w:rPr>
          <w:rFonts w:ascii="仿宋_GB2312" w:eastAsia="仿宋_GB2312"/>
          <w:bCs w:val="0"/>
          <w:color w:val="auto"/>
          <w:spacing w:val="0"/>
          <w:kern w:val="2"/>
          <w:highlight w:val="none"/>
        </w:rPr>
        <w:t>）为安置的每位残疾人按月足额缴纳了基本养老保险、基本医疗保险、失业保险、工伤保险和生育保险等社会保险费；</w:t>
      </w:r>
    </w:p>
    <w:p w14:paraId="332C1782">
      <w:pPr>
        <w:pStyle w:val="63"/>
        <w:ind w:firstLine="480" w:firstLineChars="200"/>
        <w:rPr>
          <w:rFonts w:ascii="仿宋_GB2312" w:eastAsia="仿宋_GB2312"/>
          <w:bCs w:val="0"/>
          <w:color w:val="auto"/>
          <w:spacing w:val="0"/>
          <w:kern w:val="2"/>
          <w:highlight w:val="none"/>
        </w:rPr>
      </w:pPr>
      <w:r>
        <w:rPr>
          <w:rFonts w:ascii="仿宋_GB2312" w:eastAsia="仿宋_GB2312"/>
          <w:bCs w:val="0"/>
          <w:color w:val="auto"/>
          <w:spacing w:val="0"/>
          <w:kern w:val="2"/>
          <w:highlight w:val="none"/>
        </w:rPr>
        <w:t>（</w:t>
      </w:r>
      <w:r>
        <w:rPr>
          <w:rFonts w:hint="eastAsia" w:ascii="仿宋_GB2312" w:eastAsia="仿宋_GB2312"/>
          <w:bCs w:val="0"/>
          <w:color w:val="auto"/>
          <w:spacing w:val="0"/>
          <w:kern w:val="2"/>
          <w:highlight w:val="none"/>
        </w:rPr>
        <w:t>4</w:t>
      </w:r>
      <w:r>
        <w:rPr>
          <w:rFonts w:ascii="仿宋_GB2312" w:eastAsia="仿宋_GB2312"/>
          <w:bCs w:val="0"/>
          <w:color w:val="auto"/>
          <w:spacing w:val="0"/>
          <w:kern w:val="2"/>
          <w:highlight w:val="none"/>
        </w:rPr>
        <w:t>）通过银行等金融机构向安置的每位残疾人，按月支付了不低于单位所在区县适用的经省级人民政府批准的月最低工资标准的工资；</w:t>
      </w:r>
    </w:p>
    <w:p w14:paraId="329A6648">
      <w:pPr>
        <w:pStyle w:val="63"/>
        <w:ind w:firstLine="480" w:firstLineChars="200"/>
        <w:rPr>
          <w:rFonts w:ascii="仿宋_GB2312" w:eastAsia="仿宋_GB2312"/>
          <w:bCs w:val="0"/>
          <w:color w:val="auto"/>
          <w:spacing w:val="0"/>
          <w:kern w:val="2"/>
          <w:highlight w:val="none"/>
        </w:rPr>
      </w:pPr>
      <w:r>
        <w:rPr>
          <w:rFonts w:ascii="仿宋_GB2312" w:eastAsia="仿宋_GB2312"/>
          <w:bCs w:val="0"/>
          <w:color w:val="auto"/>
          <w:spacing w:val="0"/>
          <w:kern w:val="2"/>
          <w:highlight w:val="none"/>
        </w:rPr>
        <w:t>（</w:t>
      </w:r>
      <w:r>
        <w:rPr>
          <w:rFonts w:hint="eastAsia" w:ascii="仿宋_GB2312" w:eastAsia="仿宋_GB2312"/>
          <w:bCs w:val="0"/>
          <w:color w:val="auto"/>
          <w:spacing w:val="0"/>
          <w:kern w:val="2"/>
          <w:highlight w:val="none"/>
        </w:rPr>
        <w:t>5</w:t>
      </w:r>
      <w:r>
        <w:rPr>
          <w:rFonts w:ascii="仿宋_GB2312" w:eastAsia="仿宋_GB2312"/>
          <w:bCs w:val="0"/>
          <w:color w:val="auto"/>
          <w:spacing w:val="0"/>
          <w:kern w:val="2"/>
          <w:highlight w:val="none"/>
        </w:rPr>
        <w:t>）提供本单位制造的货物、承担的工程或者服务（以下简称产品），或者提供其他残疾人福利性单位制造的货物（不包括使用非残疾人福利性单位注册商标的货物）。</w:t>
      </w:r>
    </w:p>
    <w:p w14:paraId="63BEB194">
      <w:pPr>
        <w:pStyle w:val="63"/>
        <w:keepNext w:val="0"/>
        <w:keepLines w:val="0"/>
        <w:pageBreakBefore w:val="0"/>
        <w:widowControl w:val="0"/>
        <w:kinsoku/>
        <w:wordWrap/>
        <w:overflowPunct/>
        <w:topLinePunct w:val="0"/>
        <w:autoSpaceDE/>
        <w:autoSpaceDN/>
        <w:bidi w:val="0"/>
        <w:adjustRightInd/>
        <w:snapToGrid/>
        <w:ind w:firstLine="480" w:firstLineChars="200"/>
        <w:textAlignment w:val="auto"/>
        <w:rPr>
          <w:rFonts w:ascii="仿宋_GB2312" w:eastAsia="仿宋_GB2312"/>
          <w:b/>
          <w:bCs w:val="0"/>
          <w:color w:val="auto"/>
          <w:szCs w:val="21"/>
          <w:highlight w:val="none"/>
        </w:rPr>
      </w:pPr>
      <w:r>
        <w:rPr>
          <w:rFonts w:ascii="仿宋_GB2312" w:eastAsia="仿宋_GB2312"/>
          <w:bCs w:val="0"/>
          <w:color w:val="auto"/>
          <w:spacing w:val="0"/>
          <w:kern w:val="2"/>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2216054">
      <w:pPr>
        <w:rPr>
          <w:rFonts w:ascii="仿宋_GB2312" w:eastAsia="仿宋_GB2312"/>
          <w:color w:val="auto"/>
          <w:sz w:val="24"/>
          <w:highlight w:val="none"/>
        </w:rPr>
      </w:pPr>
      <w:r>
        <w:rPr>
          <w:rFonts w:ascii="仿宋_GB2312" w:eastAsia="仿宋_GB2312"/>
          <w:color w:val="auto"/>
          <w:sz w:val="24"/>
          <w:highlight w:val="none"/>
        </w:rPr>
        <w:br w:type="page"/>
      </w:r>
    </w:p>
    <w:p w14:paraId="6F636195">
      <w:pPr>
        <w:rPr>
          <w:rFonts w:hint="default" w:ascii="仿宋_GB2312" w:eastAsia="仿宋_GB2312" w:cs="Courier New"/>
          <w:b/>
          <w:color w:val="auto"/>
          <w:sz w:val="24"/>
          <w:highlight w:val="none"/>
          <w:lang w:val="en-US"/>
        </w:rPr>
      </w:pPr>
      <w:r>
        <w:rPr>
          <w:rFonts w:hint="eastAsia" w:ascii="仿宋_GB2312" w:eastAsia="仿宋_GB2312" w:cs="Courier New"/>
          <w:b/>
          <w:color w:val="auto"/>
          <w:sz w:val="24"/>
          <w:highlight w:val="none"/>
          <w:lang w:val="en-US" w:eastAsia="zh-CN"/>
        </w:rPr>
        <w:t>③监狱企业由省级以上监狱管理局、戒毒管理局（含新疆生产建设兵团）出具的属于监狱企业的证明文件（工程由监狱企业承建的必须提供）：</w:t>
      </w:r>
    </w:p>
    <w:p w14:paraId="14C2C4CC">
      <w:pPr>
        <w:rPr>
          <w:rFonts w:hint="default" w:ascii="仿宋_GB2312" w:eastAsia="仿宋_GB2312" w:cs="Courier New"/>
          <w:b/>
          <w:color w:val="auto"/>
          <w:sz w:val="24"/>
          <w:highlight w:val="none"/>
          <w:lang w:val="en-US"/>
        </w:rPr>
      </w:pPr>
    </w:p>
    <w:p w14:paraId="2EF5783B">
      <w:pPr>
        <w:pStyle w:val="8"/>
        <w:overflowPunct w:val="0"/>
        <w:spacing w:line="400" w:lineRule="exact"/>
        <w:ind w:left="0" w:firstLine="0"/>
        <w:rPr>
          <w:rFonts w:ascii="仿宋_GB2312" w:hAnsi="Courier New" w:eastAsia="仿宋_GB2312" w:cs="Courier New"/>
          <w:b/>
          <w:snapToGrid/>
          <w:color w:val="auto"/>
          <w:kern w:val="2"/>
          <w:sz w:val="32"/>
          <w:szCs w:val="32"/>
          <w:highlight w:val="none"/>
        </w:rPr>
      </w:pPr>
    </w:p>
    <w:p w14:paraId="2E22ACD3">
      <w:pPr>
        <w:pStyle w:val="8"/>
        <w:overflowPunct w:val="0"/>
        <w:spacing w:line="400" w:lineRule="exact"/>
        <w:ind w:left="0" w:firstLine="0"/>
        <w:rPr>
          <w:rFonts w:ascii="仿宋_GB2312" w:hAnsi="Courier New" w:eastAsia="仿宋_GB2312" w:cs="Courier New"/>
          <w:bCs/>
          <w:color w:val="auto"/>
          <w:sz w:val="24"/>
          <w:szCs w:val="24"/>
          <w:highlight w:val="none"/>
        </w:rPr>
      </w:pPr>
    </w:p>
    <w:p w14:paraId="2C785079">
      <w:pPr>
        <w:snapToGrid w:val="0"/>
        <w:spacing w:before="157" w:beforeLines="50" w:after="50" w:line="400" w:lineRule="exact"/>
        <w:outlineLvl w:val="9"/>
        <w:rPr>
          <w:rFonts w:ascii="仿宋_GB2312" w:eastAsia="仿宋_GB2312"/>
          <w:b/>
          <w:bCs/>
          <w:color w:val="auto"/>
          <w:szCs w:val="21"/>
          <w:highlight w:val="none"/>
        </w:rPr>
      </w:pPr>
    </w:p>
    <w:p w14:paraId="2962300A">
      <w:pPr>
        <w:tabs>
          <w:tab w:val="left" w:pos="3870"/>
          <w:tab w:val="left" w:pos="4085"/>
        </w:tabs>
        <w:snapToGrid w:val="0"/>
        <w:spacing w:line="400" w:lineRule="exact"/>
        <w:jc w:val="left"/>
        <w:rPr>
          <w:rFonts w:hint="eastAsia" w:ascii="仿宋_GB2312" w:eastAsia="仿宋_GB2312"/>
          <w:color w:val="auto"/>
          <w:sz w:val="24"/>
          <w:highlight w:val="none"/>
        </w:rPr>
      </w:pPr>
      <w:r>
        <w:rPr>
          <w:rFonts w:hint="eastAsia" w:ascii="仿宋_GB2312" w:eastAsia="仿宋_GB2312"/>
          <w:b/>
          <w:bCs/>
          <w:color w:val="auto"/>
          <w:sz w:val="32"/>
          <w:szCs w:val="32"/>
          <w:highlight w:val="none"/>
        </w:rPr>
        <w:t>注：</w:t>
      </w:r>
      <w:r>
        <w:rPr>
          <w:rFonts w:hint="eastAsia" w:ascii="仿宋_GB2312" w:eastAsia="仿宋_GB2312"/>
          <w:b/>
          <w:bCs/>
          <w:color w:val="auto"/>
          <w:sz w:val="32"/>
          <w:szCs w:val="32"/>
          <w:highlight w:val="none"/>
          <w:lang w:val="en-US" w:eastAsia="zh-CN"/>
        </w:rPr>
        <w:t>如有</w:t>
      </w:r>
      <w:r>
        <w:rPr>
          <w:rFonts w:hint="eastAsia" w:ascii="仿宋_GB2312" w:eastAsia="仿宋_GB2312"/>
          <w:b/>
          <w:bCs/>
          <w:color w:val="auto"/>
          <w:sz w:val="32"/>
          <w:szCs w:val="32"/>
          <w:highlight w:val="none"/>
        </w:rPr>
        <w:t>请以PDF格式提供并加盖供应商CA电子签章。</w:t>
      </w:r>
    </w:p>
    <w:p w14:paraId="509FED0A">
      <w:pPr>
        <w:tabs>
          <w:tab w:val="left" w:pos="3870"/>
          <w:tab w:val="left" w:pos="4085"/>
        </w:tabs>
        <w:snapToGrid w:val="0"/>
        <w:spacing w:line="400" w:lineRule="exact"/>
        <w:jc w:val="left"/>
        <w:rPr>
          <w:rFonts w:hint="eastAsia" w:ascii="仿宋_GB2312" w:eastAsia="仿宋_GB2312"/>
          <w:color w:val="auto"/>
          <w:sz w:val="24"/>
          <w:highlight w:val="none"/>
        </w:rPr>
      </w:pPr>
    </w:p>
    <w:p w14:paraId="6B843C01">
      <w:pPr>
        <w:rPr>
          <w:rFonts w:hint="eastAsia" w:ascii="仿宋_GB2312" w:eastAsia="仿宋_GB2312"/>
          <w:color w:val="auto"/>
          <w:sz w:val="24"/>
          <w:highlight w:val="none"/>
        </w:rPr>
      </w:pPr>
      <w:r>
        <w:rPr>
          <w:rFonts w:hint="eastAsia" w:ascii="仿宋_GB2312" w:eastAsia="仿宋_GB2312"/>
          <w:color w:val="auto"/>
          <w:sz w:val="24"/>
          <w:highlight w:val="none"/>
        </w:rPr>
        <w:br w:type="page"/>
      </w:r>
    </w:p>
    <w:p w14:paraId="715F82E5">
      <w:pPr>
        <w:tabs>
          <w:tab w:val="left" w:pos="3870"/>
          <w:tab w:val="left" w:pos="4085"/>
        </w:tabs>
        <w:snapToGrid w:val="0"/>
        <w:spacing w:line="400" w:lineRule="exact"/>
        <w:jc w:val="left"/>
        <w:rPr>
          <w:rFonts w:hint="eastAsia" w:ascii="仿宋_GB2312" w:eastAsia="仿宋_GB2312"/>
          <w:color w:val="auto"/>
          <w:sz w:val="24"/>
          <w:highlight w:val="none"/>
          <w:lang w:eastAsia="zh-CN"/>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6</w:t>
      </w:r>
      <w:r>
        <w:rPr>
          <w:rFonts w:hint="eastAsia" w:ascii="仿宋_GB2312" w:eastAsia="仿宋_GB2312"/>
          <w:color w:val="auto"/>
          <w:sz w:val="24"/>
          <w:highlight w:val="none"/>
        </w:rPr>
        <w:t>）供应商</w:t>
      </w:r>
      <w:r>
        <w:rPr>
          <w:rFonts w:hint="eastAsia" w:ascii="仿宋_GB2312" w:eastAsia="仿宋_GB2312"/>
          <w:color w:val="auto"/>
          <w:sz w:val="24"/>
          <w:highlight w:val="none"/>
          <w:lang w:val="en-US" w:eastAsia="zh-CN"/>
        </w:rPr>
        <w:t>直接控股、管理关系信息表</w:t>
      </w:r>
      <w:r>
        <w:rPr>
          <w:rFonts w:hint="eastAsia" w:ascii="仿宋_GB2312" w:eastAsia="仿宋_GB2312"/>
          <w:color w:val="auto"/>
          <w:sz w:val="24"/>
          <w:highlight w:val="none"/>
        </w:rPr>
        <w:t>（</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w:t>
      </w:r>
      <w:r>
        <w:rPr>
          <w:rFonts w:hint="eastAsia" w:ascii="仿宋_GB2312" w:eastAsia="仿宋_GB2312"/>
          <w:color w:val="auto"/>
          <w:sz w:val="24"/>
          <w:highlight w:val="none"/>
          <w:lang w:eastAsia="zh-CN"/>
        </w:rPr>
        <w:t>；</w:t>
      </w:r>
    </w:p>
    <w:p w14:paraId="7C26D349">
      <w:pPr>
        <w:spacing w:line="360" w:lineRule="auto"/>
        <w:contextualSpacing/>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供应商直接控股股东信息表</w:t>
      </w:r>
    </w:p>
    <w:p w14:paraId="4EDC0843">
      <w:pPr>
        <w:spacing w:line="360" w:lineRule="auto"/>
        <w:contextualSpacing/>
        <w:jc w:val="center"/>
        <w:rPr>
          <w:rFonts w:hint="eastAsia" w:ascii="仿宋" w:hAnsi="仿宋" w:eastAsia="仿宋" w:cs="仿宋"/>
          <w:b/>
          <w:color w:val="auto"/>
          <w:sz w:val="24"/>
          <w:highlight w:val="none"/>
        </w:rPr>
      </w:pPr>
    </w:p>
    <w:tbl>
      <w:tblPr>
        <w:tblStyle w:val="52"/>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6BC517FB">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6761BFA">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6B341A8">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0F25BA8">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4D5504F">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1417D56">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14:paraId="464ACF09">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1A93F0C">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210355D">
            <w:pPr>
              <w:widowControl/>
              <w:spacing w:line="360" w:lineRule="auto"/>
              <w:contextualSpacing/>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63EA3E6">
            <w:pPr>
              <w:widowControl/>
              <w:spacing w:line="360" w:lineRule="auto"/>
              <w:contextualSpacing/>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4DB445A">
            <w:pPr>
              <w:widowControl/>
              <w:spacing w:line="360" w:lineRule="auto"/>
              <w:contextualSpacing/>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BF129CD">
            <w:pPr>
              <w:widowControl/>
              <w:spacing w:line="360" w:lineRule="auto"/>
              <w:contextualSpacing/>
              <w:jc w:val="center"/>
              <w:rPr>
                <w:rFonts w:hint="eastAsia" w:ascii="仿宋" w:hAnsi="仿宋" w:eastAsia="仿宋" w:cs="仿宋"/>
                <w:color w:val="auto"/>
                <w:kern w:val="0"/>
                <w:sz w:val="24"/>
                <w:highlight w:val="none"/>
              </w:rPr>
            </w:pPr>
          </w:p>
        </w:tc>
      </w:tr>
      <w:tr w14:paraId="0226C528">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0A4D896">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6249352">
            <w:pPr>
              <w:widowControl/>
              <w:spacing w:line="360" w:lineRule="auto"/>
              <w:contextualSpacing/>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1BA7A65">
            <w:pPr>
              <w:widowControl/>
              <w:spacing w:line="360" w:lineRule="auto"/>
              <w:contextualSpacing/>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955F457">
            <w:pPr>
              <w:widowControl/>
              <w:spacing w:line="360" w:lineRule="auto"/>
              <w:contextualSpacing/>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F43A076">
            <w:pPr>
              <w:widowControl/>
              <w:spacing w:line="360" w:lineRule="auto"/>
              <w:contextualSpacing/>
              <w:jc w:val="center"/>
              <w:rPr>
                <w:rFonts w:hint="eastAsia" w:ascii="仿宋" w:hAnsi="仿宋" w:eastAsia="仿宋" w:cs="仿宋"/>
                <w:color w:val="auto"/>
                <w:kern w:val="0"/>
                <w:sz w:val="24"/>
                <w:highlight w:val="none"/>
              </w:rPr>
            </w:pPr>
          </w:p>
        </w:tc>
      </w:tr>
      <w:tr w14:paraId="22E5E9C5">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07580B7">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A027E4C">
            <w:pPr>
              <w:widowControl/>
              <w:spacing w:line="360" w:lineRule="auto"/>
              <w:contextualSpacing/>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BBCC193">
            <w:pPr>
              <w:widowControl/>
              <w:spacing w:line="360" w:lineRule="auto"/>
              <w:contextualSpacing/>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08771F4">
            <w:pPr>
              <w:widowControl/>
              <w:spacing w:line="360" w:lineRule="auto"/>
              <w:contextualSpacing/>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7C16200">
            <w:pPr>
              <w:widowControl/>
              <w:spacing w:line="360" w:lineRule="auto"/>
              <w:contextualSpacing/>
              <w:jc w:val="center"/>
              <w:rPr>
                <w:rFonts w:hint="eastAsia" w:ascii="仿宋" w:hAnsi="仿宋" w:eastAsia="仿宋" w:cs="仿宋"/>
                <w:color w:val="auto"/>
                <w:kern w:val="0"/>
                <w:sz w:val="24"/>
                <w:highlight w:val="none"/>
              </w:rPr>
            </w:pPr>
          </w:p>
        </w:tc>
      </w:tr>
      <w:tr w14:paraId="56CC74E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2390E63">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E55C3AA">
            <w:pPr>
              <w:widowControl/>
              <w:spacing w:line="360" w:lineRule="auto"/>
              <w:contextualSpacing/>
              <w:jc w:val="center"/>
              <w:rPr>
                <w:rFonts w:hint="eastAsia" w:ascii="仿宋" w:hAnsi="仿宋" w:eastAsia="仿宋" w:cs="仿宋"/>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D0D0E95">
            <w:pPr>
              <w:widowControl/>
              <w:spacing w:line="360" w:lineRule="auto"/>
              <w:contextualSpacing/>
              <w:jc w:val="center"/>
              <w:rPr>
                <w:rFonts w:hint="eastAsia" w:ascii="仿宋" w:hAnsi="仿宋" w:eastAsia="仿宋" w:cs="仿宋"/>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3F70C63">
            <w:pPr>
              <w:widowControl/>
              <w:spacing w:line="360" w:lineRule="auto"/>
              <w:contextualSpacing/>
              <w:jc w:val="center"/>
              <w:rPr>
                <w:rFonts w:hint="eastAsia" w:ascii="仿宋" w:hAnsi="仿宋" w:eastAsia="仿宋" w:cs="仿宋"/>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D0EBE66">
            <w:pPr>
              <w:widowControl/>
              <w:spacing w:line="360" w:lineRule="auto"/>
              <w:contextualSpacing/>
              <w:jc w:val="center"/>
              <w:rPr>
                <w:rFonts w:hint="eastAsia" w:ascii="仿宋" w:hAnsi="仿宋" w:eastAsia="仿宋" w:cs="仿宋"/>
                <w:color w:val="auto"/>
                <w:kern w:val="0"/>
                <w:sz w:val="24"/>
                <w:highlight w:val="none"/>
              </w:rPr>
            </w:pPr>
          </w:p>
        </w:tc>
      </w:tr>
    </w:tbl>
    <w:p w14:paraId="04708847">
      <w:pPr>
        <w:spacing w:line="360" w:lineRule="auto"/>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7EDE36D0">
      <w:pPr>
        <w:spacing w:line="360" w:lineRule="auto"/>
        <w:ind w:firstLine="480" w:firstLineChars="200"/>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0B7DF13">
      <w:pPr>
        <w:spacing w:line="360" w:lineRule="auto"/>
        <w:ind w:firstLine="480" w:firstLineChars="200"/>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2.本表所指的控股关系仅限于直接控股关系，不包括间接的控股关系。公司实际控制人与公司之间的关系不属于本表所指的直接控股关系。</w:t>
      </w:r>
    </w:p>
    <w:p w14:paraId="7D78C20E">
      <w:pPr>
        <w:spacing w:line="360" w:lineRule="auto"/>
        <w:ind w:firstLine="480" w:firstLineChars="200"/>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3.供应商不存在直接控股股东的，则在“直接控股股东名称”填“无”。</w:t>
      </w:r>
    </w:p>
    <w:p w14:paraId="3EA79F36">
      <w:pPr>
        <w:spacing w:line="360" w:lineRule="auto"/>
        <w:ind w:firstLine="420" w:firstLineChars="200"/>
        <w:contextualSpacing/>
        <w:jc w:val="left"/>
        <w:rPr>
          <w:rFonts w:hint="eastAsia" w:ascii="仿宋" w:hAnsi="仿宋" w:eastAsia="仿宋" w:cs="仿宋"/>
          <w:color w:val="auto"/>
          <w:szCs w:val="21"/>
          <w:highlight w:val="none"/>
        </w:rPr>
      </w:pPr>
    </w:p>
    <w:p w14:paraId="20AF92A8">
      <w:pPr>
        <w:spacing w:line="360" w:lineRule="auto"/>
        <w:ind w:firstLine="560" w:firstLineChars="200"/>
        <w:contextualSpacing/>
        <w:jc w:val="left"/>
        <w:rPr>
          <w:rFonts w:hint="eastAsia" w:ascii="仿宋" w:hAnsi="仿宋" w:eastAsia="仿宋" w:cs="仿宋"/>
          <w:color w:val="auto"/>
          <w:sz w:val="28"/>
          <w:szCs w:val="28"/>
          <w:highlight w:val="none"/>
        </w:rPr>
      </w:pPr>
    </w:p>
    <w:p w14:paraId="1B7AE120">
      <w:pPr>
        <w:spacing w:line="360" w:lineRule="auto"/>
        <w:ind w:right="480"/>
        <w:contextualSpacing/>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法定代表人或者委托代理人（签字或者电子签名）：</w:t>
      </w:r>
    </w:p>
    <w:p w14:paraId="0CF20ACB">
      <w:pPr>
        <w:spacing w:line="360" w:lineRule="auto"/>
        <w:ind w:right="480" w:firstLine="3000" w:firstLineChars="1250"/>
        <w:contextualSpacing/>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供应商（电子签章）：</w:t>
      </w:r>
    </w:p>
    <w:p w14:paraId="4B942479">
      <w:pPr>
        <w:spacing w:line="360" w:lineRule="auto"/>
        <w:ind w:firstLine="480" w:firstLineChars="200"/>
        <w:contextualSpacing/>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2439B8E3">
      <w:pPr>
        <w:pStyle w:val="29"/>
        <w:spacing w:line="400" w:lineRule="exact"/>
        <w:ind w:firstLine="482" w:firstLineChars="200"/>
        <w:rPr>
          <w:rFonts w:ascii="仿宋_GB2312" w:hAnsi="宋体" w:eastAsia="仿宋_GB2312"/>
          <w:b/>
          <w:bCs/>
          <w:color w:val="auto"/>
          <w:sz w:val="24"/>
          <w:szCs w:val="24"/>
          <w:highlight w:val="none"/>
        </w:rPr>
      </w:pPr>
      <w:r>
        <w:rPr>
          <w:rFonts w:hint="eastAsia" w:ascii="仿宋_GB2312" w:eastAsia="仿宋_GB2312"/>
          <w:b/>
          <w:color w:val="auto"/>
          <w:sz w:val="24"/>
          <w:szCs w:val="24"/>
          <w:highlight w:val="none"/>
        </w:rPr>
        <w:t>注：此项材料必须</w:t>
      </w:r>
      <w:r>
        <w:rPr>
          <w:rFonts w:hint="eastAsia" w:ascii="仿宋_GB2312" w:hAnsi="宋体" w:eastAsia="仿宋_GB2312"/>
          <w:b/>
          <w:bCs/>
          <w:color w:val="auto"/>
          <w:sz w:val="24"/>
          <w:szCs w:val="24"/>
          <w:highlight w:val="none"/>
        </w:rPr>
        <w:t>以PDF格式上传。</w:t>
      </w:r>
    </w:p>
    <w:p w14:paraId="5C928317">
      <w:pPr>
        <w:spacing w:line="360" w:lineRule="auto"/>
        <w:ind w:firstLine="480" w:firstLineChars="200"/>
        <w:contextualSpacing/>
        <w:jc w:val="right"/>
        <w:rPr>
          <w:rFonts w:hint="eastAsia" w:ascii="仿宋" w:hAnsi="仿宋" w:eastAsia="仿宋" w:cs="仿宋"/>
          <w:color w:val="auto"/>
          <w:sz w:val="24"/>
          <w:highlight w:val="none"/>
        </w:rPr>
      </w:pPr>
    </w:p>
    <w:p w14:paraId="173DAB50">
      <w:pPr>
        <w:snapToGrid w:val="0"/>
        <w:jc w:val="center"/>
        <w:rPr>
          <w:rFonts w:ascii="宋体" w:hAnsi="宋体"/>
          <w:b/>
          <w:color w:val="auto"/>
          <w:sz w:val="28"/>
          <w:szCs w:val="28"/>
          <w:highlight w:val="none"/>
        </w:rPr>
      </w:pPr>
      <w:r>
        <w:rPr>
          <w:rFonts w:ascii="宋体" w:hAnsi="宋体"/>
          <w:b/>
          <w:color w:val="auto"/>
          <w:sz w:val="28"/>
          <w:szCs w:val="28"/>
          <w:highlight w:val="none"/>
        </w:rPr>
        <w:br w:type="page"/>
      </w:r>
    </w:p>
    <w:p w14:paraId="79135963">
      <w:pPr>
        <w:spacing w:line="32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供应商直接管理关系信息表</w:t>
      </w:r>
    </w:p>
    <w:p w14:paraId="52F3B42B">
      <w:pPr>
        <w:snapToGrid w:val="0"/>
        <w:spacing w:line="360" w:lineRule="auto"/>
        <w:jc w:val="center"/>
        <w:rPr>
          <w:rFonts w:hint="eastAsia" w:ascii="仿宋" w:hAnsi="仿宋" w:eastAsia="仿宋" w:cs="仿宋"/>
          <w:b/>
          <w:color w:val="auto"/>
          <w:sz w:val="24"/>
          <w:highlight w:val="none"/>
        </w:rPr>
      </w:pPr>
    </w:p>
    <w:tbl>
      <w:tblPr>
        <w:tblStyle w:val="52"/>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1F50BB10">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413C235">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A8C035">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EAAAC42">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288F52C">
            <w:pPr>
              <w:widowControl/>
              <w:spacing w:line="360" w:lineRule="auto"/>
              <w:contextualSpacing/>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相互关系</w:t>
            </w:r>
          </w:p>
        </w:tc>
      </w:tr>
      <w:tr w14:paraId="30124A56">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F344AB2">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73DFB5D">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C8C0C30">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64BA8B1">
            <w:pPr>
              <w:widowControl/>
              <w:spacing w:line="360" w:lineRule="auto"/>
              <w:contextualSpacing/>
              <w:jc w:val="center"/>
              <w:rPr>
                <w:rFonts w:hint="eastAsia" w:ascii="仿宋" w:hAnsi="仿宋" w:eastAsia="仿宋" w:cs="仿宋"/>
                <w:color w:val="auto"/>
                <w:kern w:val="0"/>
                <w:sz w:val="24"/>
                <w:highlight w:val="none"/>
              </w:rPr>
            </w:pPr>
          </w:p>
        </w:tc>
      </w:tr>
      <w:tr w14:paraId="181E6A4C">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F3EB80D">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D374414">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AB9573E">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6576ED2">
            <w:pPr>
              <w:widowControl/>
              <w:spacing w:line="360" w:lineRule="auto"/>
              <w:contextualSpacing/>
              <w:jc w:val="center"/>
              <w:rPr>
                <w:rFonts w:hint="eastAsia" w:ascii="仿宋" w:hAnsi="仿宋" w:eastAsia="仿宋" w:cs="仿宋"/>
                <w:color w:val="auto"/>
                <w:kern w:val="0"/>
                <w:sz w:val="24"/>
                <w:highlight w:val="none"/>
              </w:rPr>
            </w:pPr>
          </w:p>
        </w:tc>
      </w:tr>
      <w:tr w14:paraId="5FD0BD8C">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FCCF4E1">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90CB1CF">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ADFD062">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864BCB2">
            <w:pPr>
              <w:widowControl/>
              <w:spacing w:line="360" w:lineRule="auto"/>
              <w:contextualSpacing/>
              <w:jc w:val="center"/>
              <w:rPr>
                <w:rFonts w:hint="eastAsia" w:ascii="仿宋" w:hAnsi="仿宋" w:eastAsia="仿宋" w:cs="仿宋"/>
                <w:color w:val="auto"/>
                <w:kern w:val="0"/>
                <w:sz w:val="24"/>
                <w:highlight w:val="none"/>
              </w:rPr>
            </w:pPr>
          </w:p>
        </w:tc>
      </w:tr>
      <w:tr w14:paraId="73B8289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91E0978">
            <w:pPr>
              <w:widowControl/>
              <w:spacing w:line="360" w:lineRule="auto"/>
              <w:contextualSpacing/>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016C4EE">
            <w:pPr>
              <w:widowControl/>
              <w:spacing w:line="360" w:lineRule="auto"/>
              <w:contextualSpacing/>
              <w:jc w:val="center"/>
              <w:rPr>
                <w:rFonts w:hint="eastAsia" w:ascii="仿宋" w:hAnsi="仿宋" w:eastAsia="仿宋" w:cs="仿宋"/>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4B594A7">
            <w:pPr>
              <w:widowControl/>
              <w:spacing w:line="360" w:lineRule="auto"/>
              <w:contextualSpacing/>
              <w:jc w:val="center"/>
              <w:rPr>
                <w:rFonts w:hint="eastAsia" w:ascii="仿宋" w:hAnsi="仿宋" w:eastAsia="仿宋" w:cs="仿宋"/>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2AECCFB">
            <w:pPr>
              <w:widowControl/>
              <w:spacing w:line="360" w:lineRule="auto"/>
              <w:contextualSpacing/>
              <w:jc w:val="center"/>
              <w:rPr>
                <w:rFonts w:hint="eastAsia" w:ascii="仿宋" w:hAnsi="仿宋" w:eastAsia="仿宋" w:cs="仿宋"/>
                <w:color w:val="auto"/>
                <w:kern w:val="0"/>
                <w:sz w:val="24"/>
                <w:highlight w:val="none"/>
              </w:rPr>
            </w:pPr>
          </w:p>
        </w:tc>
      </w:tr>
    </w:tbl>
    <w:p w14:paraId="7E6F8B8B">
      <w:pPr>
        <w:spacing w:line="360" w:lineRule="auto"/>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5CF96F0E">
      <w:pPr>
        <w:spacing w:line="360" w:lineRule="auto"/>
        <w:ind w:firstLine="480" w:firstLineChars="200"/>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1.管理关系：是指不具有出资持股关系的其他单位之间存在的管理与被管理关系，如一些上下级关系的事业单位和团体组织。</w:t>
      </w:r>
    </w:p>
    <w:p w14:paraId="0B98FEF1">
      <w:pPr>
        <w:spacing w:line="360" w:lineRule="auto"/>
        <w:ind w:firstLine="480" w:firstLineChars="200"/>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pacing w:val="-6"/>
          <w:sz w:val="24"/>
          <w:highlight w:val="none"/>
        </w:rPr>
        <w:t>本表所指的管理关系仅限于直接管理关系，不包括间接的管理关系。</w:t>
      </w:r>
    </w:p>
    <w:p w14:paraId="3D28BC1E">
      <w:pPr>
        <w:spacing w:line="360" w:lineRule="auto"/>
        <w:ind w:firstLine="480" w:firstLineChars="200"/>
        <w:contextualSpacing/>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3.供应商不存在直接管理关系的，则在“直接管理关系单位名称”填“无”。</w:t>
      </w:r>
    </w:p>
    <w:p w14:paraId="3E714E92">
      <w:pPr>
        <w:spacing w:line="360" w:lineRule="auto"/>
        <w:contextualSpacing/>
        <w:jc w:val="left"/>
        <w:rPr>
          <w:rFonts w:hint="eastAsia" w:ascii="仿宋" w:hAnsi="仿宋" w:eastAsia="仿宋" w:cs="仿宋"/>
          <w:color w:val="auto"/>
          <w:sz w:val="28"/>
          <w:szCs w:val="28"/>
          <w:highlight w:val="none"/>
        </w:rPr>
      </w:pPr>
    </w:p>
    <w:p w14:paraId="37D3791B">
      <w:pPr>
        <w:spacing w:line="360" w:lineRule="auto"/>
        <w:contextualSpacing/>
        <w:jc w:val="left"/>
        <w:rPr>
          <w:rFonts w:hint="eastAsia" w:ascii="仿宋" w:hAnsi="仿宋" w:eastAsia="仿宋" w:cs="仿宋"/>
          <w:color w:val="auto"/>
          <w:sz w:val="28"/>
          <w:szCs w:val="28"/>
          <w:highlight w:val="none"/>
        </w:rPr>
      </w:pPr>
    </w:p>
    <w:p w14:paraId="61031ACC">
      <w:pPr>
        <w:spacing w:line="360" w:lineRule="auto"/>
        <w:contextualSpacing/>
        <w:jc w:val="left"/>
        <w:rPr>
          <w:rFonts w:hint="eastAsia" w:ascii="仿宋" w:hAnsi="仿宋" w:eastAsia="仿宋" w:cs="仿宋"/>
          <w:color w:val="auto"/>
          <w:sz w:val="28"/>
          <w:szCs w:val="28"/>
          <w:highlight w:val="none"/>
        </w:rPr>
      </w:pPr>
    </w:p>
    <w:p w14:paraId="4EEBCFE2">
      <w:pPr>
        <w:spacing w:line="360" w:lineRule="auto"/>
        <w:contextualSpacing/>
        <w:jc w:val="left"/>
        <w:rPr>
          <w:rFonts w:hint="eastAsia" w:ascii="仿宋" w:hAnsi="仿宋" w:eastAsia="仿宋" w:cs="仿宋"/>
          <w:color w:val="auto"/>
          <w:sz w:val="28"/>
          <w:szCs w:val="28"/>
          <w:highlight w:val="none"/>
        </w:rPr>
      </w:pPr>
    </w:p>
    <w:p w14:paraId="16FD0C6D">
      <w:pPr>
        <w:spacing w:line="360" w:lineRule="auto"/>
        <w:contextualSpacing/>
        <w:jc w:val="left"/>
        <w:rPr>
          <w:rFonts w:hint="eastAsia" w:ascii="仿宋" w:hAnsi="仿宋" w:eastAsia="仿宋" w:cs="仿宋"/>
          <w:color w:val="auto"/>
          <w:sz w:val="28"/>
          <w:szCs w:val="28"/>
          <w:highlight w:val="none"/>
        </w:rPr>
      </w:pPr>
    </w:p>
    <w:p w14:paraId="41467425">
      <w:pPr>
        <w:spacing w:line="360" w:lineRule="auto"/>
        <w:contextualSpacing/>
        <w:jc w:val="left"/>
        <w:rPr>
          <w:rFonts w:hint="eastAsia" w:ascii="仿宋" w:hAnsi="仿宋" w:eastAsia="仿宋" w:cs="仿宋"/>
          <w:color w:val="auto"/>
          <w:sz w:val="28"/>
          <w:szCs w:val="28"/>
          <w:highlight w:val="none"/>
        </w:rPr>
      </w:pPr>
    </w:p>
    <w:p w14:paraId="0FB7FF48">
      <w:pPr>
        <w:spacing w:line="360" w:lineRule="auto"/>
        <w:ind w:right="480"/>
        <w:contextualSpacing/>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法定代表人或者委托代理人（签字或者电子签名）：</w:t>
      </w:r>
    </w:p>
    <w:p w14:paraId="2C62E559">
      <w:pPr>
        <w:spacing w:line="360" w:lineRule="auto"/>
        <w:ind w:right="480" w:firstLine="3360" w:firstLineChars="14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供应商（电子签章）：</w:t>
      </w:r>
    </w:p>
    <w:p w14:paraId="7922D908">
      <w:pPr>
        <w:pStyle w:val="41"/>
        <w:rPr>
          <w:rFonts w:hint="eastAsia"/>
          <w:color w:val="auto"/>
          <w:highlight w:val="none"/>
        </w:rPr>
      </w:pPr>
      <w:r>
        <w:rPr>
          <w:rFonts w:hint="eastAsia" w:ascii="仿宋" w:hAnsi="仿宋" w:eastAsia="仿宋" w:cs="仿宋"/>
          <w:color w:val="auto"/>
          <w:sz w:val="24"/>
          <w:highlight w:val="none"/>
        </w:rPr>
        <w:t xml:space="preserve">                                        年    月    日</w:t>
      </w:r>
    </w:p>
    <w:p w14:paraId="6A883A4C">
      <w:pPr>
        <w:pStyle w:val="29"/>
        <w:spacing w:line="400" w:lineRule="exact"/>
        <w:ind w:firstLine="482" w:firstLineChars="200"/>
        <w:rPr>
          <w:rFonts w:ascii="仿宋_GB2312" w:hAnsi="宋体" w:eastAsia="仿宋_GB2312"/>
          <w:b/>
          <w:bCs/>
          <w:color w:val="auto"/>
          <w:sz w:val="24"/>
          <w:szCs w:val="24"/>
          <w:highlight w:val="none"/>
        </w:rPr>
      </w:pPr>
      <w:r>
        <w:rPr>
          <w:rFonts w:hint="eastAsia" w:ascii="仿宋_GB2312" w:eastAsia="仿宋_GB2312"/>
          <w:b/>
          <w:color w:val="auto"/>
          <w:sz w:val="24"/>
          <w:szCs w:val="24"/>
          <w:highlight w:val="none"/>
        </w:rPr>
        <w:t>注：此项材料必须</w:t>
      </w:r>
      <w:r>
        <w:rPr>
          <w:rFonts w:hint="eastAsia" w:ascii="仿宋_GB2312" w:hAnsi="宋体" w:eastAsia="仿宋_GB2312"/>
          <w:b/>
          <w:bCs/>
          <w:color w:val="auto"/>
          <w:sz w:val="24"/>
          <w:szCs w:val="24"/>
          <w:highlight w:val="none"/>
        </w:rPr>
        <w:t>以PDF格式上传。</w:t>
      </w:r>
    </w:p>
    <w:p w14:paraId="01FDF22A">
      <w:pPr>
        <w:pStyle w:val="41"/>
        <w:rPr>
          <w:rFonts w:hint="eastAsia"/>
          <w:color w:val="auto"/>
          <w:highlight w:val="none"/>
        </w:rPr>
      </w:pPr>
    </w:p>
    <w:p w14:paraId="3B08BFE1">
      <w:pPr>
        <w:pStyle w:val="41"/>
        <w:rPr>
          <w:rFonts w:hint="eastAsia"/>
          <w:color w:val="auto"/>
          <w:highlight w:val="none"/>
        </w:rPr>
      </w:pPr>
    </w:p>
    <w:p w14:paraId="334BB526">
      <w:pPr>
        <w:rPr>
          <w:rFonts w:hint="eastAsia" w:ascii="仿宋_GB2312" w:eastAsia="仿宋_GB2312"/>
          <w:b/>
          <w:bCs/>
          <w:color w:val="auto"/>
          <w:sz w:val="24"/>
          <w:highlight w:val="none"/>
        </w:rPr>
      </w:pPr>
      <w:r>
        <w:rPr>
          <w:rFonts w:hint="eastAsia" w:ascii="仿宋_GB2312" w:eastAsia="仿宋_GB2312"/>
          <w:b/>
          <w:bCs/>
          <w:color w:val="auto"/>
          <w:sz w:val="24"/>
          <w:highlight w:val="none"/>
        </w:rPr>
        <w:br w:type="page"/>
      </w:r>
    </w:p>
    <w:p w14:paraId="51755BC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（7）本项目的特定资格要求证明材料：</w:t>
      </w:r>
      <w:r>
        <w:rPr>
          <w:rFonts w:hint="eastAsia" w:ascii="仿宋_GB2312" w:eastAsia="仿宋_GB2312"/>
          <w:color w:val="auto"/>
          <w:sz w:val="24"/>
          <w:highlight w:val="none"/>
        </w:rPr>
        <w:t>（</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否则响应文件按无效处理</w:t>
      </w:r>
      <w:r>
        <w:rPr>
          <w:rFonts w:hint="eastAsia" w:ascii="仿宋_GB2312" w:eastAsia="仿宋_GB2312"/>
          <w:color w:val="auto"/>
          <w:sz w:val="24"/>
          <w:highlight w:val="none"/>
        </w:rPr>
        <w:t>）；</w:t>
      </w:r>
    </w:p>
    <w:p w14:paraId="7B27007B">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①</w:t>
      </w:r>
      <w:r>
        <w:rPr>
          <w:rFonts w:hint="eastAsia" w:ascii="仿宋_GB2312" w:hAnsi="仿宋_GB2312" w:eastAsia="仿宋_GB2312" w:cs="仿宋_GB2312"/>
          <w:color w:val="auto"/>
          <w:sz w:val="24"/>
          <w:szCs w:val="24"/>
          <w:highlight w:val="none"/>
          <w:lang w:val="en-US" w:eastAsia="zh-CN"/>
        </w:rPr>
        <w:t>供应商须</w:t>
      </w:r>
      <w:r>
        <w:rPr>
          <w:rFonts w:hint="eastAsia" w:ascii="仿宋" w:hAnsi="仿宋" w:eastAsia="仿宋" w:cs="仿宋"/>
          <w:color w:val="auto"/>
          <w:sz w:val="24"/>
          <w:szCs w:val="24"/>
          <w:highlight w:val="none"/>
        </w:rPr>
        <w:t>具</w:t>
      </w:r>
      <w:r>
        <w:rPr>
          <w:rFonts w:hint="eastAsia" w:ascii="仿宋" w:hAnsi="仿宋" w:eastAsia="仿宋" w:cs="仿宋"/>
          <w:color w:val="auto"/>
          <w:sz w:val="24"/>
          <w:szCs w:val="24"/>
          <w:highlight w:val="none"/>
          <w:lang w:val="en-US" w:eastAsia="zh-CN"/>
        </w:rPr>
        <w:t>备有效的</w:t>
      </w:r>
      <w:r>
        <w:rPr>
          <w:rFonts w:hint="eastAsia" w:ascii="仿宋" w:hAnsi="仿宋" w:eastAsia="仿宋" w:cs="仿宋"/>
          <w:color w:val="auto"/>
          <w:sz w:val="24"/>
          <w:szCs w:val="24"/>
          <w:highlight w:val="none"/>
        </w:rPr>
        <w:t>输变电工程专业承包三级（含）以上资质或电力工程施工总承包三级（含）以上资质，具备国家电力监管委员会颁发在《承装（修、试）电力设施许可证》承装类</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级（含）以上</w:t>
      </w:r>
      <w:r>
        <w:rPr>
          <w:rFonts w:hint="eastAsia" w:ascii="仿宋_GB2312" w:hAnsi="仿宋_GB2312" w:eastAsia="仿宋_GB2312" w:cs="仿宋_GB2312"/>
          <w:color w:val="auto"/>
          <w:sz w:val="24"/>
          <w:szCs w:val="24"/>
          <w:highlight w:val="none"/>
          <w:lang w:val="en-US" w:eastAsia="zh-CN"/>
        </w:rPr>
        <w:t>资质证书复印件</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且同时具有省级或以上建设行政主管部门颁发的建筑施工企业安全生产许可证复印件。</w:t>
      </w:r>
    </w:p>
    <w:p w14:paraId="3C916422">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360" w:lineRule="auto"/>
        <w:ind w:firstLine="482"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②</w:t>
      </w:r>
      <w:r>
        <w:rPr>
          <w:rFonts w:hint="eastAsia" w:ascii="仿宋_GB2312" w:hAnsi="仿宋_GB2312" w:eastAsia="仿宋_GB2312" w:cs="仿宋_GB2312"/>
          <w:color w:val="auto"/>
          <w:sz w:val="24"/>
          <w:szCs w:val="24"/>
          <w:highlight w:val="none"/>
          <w:lang w:val="en-US" w:eastAsia="zh-CN"/>
        </w:rPr>
        <w:t>供应商</w:t>
      </w:r>
      <w:r>
        <w:rPr>
          <w:rFonts w:hint="eastAsia" w:ascii="仿宋" w:hAnsi="仿宋" w:eastAsia="仿宋" w:cs="仿宋"/>
          <w:color w:val="auto"/>
          <w:sz w:val="24"/>
          <w:szCs w:val="24"/>
          <w:highlight w:val="none"/>
        </w:rPr>
        <w:t>拟</w:t>
      </w:r>
      <w:r>
        <w:rPr>
          <w:rFonts w:hint="eastAsia" w:ascii="仿宋" w:hAnsi="仿宋" w:eastAsia="仿宋" w:cs="仿宋"/>
          <w:color w:val="auto"/>
          <w:sz w:val="24"/>
          <w:szCs w:val="24"/>
          <w:highlight w:val="none"/>
          <w:lang w:val="en-US" w:eastAsia="zh-CN"/>
        </w:rPr>
        <w:t>派</w:t>
      </w:r>
      <w:r>
        <w:rPr>
          <w:rFonts w:hint="eastAsia" w:ascii="仿宋" w:hAnsi="仿宋" w:eastAsia="仿宋" w:cs="仿宋"/>
          <w:color w:val="auto"/>
          <w:sz w:val="24"/>
          <w:szCs w:val="24"/>
          <w:highlight w:val="none"/>
        </w:rPr>
        <w:t>的项目经理须</w:t>
      </w:r>
      <w:r>
        <w:rPr>
          <w:rFonts w:hint="eastAsia" w:ascii="仿宋" w:hAnsi="仿宋" w:eastAsia="仿宋" w:cs="仿宋"/>
          <w:color w:val="auto"/>
          <w:sz w:val="24"/>
          <w:szCs w:val="24"/>
          <w:highlight w:val="none"/>
          <w:lang w:val="en-US" w:eastAsia="zh-CN"/>
        </w:rPr>
        <w:t>具备有效的</w:t>
      </w:r>
      <w:r>
        <w:rPr>
          <w:rFonts w:hint="eastAsia" w:ascii="仿宋" w:hAnsi="仿宋" w:eastAsia="仿宋" w:cs="仿宋"/>
          <w:color w:val="auto"/>
          <w:sz w:val="24"/>
          <w:szCs w:val="24"/>
          <w:highlight w:val="none"/>
        </w:rPr>
        <w:t>贰级以上（含贰级）的机电工程专业（以建造师注册证书中“专业类别”栏所填写的专业为准）</w:t>
      </w:r>
      <w:r>
        <w:rPr>
          <w:rFonts w:hint="eastAsia" w:ascii="仿宋_GB2312" w:hAnsi="仿宋_GB2312" w:eastAsia="仿宋_GB2312" w:cs="仿宋_GB2312"/>
          <w:color w:val="auto"/>
          <w:sz w:val="24"/>
          <w:szCs w:val="24"/>
          <w:highlight w:val="none"/>
          <w:lang w:val="en-US" w:eastAsia="zh-CN"/>
        </w:rPr>
        <w:t>注册建造师证书复印件，且具备有效的B类安全生产考核合格证复印件</w:t>
      </w:r>
      <w:r>
        <w:rPr>
          <w:rFonts w:hint="eastAsia" w:ascii="仿宋_GB2312" w:hAnsi="仿宋_GB2312" w:eastAsia="仿宋_GB2312" w:cs="仿宋_GB2312"/>
          <w:color w:val="auto"/>
          <w:sz w:val="24"/>
          <w:szCs w:val="24"/>
          <w:highlight w:val="none"/>
        </w:rPr>
        <w:t>。</w:t>
      </w:r>
    </w:p>
    <w:p w14:paraId="6997060F">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360" w:lineRule="auto"/>
        <w:ind w:firstLine="482" w:firstLineChars="20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③</w:t>
      </w:r>
      <w:r>
        <w:rPr>
          <w:rFonts w:hint="eastAsia" w:ascii="仿宋" w:hAnsi="仿宋" w:eastAsia="仿宋" w:cs="仿宋"/>
          <w:color w:val="auto"/>
          <w:sz w:val="24"/>
          <w:szCs w:val="24"/>
          <w:highlight w:val="none"/>
        </w:rPr>
        <w:t>拟</w:t>
      </w:r>
      <w:r>
        <w:rPr>
          <w:rFonts w:hint="eastAsia" w:ascii="仿宋" w:hAnsi="仿宋" w:eastAsia="仿宋" w:cs="仿宋"/>
          <w:color w:val="auto"/>
          <w:sz w:val="24"/>
          <w:szCs w:val="24"/>
          <w:highlight w:val="none"/>
          <w:lang w:val="en-US" w:eastAsia="zh-CN"/>
        </w:rPr>
        <w:t>派</w:t>
      </w:r>
      <w:r>
        <w:rPr>
          <w:rFonts w:hint="eastAsia" w:ascii="仿宋" w:hAnsi="仿宋" w:eastAsia="仿宋" w:cs="仿宋"/>
          <w:color w:val="auto"/>
          <w:sz w:val="24"/>
          <w:szCs w:val="24"/>
          <w:highlight w:val="none"/>
        </w:rPr>
        <w:t>的</w:t>
      </w:r>
      <w:r>
        <w:rPr>
          <w:rFonts w:hint="eastAsia" w:ascii="仿宋_GB2312" w:hAnsi="仿宋_GB2312" w:eastAsia="仿宋_GB2312" w:cs="仿宋_GB2312"/>
          <w:color w:val="auto"/>
          <w:sz w:val="24"/>
          <w:szCs w:val="24"/>
          <w:highlight w:val="none"/>
          <w:lang w:val="en-US" w:eastAsia="zh-CN"/>
        </w:rPr>
        <w:t>项目经理三年内无重大安全生产事故和无在建工程承诺书。</w:t>
      </w:r>
    </w:p>
    <w:p w14:paraId="46EE83D6">
      <w:pPr>
        <w:snapToGrid w:val="0"/>
        <w:spacing w:line="460" w:lineRule="exact"/>
        <w:jc w:val="center"/>
        <w:rPr>
          <w:rFonts w:hint="eastAsia" w:ascii="仿宋_GB2312" w:eastAsia="仿宋_GB2312"/>
          <w:b/>
          <w:bCs/>
          <w:color w:val="auto"/>
          <w:sz w:val="24"/>
          <w:highlight w:val="none"/>
        </w:rPr>
      </w:pPr>
      <w:r>
        <w:rPr>
          <w:rFonts w:hint="eastAsia" w:ascii="仿宋_GB2312" w:eastAsia="仿宋_GB2312"/>
          <w:b/>
          <w:bCs/>
          <w:color w:val="auto"/>
          <w:sz w:val="44"/>
          <w:szCs w:val="44"/>
          <w:highlight w:val="none"/>
        </w:rPr>
        <w:t>承诺书</w:t>
      </w:r>
    </w:p>
    <w:p w14:paraId="4E80127A">
      <w:pPr>
        <w:snapToGrid w:val="0"/>
        <w:spacing w:line="460" w:lineRule="exact"/>
        <w:jc w:val="left"/>
        <w:rPr>
          <w:rFonts w:hint="eastAsia" w:ascii="仿宋_GB2312" w:eastAsia="仿宋_GB2312"/>
          <w:b/>
          <w:bCs/>
          <w:color w:val="auto"/>
          <w:sz w:val="24"/>
          <w:highlight w:val="none"/>
        </w:rPr>
      </w:pPr>
    </w:p>
    <w:p w14:paraId="03BEE3EE">
      <w:pPr>
        <w:snapToGrid w:val="0"/>
        <w:spacing w:line="460" w:lineRule="exact"/>
        <w:jc w:val="left"/>
        <w:rPr>
          <w:rFonts w:hint="eastAsia" w:ascii="仿宋_GB2312" w:eastAsia="仿宋_GB2312"/>
          <w:b/>
          <w:bCs/>
          <w:color w:val="auto"/>
          <w:sz w:val="24"/>
          <w:highlight w:val="none"/>
        </w:rPr>
      </w:pPr>
    </w:p>
    <w:p w14:paraId="3391A764">
      <w:pPr>
        <w:snapToGrid w:val="0"/>
        <w:spacing w:line="460" w:lineRule="exact"/>
        <w:jc w:val="left"/>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u w:val="single"/>
        </w:rPr>
        <w:t xml:space="preserve">          </w:t>
      </w:r>
      <w:r>
        <w:rPr>
          <w:rFonts w:hint="eastAsia" w:ascii="仿宋_GB2312" w:eastAsia="仿宋_GB2312"/>
          <w:b w:val="0"/>
          <w:bCs w:val="0"/>
          <w:color w:val="auto"/>
          <w:sz w:val="24"/>
          <w:highlight w:val="none"/>
          <w:u w:val="single"/>
          <w:lang w:eastAsia="zh-CN"/>
        </w:rPr>
        <w:t>（</w:t>
      </w:r>
      <w:r>
        <w:rPr>
          <w:rFonts w:hint="eastAsia" w:ascii="仿宋_GB2312" w:eastAsia="仿宋_GB2312"/>
          <w:b w:val="0"/>
          <w:bCs w:val="0"/>
          <w:color w:val="auto"/>
          <w:sz w:val="24"/>
          <w:highlight w:val="none"/>
          <w:u w:val="single"/>
          <w:lang w:val="en-US" w:eastAsia="zh-CN"/>
        </w:rPr>
        <w:t>采购人名称</w:t>
      </w:r>
      <w:r>
        <w:rPr>
          <w:rFonts w:hint="eastAsia" w:ascii="仿宋_GB2312" w:eastAsia="仿宋_GB2312"/>
          <w:b w:val="0"/>
          <w:bCs w:val="0"/>
          <w:color w:val="auto"/>
          <w:sz w:val="24"/>
          <w:highlight w:val="none"/>
          <w:u w:val="single"/>
          <w:lang w:eastAsia="zh-CN"/>
        </w:rPr>
        <w:t>）</w:t>
      </w:r>
      <w:r>
        <w:rPr>
          <w:rFonts w:hint="eastAsia" w:ascii="仿宋_GB2312" w:eastAsia="仿宋_GB2312"/>
          <w:b w:val="0"/>
          <w:bCs w:val="0"/>
          <w:color w:val="auto"/>
          <w:sz w:val="24"/>
          <w:highlight w:val="none"/>
          <w:u w:val="single"/>
        </w:rPr>
        <w:t xml:space="preserve">        </w:t>
      </w:r>
      <w:r>
        <w:rPr>
          <w:rFonts w:hint="eastAsia" w:ascii="仿宋_GB2312" w:eastAsia="仿宋_GB2312"/>
          <w:b w:val="0"/>
          <w:bCs w:val="0"/>
          <w:color w:val="auto"/>
          <w:sz w:val="24"/>
          <w:highlight w:val="none"/>
        </w:rPr>
        <w:t>：</w:t>
      </w:r>
    </w:p>
    <w:p w14:paraId="20A612E0">
      <w:pPr>
        <w:snapToGrid w:val="0"/>
        <w:spacing w:line="460" w:lineRule="exact"/>
        <w:jc w:val="left"/>
        <w:rPr>
          <w:rFonts w:hint="eastAsia" w:ascii="仿宋_GB2312" w:eastAsia="仿宋_GB2312"/>
          <w:b w:val="0"/>
          <w:bCs w:val="0"/>
          <w:color w:val="auto"/>
          <w:sz w:val="24"/>
          <w:highlight w:val="none"/>
        </w:rPr>
      </w:pPr>
    </w:p>
    <w:p w14:paraId="24AB26FB">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我公司对</w:t>
      </w:r>
      <w:r>
        <w:rPr>
          <w:rFonts w:hint="eastAsia" w:ascii="仿宋_GB2312" w:eastAsia="仿宋_GB2312"/>
          <w:b w:val="0"/>
          <w:bCs w:val="0"/>
          <w:color w:val="auto"/>
          <w:sz w:val="24"/>
          <w:highlight w:val="none"/>
          <w:u w:val="single"/>
        </w:rPr>
        <w:t xml:space="preserve">                  </w:t>
      </w:r>
      <w:r>
        <w:rPr>
          <w:rFonts w:hint="eastAsia" w:ascii="仿宋_GB2312" w:eastAsia="仿宋_GB2312"/>
          <w:b w:val="0"/>
          <w:bCs w:val="0"/>
          <w:color w:val="auto"/>
          <w:sz w:val="24"/>
          <w:highlight w:val="none"/>
        </w:rPr>
        <w:t>工程施工项目做出如下承诺：</w:t>
      </w:r>
    </w:p>
    <w:p w14:paraId="351819E2">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本工程拟派的项目经理</w:t>
      </w:r>
      <w:r>
        <w:rPr>
          <w:rFonts w:hint="eastAsia" w:ascii="仿宋_GB2312" w:eastAsia="仿宋_GB2312"/>
          <w:b w:val="0"/>
          <w:bCs w:val="0"/>
          <w:color w:val="auto"/>
          <w:sz w:val="24"/>
          <w:highlight w:val="none"/>
          <w:u w:val="single"/>
        </w:rPr>
        <w:t xml:space="preserve">          </w:t>
      </w:r>
      <w:r>
        <w:rPr>
          <w:rFonts w:hint="eastAsia" w:ascii="仿宋_GB2312" w:eastAsia="仿宋_GB2312"/>
          <w:b w:val="0"/>
          <w:bCs w:val="0"/>
          <w:color w:val="auto"/>
          <w:sz w:val="24"/>
          <w:highlight w:val="none"/>
        </w:rPr>
        <w:t>（拟派项目姓名、注册证号），至投标截止时间近三年内无重大安全生产事故，且无在建工程，否则若中标，将取消中标资格。</w:t>
      </w:r>
    </w:p>
    <w:p w14:paraId="6831A554">
      <w:pPr>
        <w:snapToGrid w:val="0"/>
        <w:spacing w:line="460" w:lineRule="exact"/>
        <w:jc w:val="left"/>
        <w:rPr>
          <w:rFonts w:hint="eastAsia" w:ascii="仿宋_GB2312" w:eastAsia="仿宋_GB2312"/>
          <w:b w:val="0"/>
          <w:bCs w:val="0"/>
          <w:color w:val="auto"/>
          <w:sz w:val="24"/>
          <w:highlight w:val="none"/>
        </w:rPr>
      </w:pPr>
    </w:p>
    <w:p w14:paraId="205497BC">
      <w:pPr>
        <w:snapToGrid w:val="0"/>
        <w:spacing w:line="460" w:lineRule="exact"/>
        <w:jc w:val="left"/>
        <w:rPr>
          <w:rFonts w:hint="eastAsia" w:ascii="仿宋_GB2312" w:eastAsia="仿宋_GB2312"/>
          <w:b w:val="0"/>
          <w:bCs w:val="0"/>
          <w:color w:val="auto"/>
          <w:sz w:val="24"/>
          <w:highlight w:val="none"/>
        </w:rPr>
      </w:pPr>
    </w:p>
    <w:p w14:paraId="0E14477F">
      <w:pPr>
        <w:snapToGrid w:val="0"/>
        <w:spacing w:line="460" w:lineRule="exact"/>
        <w:jc w:val="left"/>
        <w:rPr>
          <w:rFonts w:hint="eastAsia" w:ascii="仿宋_GB2312" w:eastAsia="仿宋_GB2312"/>
          <w:b w:val="0"/>
          <w:bCs w:val="0"/>
          <w:color w:val="auto"/>
          <w:sz w:val="24"/>
          <w:highlight w:val="none"/>
        </w:rPr>
      </w:pPr>
    </w:p>
    <w:p w14:paraId="0A3D73B3">
      <w:pPr>
        <w:snapToGrid w:val="0"/>
        <w:spacing w:line="460" w:lineRule="exact"/>
        <w:jc w:val="center"/>
        <w:rPr>
          <w:rFonts w:hint="eastAsia" w:ascii="仿宋_GB2312" w:eastAsia="仿宋_GB2312"/>
          <w:b w:val="0"/>
          <w:bCs w:val="0"/>
          <w:color w:val="auto"/>
          <w:sz w:val="24"/>
          <w:highlight w:val="none"/>
          <w:lang w:eastAsia="zh-CN"/>
        </w:rPr>
      </w:pPr>
      <w:r>
        <w:rPr>
          <w:rFonts w:hint="eastAsia" w:ascii="仿宋_GB2312" w:eastAsia="仿宋_GB2312"/>
          <w:b w:val="0"/>
          <w:bCs w:val="0"/>
          <w:color w:val="auto"/>
          <w:sz w:val="24"/>
          <w:highlight w:val="none"/>
          <w:lang w:val="en-US" w:eastAsia="zh-CN"/>
        </w:rPr>
        <w:t>供应商</w:t>
      </w:r>
      <w:r>
        <w:rPr>
          <w:rFonts w:hint="eastAsia" w:ascii="仿宋_GB2312" w:eastAsia="仿宋_GB2312"/>
          <w:b w:val="0"/>
          <w:bCs w:val="0"/>
          <w:color w:val="auto"/>
          <w:sz w:val="24"/>
          <w:highlight w:val="none"/>
        </w:rPr>
        <w:t>（电子签章）</w:t>
      </w:r>
      <w:r>
        <w:rPr>
          <w:rFonts w:hint="eastAsia" w:ascii="仿宋_GB2312" w:eastAsia="仿宋_GB2312"/>
          <w:b w:val="0"/>
          <w:bCs w:val="0"/>
          <w:color w:val="auto"/>
          <w:sz w:val="24"/>
          <w:highlight w:val="none"/>
          <w:lang w:eastAsia="zh-CN"/>
        </w:rPr>
        <w:t>：</w:t>
      </w:r>
    </w:p>
    <w:p w14:paraId="48EB212D">
      <w:pPr>
        <w:snapToGrid w:val="0"/>
        <w:spacing w:line="460" w:lineRule="exact"/>
        <w:jc w:val="center"/>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日期：     年    月    日</w:t>
      </w:r>
    </w:p>
    <w:p w14:paraId="671E7255">
      <w:pPr>
        <w:snapToGrid w:val="0"/>
        <w:spacing w:line="460" w:lineRule="exact"/>
        <w:jc w:val="left"/>
        <w:rPr>
          <w:rFonts w:hint="eastAsia" w:ascii="仿宋_GB2312" w:eastAsia="仿宋_GB2312"/>
          <w:b/>
          <w:bCs/>
          <w:color w:val="auto"/>
          <w:sz w:val="24"/>
          <w:highlight w:val="none"/>
        </w:rPr>
      </w:pPr>
    </w:p>
    <w:p w14:paraId="7DB81506">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left"/>
        <w:textAlignment w:val="auto"/>
        <w:rPr>
          <w:rFonts w:hint="eastAsia" w:ascii="仿宋_GB2312" w:hAnsi="Times New Roman" w:eastAsia="仿宋_GB2312" w:cs="Times New Roman"/>
          <w:b/>
          <w:bCs/>
          <w:color w:val="auto"/>
          <w:sz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④</w:t>
      </w:r>
      <w:r>
        <w:rPr>
          <w:rFonts w:hint="eastAsia" w:ascii="仿宋" w:hAnsi="仿宋" w:eastAsia="仿宋" w:cs="仿宋"/>
          <w:color w:val="auto"/>
          <w:sz w:val="24"/>
          <w:szCs w:val="24"/>
          <w:highlight w:val="none"/>
        </w:rPr>
        <w:t>拟</w:t>
      </w:r>
      <w:r>
        <w:rPr>
          <w:rFonts w:hint="eastAsia" w:ascii="仿宋" w:hAnsi="仿宋" w:eastAsia="仿宋" w:cs="仿宋"/>
          <w:color w:val="auto"/>
          <w:sz w:val="24"/>
          <w:szCs w:val="24"/>
          <w:highlight w:val="none"/>
          <w:lang w:val="en-US" w:eastAsia="zh-CN"/>
        </w:rPr>
        <w:t>派的专职安全员有效的C类安全生产考核合格证书复印件。</w:t>
      </w:r>
    </w:p>
    <w:p w14:paraId="1AA116A6">
      <w:pPr>
        <w:snapToGrid w:val="0"/>
        <w:spacing w:line="460" w:lineRule="exact"/>
        <w:jc w:val="left"/>
        <w:rPr>
          <w:rFonts w:hint="eastAsia" w:ascii="仿宋_GB2312" w:eastAsia="仿宋_GB2312"/>
          <w:b/>
          <w:bCs/>
          <w:color w:val="auto"/>
          <w:sz w:val="24"/>
          <w:highlight w:val="none"/>
        </w:rPr>
      </w:pPr>
    </w:p>
    <w:p w14:paraId="7DDBC606">
      <w:pPr>
        <w:pStyle w:val="63"/>
        <w:rPr>
          <w:rFonts w:hint="eastAsia"/>
          <w:color w:val="auto"/>
          <w:highlight w:val="none"/>
        </w:rPr>
      </w:pPr>
    </w:p>
    <w:p w14:paraId="51C26D0F">
      <w:pPr>
        <w:snapToGrid w:val="0"/>
        <w:spacing w:line="460" w:lineRule="exact"/>
        <w:jc w:val="left"/>
        <w:rPr>
          <w:rFonts w:hint="eastAsia" w:ascii="仿宋_GB2312" w:eastAsia="仿宋_GB2312"/>
          <w:b/>
          <w:bCs/>
          <w:color w:val="auto"/>
          <w:sz w:val="24"/>
          <w:highlight w:val="none"/>
        </w:rPr>
      </w:pPr>
      <w:r>
        <w:rPr>
          <w:rFonts w:hint="eastAsia" w:ascii="仿宋_GB2312" w:eastAsia="仿宋_GB2312"/>
          <w:b/>
          <w:bCs/>
          <w:color w:val="auto"/>
          <w:sz w:val="32"/>
          <w:szCs w:val="32"/>
          <w:highlight w:val="none"/>
        </w:rPr>
        <w:t>注：第（</w:t>
      </w:r>
      <w:r>
        <w:rPr>
          <w:rFonts w:hint="eastAsia" w:ascii="仿宋_GB2312" w:eastAsia="仿宋_GB2312"/>
          <w:b/>
          <w:bCs/>
          <w:color w:val="auto"/>
          <w:sz w:val="32"/>
          <w:szCs w:val="32"/>
          <w:highlight w:val="none"/>
          <w:lang w:val="en-US" w:eastAsia="zh-CN"/>
        </w:rPr>
        <w:t>7</w:t>
      </w:r>
      <w:r>
        <w:rPr>
          <w:rFonts w:hint="eastAsia" w:ascii="仿宋_GB2312" w:eastAsia="仿宋_GB2312"/>
          <w:b/>
          <w:bCs/>
          <w:color w:val="auto"/>
          <w:sz w:val="32"/>
          <w:szCs w:val="32"/>
          <w:highlight w:val="none"/>
        </w:rPr>
        <w:t>）项</w:t>
      </w:r>
      <w:r>
        <w:rPr>
          <w:rFonts w:hint="eastAsia" w:ascii="仿宋_GB2312" w:eastAsia="仿宋_GB2312"/>
          <w:b/>
          <w:bCs/>
          <w:color w:val="auto"/>
          <w:sz w:val="32"/>
          <w:szCs w:val="32"/>
          <w:highlight w:val="none"/>
          <w:lang w:val="en-US" w:eastAsia="zh-CN"/>
        </w:rPr>
        <w:t>必须</w:t>
      </w:r>
      <w:r>
        <w:rPr>
          <w:rFonts w:hint="eastAsia" w:ascii="仿宋_GB2312" w:eastAsia="仿宋_GB2312"/>
          <w:b/>
          <w:bCs/>
          <w:color w:val="auto"/>
          <w:sz w:val="32"/>
          <w:szCs w:val="32"/>
          <w:highlight w:val="none"/>
        </w:rPr>
        <w:t>提供且为PDF格式，并加盖供应商CA电子签章。</w:t>
      </w:r>
    </w:p>
    <w:p w14:paraId="1E0652E1">
      <w:pPr>
        <w:snapToGrid w:val="0"/>
        <w:spacing w:line="460" w:lineRule="exact"/>
        <w:jc w:val="left"/>
        <w:rPr>
          <w:rFonts w:hint="eastAsia" w:ascii="仿宋_GB2312" w:eastAsia="仿宋_GB2312"/>
          <w:b/>
          <w:bCs/>
          <w:color w:val="auto"/>
          <w:sz w:val="24"/>
          <w:highlight w:val="none"/>
        </w:rPr>
      </w:pPr>
    </w:p>
    <w:p w14:paraId="7FBBAAF1">
      <w:pPr>
        <w:jc w:val="left"/>
        <w:rPr>
          <w:rFonts w:hint="eastAsia" w:ascii="仿宋_GB2312" w:eastAsia="仿宋_GB2312"/>
          <w:b/>
          <w:bCs/>
          <w:color w:val="auto"/>
          <w:sz w:val="24"/>
          <w:highlight w:val="none"/>
        </w:rPr>
      </w:pPr>
    </w:p>
    <w:p w14:paraId="69172F66">
      <w:pPr>
        <w:rPr>
          <w:rFonts w:hint="eastAsia" w:ascii="仿宋_GB2312" w:eastAsia="仿宋_GB2312"/>
          <w:b/>
          <w:bCs/>
          <w:color w:val="auto"/>
          <w:sz w:val="24"/>
          <w:highlight w:val="none"/>
        </w:rPr>
      </w:pPr>
      <w:r>
        <w:rPr>
          <w:rFonts w:hint="eastAsia" w:ascii="仿宋_GB2312" w:eastAsia="仿宋_GB2312"/>
          <w:b/>
          <w:bCs/>
          <w:color w:val="auto"/>
          <w:sz w:val="24"/>
          <w:highlight w:val="none"/>
        </w:rPr>
        <w:br w:type="page"/>
      </w:r>
    </w:p>
    <w:p w14:paraId="60DFD3C9">
      <w:pPr>
        <w:pStyle w:val="29"/>
        <w:spacing w:line="400" w:lineRule="exact"/>
        <w:jc w:val="left"/>
        <w:rPr>
          <w:rFonts w:ascii="仿宋_GB2312" w:eastAsia="仿宋_GB2312"/>
          <w:b/>
          <w:color w:val="auto"/>
          <w:sz w:val="24"/>
          <w:highlight w:val="none"/>
        </w:rPr>
      </w:pPr>
      <w:r>
        <w:rPr>
          <w:rFonts w:hint="eastAsia" w:ascii="仿宋_GB2312" w:eastAsia="仿宋_GB2312"/>
          <w:b/>
          <w:color w:val="auto"/>
          <w:sz w:val="24"/>
          <w:highlight w:val="none"/>
        </w:rPr>
        <w:t>（</w:t>
      </w:r>
      <w:r>
        <w:rPr>
          <w:rFonts w:hint="eastAsia" w:ascii="仿宋_GB2312" w:eastAsia="仿宋_GB2312"/>
          <w:b/>
          <w:color w:val="auto"/>
          <w:sz w:val="24"/>
          <w:highlight w:val="none"/>
          <w:lang w:val="en-US" w:eastAsia="zh-CN"/>
        </w:rPr>
        <w:t>8</w:t>
      </w:r>
      <w:r>
        <w:rPr>
          <w:rFonts w:hint="eastAsia" w:ascii="仿宋_GB2312" w:eastAsia="仿宋_GB2312"/>
          <w:b/>
          <w:color w:val="auto"/>
          <w:sz w:val="24"/>
          <w:highlight w:val="none"/>
        </w:rPr>
        <w:t>）</w:t>
      </w:r>
      <w:r>
        <w:rPr>
          <w:rFonts w:hint="eastAsia" w:ascii="仿宋_GB2312" w:eastAsia="仿宋_GB2312"/>
          <w:b/>
          <w:color w:val="auto"/>
          <w:sz w:val="24"/>
          <w:highlight w:val="none"/>
          <w:lang w:val="en-US" w:eastAsia="zh-CN"/>
        </w:rPr>
        <w:t>供应商认为资格审查需要提供的其他材料</w:t>
      </w:r>
      <w:r>
        <w:rPr>
          <w:rFonts w:hint="eastAsia" w:ascii="仿宋_GB2312" w:eastAsia="仿宋_GB2312"/>
          <w:b/>
          <w:color w:val="auto"/>
          <w:sz w:val="24"/>
          <w:highlight w:val="none"/>
        </w:rPr>
        <w:t>（</w:t>
      </w:r>
      <w:r>
        <w:rPr>
          <w:rFonts w:hint="eastAsia" w:ascii="仿宋_GB2312" w:eastAsia="仿宋_GB2312"/>
          <w:b/>
          <w:color w:val="auto"/>
          <w:sz w:val="24"/>
          <w:highlight w:val="none"/>
          <w:lang w:val="en-US" w:eastAsia="zh-CN"/>
        </w:rPr>
        <w:t>如有</w:t>
      </w:r>
      <w:r>
        <w:rPr>
          <w:rFonts w:hint="eastAsia" w:ascii="仿宋_GB2312" w:eastAsia="仿宋_GB2312"/>
          <w:b/>
          <w:color w:val="auto"/>
          <w:sz w:val="24"/>
          <w:highlight w:val="none"/>
        </w:rPr>
        <w:t>）：</w:t>
      </w:r>
    </w:p>
    <w:p w14:paraId="3EEF9072">
      <w:pPr>
        <w:spacing w:line="276" w:lineRule="auto"/>
        <w:jc w:val="center"/>
        <w:rPr>
          <w:rFonts w:ascii="宋体" w:hAnsi="宋体"/>
          <w:b/>
          <w:color w:val="auto"/>
          <w:sz w:val="32"/>
          <w:szCs w:val="32"/>
          <w:highlight w:val="none"/>
        </w:rPr>
      </w:pPr>
    </w:p>
    <w:p w14:paraId="1E20B0F0">
      <w:pPr>
        <w:jc w:val="left"/>
        <w:rPr>
          <w:rFonts w:ascii="仿宋_GB2312" w:eastAsia="仿宋_GB2312"/>
          <w:color w:val="auto"/>
          <w:sz w:val="24"/>
          <w:highlight w:val="none"/>
        </w:rPr>
      </w:pPr>
    </w:p>
    <w:p w14:paraId="03CA3569">
      <w:pPr>
        <w:jc w:val="left"/>
        <w:rPr>
          <w:rFonts w:ascii="仿宋_GB2312" w:eastAsia="仿宋_GB2312"/>
          <w:color w:val="auto"/>
          <w:sz w:val="24"/>
          <w:highlight w:val="none"/>
        </w:rPr>
      </w:pPr>
    </w:p>
    <w:p w14:paraId="2DDC011E">
      <w:pPr>
        <w:jc w:val="left"/>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注：如有请提供且为PDF格式，并加盖供应商CA电子签章。</w:t>
      </w:r>
    </w:p>
    <w:p w14:paraId="6E072234">
      <w:pPr>
        <w:jc w:val="center"/>
        <w:rPr>
          <w:rFonts w:ascii="仿宋_GB2312" w:hAnsi="宋体" w:eastAsia="仿宋_GB2312"/>
          <w:b/>
          <w:bCs/>
          <w:color w:val="auto"/>
          <w:sz w:val="72"/>
          <w:szCs w:val="72"/>
          <w:highlight w:val="none"/>
        </w:rPr>
      </w:pPr>
    </w:p>
    <w:p w14:paraId="68163CFD">
      <w:pPr>
        <w:pStyle w:val="50"/>
        <w:ind w:firstLine="240"/>
        <w:rPr>
          <w:color w:val="auto"/>
          <w:highlight w:val="none"/>
        </w:rPr>
      </w:pPr>
    </w:p>
    <w:p w14:paraId="103CED96">
      <w:pPr>
        <w:pStyle w:val="50"/>
        <w:ind w:firstLine="240"/>
        <w:rPr>
          <w:color w:val="auto"/>
          <w:highlight w:val="none"/>
        </w:rPr>
      </w:pPr>
    </w:p>
    <w:p w14:paraId="0262D7E1">
      <w:pPr>
        <w:pStyle w:val="50"/>
        <w:ind w:firstLine="240"/>
        <w:rPr>
          <w:color w:val="auto"/>
          <w:highlight w:val="none"/>
        </w:rPr>
      </w:pPr>
    </w:p>
    <w:p w14:paraId="080459FD">
      <w:pPr>
        <w:pStyle w:val="50"/>
        <w:ind w:firstLine="240"/>
        <w:rPr>
          <w:color w:val="auto"/>
          <w:highlight w:val="none"/>
        </w:rPr>
      </w:pPr>
    </w:p>
    <w:p w14:paraId="3525345F">
      <w:pPr>
        <w:pStyle w:val="50"/>
        <w:ind w:firstLine="240"/>
        <w:rPr>
          <w:color w:val="auto"/>
          <w:highlight w:val="none"/>
        </w:rPr>
      </w:pPr>
    </w:p>
    <w:p w14:paraId="58B4D61C">
      <w:pPr>
        <w:pStyle w:val="50"/>
        <w:ind w:firstLine="240"/>
        <w:rPr>
          <w:color w:val="auto"/>
          <w:highlight w:val="none"/>
        </w:rPr>
      </w:pPr>
    </w:p>
    <w:p w14:paraId="2450626C">
      <w:pPr>
        <w:pStyle w:val="50"/>
        <w:ind w:firstLine="240"/>
        <w:rPr>
          <w:color w:val="auto"/>
          <w:highlight w:val="none"/>
        </w:rPr>
      </w:pPr>
    </w:p>
    <w:p w14:paraId="44084E9B">
      <w:pPr>
        <w:pStyle w:val="50"/>
        <w:ind w:firstLine="240"/>
        <w:rPr>
          <w:color w:val="auto"/>
          <w:highlight w:val="none"/>
        </w:rPr>
      </w:pPr>
    </w:p>
    <w:p w14:paraId="6EFE515C">
      <w:pPr>
        <w:rPr>
          <w:rFonts w:ascii="仿宋_GB2312" w:hAnsi="宋体" w:eastAsia="仿宋_GB2312"/>
          <w:b/>
          <w:bCs/>
          <w:color w:val="auto"/>
          <w:sz w:val="72"/>
          <w:szCs w:val="72"/>
          <w:highlight w:val="none"/>
        </w:rPr>
      </w:pPr>
      <w:r>
        <w:rPr>
          <w:rFonts w:ascii="仿宋_GB2312" w:hAnsi="宋体" w:eastAsia="仿宋_GB2312"/>
          <w:b/>
          <w:bCs/>
          <w:color w:val="auto"/>
          <w:sz w:val="72"/>
          <w:szCs w:val="72"/>
          <w:highlight w:val="none"/>
        </w:rPr>
        <w:br w:type="page"/>
      </w:r>
    </w:p>
    <w:p w14:paraId="3013BB0F">
      <w:pPr>
        <w:pStyle w:val="41"/>
        <w:rPr>
          <w:rFonts w:ascii="仿宋_GB2312" w:hAnsi="宋体" w:eastAsia="仿宋_GB2312"/>
          <w:b/>
          <w:bCs/>
          <w:color w:val="auto"/>
          <w:sz w:val="72"/>
          <w:szCs w:val="72"/>
          <w:highlight w:val="none"/>
        </w:rPr>
      </w:pPr>
    </w:p>
    <w:p w14:paraId="2B94602C">
      <w:pPr>
        <w:pStyle w:val="41"/>
        <w:rPr>
          <w:rFonts w:ascii="仿宋_GB2312" w:hAnsi="宋体" w:eastAsia="仿宋_GB2312"/>
          <w:b/>
          <w:bCs/>
          <w:color w:val="auto"/>
          <w:sz w:val="72"/>
          <w:szCs w:val="72"/>
          <w:highlight w:val="none"/>
        </w:rPr>
      </w:pPr>
    </w:p>
    <w:p w14:paraId="4090EF21">
      <w:pPr>
        <w:pStyle w:val="41"/>
        <w:rPr>
          <w:rFonts w:ascii="仿宋_GB2312" w:hAnsi="宋体" w:eastAsia="仿宋_GB2312"/>
          <w:b/>
          <w:bCs/>
          <w:color w:val="auto"/>
          <w:sz w:val="72"/>
          <w:szCs w:val="72"/>
          <w:highlight w:val="none"/>
        </w:rPr>
      </w:pPr>
    </w:p>
    <w:p w14:paraId="2F238C56">
      <w:pPr>
        <w:pStyle w:val="41"/>
        <w:rPr>
          <w:rFonts w:ascii="仿宋_GB2312" w:hAnsi="宋体" w:eastAsia="仿宋_GB2312"/>
          <w:b/>
          <w:bCs/>
          <w:color w:val="auto"/>
          <w:sz w:val="72"/>
          <w:szCs w:val="72"/>
          <w:highlight w:val="none"/>
        </w:rPr>
      </w:pPr>
    </w:p>
    <w:p w14:paraId="2F5FD32E">
      <w:pPr>
        <w:pStyle w:val="41"/>
        <w:rPr>
          <w:rFonts w:ascii="仿宋_GB2312" w:hAnsi="宋体" w:eastAsia="仿宋_GB2312"/>
          <w:b/>
          <w:bCs/>
          <w:color w:val="auto"/>
          <w:sz w:val="72"/>
          <w:szCs w:val="72"/>
          <w:highlight w:val="none"/>
        </w:rPr>
      </w:pPr>
    </w:p>
    <w:p w14:paraId="0AC65262">
      <w:pPr>
        <w:pStyle w:val="41"/>
        <w:rPr>
          <w:rFonts w:ascii="仿宋_GB2312" w:hAnsi="宋体" w:eastAsia="仿宋_GB2312"/>
          <w:b/>
          <w:bCs/>
          <w:color w:val="auto"/>
          <w:sz w:val="72"/>
          <w:szCs w:val="72"/>
          <w:highlight w:val="none"/>
        </w:rPr>
      </w:pPr>
    </w:p>
    <w:p w14:paraId="48725F1D">
      <w:pPr>
        <w:snapToGrid w:val="0"/>
        <w:spacing w:before="157" w:beforeLines="50" w:after="50" w:line="500" w:lineRule="exact"/>
        <w:jc w:val="center"/>
        <w:rPr>
          <w:rFonts w:ascii="仿宋_GB2312" w:hAnsi="宋体" w:eastAsia="仿宋_GB2312"/>
          <w:b/>
          <w:bCs/>
          <w:color w:val="auto"/>
          <w:sz w:val="56"/>
          <w:szCs w:val="56"/>
          <w:highlight w:val="none"/>
        </w:rPr>
      </w:pPr>
      <w:r>
        <w:rPr>
          <w:rFonts w:hint="eastAsia" w:ascii="仿宋_GB2312" w:hAnsi="宋体" w:eastAsia="仿宋_GB2312"/>
          <w:b/>
          <w:bCs/>
          <w:color w:val="auto"/>
          <w:sz w:val="56"/>
          <w:szCs w:val="56"/>
          <w:highlight w:val="none"/>
        </w:rPr>
        <w:t>二、报 价 要 求 文 件 格 式</w:t>
      </w:r>
    </w:p>
    <w:p w14:paraId="2DA5F516">
      <w:pPr>
        <w:snapToGrid w:val="0"/>
        <w:spacing w:before="157" w:beforeLines="50" w:after="50" w:line="360" w:lineRule="exact"/>
        <w:jc w:val="center"/>
        <w:rPr>
          <w:rFonts w:ascii="仿宋_GB2312" w:hAnsi="宋体" w:eastAsia="仿宋_GB2312"/>
          <w:b/>
          <w:bCs/>
          <w:color w:val="auto"/>
          <w:sz w:val="44"/>
          <w:szCs w:val="44"/>
          <w:highlight w:val="none"/>
        </w:rPr>
      </w:pPr>
    </w:p>
    <w:p w14:paraId="0C57F091">
      <w:pPr>
        <w:spacing w:line="360" w:lineRule="auto"/>
        <w:jc w:val="left"/>
        <w:rPr>
          <w:rFonts w:ascii="仿宋_GB2312" w:eastAsia="仿宋_GB2312"/>
          <w:b/>
          <w:color w:val="auto"/>
          <w:sz w:val="24"/>
          <w:highlight w:val="none"/>
        </w:rPr>
      </w:pPr>
      <w:r>
        <w:rPr>
          <w:rFonts w:ascii="仿宋_GB2312" w:eastAsia="仿宋_GB2312"/>
          <w:b/>
          <w:color w:val="auto"/>
          <w:sz w:val="24"/>
          <w:highlight w:val="none"/>
        </w:rPr>
        <w:br w:type="page"/>
      </w:r>
    </w:p>
    <w:p w14:paraId="4881C2C6">
      <w:pPr>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响应文件封面格式：</w:t>
      </w:r>
    </w:p>
    <w:p w14:paraId="277F1B36">
      <w:pPr>
        <w:snapToGrid w:val="0"/>
        <w:spacing w:before="157" w:beforeLines="50" w:after="50" w:line="360" w:lineRule="exact"/>
        <w:rPr>
          <w:rFonts w:hint="eastAsia" w:ascii="仿宋_GB2312" w:hAnsi="宋体" w:eastAsia="仿宋_GB2312"/>
          <w:color w:val="auto"/>
          <w:sz w:val="24"/>
          <w:highlight w:val="none"/>
        </w:rPr>
      </w:pPr>
    </w:p>
    <w:p w14:paraId="563EA8E7">
      <w:pPr>
        <w:snapToGrid w:val="0"/>
        <w:spacing w:before="157" w:beforeLines="50" w:after="50" w:line="360" w:lineRule="exact"/>
        <w:jc w:val="right"/>
        <w:rPr>
          <w:rFonts w:hint="eastAsia" w:ascii="仿宋_GB2312" w:hAnsi="宋体" w:eastAsia="仿宋_GB2312"/>
          <w:b/>
          <w:bCs/>
          <w:color w:val="auto"/>
          <w:sz w:val="32"/>
          <w:szCs w:val="32"/>
          <w:highlight w:val="none"/>
        </w:rPr>
      </w:pPr>
    </w:p>
    <w:p w14:paraId="21A56B3C">
      <w:pPr>
        <w:snapToGrid w:val="0"/>
        <w:spacing w:before="157" w:beforeLines="50" w:after="50" w:line="360" w:lineRule="exact"/>
        <w:jc w:val="center"/>
        <w:rPr>
          <w:rFonts w:hint="eastAsia" w:ascii="仿宋_GB2312" w:hAnsi="宋体" w:eastAsia="仿宋_GB2312"/>
          <w:bCs/>
          <w:color w:val="auto"/>
          <w:sz w:val="24"/>
          <w:highlight w:val="none"/>
        </w:rPr>
      </w:pPr>
    </w:p>
    <w:p w14:paraId="4F8F39EB">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响</w:t>
      </w:r>
    </w:p>
    <w:p w14:paraId="365FA9EA">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应</w:t>
      </w:r>
    </w:p>
    <w:p w14:paraId="41139DA1">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文</w:t>
      </w:r>
    </w:p>
    <w:p w14:paraId="3F603613">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件</w:t>
      </w:r>
    </w:p>
    <w:p w14:paraId="5F66A84B">
      <w:pPr>
        <w:snapToGrid w:val="0"/>
        <w:spacing w:before="157" w:beforeLines="50" w:after="50" w:line="360" w:lineRule="exact"/>
        <w:jc w:val="center"/>
        <w:rPr>
          <w:rFonts w:hint="eastAsia" w:ascii="仿宋_GB2312" w:hAnsi="宋体" w:eastAsia="仿宋_GB2312"/>
          <w:b/>
          <w:bCs/>
          <w:color w:val="auto"/>
          <w:sz w:val="44"/>
          <w:szCs w:val="44"/>
          <w:highlight w:val="none"/>
        </w:rPr>
      </w:pPr>
    </w:p>
    <w:p w14:paraId="7390BA41">
      <w:pPr>
        <w:snapToGrid w:val="0"/>
        <w:spacing w:before="157" w:beforeLines="50" w:after="50" w:line="360" w:lineRule="exact"/>
        <w:jc w:val="center"/>
        <w:rPr>
          <w:rFonts w:hint="eastAsia" w:ascii="仿宋_GB2312" w:hAnsi="宋体" w:eastAsia="仿宋_GB2312"/>
          <w:bCs/>
          <w:color w:val="auto"/>
          <w:sz w:val="24"/>
          <w:highlight w:val="none"/>
        </w:rPr>
      </w:pPr>
    </w:p>
    <w:p w14:paraId="46B2C054">
      <w:pPr>
        <w:snapToGrid w:val="0"/>
        <w:spacing w:before="157" w:beforeLines="50" w:after="50" w:line="360" w:lineRule="exact"/>
        <w:jc w:val="center"/>
        <w:rPr>
          <w:rFonts w:hint="eastAsia" w:ascii="仿宋_GB2312" w:hAnsi="宋体" w:eastAsia="仿宋_GB2312"/>
          <w:bCs/>
          <w:color w:val="auto"/>
          <w:sz w:val="24"/>
          <w:highlight w:val="none"/>
        </w:rPr>
      </w:pPr>
    </w:p>
    <w:p w14:paraId="6F40291E">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项目名称：</w:t>
      </w:r>
      <w:r>
        <w:rPr>
          <w:rFonts w:hint="eastAsia" w:ascii="仿宋_GB2312" w:hAnsi="宋体" w:eastAsia="仿宋_GB2312"/>
          <w:bCs/>
          <w:color w:val="auto"/>
          <w:sz w:val="32"/>
          <w:szCs w:val="32"/>
          <w:highlight w:val="none"/>
          <w:u w:val="single"/>
        </w:rPr>
        <w:t xml:space="preserve">                                  </w:t>
      </w:r>
    </w:p>
    <w:p w14:paraId="5B034F20">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项目编号：</w:t>
      </w:r>
      <w:r>
        <w:rPr>
          <w:rFonts w:hint="eastAsia" w:ascii="仿宋_GB2312" w:hAnsi="宋体" w:eastAsia="仿宋_GB2312"/>
          <w:bCs/>
          <w:color w:val="auto"/>
          <w:sz w:val="32"/>
          <w:szCs w:val="32"/>
          <w:highlight w:val="none"/>
          <w:u w:val="single"/>
        </w:rPr>
        <w:t xml:space="preserve">                                  </w:t>
      </w:r>
    </w:p>
    <w:p w14:paraId="49145930">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default" w:ascii="仿宋_GB2312" w:hAnsi="宋体" w:eastAsia="仿宋_GB2312"/>
          <w:bCs/>
          <w:color w:val="auto"/>
          <w:sz w:val="32"/>
          <w:szCs w:val="32"/>
          <w:highlight w:val="none"/>
          <w:u w:val="single"/>
          <w:lang w:val="en-US" w:eastAsia="zh-CN"/>
        </w:rPr>
      </w:pPr>
      <w:r>
        <w:rPr>
          <w:rFonts w:hint="eastAsia" w:ascii="仿宋_GB2312" w:hAnsi="宋体" w:eastAsia="仿宋_GB2312"/>
          <w:bCs/>
          <w:color w:val="auto"/>
          <w:sz w:val="32"/>
          <w:szCs w:val="32"/>
          <w:highlight w:val="none"/>
          <w:lang w:val="en-US" w:eastAsia="zh-CN"/>
        </w:rPr>
        <w:t>响应文件内容：</w:t>
      </w:r>
      <w:r>
        <w:rPr>
          <w:rFonts w:hint="eastAsia" w:ascii="仿宋_GB2312" w:hAnsi="宋体" w:eastAsia="仿宋_GB2312"/>
          <w:bCs/>
          <w:color w:val="auto"/>
          <w:sz w:val="32"/>
          <w:szCs w:val="32"/>
          <w:highlight w:val="none"/>
          <w:u w:val="single"/>
          <w:lang w:val="en-US" w:eastAsia="zh-CN"/>
        </w:rPr>
        <w:t xml:space="preserve">        报价文件              </w:t>
      </w:r>
    </w:p>
    <w:p w14:paraId="557D1DE4">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rPr>
      </w:pPr>
    </w:p>
    <w:p w14:paraId="5BA6F9E5">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rPr>
      </w:pPr>
    </w:p>
    <w:p w14:paraId="6FF4F3DC">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供应商名称：</w:t>
      </w:r>
      <w:r>
        <w:rPr>
          <w:rFonts w:hint="eastAsia" w:ascii="仿宋_GB2312" w:hAnsi="宋体" w:eastAsia="仿宋_GB2312"/>
          <w:bCs/>
          <w:color w:val="auto"/>
          <w:sz w:val="32"/>
          <w:szCs w:val="32"/>
          <w:highlight w:val="none"/>
          <w:u w:val="single"/>
        </w:rPr>
        <w:t xml:space="preserve">         </w:t>
      </w:r>
      <w:r>
        <w:rPr>
          <w:rFonts w:hint="eastAsia" w:ascii="仿宋_GB2312" w:hAnsi="宋体" w:eastAsia="仿宋_GB2312"/>
          <w:bCs/>
          <w:color w:val="auto"/>
          <w:sz w:val="32"/>
          <w:szCs w:val="32"/>
          <w:highlight w:val="none"/>
          <w:u w:val="single"/>
          <w:lang w:val="en-US" w:eastAsia="zh-CN"/>
        </w:rPr>
        <w:t>(盖CA电子签章)</w:t>
      </w:r>
      <w:r>
        <w:rPr>
          <w:rFonts w:hint="eastAsia" w:ascii="仿宋_GB2312" w:hAnsi="宋体" w:eastAsia="仿宋_GB2312"/>
          <w:bCs/>
          <w:color w:val="auto"/>
          <w:sz w:val="32"/>
          <w:szCs w:val="32"/>
          <w:highlight w:val="none"/>
          <w:u w:val="single"/>
        </w:rPr>
        <w:t xml:space="preserve">        </w:t>
      </w:r>
    </w:p>
    <w:p w14:paraId="0179560E">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联系人：</w:t>
      </w:r>
      <w:r>
        <w:rPr>
          <w:rFonts w:hint="eastAsia" w:ascii="仿宋_GB2312" w:hAnsi="宋体" w:eastAsia="仿宋_GB2312"/>
          <w:bCs/>
          <w:color w:val="auto"/>
          <w:sz w:val="32"/>
          <w:szCs w:val="32"/>
          <w:highlight w:val="none"/>
          <w:u w:val="single"/>
        </w:rPr>
        <w:t xml:space="preserve">          </w:t>
      </w:r>
      <w:r>
        <w:rPr>
          <w:rFonts w:hint="eastAsia" w:ascii="仿宋_GB2312" w:hAnsi="宋体" w:eastAsia="仿宋_GB2312"/>
          <w:bCs/>
          <w:color w:val="auto"/>
          <w:sz w:val="32"/>
          <w:szCs w:val="32"/>
          <w:highlight w:val="none"/>
        </w:rPr>
        <w:t xml:space="preserve"> 联系电话：</w:t>
      </w:r>
      <w:r>
        <w:rPr>
          <w:rFonts w:hint="eastAsia" w:ascii="仿宋_GB2312" w:hAnsi="宋体" w:eastAsia="仿宋_GB2312"/>
          <w:bCs/>
          <w:color w:val="auto"/>
          <w:sz w:val="32"/>
          <w:szCs w:val="32"/>
          <w:highlight w:val="none"/>
          <w:u w:val="single"/>
        </w:rPr>
        <w:t xml:space="preserve">           </w:t>
      </w:r>
    </w:p>
    <w:p w14:paraId="03A039B4">
      <w:pPr>
        <w:keepNext w:val="0"/>
        <w:keepLines w:val="0"/>
        <w:pageBreakBefore w:val="0"/>
        <w:widowControl w:val="0"/>
        <w:kinsoku/>
        <w:wordWrap/>
        <w:overflowPunct/>
        <w:topLinePunct w:val="0"/>
        <w:autoSpaceDE/>
        <w:autoSpaceDN/>
        <w:bidi w:val="0"/>
        <w:adjustRightInd/>
        <w:snapToGrid w:val="0"/>
        <w:spacing w:before="50" w:after="50" w:line="312" w:lineRule="auto"/>
        <w:ind w:firstLine="640" w:firstLineChars="200"/>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日期：</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年</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月</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日</w:t>
      </w:r>
    </w:p>
    <w:p w14:paraId="2C04AAC7">
      <w:pPr>
        <w:snapToGrid w:val="0"/>
        <w:spacing w:before="50" w:after="50" w:line="400" w:lineRule="exact"/>
        <w:rPr>
          <w:rFonts w:hint="eastAsia" w:ascii="仿宋_GB2312" w:hAnsi="宋体" w:eastAsia="仿宋_GB2312"/>
          <w:color w:val="auto"/>
          <w:sz w:val="32"/>
          <w:szCs w:val="32"/>
          <w:highlight w:val="none"/>
        </w:rPr>
      </w:pPr>
    </w:p>
    <w:p w14:paraId="058E2677">
      <w:pPr>
        <w:rPr>
          <w:rFonts w:hint="eastAsia"/>
          <w:color w:val="auto"/>
          <w:highlight w:val="none"/>
        </w:rPr>
      </w:pPr>
      <w:r>
        <w:rPr>
          <w:rFonts w:hint="eastAsia" w:ascii="仿宋_GB2312" w:hAnsi="宋体" w:eastAsia="仿宋_GB2312"/>
          <w:color w:val="auto"/>
          <w:sz w:val="32"/>
          <w:szCs w:val="32"/>
          <w:highlight w:val="none"/>
        </w:rPr>
        <w:br w:type="page"/>
      </w:r>
    </w:p>
    <w:p w14:paraId="6935FC93">
      <w:pPr>
        <w:pStyle w:val="41"/>
        <w:rPr>
          <w:rFonts w:hint="eastAsia"/>
          <w:color w:val="auto"/>
          <w:highlight w:val="none"/>
        </w:rPr>
      </w:pPr>
    </w:p>
    <w:p w14:paraId="0A2EB574">
      <w:pPr>
        <w:snapToGrid w:val="0"/>
        <w:spacing w:before="50" w:after="50" w:line="400" w:lineRule="exact"/>
        <w:rPr>
          <w:rFonts w:ascii="仿宋_GB2312" w:eastAsia="仿宋_GB2312"/>
          <w:b/>
          <w:bCs/>
          <w:color w:val="auto"/>
          <w:sz w:val="24"/>
          <w:highlight w:val="none"/>
        </w:rPr>
      </w:pPr>
      <w:r>
        <w:rPr>
          <w:rFonts w:hint="eastAsia" w:ascii="仿宋_GB2312" w:eastAsia="仿宋_GB2312"/>
          <w:b/>
          <w:bCs/>
          <w:color w:val="auto"/>
          <w:sz w:val="24"/>
          <w:highlight w:val="none"/>
        </w:rPr>
        <w:t>报价要求文件目录：</w:t>
      </w:r>
    </w:p>
    <w:p w14:paraId="11581FA7">
      <w:pPr>
        <w:snapToGrid w:val="0"/>
        <w:spacing w:before="50" w:after="50" w:line="400" w:lineRule="exact"/>
        <w:rPr>
          <w:rFonts w:ascii="仿宋_GB2312" w:eastAsia="仿宋_GB2312"/>
          <w:b/>
          <w:bCs/>
          <w:color w:val="auto"/>
          <w:szCs w:val="21"/>
          <w:highlight w:val="none"/>
        </w:rPr>
      </w:pPr>
    </w:p>
    <w:p w14:paraId="608B2DF1">
      <w:pPr>
        <w:tabs>
          <w:tab w:val="left" w:pos="3870"/>
          <w:tab w:val="left" w:pos="4085"/>
        </w:tabs>
        <w:snapToGrid w:val="0"/>
        <w:jc w:val="center"/>
        <w:rPr>
          <w:rFonts w:ascii="仿宋_GB2312" w:eastAsia="仿宋_GB2312"/>
          <w:color w:val="auto"/>
          <w:sz w:val="36"/>
          <w:szCs w:val="36"/>
          <w:highlight w:val="none"/>
        </w:rPr>
      </w:pPr>
    </w:p>
    <w:p w14:paraId="3CAD4FDF">
      <w:pPr>
        <w:spacing w:line="276" w:lineRule="auto"/>
        <w:jc w:val="center"/>
        <w:rPr>
          <w:rFonts w:hint="eastAsia" w:ascii="仿宋_GB2312" w:eastAsia="仿宋_GB2312"/>
          <w:color w:val="auto"/>
          <w:sz w:val="44"/>
          <w:szCs w:val="44"/>
          <w:highlight w:val="none"/>
        </w:rPr>
      </w:pPr>
      <w:r>
        <w:rPr>
          <w:rFonts w:hint="eastAsia" w:ascii="仿宋_GB2312" w:eastAsia="仿宋_GB2312"/>
          <w:color w:val="auto"/>
          <w:sz w:val="44"/>
          <w:szCs w:val="44"/>
          <w:highlight w:val="none"/>
        </w:rPr>
        <w:t>目    录</w:t>
      </w:r>
    </w:p>
    <w:p w14:paraId="1D08D8F5">
      <w:pPr>
        <w:pStyle w:val="41"/>
        <w:rPr>
          <w:rFonts w:hint="eastAsia" w:ascii="仿宋_GB2312" w:eastAsia="仿宋_GB2312"/>
          <w:color w:val="auto"/>
          <w:sz w:val="44"/>
          <w:szCs w:val="44"/>
          <w:highlight w:val="none"/>
        </w:rPr>
      </w:pPr>
    </w:p>
    <w:p w14:paraId="42F67DB2">
      <w:pPr>
        <w:pStyle w:val="41"/>
        <w:rPr>
          <w:rFonts w:hint="eastAsia" w:ascii="仿宋_GB2312" w:eastAsia="仿宋_GB2312"/>
          <w:color w:val="auto"/>
          <w:sz w:val="44"/>
          <w:szCs w:val="44"/>
          <w:highlight w:val="none"/>
        </w:rPr>
      </w:pPr>
    </w:p>
    <w:p w14:paraId="774875A5">
      <w:pPr>
        <w:snapToGrid w:val="0"/>
        <w:spacing w:before="157" w:beforeLines="50" w:after="50" w:line="320" w:lineRule="exact"/>
        <w:ind w:firstLine="4200" w:firstLineChars="1500"/>
        <w:jc w:val="both"/>
        <w:rPr>
          <w:rFonts w:hint="eastAsia" w:ascii="仿宋_GB2312" w:eastAsia="仿宋_GB2312"/>
          <w:color w:val="auto"/>
          <w:sz w:val="28"/>
          <w:szCs w:val="28"/>
          <w:highlight w:val="none"/>
        </w:rPr>
      </w:pPr>
      <w:r>
        <w:rPr>
          <w:rFonts w:hint="eastAsia" w:ascii="仿宋_GB2312" w:hAnsi="宋体" w:eastAsia="仿宋_GB2312"/>
          <w:color w:val="auto"/>
          <w:sz w:val="28"/>
          <w:szCs w:val="28"/>
          <w:highlight w:val="none"/>
          <w:lang w:val="en-US" w:eastAsia="zh-CN"/>
        </w:rPr>
        <w:t>格式自拟</w:t>
      </w:r>
    </w:p>
    <w:p w14:paraId="7A914D17">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0931336E">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356FC5E1">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7CC338C4">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228CA643">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5C765EF3">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4E36E6EE">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052A47E0">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3CF36261">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3616479C">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1142D2F5">
      <w:pPr>
        <w:snapToGrid w:val="0"/>
        <w:spacing w:before="157" w:beforeLines="50" w:after="50" w:line="320" w:lineRule="exact"/>
        <w:ind w:firstLine="880" w:firstLineChars="200"/>
        <w:rPr>
          <w:rFonts w:hint="eastAsia" w:ascii="仿宋_GB2312" w:eastAsia="仿宋_GB2312"/>
          <w:color w:val="auto"/>
          <w:sz w:val="44"/>
          <w:szCs w:val="44"/>
          <w:highlight w:val="none"/>
        </w:rPr>
      </w:pPr>
    </w:p>
    <w:p w14:paraId="221F0007">
      <w:pPr>
        <w:rPr>
          <w:rFonts w:hint="eastAsia"/>
          <w:color w:val="auto"/>
          <w:highlight w:val="none"/>
        </w:rPr>
      </w:pPr>
      <w:r>
        <w:rPr>
          <w:rFonts w:hint="eastAsia" w:ascii="仿宋_GB2312" w:eastAsia="仿宋_GB2312"/>
          <w:color w:val="auto"/>
          <w:sz w:val="44"/>
          <w:szCs w:val="44"/>
          <w:highlight w:val="none"/>
        </w:rPr>
        <w:br w:type="page"/>
      </w:r>
    </w:p>
    <w:p w14:paraId="57C413CD">
      <w:pPr>
        <w:snapToGrid w:val="0"/>
        <w:spacing w:before="157" w:beforeLines="50" w:after="50" w:line="320" w:lineRule="exact"/>
        <w:ind w:firstLine="482" w:firstLineChars="200"/>
        <w:rPr>
          <w:rFonts w:ascii="仿宋_GB2312" w:eastAsia="仿宋_GB2312"/>
          <w:color w:val="auto"/>
          <w:sz w:val="32"/>
          <w:szCs w:val="32"/>
          <w:highlight w:val="none"/>
        </w:rPr>
      </w:pPr>
      <w:r>
        <w:rPr>
          <w:rFonts w:hint="eastAsia" w:ascii="仿宋_GB2312" w:eastAsia="仿宋_GB2312"/>
          <w:b/>
          <w:color w:val="auto"/>
          <w:sz w:val="24"/>
          <w:highlight w:val="none"/>
        </w:rPr>
        <w:t>（1）</w:t>
      </w:r>
      <w:r>
        <w:rPr>
          <w:rFonts w:hint="eastAsia" w:ascii="仿宋_GB2312" w:eastAsia="仿宋_GB2312"/>
          <w:b/>
          <w:color w:val="auto"/>
          <w:sz w:val="24"/>
          <w:highlight w:val="none"/>
          <w:lang w:val="en-US" w:eastAsia="zh-CN"/>
        </w:rPr>
        <w:t>竞标函及竞标函附录</w:t>
      </w:r>
      <w:r>
        <w:rPr>
          <w:rFonts w:hint="eastAsia" w:ascii="仿宋_GB2312" w:eastAsia="仿宋_GB2312"/>
          <w:b/>
          <w:color w:val="auto"/>
          <w:sz w:val="24"/>
          <w:highlight w:val="none"/>
        </w:rPr>
        <w:t>（必须提供）：</w:t>
      </w:r>
    </w:p>
    <w:p w14:paraId="63416117">
      <w:pPr>
        <w:spacing w:line="276" w:lineRule="auto"/>
        <w:jc w:val="center"/>
        <w:rPr>
          <w:rFonts w:hint="eastAsia" w:ascii="宋体" w:hAnsi="宋体" w:eastAsia="宋体"/>
          <w:b/>
          <w:color w:val="auto"/>
          <w:sz w:val="32"/>
          <w:szCs w:val="32"/>
          <w:highlight w:val="none"/>
          <w:lang w:val="en-US" w:eastAsia="zh-CN"/>
        </w:rPr>
      </w:pPr>
      <w:r>
        <w:rPr>
          <w:rFonts w:hint="eastAsia" w:ascii="宋体" w:hAnsi="宋体"/>
          <w:b/>
          <w:color w:val="auto"/>
          <w:sz w:val="32"/>
          <w:szCs w:val="32"/>
          <w:highlight w:val="none"/>
          <w:lang w:val="en-US" w:eastAsia="zh-CN"/>
        </w:rPr>
        <w:t>竞标函</w:t>
      </w:r>
    </w:p>
    <w:p w14:paraId="063B34D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Cs w:val="21"/>
          <w:highlight w:val="none"/>
        </w:rPr>
      </w:pPr>
    </w:p>
    <w:p w14:paraId="46E2AA6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（采购人名称）：</w:t>
      </w:r>
    </w:p>
    <w:p w14:paraId="53CE1F1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根据贵方为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项目的</w:t>
      </w:r>
      <w:r>
        <w:rPr>
          <w:rFonts w:hint="eastAsia" w:ascii="仿宋" w:hAnsi="仿宋" w:eastAsia="仿宋" w:cs="仿宋"/>
          <w:color w:val="auto"/>
          <w:szCs w:val="21"/>
          <w:highlight w:val="none"/>
          <w:lang w:val="en-US" w:eastAsia="zh-CN"/>
        </w:rPr>
        <w:t>磋商</w:t>
      </w:r>
      <w:r>
        <w:rPr>
          <w:rFonts w:hint="eastAsia" w:ascii="仿宋" w:hAnsi="仿宋" w:eastAsia="仿宋" w:cs="仿宋"/>
          <w:color w:val="auto"/>
          <w:szCs w:val="21"/>
          <w:highlight w:val="none"/>
        </w:rPr>
        <w:t>公告（项目编号：</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），签字代表</w:t>
      </w:r>
      <w:r>
        <w:rPr>
          <w:rFonts w:hint="eastAsia" w:ascii="仿宋" w:hAnsi="仿宋" w:eastAsia="仿宋" w:cs="仿宋"/>
          <w:color w:val="auto"/>
          <w:szCs w:val="21"/>
          <w:highlight w:val="none"/>
          <w:u w:val="single"/>
        </w:rPr>
        <w:t xml:space="preserve">  （全名）</w:t>
      </w:r>
      <w:r>
        <w:rPr>
          <w:rFonts w:hint="eastAsia" w:ascii="仿宋" w:hAnsi="仿宋" w:eastAsia="仿宋" w:cs="仿宋"/>
          <w:color w:val="auto"/>
          <w:szCs w:val="21"/>
          <w:highlight w:val="none"/>
        </w:rPr>
        <w:t>经正式授权并代表供应商</w:t>
      </w:r>
      <w:r>
        <w:rPr>
          <w:rFonts w:hint="eastAsia" w:ascii="仿宋" w:hAnsi="仿宋" w:eastAsia="仿宋" w:cs="仿宋"/>
          <w:color w:val="auto"/>
          <w:szCs w:val="21"/>
          <w:highlight w:val="none"/>
          <w:u w:val="single"/>
        </w:rPr>
        <w:t xml:space="preserve">                    （供应商名称）</w:t>
      </w:r>
      <w:r>
        <w:rPr>
          <w:rFonts w:hint="eastAsia" w:ascii="仿宋" w:hAnsi="仿宋" w:eastAsia="仿宋" w:cs="仿宋"/>
          <w:color w:val="auto"/>
          <w:szCs w:val="21"/>
          <w:highlight w:val="none"/>
        </w:rPr>
        <w:t>现正式递交下述文件参加贵方组织的本次政府采购活动：</w:t>
      </w:r>
    </w:p>
    <w:p w14:paraId="2F9009A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一、报价文件电子版一份；</w:t>
      </w:r>
    </w:p>
    <w:p w14:paraId="4AF0B76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二、资格文件电子版一份；</w:t>
      </w:r>
    </w:p>
    <w:p w14:paraId="688F9AA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三、商务和技术文件电子版一份；</w:t>
      </w:r>
    </w:p>
    <w:p w14:paraId="13CC37F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据此函，签字代表宣布同意如下：</w:t>
      </w:r>
    </w:p>
    <w:p w14:paraId="6BFE07A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1.我方已详细审查全部“竞争性磋商文件”，包括修改文件（如有的话）以及全部参考资料和有关附件，已经了解我方对于磋商文件、采购过程、采购结果有依法进行询问、质疑、投诉的权利及相关渠道和要求。</w:t>
      </w:r>
    </w:p>
    <w:p w14:paraId="7D6D1A8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2.我方在</w:t>
      </w:r>
      <w:r>
        <w:rPr>
          <w:rFonts w:hint="eastAsia" w:ascii="仿宋" w:hAnsi="仿宋" w:eastAsia="仿宋" w:cs="仿宋"/>
          <w:color w:val="auto"/>
          <w:szCs w:val="21"/>
          <w:highlight w:val="none"/>
          <w:lang w:val="en-US" w:eastAsia="zh-CN"/>
        </w:rPr>
        <w:t>竞标</w:t>
      </w:r>
      <w:r>
        <w:rPr>
          <w:rFonts w:hint="eastAsia" w:ascii="仿宋" w:hAnsi="仿宋" w:eastAsia="仿宋" w:cs="仿宋"/>
          <w:color w:val="auto"/>
          <w:szCs w:val="21"/>
          <w:highlight w:val="none"/>
        </w:rPr>
        <w:t>之前已经与贵方进行了充分的沟通，完全理解并接受</w:t>
      </w:r>
      <w:r>
        <w:rPr>
          <w:rFonts w:hint="eastAsia" w:ascii="仿宋" w:hAnsi="仿宋" w:eastAsia="仿宋" w:cs="仿宋"/>
          <w:color w:val="auto"/>
          <w:szCs w:val="21"/>
          <w:highlight w:val="none"/>
          <w:lang w:eastAsia="zh-CN"/>
        </w:rPr>
        <w:t>磋商采购文件</w:t>
      </w:r>
      <w:r>
        <w:rPr>
          <w:rFonts w:hint="eastAsia" w:ascii="仿宋" w:hAnsi="仿宋" w:eastAsia="仿宋" w:cs="仿宋"/>
          <w:color w:val="auto"/>
          <w:szCs w:val="21"/>
          <w:highlight w:val="none"/>
        </w:rPr>
        <w:t>的各项规定和要求，对</w:t>
      </w:r>
      <w:r>
        <w:rPr>
          <w:rFonts w:hint="eastAsia" w:ascii="仿宋" w:hAnsi="仿宋" w:eastAsia="仿宋" w:cs="仿宋"/>
          <w:color w:val="auto"/>
          <w:szCs w:val="21"/>
          <w:highlight w:val="none"/>
          <w:lang w:eastAsia="zh-CN"/>
        </w:rPr>
        <w:t>磋商采购文件</w:t>
      </w:r>
      <w:r>
        <w:rPr>
          <w:rFonts w:hint="eastAsia" w:ascii="仿宋" w:hAnsi="仿宋" w:eastAsia="仿宋" w:cs="仿宋"/>
          <w:color w:val="auto"/>
          <w:szCs w:val="21"/>
          <w:highlight w:val="none"/>
        </w:rPr>
        <w:t>的合理性、合法性不再有异议。</w:t>
      </w:r>
    </w:p>
    <w:p w14:paraId="64692AA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3.本投标有效期自开标日起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日历天</w:t>
      </w:r>
      <w:r>
        <w:rPr>
          <w:rFonts w:hint="eastAsia" w:ascii="仿宋" w:hAnsi="仿宋" w:eastAsia="仿宋" w:cs="仿宋"/>
          <w:color w:val="auto"/>
          <w:szCs w:val="21"/>
          <w:highlight w:val="none"/>
        </w:rPr>
        <w:t>。</w:t>
      </w:r>
    </w:p>
    <w:p w14:paraId="56325AD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4.如</w:t>
      </w:r>
      <w:r>
        <w:rPr>
          <w:rFonts w:hint="eastAsia" w:ascii="仿宋" w:hAnsi="仿宋" w:eastAsia="仿宋" w:cs="仿宋"/>
          <w:color w:val="auto"/>
          <w:szCs w:val="21"/>
          <w:highlight w:val="none"/>
          <w:lang w:val="en-US" w:eastAsia="zh-CN"/>
        </w:rPr>
        <w:t>成交</w:t>
      </w:r>
      <w:r>
        <w:rPr>
          <w:rFonts w:hint="eastAsia" w:ascii="仿宋" w:hAnsi="仿宋" w:eastAsia="仿宋" w:cs="仿宋"/>
          <w:color w:val="auto"/>
          <w:szCs w:val="21"/>
          <w:highlight w:val="none"/>
        </w:rPr>
        <w:t>，本响应文件至本项目合同履行完毕止均保持有效，我方将按“竞争性磋商文件”及政府采购法律、法规的规定履行合同责任和义务。</w:t>
      </w:r>
    </w:p>
    <w:p w14:paraId="145E217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5.我方同意按照贵方要求提供与投标有关的一切数据或资料。</w:t>
      </w:r>
    </w:p>
    <w:p w14:paraId="369DE47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6.与本投标有关的一切正式往来信函请寄：</w:t>
      </w:r>
    </w:p>
    <w:p w14:paraId="22E3CF2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邮编：</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电话：</w:t>
      </w:r>
      <w:r>
        <w:rPr>
          <w:rFonts w:hint="eastAsia" w:ascii="仿宋" w:hAnsi="仿宋" w:eastAsia="仿宋" w:cs="仿宋"/>
          <w:color w:val="auto"/>
          <w:szCs w:val="21"/>
          <w:highlight w:val="none"/>
          <w:u w:val="single"/>
        </w:rPr>
        <w:t xml:space="preserve">               </w:t>
      </w:r>
    </w:p>
    <w:p w14:paraId="4E793E0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供应商代表姓名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职务：</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22259F3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供应商名称:</w:t>
      </w:r>
      <w:r>
        <w:rPr>
          <w:rFonts w:hint="eastAsia" w:ascii="仿宋" w:hAnsi="仿宋" w:eastAsia="仿宋" w:cs="仿宋"/>
          <w:color w:val="auto"/>
          <w:szCs w:val="21"/>
          <w:highlight w:val="none"/>
          <w:u w:val="single"/>
        </w:rPr>
        <w:t xml:space="preserve">                    </w:t>
      </w:r>
    </w:p>
    <w:p w14:paraId="1F411D3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szCs w:val="21"/>
          <w:highlight w:val="none"/>
        </w:rPr>
        <w:t>开户银行：</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银行</w:t>
      </w:r>
      <w:r>
        <w:rPr>
          <w:rFonts w:hint="eastAsia" w:ascii="仿宋" w:hAnsi="仿宋" w:eastAsia="仿宋" w:cs="仿宋"/>
          <w:color w:val="auto"/>
          <w:szCs w:val="21"/>
          <w:highlight w:val="none"/>
          <w:lang w:eastAsia="zh-CN"/>
        </w:rPr>
        <w:t>账号</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7BC10E71">
      <w:pPr>
        <w:spacing w:line="276" w:lineRule="auto"/>
        <w:jc w:val="left"/>
        <w:rPr>
          <w:rFonts w:hint="eastAsia" w:ascii="仿宋" w:hAnsi="仿宋" w:eastAsia="仿宋" w:cs="仿宋"/>
          <w:b/>
          <w:color w:val="auto"/>
          <w:sz w:val="24"/>
          <w:szCs w:val="24"/>
          <w:highlight w:val="none"/>
        </w:rPr>
      </w:pPr>
    </w:p>
    <w:p w14:paraId="76A7EFDD">
      <w:pPr>
        <w:wordWrap w:val="0"/>
        <w:spacing w:line="276" w:lineRule="auto"/>
        <w:jc w:val="right"/>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法定代表人或者委托代理人（签字或者电子签名）：</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p>
    <w:p w14:paraId="06A63EFB">
      <w:pPr>
        <w:wordWrap w:val="0"/>
        <w:spacing w:line="276" w:lineRule="auto"/>
        <w:jc w:val="right"/>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供应商（电子签章）：</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p>
    <w:p w14:paraId="3436E900">
      <w:pPr>
        <w:spacing w:line="276" w:lineRule="auto"/>
        <w:jc w:val="righ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日期： </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 xml:space="preserve">年 </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月</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日</w:t>
      </w:r>
    </w:p>
    <w:p w14:paraId="1F39152B">
      <w:pPr>
        <w:spacing w:line="276" w:lineRule="auto"/>
        <w:jc w:val="right"/>
        <w:rPr>
          <w:rFonts w:hint="eastAsia" w:ascii="仿宋" w:hAnsi="仿宋" w:eastAsia="仿宋" w:cs="仿宋"/>
          <w:b/>
          <w:color w:val="auto"/>
          <w:sz w:val="24"/>
          <w:szCs w:val="24"/>
          <w:highlight w:val="none"/>
        </w:rPr>
      </w:pPr>
    </w:p>
    <w:p w14:paraId="0B0ED079">
      <w:pPr>
        <w:pStyle w:val="29"/>
        <w:spacing w:line="400" w:lineRule="exact"/>
        <w:ind w:firstLine="482" w:firstLineChars="200"/>
        <w:rPr>
          <w:rFonts w:ascii="仿宋_GB2312" w:hAnsi="宋体" w:eastAsia="仿宋_GB2312"/>
          <w:b/>
          <w:bCs/>
          <w:color w:val="auto"/>
          <w:sz w:val="24"/>
          <w:szCs w:val="24"/>
          <w:highlight w:val="none"/>
        </w:rPr>
      </w:pPr>
      <w:r>
        <w:rPr>
          <w:rFonts w:hint="eastAsia" w:ascii="仿宋_GB2312" w:eastAsia="仿宋_GB2312"/>
          <w:b/>
          <w:color w:val="auto"/>
          <w:sz w:val="24"/>
          <w:szCs w:val="24"/>
          <w:highlight w:val="none"/>
        </w:rPr>
        <w:t>注：此项材料必须</w:t>
      </w:r>
      <w:r>
        <w:rPr>
          <w:rFonts w:hint="eastAsia" w:ascii="仿宋_GB2312" w:hAnsi="宋体" w:eastAsia="仿宋_GB2312"/>
          <w:b/>
          <w:bCs/>
          <w:color w:val="auto"/>
          <w:sz w:val="24"/>
          <w:szCs w:val="24"/>
          <w:highlight w:val="none"/>
        </w:rPr>
        <w:t>以PDF格式上传。</w:t>
      </w:r>
    </w:p>
    <w:p w14:paraId="5F0DBF02">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7D256827">
      <w:pPr>
        <w:spacing w:line="360" w:lineRule="auto"/>
        <w:jc w:val="center"/>
        <w:rPr>
          <w:rFonts w:ascii="宋体" w:hAnsi="宋体" w:cs="方正小标宋简体"/>
          <w:b/>
          <w:bCs/>
          <w:color w:val="auto"/>
          <w:sz w:val="32"/>
          <w:szCs w:val="32"/>
          <w:highlight w:val="none"/>
        </w:rPr>
      </w:pPr>
      <w:r>
        <w:rPr>
          <w:rFonts w:hint="eastAsia" w:ascii="宋体" w:hAnsi="宋体" w:cs="方正小标宋简体"/>
          <w:b/>
          <w:bCs/>
          <w:color w:val="auto"/>
          <w:sz w:val="32"/>
          <w:szCs w:val="32"/>
          <w:highlight w:val="none"/>
        </w:rPr>
        <w:t>竞标函附录</w:t>
      </w:r>
    </w:p>
    <w:p w14:paraId="5886E798">
      <w:pPr>
        <w:spacing w:line="360" w:lineRule="auto"/>
        <w:jc w:val="center"/>
        <w:rPr>
          <w:rFonts w:ascii="宋体" w:hAnsi="宋体"/>
          <w:b/>
          <w:bCs/>
          <w:color w:val="auto"/>
          <w:sz w:val="32"/>
          <w:szCs w:val="32"/>
          <w:highlight w:val="none"/>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800"/>
        <w:gridCol w:w="1515"/>
        <w:gridCol w:w="3630"/>
        <w:gridCol w:w="1206"/>
      </w:tblGrid>
      <w:tr w14:paraId="202A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9" w:type="dxa"/>
            <w:vAlign w:val="center"/>
          </w:tcPr>
          <w:p w14:paraId="5A000349">
            <w:pPr>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800" w:type="dxa"/>
            <w:vAlign w:val="center"/>
          </w:tcPr>
          <w:p w14:paraId="1DC39087">
            <w:pPr>
              <w:jc w:val="center"/>
              <w:rPr>
                <w:rFonts w:hint="eastAsia" w:ascii="仿宋" w:hAnsi="仿宋" w:eastAsia="仿宋" w:cs="仿宋"/>
                <w:color w:val="auto"/>
                <w:highlight w:val="none"/>
              </w:rPr>
            </w:pPr>
            <w:r>
              <w:rPr>
                <w:rFonts w:hint="eastAsia" w:ascii="仿宋" w:hAnsi="仿宋" w:eastAsia="仿宋" w:cs="仿宋"/>
                <w:color w:val="auto"/>
                <w:highlight w:val="none"/>
              </w:rPr>
              <w:t>条款内容</w:t>
            </w:r>
          </w:p>
        </w:tc>
        <w:tc>
          <w:tcPr>
            <w:tcW w:w="1515" w:type="dxa"/>
            <w:vAlign w:val="center"/>
          </w:tcPr>
          <w:p w14:paraId="7FCA44CB">
            <w:pPr>
              <w:jc w:val="center"/>
              <w:rPr>
                <w:rFonts w:hint="eastAsia" w:ascii="仿宋" w:hAnsi="仿宋" w:eastAsia="仿宋" w:cs="仿宋"/>
                <w:color w:val="auto"/>
                <w:highlight w:val="none"/>
              </w:rPr>
            </w:pPr>
            <w:r>
              <w:rPr>
                <w:rFonts w:hint="eastAsia" w:ascii="仿宋" w:hAnsi="仿宋" w:eastAsia="仿宋" w:cs="仿宋"/>
                <w:color w:val="auto"/>
                <w:highlight w:val="none"/>
              </w:rPr>
              <w:t>合同条款号</w:t>
            </w:r>
          </w:p>
        </w:tc>
        <w:tc>
          <w:tcPr>
            <w:tcW w:w="3630" w:type="dxa"/>
            <w:vAlign w:val="center"/>
          </w:tcPr>
          <w:p w14:paraId="5B2AC9EB">
            <w:pPr>
              <w:jc w:val="center"/>
              <w:rPr>
                <w:rFonts w:hint="eastAsia" w:ascii="仿宋" w:hAnsi="仿宋" w:eastAsia="仿宋" w:cs="仿宋"/>
                <w:color w:val="auto"/>
                <w:highlight w:val="none"/>
              </w:rPr>
            </w:pPr>
            <w:r>
              <w:rPr>
                <w:rFonts w:hint="eastAsia" w:ascii="仿宋" w:hAnsi="仿宋" w:eastAsia="仿宋" w:cs="仿宋"/>
                <w:color w:val="auto"/>
                <w:highlight w:val="none"/>
              </w:rPr>
              <w:t>约定内容</w:t>
            </w:r>
          </w:p>
        </w:tc>
        <w:tc>
          <w:tcPr>
            <w:tcW w:w="1206" w:type="dxa"/>
            <w:vAlign w:val="center"/>
          </w:tcPr>
          <w:p w14:paraId="16379327">
            <w:pPr>
              <w:jc w:val="center"/>
              <w:rPr>
                <w:rFonts w:hint="eastAsia" w:ascii="仿宋" w:hAnsi="仿宋" w:eastAsia="仿宋" w:cs="仿宋"/>
                <w:color w:val="auto"/>
                <w:highlight w:val="none"/>
              </w:rPr>
            </w:pPr>
            <w:r>
              <w:rPr>
                <w:rFonts w:hint="eastAsia" w:ascii="仿宋" w:hAnsi="仿宋" w:eastAsia="仿宋" w:cs="仿宋"/>
                <w:color w:val="auto"/>
                <w:highlight w:val="none"/>
              </w:rPr>
              <w:t>供应商响应情况</w:t>
            </w:r>
          </w:p>
        </w:tc>
      </w:tr>
      <w:tr w14:paraId="4497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9" w:type="dxa"/>
            <w:vAlign w:val="center"/>
          </w:tcPr>
          <w:p w14:paraId="13C86D2D">
            <w:pPr>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800" w:type="dxa"/>
            <w:vAlign w:val="center"/>
          </w:tcPr>
          <w:p w14:paraId="39A9C482">
            <w:pPr>
              <w:jc w:val="center"/>
              <w:rPr>
                <w:rFonts w:hint="eastAsia" w:ascii="仿宋" w:hAnsi="仿宋" w:eastAsia="仿宋" w:cs="仿宋"/>
                <w:color w:val="auto"/>
                <w:highlight w:val="none"/>
              </w:rPr>
            </w:pPr>
            <w:r>
              <w:rPr>
                <w:rFonts w:hint="eastAsia" w:ascii="仿宋" w:hAnsi="仿宋" w:eastAsia="仿宋" w:cs="仿宋"/>
                <w:color w:val="auto"/>
                <w:highlight w:val="none"/>
              </w:rPr>
              <w:t>项目经理</w:t>
            </w:r>
          </w:p>
        </w:tc>
        <w:tc>
          <w:tcPr>
            <w:tcW w:w="1515" w:type="dxa"/>
            <w:tcMar>
              <w:left w:w="170" w:type="dxa"/>
            </w:tcMar>
            <w:vAlign w:val="center"/>
          </w:tcPr>
          <w:p w14:paraId="354AAB16">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合同</w:t>
            </w:r>
            <w:r>
              <w:rPr>
                <w:rFonts w:hint="eastAsia" w:ascii="仿宋" w:hAnsi="仿宋" w:eastAsia="仿宋" w:cs="仿宋"/>
                <w:color w:val="auto"/>
                <w:highlight w:val="none"/>
              </w:rPr>
              <w:t>条款</w:t>
            </w:r>
          </w:p>
        </w:tc>
        <w:tc>
          <w:tcPr>
            <w:tcW w:w="3630" w:type="dxa"/>
            <w:vAlign w:val="center"/>
          </w:tcPr>
          <w:p w14:paraId="6166D9EA">
            <w:pPr>
              <w:rPr>
                <w:rFonts w:hint="default" w:ascii="仿宋" w:hAnsi="仿宋" w:eastAsia="仿宋" w:cs="仿宋"/>
                <w:color w:val="auto"/>
                <w:highlight w:val="none"/>
                <w:lang w:val="en-US" w:eastAsia="zh-CN"/>
              </w:rPr>
            </w:pPr>
            <w:r>
              <w:rPr>
                <w:rFonts w:hint="eastAsia" w:ascii="仿宋" w:hAnsi="仿宋" w:eastAsia="仿宋" w:cs="仿宋"/>
                <w:color w:val="auto"/>
                <w:highlight w:val="none"/>
              </w:rPr>
              <w:t>姓名：</w:t>
            </w:r>
            <w:r>
              <w:rPr>
                <w:rFonts w:hint="eastAsia" w:ascii="仿宋" w:hAnsi="仿宋" w:eastAsia="仿宋" w:cs="仿宋"/>
                <w:color w:val="auto"/>
                <w:highlight w:val="none"/>
                <w:lang w:val="en-US" w:eastAsia="zh-CN"/>
              </w:rPr>
              <w:t xml:space="preserve">       注册证号：</w:t>
            </w:r>
          </w:p>
        </w:tc>
        <w:tc>
          <w:tcPr>
            <w:tcW w:w="1206" w:type="dxa"/>
            <w:vAlign w:val="center"/>
          </w:tcPr>
          <w:p w14:paraId="0195374D">
            <w:pPr>
              <w:jc w:val="center"/>
              <w:rPr>
                <w:rFonts w:hint="eastAsia" w:ascii="仿宋" w:hAnsi="仿宋" w:eastAsia="仿宋" w:cs="仿宋"/>
                <w:color w:val="auto"/>
                <w:highlight w:val="none"/>
              </w:rPr>
            </w:pPr>
          </w:p>
        </w:tc>
      </w:tr>
      <w:tr w14:paraId="4366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9" w:type="dxa"/>
            <w:vAlign w:val="center"/>
          </w:tcPr>
          <w:p w14:paraId="389815FC">
            <w:pPr>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800" w:type="dxa"/>
            <w:vAlign w:val="center"/>
          </w:tcPr>
          <w:p w14:paraId="1A673803">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磋商</w:t>
            </w:r>
            <w:r>
              <w:rPr>
                <w:rFonts w:hint="eastAsia" w:ascii="仿宋" w:hAnsi="仿宋" w:eastAsia="仿宋" w:cs="仿宋"/>
                <w:color w:val="auto"/>
                <w:highlight w:val="none"/>
              </w:rPr>
              <w:t>有效期</w:t>
            </w:r>
          </w:p>
        </w:tc>
        <w:tc>
          <w:tcPr>
            <w:tcW w:w="1515" w:type="dxa"/>
            <w:tcMar>
              <w:left w:w="170" w:type="dxa"/>
            </w:tcMar>
            <w:vAlign w:val="center"/>
          </w:tcPr>
          <w:p w14:paraId="6AE651DF">
            <w:pPr>
              <w:rPr>
                <w:rFonts w:hint="eastAsia" w:ascii="仿宋" w:hAnsi="仿宋" w:eastAsia="仿宋" w:cs="仿宋"/>
                <w:color w:val="auto"/>
                <w:highlight w:val="none"/>
              </w:rPr>
            </w:pPr>
          </w:p>
        </w:tc>
        <w:tc>
          <w:tcPr>
            <w:tcW w:w="3630" w:type="dxa"/>
            <w:vAlign w:val="center"/>
          </w:tcPr>
          <w:p w14:paraId="513E8828">
            <w:pPr>
              <w:jc w:val="center"/>
              <w:rPr>
                <w:rFonts w:hint="eastAsia" w:ascii="仿宋" w:hAnsi="仿宋" w:eastAsia="仿宋" w:cs="仿宋"/>
                <w:color w:val="auto"/>
                <w:highlight w:val="none"/>
                <w:u w:val="single"/>
              </w:rPr>
            </w:pPr>
            <w:r>
              <w:rPr>
                <w:rFonts w:hint="eastAsia" w:ascii="仿宋" w:hAnsi="仿宋" w:eastAsia="仿宋" w:cs="仿宋"/>
                <w:color w:val="auto"/>
                <w:szCs w:val="21"/>
                <w:highlight w:val="none"/>
              </w:rPr>
              <w:t>自首次响应文件提交截止之日起</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日</w:t>
            </w:r>
          </w:p>
        </w:tc>
        <w:tc>
          <w:tcPr>
            <w:tcW w:w="1206" w:type="dxa"/>
            <w:vAlign w:val="center"/>
          </w:tcPr>
          <w:p w14:paraId="62D7A943">
            <w:pPr>
              <w:jc w:val="center"/>
              <w:rPr>
                <w:rFonts w:hint="eastAsia" w:ascii="仿宋" w:hAnsi="仿宋" w:eastAsia="仿宋" w:cs="仿宋"/>
                <w:color w:val="auto"/>
                <w:highlight w:val="none"/>
              </w:rPr>
            </w:pPr>
          </w:p>
        </w:tc>
      </w:tr>
      <w:tr w14:paraId="37B38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9" w:type="dxa"/>
            <w:vAlign w:val="center"/>
          </w:tcPr>
          <w:p w14:paraId="3873DB94">
            <w:pPr>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800" w:type="dxa"/>
            <w:vAlign w:val="center"/>
          </w:tcPr>
          <w:p w14:paraId="3FFC1C04">
            <w:pPr>
              <w:jc w:val="center"/>
              <w:rPr>
                <w:rFonts w:hint="eastAsia" w:ascii="仿宋" w:hAnsi="仿宋" w:eastAsia="仿宋" w:cs="仿宋"/>
                <w:color w:val="auto"/>
                <w:highlight w:val="none"/>
              </w:rPr>
            </w:pPr>
            <w:r>
              <w:rPr>
                <w:rFonts w:hint="eastAsia" w:ascii="仿宋" w:hAnsi="仿宋" w:eastAsia="仿宋" w:cs="仿宋"/>
                <w:color w:val="auto"/>
                <w:highlight w:val="none"/>
              </w:rPr>
              <w:t>工期</w:t>
            </w:r>
          </w:p>
        </w:tc>
        <w:tc>
          <w:tcPr>
            <w:tcW w:w="1515" w:type="dxa"/>
            <w:tcMar>
              <w:left w:w="170" w:type="dxa"/>
            </w:tcMar>
            <w:vAlign w:val="center"/>
          </w:tcPr>
          <w:p w14:paraId="30FD782C">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合同</w:t>
            </w:r>
            <w:r>
              <w:rPr>
                <w:rFonts w:hint="eastAsia" w:ascii="仿宋" w:hAnsi="仿宋" w:eastAsia="仿宋" w:cs="仿宋"/>
                <w:color w:val="auto"/>
                <w:highlight w:val="none"/>
              </w:rPr>
              <w:t>条款</w:t>
            </w:r>
          </w:p>
        </w:tc>
        <w:tc>
          <w:tcPr>
            <w:tcW w:w="3630" w:type="dxa"/>
            <w:vAlign w:val="center"/>
          </w:tcPr>
          <w:p w14:paraId="2F77D5ED">
            <w:pPr>
              <w:jc w:val="center"/>
              <w:rPr>
                <w:rFonts w:hint="eastAsia" w:ascii="仿宋" w:hAnsi="仿宋" w:eastAsia="仿宋" w:cs="仿宋"/>
                <w:color w:val="auto"/>
                <w:highlight w:val="none"/>
              </w:rPr>
            </w:pP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日历日</w:t>
            </w:r>
          </w:p>
        </w:tc>
        <w:tc>
          <w:tcPr>
            <w:tcW w:w="1206" w:type="dxa"/>
            <w:vAlign w:val="center"/>
          </w:tcPr>
          <w:p w14:paraId="71016C65">
            <w:pPr>
              <w:jc w:val="center"/>
              <w:rPr>
                <w:rFonts w:hint="eastAsia" w:ascii="仿宋" w:hAnsi="仿宋" w:eastAsia="仿宋" w:cs="仿宋"/>
                <w:color w:val="auto"/>
                <w:highlight w:val="none"/>
              </w:rPr>
            </w:pPr>
          </w:p>
        </w:tc>
      </w:tr>
      <w:tr w14:paraId="5FC71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9" w:type="dxa"/>
            <w:vAlign w:val="center"/>
          </w:tcPr>
          <w:p w14:paraId="399367C0">
            <w:pPr>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1800" w:type="dxa"/>
            <w:vAlign w:val="center"/>
          </w:tcPr>
          <w:p w14:paraId="779DC1F2">
            <w:pPr>
              <w:jc w:val="center"/>
              <w:rPr>
                <w:rFonts w:hint="eastAsia" w:ascii="仿宋" w:hAnsi="仿宋" w:eastAsia="仿宋" w:cs="仿宋"/>
                <w:color w:val="auto"/>
                <w:highlight w:val="none"/>
              </w:rPr>
            </w:pPr>
            <w:r>
              <w:rPr>
                <w:rFonts w:hint="eastAsia" w:ascii="仿宋" w:hAnsi="仿宋" w:eastAsia="仿宋" w:cs="仿宋"/>
                <w:color w:val="auto"/>
                <w:highlight w:val="none"/>
              </w:rPr>
              <w:t>缺陷责任期</w:t>
            </w:r>
          </w:p>
        </w:tc>
        <w:tc>
          <w:tcPr>
            <w:tcW w:w="1515" w:type="dxa"/>
            <w:tcMar>
              <w:left w:w="170" w:type="dxa"/>
            </w:tcMar>
            <w:vAlign w:val="center"/>
          </w:tcPr>
          <w:p w14:paraId="1565F3C5">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合同</w:t>
            </w:r>
            <w:r>
              <w:rPr>
                <w:rFonts w:hint="eastAsia" w:ascii="仿宋" w:hAnsi="仿宋" w:eastAsia="仿宋" w:cs="仿宋"/>
                <w:color w:val="auto"/>
                <w:highlight w:val="none"/>
              </w:rPr>
              <w:t>条款</w:t>
            </w:r>
          </w:p>
        </w:tc>
        <w:tc>
          <w:tcPr>
            <w:tcW w:w="3630" w:type="dxa"/>
            <w:vAlign w:val="center"/>
          </w:tcPr>
          <w:p w14:paraId="2DF16709">
            <w:pPr>
              <w:jc w:val="center"/>
              <w:rPr>
                <w:rFonts w:hint="eastAsia" w:ascii="仿宋" w:hAnsi="仿宋" w:eastAsia="仿宋" w:cs="仿宋"/>
                <w:color w:val="auto"/>
                <w:highlight w:val="none"/>
              </w:rPr>
            </w:pP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年从验收合格之日起算</w:t>
            </w:r>
          </w:p>
        </w:tc>
        <w:tc>
          <w:tcPr>
            <w:tcW w:w="1206" w:type="dxa"/>
            <w:vAlign w:val="center"/>
          </w:tcPr>
          <w:p w14:paraId="473A297B">
            <w:pPr>
              <w:jc w:val="center"/>
              <w:rPr>
                <w:rFonts w:hint="eastAsia" w:ascii="仿宋" w:hAnsi="仿宋" w:eastAsia="仿宋" w:cs="仿宋"/>
                <w:color w:val="auto"/>
                <w:highlight w:val="none"/>
              </w:rPr>
            </w:pPr>
          </w:p>
        </w:tc>
      </w:tr>
      <w:tr w14:paraId="4788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9" w:type="dxa"/>
            <w:vAlign w:val="center"/>
          </w:tcPr>
          <w:p w14:paraId="6085917E">
            <w:pPr>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1800" w:type="dxa"/>
            <w:vAlign w:val="center"/>
          </w:tcPr>
          <w:p w14:paraId="108D0654">
            <w:pPr>
              <w:jc w:val="center"/>
              <w:rPr>
                <w:rFonts w:hint="eastAsia" w:ascii="仿宋" w:hAnsi="仿宋" w:eastAsia="仿宋" w:cs="仿宋"/>
                <w:color w:val="auto"/>
                <w:highlight w:val="none"/>
              </w:rPr>
            </w:pPr>
            <w:r>
              <w:rPr>
                <w:rFonts w:hint="eastAsia" w:ascii="仿宋" w:hAnsi="仿宋" w:eastAsia="仿宋" w:cs="仿宋"/>
                <w:color w:val="auto"/>
                <w:highlight w:val="none"/>
              </w:rPr>
              <w:t>承包人履约担保金额</w:t>
            </w:r>
          </w:p>
        </w:tc>
        <w:tc>
          <w:tcPr>
            <w:tcW w:w="1515" w:type="dxa"/>
            <w:tcMar>
              <w:left w:w="170" w:type="dxa"/>
            </w:tcMar>
            <w:vAlign w:val="center"/>
          </w:tcPr>
          <w:p w14:paraId="67AE61EE">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合同</w:t>
            </w:r>
            <w:r>
              <w:rPr>
                <w:rFonts w:hint="eastAsia" w:ascii="仿宋" w:hAnsi="仿宋" w:eastAsia="仿宋" w:cs="仿宋"/>
                <w:color w:val="auto"/>
                <w:highlight w:val="none"/>
              </w:rPr>
              <w:t>条款</w:t>
            </w:r>
          </w:p>
        </w:tc>
        <w:tc>
          <w:tcPr>
            <w:tcW w:w="3630" w:type="dxa"/>
            <w:vAlign w:val="center"/>
          </w:tcPr>
          <w:p w14:paraId="05648046">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w:t>
            </w:r>
          </w:p>
        </w:tc>
        <w:tc>
          <w:tcPr>
            <w:tcW w:w="1206" w:type="dxa"/>
            <w:vAlign w:val="center"/>
          </w:tcPr>
          <w:p w14:paraId="4E9BE95C">
            <w:pPr>
              <w:jc w:val="center"/>
              <w:rPr>
                <w:rFonts w:hint="eastAsia" w:ascii="仿宋" w:hAnsi="仿宋" w:eastAsia="仿宋" w:cs="仿宋"/>
                <w:color w:val="auto"/>
                <w:highlight w:val="none"/>
              </w:rPr>
            </w:pPr>
          </w:p>
        </w:tc>
      </w:tr>
      <w:tr w14:paraId="424C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9" w:type="dxa"/>
            <w:vAlign w:val="center"/>
          </w:tcPr>
          <w:p w14:paraId="7059B4FD">
            <w:pPr>
              <w:jc w:val="cente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1800" w:type="dxa"/>
            <w:vAlign w:val="center"/>
          </w:tcPr>
          <w:p w14:paraId="261E51A3">
            <w:pPr>
              <w:jc w:val="center"/>
              <w:rPr>
                <w:rFonts w:hint="eastAsia" w:ascii="仿宋" w:hAnsi="仿宋" w:eastAsia="仿宋" w:cs="仿宋"/>
                <w:color w:val="auto"/>
                <w:highlight w:val="none"/>
              </w:rPr>
            </w:pPr>
            <w:r>
              <w:rPr>
                <w:rFonts w:hint="eastAsia" w:ascii="仿宋" w:hAnsi="仿宋" w:eastAsia="仿宋" w:cs="仿宋"/>
                <w:color w:val="auto"/>
                <w:highlight w:val="none"/>
              </w:rPr>
              <w:t>分包</w:t>
            </w:r>
          </w:p>
        </w:tc>
        <w:tc>
          <w:tcPr>
            <w:tcW w:w="1515" w:type="dxa"/>
            <w:tcMar>
              <w:left w:w="170" w:type="dxa"/>
            </w:tcMar>
            <w:vAlign w:val="center"/>
          </w:tcPr>
          <w:p w14:paraId="452119ED">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合同</w:t>
            </w:r>
            <w:r>
              <w:rPr>
                <w:rFonts w:hint="eastAsia" w:ascii="仿宋" w:hAnsi="仿宋" w:eastAsia="仿宋" w:cs="仿宋"/>
                <w:color w:val="auto"/>
                <w:highlight w:val="none"/>
              </w:rPr>
              <w:t>条款</w:t>
            </w:r>
          </w:p>
        </w:tc>
        <w:tc>
          <w:tcPr>
            <w:tcW w:w="3630" w:type="dxa"/>
            <w:vAlign w:val="center"/>
          </w:tcPr>
          <w:p w14:paraId="44F7D37A">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不允许分包</w:t>
            </w:r>
          </w:p>
        </w:tc>
        <w:tc>
          <w:tcPr>
            <w:tcW w:w="1206" w:type="dxa"/>
            <w:vAlign w:val="center"/>
          </w:tcPr>
          <w:p w14:paraId="1C18244C">
            <w:pPr>
              <w:jc w:val="center"/>
              <w:rPr>
                <w:rFonts w:hint="eastAsia" w:ascii="仿宋" w:hAnsi="仿宋" w:eastAsia="仿宋" w:cs="仿宋"/>
                <w:color w:val="auto"/>
                <w:highlight w:val="none"/>
              </w:rPr>
            </w:pPr>
          </w:p>
        </w:tc>
      </w:tr>
      <w:tr w14:paraId="57BC2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9" w:type="dxa"/>
            <w:vAlign w:val="center"/>
          </w:tcPr>
          <w:p w14:paraId="6EB48974">
            <w:pPr>
              <w:jc w:val="center"/>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1800" w:type="dxa"/>
            <w:vAlign w:val="center"/>
          </w:tcPr>
          <w:p w14:paraId="2FEE5D1A">
            <w:pPr>
              <w:jc w:val="center"/>
              <w:rPr>
                <w:rFonts w:hint="eastAsia" w:ascii="仿宋" w:hAnsi="仿宋" w:eastAsia="仿宋" w:cs="仿宋"/>
                <w:color w:val="auto"/>
                <w:highlight w:val="none"/>
              </w:rPr>
            </w:pPr>
            <w:r>
              <w:rPr>
                <w:rFonts w:hint="eastAsia" w:ascii="仿宋" w:hAnsi="仿宋" w:eastAsia="仿宋" w:cs="仿宋"/>
                <w:color w:val="auto"/>
                <w:highlight w:val="none"/>
              </w:rPr>
              <w:t>逾期竣工违约金</w:t>
            </w:r>
          </w:p>
        </w:tc>
        <w:tc>
          <w:tcPr>
            <w:tcW w:w="1515" w:type="dxa"/>
            <w:tcMar>
              <w:left w:w="170" w:type="dxa"/>
            </w:tcMar>
            <w:vAlign w:val="center"/>
          </w:tcPr>
          <w:p w14:paraId="7AC282DA">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合同</w:t>
            </w:r>
            <w:r>
              <w:rPr>
                <w:rFonts w:hint="eastAsia" w:ascii="仿宋" w:hAnsi="仿宋" w:eastAsia="仿宋" w:cs="仿宋"/>
                <w:color w:val="auto"/>
                <w:highlight w:val="none"/>
              </w:rPr>
              <w:t>条款</w:t>
            </w:r>
          </w:p>
        </w:tc>
        <w:tc>
          <w:tcPr>
            <w:tcW w:w="3630" w:type="dxa"/>
            <w:vAlign w:val="center"/>
          </w:tcPr>
          <w:p w14:paraId="0B8E00E7">
            <w:pPr>
              <w:jc w:val="center"/>
              <w:rPr>
                <w:rFonts w:hint="eastAsia" w:ascii="仿宋" w:hAnsi="仿宋" w:eastAsia="仿宋" w:cs="仿宋"/>
                <w:color w:val="auto"/>
                <w:highlight w:val="none"/>
              </w:rPr>
            </w:pPr>
          </w:p>
        </w:tc>
        <w:tc>
          <w:tcPr>
            <w:tcW w:w="1206" w:type="dxa"/>
            <w:vAlign w:val="center"/>
          </w:tcPr>
          <w:p w14:paraId="25AC99F6">
            <w:pPr>
              <w:jc w:val="center"/>
              <w:rPr>
                <w:rFonts w:hint="eastAsia" w:ascii="仿宋" w:hAnsi="仿宋" w:eastAsia="仿宋" w:cs="仿宋"/>
                <w:color w:val="auto"/>
                <w:highlight w:val="none"/>
              </w:rPr>
            </w:pPr>
          </w:p>
        </w:tc>
      </w:tr>
      <w:tr w14:paraId="6997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9" w:type="dxa"/>
            <w:vAlign w:val="center"/>
          </w:tcPr>
          <w:p w14:paraId="7FF936E4">
            <w:pPr>
              <w:jc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1800" w:type="dxa"/>
            <w:vAlign w:val="center"/>
          </w:tcPr>
          <w:p w14:paraId="0115E4BC">
            <w:pPr>
              <w:jc w:val="center"/>
              <w:rPr>
                <w:rFonts w:hint="eastAsia" w:ascii="仿宋" w:hAnsi="仿宋" w:eastAsia="仿宋" w:cs="仿宋"/>
                <w:color w:val="auto"/>
                <w:highlight w:val="none"/>
              </w:rPr>
            </w:pPr>
            <w:r>
              <w:rPr>
                <w:rFonts w:hint="eastAsia" w:ascii="仿宋" w:hAnsi="仿宋" w:eastAsia="仿宋" w:cs="仿宋"/>
                <w:color w:val="auto"/>
                <w:highlight w:val="none"/>
              </w:rPr>
              <w:t>逾期竣工违约金最高限额</w:t>
            </w:r>
          </w:p>
        </w:tc>
        <w:tc>
          <w:tcPr>
            <w:tcW w:w="1515" w:type="dxa"/>
            <w:tcMar>
              <w:left w:w="170" w:type="dxa"/>
            </w:tcMar>
            <w:vAlign w:val="center"/>
          </w:tcPr>
          <w:p w14:paraId="5F80F73C">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合同</w:t>
            </w:r>
            <w:r>
              <w:rPr>
                <w:rFonts w:hint="eastAsia" w:ascii="仿宋" w:hAnsi="仿宋" w:eastAsia="仿宋" w:cs="仿宋"/>
                <w:color w:val="auto"/>
                <w:highlight w:val="none"/>
              </w:rPr>
              <w:t>条款</w:t>
            </w:r>
          </w:p>
        </w:tc>
        <w:tc>
          <w:tcPr>
            <w:tcW w:w="3630" w:type="dxa"/>
            <w:vAlign w:val="center"/>
          </w:tcPr>
          <w:p w14:paraId="1EDB39A6">
            <w:pPr>
              <w:jc w:val="center"/>
              <w:rPr>
                <w:rFonts w:hint="eastAsia" w:ascii="仿宋" w:hAnsi="仿宋" w:eastAsia="仿宋" w:cs="仿宋"/>
                <w:color w:val="auto"/>
                <w:highlight w:val="none"/>
              </w:rPr>
            </w:pPr>
          </w:p>
        </w:tc>
        <w:tc>
          <w:tcPr>
            <w:tcW w:w="1206" w:type="dxa"/>
            <w:vAlign w:val="center"/>
          </w:tcPr>
          <w:p w14:paraId="786B645C">
            <w:pPr>
              <w:jc w:val="center"/>
              <w:rPr>
                <w:rFonts w:hint="eastAsia" w:ascii="仿宋" w:hAnsi="仿宋" w:eastAsia="仿宋" w:cs="仿宋"/>
                <w:color w:val="auto"/>
                <w:highlight w:val="none"/>
              </w:rPr>
            </w:pPr>
          </w:p>
        </w:tc>
      </w:tr>
      <w:tr w14:paraId="6BA2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9" w:type="dxa"/>
            <w:vAlign w:val="center"/>
          </w:tcPr>
          <w:p w14:paraId="482DDABB">
            <w:pPr>
              <w:jc w:val="center"/>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1800" w:type="dxa"/>
            <w:vAlign w:val="center"/>
          </w:tcPr>
          <w:p w14:paraId="6543DFCA">
            <w:pPr>
              <w:jc w:val="center"/>
              <w:rPr>
                <w:rFonts w:hint="eastAsia" w:ascii="仿宋" w:hAnsi="仿宋" w:eastAsia="仿宋" w:cs="仿宋"/>
                <w:color w:val="auto"/>
                <w:highlight w:val="none"/>
              </w:rPr>
            </w:pPr>
            <w:r>
              <w:rPr>
                <w:rFonts w:hint="eastAsia" w:ascii="仿宋" w:hAnsi="仿宋" w:eastAsia="仿宋" w:cs="仿宋"/>
                <w:color w:val="auto"/>
                <w:highlight w:val="none"/>
              </w:rPr>
              <w:t>质量标准</w:t>
            </w:r>
          </w:p>
        </w:tc>
        <w:tc>
          <w:tcPr>
            <w:tcW w:w="1515" w:type="dxa"/>
            <w:tcMar>
              <w:left w:w="170" w:type="dxa"/>
            </w:tcMar>
            <w:vAlign w:val="center"/>
          </w:tcPr>
          <w:p w14:paraId="13733010">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合同</w:t>
            </w:r>
            <w:r>
              <w:rPr>
                <w:rFonts w:hint="eastAsia" w:ascii="仿宋" w:hAnsi="仿宋" w:eastAsia="仿宋" w:cs="仿宋"/>
                <w:color w:val="auto"/>
                <w:highlight w:val="none"/>
              </w:rPr>
              <w:t>条款</w:t>
            </w:r>
          </w:p>
        </w:tc>
        <w:tc>
          <w:tcPr>
            <w:tcW w:w="3630" w:type="dxa"/>
            <w:vAlign w:val="center"/>
          </w:tcPr>
          <w:p w14:paraId="6752423B">
            <w:pPr>
              <w:jc w:val="center"/>
              <w:rPr>
                <w:rFonts w:hint="eastAsia" w:ascii="仿宋" w:hAnsi="仿宋" w:eastAsia="仿宋" w:cs="仿宋"/>
                <w:color w:val="auto"/>
                <w:highlight w:val="none"/>
              </w:rPr>
            </w:pPr>
            <w:r>
              <w:rPr>
                <w:rFonts w:hint="eastAsia" w:ascii="仿宋" w:hAnsi="仿宋" w:eastAsia="仿宋" w:cs="仿宋"/>
                <w:color w:val="auto"/>
                <w:highlight w:val="none"/>
              </w:rPr>
              <w:t>质量应达到国家规定的验收合格标准</w:t>
            </w:r>
          </w:p>
        </w:tc>
        <w:tc>
          <w:tcPr>
            <w:tcW w:w="1206" w:type="dxa"/>
            <w:vAlign w:val="center"/>
          </w:tcPr>
          <w:p w14:paraId="266BE927">
            <w:pPr>
              <w:jc w:val="center"/>
              <w:rPr>
                <w:rFonts w:hint="eastAsia" w:ascii="仿宋" w:hAnsi="仿宋" w:eastAsia="仿宋" w:cs="仿宋"/>
                <w:color w:val="auto"/>
                <w:highlight w:val="none"/>
              </w:rPr>
            </w:pPr>
          </w:p>
        </w:tc>
      </w:tr>
      <w:tr w14:paraId="5E01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9" w:type="dxa"/>
            <w:vAlign w:val="center"/>
          </w:tcPr>
          <w:p w14:paraId="1E1459B8">
            <w:pPr>
              <w:jc w:val="center"/>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1800" w:type="dxa"/>
            <w:vAlign w:val="center"/>
          </w:tcPr>
          <w:p w14:paraId="31C0CCA5">
            <w:pPr>
              <w:jc w:val="center"/>
              <w:rPr>
                <w:rFonts w:hint="eastAsia" w:ascii="仿宋" w:hAnsi="仿宋" w:eastAsia="仿宋" w:cs="仿宋"/>
                <w:color w:val="auto"/>
                <w:highlight w:val="none"/>
              </w:rPr>
            </w:pPr>
            <w:r>
              <w:rPr>
                <w:rFonts w:hint="eastAsia" w:ascii="仿宋" w:hAnsi="仿宋" w:eastAsia="仿宋" w:cs="仿宋"/>
                <w:color w:val="auto"/>
                <w:highlight w:val="none"/>
              </w:rPr>
              <w:t>预付款额度</w:t>
            </w:r>
          </w:p>
        </w:tc>
        <w:tc>
          <w:tcPr>
            <w:tcW w:w="1515" w:type="dxa"/>
            <w:tcMar>
              <w:left w:w="170" w:type="dxa"/>
            </w:tcMar>
            <w:vAlign w:val="center"/>
          </w:tcPr>
          <w:p w14:paraId="638227AE">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合同</w:t>
            </w:r>
            <w:r>
              <w:rPr>
                <w:rFonts w:hint="eastAsia" w:ascii="仿宋" w:hAnsi="仿宋" w:eastAsia="仿宋" w:cs="仿宋"/>
                <w:color w:val="auto"/>
                <w:highlight w:val="none"/>
              </w:rPr>
              <w:t>条款</w:t>
            </w:r>
          </w:p>
        </w:tc>
        <w:tc>
          <w:tcPr>
            <w:tcW w:w="3630" w:type="dxa"/>
            <w:vAlign w:val="center"/>
          </w:tcPr>
          <w:p w14:paraId="106D7583">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合同价款的30%</w:t>
            </w:r>
          </w:p>
        </w:tc>
        <w:tc>
          <w:tcPr>
            <w:tcW w:w="1206" w:type="dxa"/>
            <w:vAlign w:val="center"/>
          </w:tcPr>
          <w:p w14:paraId="5FF83B06">
            <w:pPr>
              <w:jc w:val="center"/>
              <w:rPr>
                <w:rFonts w:hint="eastAsia" w:ascii="仿宋" w:hAnsi="仿宋" w:eastAsia="仿宋" w:cs="仿宋"/>
                <w:color w:val="auto"/>
                <w:highlight w:val="none"/>
              </w:rPr>
            </w:pPr>
          </w:p>
        </w:tc>
      </w:tr>
      <w:tr w14:paraId="62F1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9" w:type="dxa"/>
            <w:vAlign w:val="center"/>
          </w:tcPr>
          <w:p w14:paraId="20ED9EDF">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1</w:t>
            </w:r>
          </w:p>
        </w:tc>
        <w:tc>
          <w:tcPr>
            <w:tcW w:w="1800" w:type="dxa"/>
            <w:vAlign w:val="center"/>
          </w:tcPr>
          <w:p w14:paraId="367D9D3F">
            <w:pPr>
              <w:jc w:val="center"/>
              <w:rPr>
                <w:rFonts w:hint="eastAsia" w:ascii="仿宋" w:hAnsi="仿宋" w:eastAsia="仿宋" w:cs="仿宋"/>
                <w:color w:val="auto"/>
                <w:highlight w:val="none"/>
              </w:rPr>
            </w:pPr>
            <w:r>
              <w:rPr>
                <w:rFonts w:hint="eastAsia" w:ascii="仿宋" w:hAnsi="仿宋" w:eastAsia="仿宋" w:cs="仿宋"/>
                <w:color w:val="auto"/>
                <w:highlight w:val="none"/>
              </w:rPr>
              <w:t>质量保证金额度</w:t>
            </w:r>
          </w:p>
        </w:tc>
        <w:tc>
          <w:tcPr>
            <w:tcW w:w="1515" w:type="dxa"/>
            <w:tcMar>
              <w:left w:w="170" w:type="dxa"/>
            </w:tcMar>
            <w:vAlign w:val="center"/>
          </w:tcPr>
          <w:p w14:paraId="358817FF">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合同</w:t>
            </w:r>
            <w:r>
              <w:rPr>
                <w:rFonts w:hint="eastAsia" w:ascii="仿宋" w:hAnsi="仿宋" w:eastAsia="仿宋" w:cs="仿宋"/>
                <w:color w:val="auto"/>
                <w:highlight w:val="none"/>
              </w:rPr>
              <w:t>条款</w:t>
            </w:r>
          </w:p>
        </w:tc>
        <w:tc>
          <w:tcPr>
            <w:tcW w:w="3630" w:type="dxa"/>
            <w:vAlign w:val="center"/>
          </w:tcPr>
          <w:p w14:paraId="2ECF9092">
            <w:pPr>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审定</w:t>
            </w:r>
            <w:r>
              <w:rPr>
                <w:rFonts w:hint="eastAsia" w:ascii="仿宋" w:hAnsi="仿宋" w:eastAsia="仿宋" w:cs="仿宋"/>
                <w:color w:val="auto"/>
                <w:highlight w:val="none"/>
              </w:rPr>
              <w:t>结算价的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3</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tc>
        <w:tc>
          <w:tcPr>
            <w:tcW w:w="1206" w:type="dxa"/>
            <w:vAlign w:val="center"/>
          </w:tcPr>
          <w:p w14:paraId="73BDFED5">
            <w:pPr>
              <w:jc w:val="center"/>
              <w:rPr>
                <w:rFonts w:hint="eastAsia" w:ascii="仿宋" w:hAnsi="仿宋" w:eastAsia="仿宋" w:cs="仿宋"/>
                <w:color w:val="auto"/>
                <w:highlight w:val="none"/>
              </w:rPr>
            </w:pPr>
          </w:p>
        </w:tc>
      </w:tr>
      <w:tr w14:paraId="3902B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9" w:type="dxa"/>
            <w:vAlign w:val="center"/>
          </w:tcPr>
          <w:p w14:paraId="792213B1">
            <w:pPr>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800" w:type="dxa"/>
            <w:vAlign w:val="center"/>
          </w:tcPr>
          <w:p w14:paraId="596E8D00">
            <w:pPr>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515" w:type="dxa"/>
            <w:tcMar>
              <w:left w:w="170" w:type="dxa"/>
            </w:tcMar>
            <w:vAlign w:val="center"/>
          </w:tcPr>
          <w:p w14:paraId="43AD10F9">
            <w:pPr>
              <w:rPr>
                <w:rFonts w:hint="eastAsia" w:ascii="仿宋" w:hAnsi="仿宋" w:eastAsia="仿宋" w:cs="仿宋"/>
                <w:color w:val="auto"/>
                <w:highlight w:val="none"/>
              </w:rPr>
            </w:pPr>
          </w:p>
        </w:tc>
        <w:tc>
          <w:tcPr>
            <w:tcW w:w="3630" w:type="dxa"/>
            <w:vAlign w:val="center"/>
          </w:tcPr>
          <w:p w14:paraId="6026D1D1">
            <w:pPr>
              <w:jc w:val="center"/>
              <w:rPr>
                <w:rFonts w:hint="eastAsia" w:ascii="仿宋" w:hAnsi="仿宋" w:eastAsia="仿宋" w:cs="仿宋"/>
                <w:color w:val="auto"/>
                <w:highlight w:val="none"/>
              </w:rPr>
            </w:pPr>
          </w:p>
        </w:tc>
        <w:tc>
          <w:tcPr>
            <w:tcW w:w="1206" w:type="dxa"/>
            <w:vAlign w:val="center"/>
          </w:tcPr>
          <w:p w14:paraId="0BF9EDB4">
            <w:pPr>
              <w:jc w:val="center"/>
              <w:rPr>
                <w:rFonts w:hint="eastAsia" w:ascii="仿宋" w:hAnsi="仿宋" w:eastAsia="仿宋" w:cs="仿宋"/>
                <w:color w:val="auto"/>
                <w:highlight w:val="none"/>
              </w:rPr>
            </w:pPr>
          </w:p>
        </w:tc>
      </w:tr>
      <w:tr w14:paraId="76E7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vAlign w:val="center"/>
          </w:tcPr>
          <w:p w14:paraId="75B84211">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说明：供应商在响应磋商文件中规定的实质性要求和条件的基础上，可做出其他有利于采购人的承诺。此类承诺可在本表中予以补充填写。</w:t>
            </w:r>
          </w:p>
        </w:tc>
      </w:tr>
    </w:tbl>
    <w:p w14:paraId="61499A73">
      <w:pPr>
        <w:spacing w:line="360" w:lineRule="auto"/>
        <w:ind w:right="-817" w:rightChars="-389" w:firstLine="2640" w:firstLineChars="1100"/>
        <w:contextualSpacing/>
        <w:rPr>
          <w:rFonts w:hint="eastAsia" w:ascii="仿宋" w:hAnsi="仿宋" w:eastAsia="仿宋" w:cs="仿宋"/>
          <w:color w:val="auto"/>
          <w:sz w:val="24"/>
          <w:highlight w:val="none"/>
        </w:rPr>
      </w:pPr>
    </w:p>
    <w:p w14:paraId="7ABC70D0">
      <w:pPr>
        <w:spacing w:line="360" w:lineRule="auto"/>
        <w:ind w:right="-817" w:rightChars="-389" w:firstLine="2640" w:firstLineChars="1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法定代表人或者委托代理人（签字或者电子签名）：</w:t>
      </w:r>
      <w:r>
        <w:rPr>
          <w:rFonts w:hint="eastAsia" w:ascii="仿宋" w:hAnsi="仿宋" w:eastAsia="仿宋" w:cs="仿宋"/>
          <w:color w:val="auto"/>
          <w:sz w:val="24"/>
          <w:highlight w:val="none"/>
          <w:u w:val="single"/>
        </w:rPr>
        <w:t xml:space="preserve">                    </w:t>
      </w:r>
    </w:p>
    <w:p w14:paraId="59A27497">
      <w:pPr>
        <w:spacing w:line="360" w:lineRule="auto"/>
        <w:ind w:right="-817" w:rightChars="-389" w:firstLine="2640" w:firstLineChars="1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供应商（电子签章）：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123020C">
      <w:pPr>
        <w:spacing w:line="276" w:lineRule="auto"/>
        <w:jc w:val="center"/>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日期：   年   月   日</w:t>
      </w:r>
    </w:p>
    <w:p w14:paraId="55C63C1C">
      <w:pPr>
        <w:spacing w:line="276" w:lineRule="auto"/>
        <w:jc w:val="both"/>
        <w:rPr>
          <w:rFonts w:hint="eastAsia" w:ascii="宋体" w:hAnsi="宋体"/>
          <w:b/>
          <w:color w:val="auto"/>
          <w:sz w:val="32"/>
          <w:szCs w:val="32"/>
          <w:highlight w:val="none"/>
        </w:rPr>
      </w:pPr>
    </w:p>
    <w:p w14:paraId="76B3C0BE">
      <w:pPr>
        <w:pStyle w:val="29"/>
        <w:spacing w:line="400" w:lineRule="exact"/>
        <w:ind w:firstLine="482" w:firstLineChars="200"/>
        <w:rPr>
          <w:rFonts w:ascii="仿宋_GB2312" w:hAnsi="宋体" w:eastAsia="仿宋_GB2312"/>
          <w:b/>
          <w:bCs/>
          <w:color w:val="auto"/>
          <w:sz w:val="24"/>
          <w:szCs w:val="24"/>
          <w:highlight w:val="none"/>
        </w:rPr>
      </w:pPr>
      <w:r>
        <w:rPr>
          <w:rFonts w:hint="eastAsia" w:ascii="仿宋_GB2312" w:eastAsia="仿宋_GB2312"/>
          <w:b/>
          <w:color w:val="auto"/>
          <w:sz w:val="24"/>
          <w:szCs w:val="24"/>
          <w:highlight w:val="none"/>
        </w:rPr>
        <w:t>注：此项材料必须</w:t>
      </w:r>
      <w:r>
        <w:rPr>
          <w:rFonts w:hint="eastAsia" w:ascii="仿宋_GB2312" w:hAnsi="宋体" w:eastAsia="仿宋_GB2312"/>
          <w:b/>
          <w:bCs/>
          <w:color w:val="auto"/>
          <w:sz w:val="24"/>
          <w:szCs w:val="24"/>
          <w:highlight w:val="none"/>
        </w:rPr>
        <w:t>以PDF格式上传。</w:t>
      </w:r>
    </w:p>
    <w:p w14:paraId="1DD14D4B">
      <w:pPr>
        <w:snapToGrid w:val="0"/>
        <w:spacing w:before="157" w:beforeLines="50" w:after="50" w:line="320" w:lineRule="exact"/>
        <w:rPr>
          <w:rFonts w:hint="eastAsia" w:ascii="仿宋_GB2312" w:eastAsia="仿宋_GB2312"/>
          <w:b/>
          <w:color w:val="auto"/>
          <w:sz w:val="24"/>
          <w:highlight w:val="none"/>
        </w:rPr>
      </w:pPr>
    </w:p>
    <w:p w14:paraId="6CBC7B32">
      <w:pPr>
        <w:rPr>
          <w:rFonts w:hint="eastAsia" w:ascii="仿宋_GB2312" w:eastAsia="仿宋_GB2312"/>
          <w:b/>
          <w:color w:val="auto"/>
          <w:sz w:val="24"/>
          <w:highlight w:val="none"/>
        </w:rPr>
      </w:pPr>
      <w:r>
        <w:rPr>
          <w:rFonts w:hint="eastAsia" w:ascii="仿宋_GB2312" w:eastAsia="仿宋_GB2312"/>
          <w:b/>
          <w:color w:val="auto"/>
          <w:sz w:val="24"/>
          <w:highlight w:val="none"/>
        </w:rPr>
        <w:br w:type="page"/>
      </w:r>
    </w:p>
    <w:p w14:paraId="1101D70B">
      <w:pPr>
        <w:snapToGrid w:val="0"/>
        <w:spacing w:before="157" w:beforeLines="50" w:after="50" w:line="320" w:lineRule="exact"/>
        <w:rPr>
          <w:rFonts w:ascii="仿宋_GB2312" w:eastAsia="仿宋_GB2312"/>
          <w:color w:val="auto"/>
          <w:sz w:val="32"/>
          <w:szCs w:val="32"/>
          <w:highlight w:val="none"/>
        </w:rPr>
      </w:pPr>
      <w:r>
        <w:rPr>
          <w:rFonts w:hint="eastAsia" w:ascii="仿宋_GB2312" w:eastAsia="仿宋_GB2312"/>
          <w:b/>
          <w:color w:val="auto"/>
          <w:sz w:val="24"/>
          <w:highlight w:val="none"/>
        </w:rPr>
        <w:t>（</w:t>
      </w:r>
      <w:r>
        <w:rPr>
          <w:rFonts w:hint="eastAsia" w:ascii="仿宋_GB2312" w:eastAsia="仿宋_GB2312"/>
          <w:b/>
          <w:color w:val="auto"/>
          <w:sz w:val="24"/>
          <w:highlight w:val="none"/>
          <w:lang w:val="en-US" w:eastAsia="zh-CN"/>
        </w:rPr>
        <w:t>2</w:t>
      </w:r>
      <w:r>
        <w:rPr>
          <w:rFonts w:hint="eastAsia" w:ascii="仿宋_GB2312" w:eastAsia="仿宋_GB2312"/>
          <w:b/>
          <w:color w:val="auto"/>
          <w:sz w:val="24"/>
          <w:highlight w:val="none"/>
        </w:rPr>
        <w:t>）</w:t>
      </w:r>
      <w:r>
        <w:rPr>
          <w:rFonts w:hint="eastAsia" w:ascii="仿宋_GB2312" w:eastAsia="仿宋_GB2312"/>
          <w:b/>
          <w:color w:val="auto"/>
          <w:sz w:val="24"/>
          <w:highlight w:val="none"/>
          <w:lang w:val="en-US" w:eastAsia="zh-CN"/>
        </w:rPr>
        <w:t>竞标报价表</w:t>
      </w:r>
      <w:r>
        <w:rPr>
          <w:rFonts w:hint="eastAsia" w:ascii="仿宋_GB2312" w:eastAsia="仿宋_GB2312"/>
          <w:b/>
          <w:color w:val="auto"/>
          <w:sz w:val="24"/>
          <w:highlight w:val="none"/>
        </w:rPr>
        <w:t>（必须提供）：</w:t>
      </w:r>
    </w:p>
    <w:p w14:paraId="758D87B7">
      <w:pPr>
        <w:spacing w:line="276" w:lineRule="auto"/>
        <w:jc w:val="center"/>
        <w:rPr>
          <w:rFonts w:ascii="宋体" w:hAnsi="宋体"/>
          <w:b/>
          <w:color w:val="auto"/>
          <w:sz w:val="32"/>
          <w:szCs w:val="32"/>
          <w:highlight w:val="none"/>
        </w:rPr>
      </w:pPr>
      <w:r>
        <w:rPr>
          <w:rFonts w:hint="eastAsia" w:ascii="宋体" w:hAnsi="宋体"/>
          <w:b/>
          <w:color w:val="auto"/>
          <w:sz w:val="32"/>
          <w:szCs w:val="32"/>
          <w:highlight w:val="none"/>
          <w:lang w:val="en-US" w:eastAsia="zh-CN"/>
        </w:rPr>
        <w:t>竞标</w:t>
      </w:r>
      <w:r>
        <w:rPr>
          <w:rFonts w:hint="eastAsia" w:ascii="宋体" w:hAnsi="宋体"/>
          <w:b/>
          <w:color w:val="auto"/>
          <w:sz w:val="32"/>
          <w:szCs w:val="32"/>
          <w:highlight w:val="none"/>
        </w:rPr>
        <w:t>报价表</w:t>
      </w:r>
    </w:p>
    <w:tbl>
      <w:tblPr>
        <w:tblStyle w:val="52"/>
        <w:tblW w:w="9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7590"/>
      </w:tblGrid>
      <w:tr w14:paraId="72AA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jc w:val="center"/>
        </w:trPr>
        <w:tc>
          <w:tcPr>
            <w:tcW w:w="9007" w:type="dxa"/>
            <w:gridSpan w:val="2"/>
            <w:noWrap w:val="0"/>
            <w:vAlign w:val="center"/>
          </w:tcPr>
          <w:p w14:paraId="6E04BF43">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7B275918">
            <w:pPr>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u w:val="single"/>
              </w:rPr>
              <w:t xml:space="preserve">                                  </w:t>
            </w:r>
          </w:p>
        </w:tc>
      </w:tr>
      <w:tr w14:paraId="05DDD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417" w:type="dxa"/>
            <w:vMerge w:val="restart"/>
            <w:noWrap w:val="0"/>
            <w:vAlign w:val="center"/>
          </w:tcPr>
          <w:p w14:paraId="664F8F9B">
            <w:pPr>
              <w:spacing w:line="360"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竞标报价</w:t>
            </w:r>
          </w:p>
        </w:tc>
        <w:tc>
          <w:tcPr>
            <w:tcW w:w="7590" w:type="dxa"/>
            <w:noWrap w:val="0"/>
            <w:vAlign w:val="center"/>
          </w:tcPr>
          <w:p w14:paraId="3177C17A">
            <w:pPr>
              <w:spacing w:line="360" w:lineRule="auto"/>
              <w:rPr>
                <w:rFonts w:hint="eastAsia" w:ascii="仿宋" w:hAnsi="仿宋" w:eastAsia="仿宋" w:cs="仿宋"/>
                <w:color w:val="auto"/>
                <w:szCs w:val="21"/>
                <w:highlight w:val="none"/>
              </w:rPr>
            </w:pPr>
          </w:p>
          <w:p w14:paraId="48F27FF8">
            <w:pPr>
              <w:spacing w:line="360" w:lineRule="auto"/>
              <w:rPr>
                <w:rFonts w:hint="eastAsia" w:ascii="仿宋" w:hAnsi="仿宋" w:eastAsia="仿宋" w:cs="仿宋"/>
                <w:color w:val="auto"/>
                <w:highlight w:val="none"/>
              </w:rPr>
            </w:pPr>
            <w:r>
              <w:rPr>
                <w:rFonts w:hint="eastAsia" w:ascii="仿宋" w:hAnsi="仿宋" w:eastAsia="仿宋" w:cs="仿宋"/>
                <w:color w:val="auto"/>
                <w:szCs w:val="21"/>
                <w:highlight w:val="none"/>
              </w:rPr>
              <w:t>签约合同价</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大写</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人民币</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w:t>
            </w:r>
            <w:r>
              <w:rPr>
                <w:rFonts w:hint="eastAsia" w:ascii="仿宋" w:hAnsi="仿宋" w:eastAsia="仿宋" w:cs="仿宋"/>
                <w:color w:val="auto"/>
                <w:szCs w:val="21"/>
                <w:highlight w:val="none"/>
                <w:u w:val="single"/>
                <w:lang w:val="en-US" w:eastAsia="zh-CN"/>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）（注：含暂列金额、材料和工程设备暂估价、专业工程暂估价</w:t>
            </w:r>
            <w:r>
              <w:rPr>
                <w:rFonts w:hint="eastAsia" w:ascii="仿宋" w:hAnsi="仿宋" w:eastAsia="仿宋" w:cs="仿宋"/>
                <w:color w:val="auto"/>
                <w:szCs w:val="21"/>
                <w:highlight w:val="none"/>
                <w:lang w:eastAsia="zh-CN"/>
              </w:rPr>
              <w:t>、</w:t>
            </w:r>
            <w:r>
              <w:rPr>
                <w:rFonts w:hint="eastAsia" w:ascii="仿宋" w:hAnsi="仿宋" w:eastAsia="仿宋" w:cs="仿宋"/>
                <w:b w:val="0"/>
                <w:bCs w:val="0"/>
                <w:color w:val="auto"/>
                <w:kern w:val="2"/>
                <w:sz w:val="21"/>
                <w:szCs w:val="21"/>
                <w:highlight w:val="none"/>
                <w:lang w:val="en-US" w:eastAsia="zh-CN" w:bidi="ar-SA"/>
              </w:rPr>
              <w:t>安全生产责任保险费暂估价</w:t>
            </w:r>
            <w:r>
              <w:rPr>
                <w:rFonts w:hint="eastAsia" w:ascii="仿宋" w:hAnsi="仿宋" w:eastAsia="仿宋" w:cs="仿宋"/>
                <w:color w:val="auto"/>
                <w:highlight w:val="none"/>
              </w:rPr>
              <w:t>）</w:t>
            </w:r>
          </w:p>
        </w:tc>
      </w:tr>
      <w:tr w14:paraId="69366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417" w:type="dxa"/>
            <w:vMerge w:val="continue"/>
            <w:noWrap w:val="0"/>
            <w:vAlign w:val="center"/>
          </w:tcPr>
          <w:p w14:paraId="116AB059">
            <w:pPr>
              <w:spacing w:line="360" w:lineRule="auto"/>
              <w:rPr>
                <w:rFonts w:hint="eastAsia" w:ascii="仿宋" w:hAnsi="仿宋" w:eastAsia="仿宋" w:cs="仿宋"/>
                <w:color w:val="auto"/>
                <w:szCs w:val="21"/>
                <w:highlight w:val="none"/>
              </w:rPr>
            </w:pPr>
          </w:p>
        </w:tc>
        <w:tc>
          <w:tcPr>
            <w:tcW w:w="7590" w:type="dxa"/>
            <w:noWrap w:val="0"/>
            <w:vAlign w:val="center"/>
          </w:tcPr>
          <w:p w14:paraId="29B84A87">
            <w:pPr>
              <w:spacing w:line="360" w:lineRule="auto"/>
              <w:rPr>
                <w:rFonts w:hint="eastAsia" w:ascii="仿宋" w:hAnsi="仿宋" w:eastAsia="仿宋" w:cs="仿宋"/>
                <w:color w:val="auto"/>
                <w:szCs w:val="21"/>
                <w:highlight w:val="none"/>
              </w:rPr>
            </w:pPr>
          </w:p>
          <w:p w14:paraId="506D06EA">
            <w:pPr>
              <w:pStyle w:val="6"/>
              <w:rPr>
                <w:rFonts w:hint="eastAsia" w:ascii="仿宋" w:hAnsi="仿宋" w:eastAsia="仿宋" w:cs="仿宋"/>
                <w:b w:val="0"/>
                <w:color w:val="auto"/>
                <w:highlight w:val="none"/>
              </w:rPr>
            </w:pPr>
            <w:r>
              <w:rPr>
                <w:rFonts w:hint="eastAsia" w:ascii="仿宋" w:hAnsi="仿宋" w:eastAsia="仿宋" w:cs="仿宋"/>
                <w:b w:val="0"/>
                <w:bCs w:val="0"/>
                <w:color w:val="auto"/>
                <w:kern w:val="2"/>
                <w:sz w:val="21"/>
                <w:szCs w:val="21"/>
                <w:highlight w:val="none"/>
                <w:lang w:val="en-US" w:eastAsia="zh-CN" w:bidi="ar-SA"/>
              </w:rPr>
              <w:t>合同价（大写）：</w:t>
            </w:r>
            <w:r>
              <w:rPr>
                <w:rFonts w:hint="eastAsia" w:ascii="仿宋" w:hAnsi="仿宋" w:eastAsia="仿宋" w:cs="仿宋"/>
                <w:b w:val="0"/>
                <w:bCs w:val="0"/>
                <w:color w:val="auto"/>
                <w:kern w:val="2"/>
                <w:sz w:val="21"/>
                <w:szCs w:val="21"/>
                <w:highlight w:val="none"/>
                <w:u w:val="single"/>
                <w:lang w:val="en-US" w:eastAsia="zh-CN" w:bidi="ar-SA"/>
              </w:rPr>
              <w:t xml:space="preserve">   人民币                </w:t>
            </w:r>
            <w:r>
              <w:rPr>
                <w:rFonts w:hint="eastAsia" w:ascii="仿宋" w:hAnsi="仿宋" w:eastAsia="仿宋" w:cs="仿宋"/>
                <w:b w:val="0"/>
                <w:bCs w:val="0"/>
                <w:color w:val="auto"/>
                <w:kern w:val="2"/>
                <w:sz w:val="21"/>
                <w:szCs w:val="21"/>
                <w:highlight w:val="none"/>
                <w:lang w:val="en-US" w:eastAsia="zh-CN" w:bidi="ar-SA"/>
              </w:rPr>
              <w:t>元（¥</w:t>
            </w:r>
            <w:r>
              <w:rPr>
                <w:rFonts w:hint="eastAsia" w:ascii="仿宋" w:hAnsi="仿宋" w:eastAsia="仿宋" w:cs="仿宋"/>
                <w:b w:val="0"/>
                <w:bCs w:val="0"/>
                <w:color w:val="auto"/>
                <w:kern w:val="2"/>
                <w:sz w:val="21"/>
                <w:szCs w:val="21"/>
                <w:highlight w:val="none"/>
                <w:u w:val="single"/>
                <w:lang w:val="en-US" w:eastAsia="zh-CN" w:bidi="ar-SA"/>
              </w:rPr>
              <w:t xml:space="preserve">        </w:t>
            </w:r>
            <w:r>
              <w:rPr>
                <w:rFonts w:hint="eastAsia" w:ascii="仿宋" w:hAnsi="仿宋" w:eastAsia="仿宋" w:cs="仿宋"/>
                <w:b w:val="0"/>
                <w:bCs w:val="0"/>
                <w:color w:val="auto"/>
                <w:kern w:val="2"/>
                <w:sz w:val="21"/>
                <w:szCs w:val="21"/>
                <w:highlight w:val="none"/>
                <w:lang w:val="en-US" w:eastAsia="zh-CN" w:bidi="ar-SA"/>
              </w:rPr>
              <w:t>）（注：不含暂列金额、材料和工程设备暂估价、专业工程暂估价、安全生产责任保险费暂估价）</w:t>
            </w:r>
          </w:p>
        </w:tc>
      </w:tr>
      <w:tr w14:paraId="5A2D4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9007" w:type="dxa"/>
            <w:gridSpan w:val="2"/>
            <w:noWrap w:val="0"/>
            <w:vAlign w:val="center"/>
          </w:tcPr>
          <w:p w14:paraId="0F3E2F52">
            <w:pPr>
              <w:rPr>
                <w:rFonts w:hint="eastAsia" w:ascii="仿宋" w:hAnsi="仿宋" w:eastAsia="仿宋" w:cs="仿宋"/>
                <w:b/>
                <w:bCs/>
                <w:color w:val="auto"/>
                <w:spacing w:val="-6"/>
                <w:highlight w:val="none"/>
              </w:rPr>
            </w:pPr>
            <w:r>
              <w:rPr>
                <w:rFonts w:hint="eastAsia" w:ascii="仿宋" w:hAnsi="仿宋" w:eastAsia="仿宋" w:cs="仿宋"/>
                <w:b/>
                <w:color w:val="auto"/>
                <w:spacing w:val="-6"/>
                <w:highlight w:val="none"/>
              </w:rPr>
              <w:t>工期</w:t>
            </w:r>
            <w:r>
              <w:rPr>
                <w:rFonts w:hint="eastAsia" w:ascii="仿宋" w:hAnsi="仿宋" w:eastAsia="仿宋" w:cs="仿宋"/>
                <w:color w:val="auto"/>
                <w:spacing w:val="-6"/>
                <w:highlight w:val="none"/>
              </w:rPr>
              <w:t>：</w:t>
            </w:r>
          </w:p>
        </w:tc>
      </w:tr>
      <w:tr w14:paraId="6FCE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9007" w:type="dxa"/>
            <w:gridSpan w:val="2"/>
            <w:noWrap w:val="0"/>
            <w:vAlign w:val="center"/>
          </w:tcPr>
          <w:p w14:paraId="7B8CC05F">
            <w:pPr>
              <w:rPr>
                <w:rFonts w:hint="eastAsia" w:ascii="仿宋" w:hAnsi="仿宋" w:eastAsia="仿宋" w:cs="仿宋"/>
                <w:b/>
                <w:color w:val="auto"/>
                <w:spacing w:val="-6"/>
                <w:highlight w:val="none"/>
              </w:rPr>
            </w:pPr>
            <w:r>
              <w:rPr>
                <w:rFonts w:hint="eastAsia" w:ascii="仿宋" w:hAnsi="仿宋" w:eastAsia="仿宋" w:cs="仿宋"/>
                <w:b/>
                <w:color w:val="auto"/>
                <w:spacing w:val="-6"/>
                <w:highlight w:val="none"/>
              </w:rPr>
              <w:t>项目经理：                                        注册证号：</w:t>
            </w:r>
          </w:p>
        </w:tc>
      </w:tr>
      <w:tr w14:paraId="0DC7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9007" w:type="dxa"/>
            <w:gridSpan w:val="2"/>
            <w:noWrap w:val="0"/>
            <w:vAlign w:val="center"/>
          </w:tcPr>
          <w:p w14:paraId="411D1619">
            <w:pPr>
              <w:rPr>
                <w:rFonts w:hint="eastAsia" w:ascii="仿宋" w:hAnsi="仿宋" w:eastAsia="仿宋" w:cs="仿宋"/>
                <w:b/>
                <w:bCs/>
                <w:color w:val="auto"/>
                <w:spacing w:val="-6"/>
                <w:highlight w:val="none"/>
              </w:rPr>
            </w:pPr>
            <w:r>
              <w:rPr>
                <w:rFonts w:hint="eastAsia" w:ascii="仿宋" w:hAnsi="仿宋" w:eastAsia="仿宋" w:cs="仿宋"/>
                <w:b/>
                <w:bCs/>
                <w:color w:val="auto"/>
                <w:spacing w:val="-6"/>
                <w:highlight w:val="none"/>
              </w:rPr>
              <w:t>质量承诺</w:t>
            </w:r>
            <w:r>
              <w:rPr>
                <w:rFonts w:hint="eastAsia" w:ascii="仿宋" w:hAnsi="仿宋" w:eastAsia="仿宋" w:cs="仿宋"/>
                <w:b/>
                <w:color w:val="auto"/>
                <w:spacing w:val="-6"/>
                <w:highlight w:val="none"/>
              </w:rPr>
              <w:t>：</w:t>
            </w:r>
          </w:p>
        </w:tc>
      </w:tr>
    </w:tbl>
    <w:p w14:paraId="254FE2DF">
      <w:pPr>
        <w:spacing w:line="276" w:lineRule="auto"/>
        <w:rPr>
          <w:rFonts w:ascii="仿宋_GB2312" w:hAnsi="宋体" w:eastAsia="仿宋_GB2312"/>
          <w:color w:val="auto"/>
          <w:sz w:val="24"/>
          <w:highlight w:val="none"/>
        </w:rPr>
      </w:pPr>
    </w:p>
    <w:p w14:paraId="2E5C6CA0">
      <w:pPr>
        <w:snapToGrid w:val="0"/>
        <w:spacing w:before="50" w:after="50" w:line="400" w:lineRule="exact"/>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注：1.</w:t>
      </w:r>
      <w:r>
        <w:rPr>
          <w:rFonts w:hint="eastAsia" w:ascii="仿宋_GB2312" w:eastAsia="仿宋_GB2312"/>
          <w:b/>
          <w:color w:val="auto"/>
          <w:sz w:val="24"/>
          <w:highlight w:val="none"/>
        </w:rPr>
        <w:t>此项材料必须</w:t>
      </w:r>
      <w:r>
        <w:rPr>
          <w:rFonts w:hint="eastAsia" w:ascii="仿宋_GB2312" w:hAnsi="宋体" w:eastAsia="仿宋_GB2312"/>
          <w:b/>
          <w:bCs/>
          <w:color w:val="auto"/>
          <w:sz w:val="24"/>
          <w:highlight w:val="none"/>
        </w:rPr>
        <w:t>以PDF格式上传；</w:t>
      </w:r>
    </w:p>
    <w:p w14:paraId="0D211D4A">
      <w:pPr>
        <w:snapToGrid w:val="0"/>
        <w:spacing w:before="50" w:after="50" w:line="400" w:lineRule="exact"/>
        <w:ind w:firstLine="964" w:firstLineChars="400"/>
        <w:jc w:val="left"/>
        <w:rPr>
          <w:rFonts w:hint="eastAsia" w:ascii="仿宋_GB2312" w:eastAsia="仿宋_GB2312"/>
          <w:b/>
          <w:bCs/>
          <w:color w:val="auto"/>
          <w:sz w:val="24"/>
          <w:highlight w:val="none"/>
        </w:rPr>
      </w:pPr>
      <w:r>
        <w:rPr>
          <w:rFonts w:hint="eastAsia" w:ascii="仿宋_GB2312" w:eastAsia="仿宋_GB2312"/>
          <w:b/>
          <w:bCs/>
          <w:color w:val="auto"/>
          <w:sz w:val="24"/>
          <w:highlight w:val="none"/>
          <w:lang w:val="en-US" w:eastAsia="zh-CN"/>
        </w:rPr>
        <w:t>2</w:t>
      </w:r>
      <w:r>
        <w:rPr>
          <w:rFonts w:hint="eastAsia" w:ascii="仿宋_GB2312" w:eastAsia="仿宋_GB2312"/>
          <w:b/>
          <w:bCs/>
          <w:color w:val="auto"/>
          <w:sz w:val="24"/>
          <w:highlight w:val="none"/>
        </w:rPr>
        <w:t>.所有价格均用人民币表示，单位为元，精确到小数点后两位数。</w:t>
      </w:r>
    </w:p>
    <w:p w14:paraId="3C579BA6">
      <w:pPr>
        <w:snapToGrid w:val="0"/>
        <w:spacing w:before="50" w:after="50" w:line="400" w:lineRule="exact"/>
        <w:ind w:firstLine="964" w:firstLineChars="400"/>
        <w:jc w:val="left"/>
        <w:rPr>
          <w:rFonts w:hint="eastAsia" w:ascii="仿宋_GB2312" w:eastAsia="仿宋_GB2312"/>
          <w:b/>
          <w:bCs/>
          <w:color w:val="auto"/>
          <w:sz w:val="24"/>
          <w:highlight w:val="none"/>
        </w:rPr>
      </w:pPr>
      <w:r>
        <w:rPr>
          <w:rFonts w:hint="eastAsia" w:ascii="仿宋_GB2312" w:eastAsia="仿宋_GB2312"/>
          <w:b/>
          <w:bCs/>
          <w:color w:val="auto"/>
          <w:sz w:val="24"/>
          <w:highlight w:val="none"/>
          <w:lang w:val="en-US" w:eastAsia="zh-CN"/>
        </w:rPr>
        <w:t>3</w:t>
      </w:r>
      <w:r>
        <w:rPr>
          <w:rFonts w:hint="eastAsia" w:ascii="仿宋_GB2312" w:eastAsia="仿宋_GB2312"/>
          <w:b/>
          <w:bCs/>
          <w:color w:val="auto"/>
          <w:sz w:val="24"/>
          <w:highlight w:val="none"/>
        </w:rPr>
        <w:t>.各供应商必须就“采购需求”中所有内容作完整唯一报价，否则，其响应文件无效。此表的总报价包含完成采购人需求及要求所有内容的全部价格。</w:t>
      </w:r>
    </w:p>
    <w:p w14:paraId="7F4B44EC">
      <w:pPr>
        <w:snapToGrid w:val="0"/>
        <w:spacing w:before="50" w:after="50" w:line="400" w:lineRule="exact"/>
        <w:ind w:firstLine="964" w:firstLineChars="400"/>
        <w:jc w:val="left"/>
        <w:rPr>
          <w:rFonts w:hint="eastAsia" w:ascii="仿宋_GB2312" w:eastAsia="仿宋_GB2312"/>
          <w:b/>
          <w:bCs/>
          <w:color w:val="auto"/>
          <w:sz w:val="24"/>
          <w:highlight w:val="none"/>
        </w:rPr>
      </w:pPr>
      <w:r>
        <w:rPr>
          <w:rFonts w:hint="eastAsia" w:ascii="仿宋_GB2312" w:eastAsia="仿宋_GB2312"/>
          <w:b/>
          <w:bCs/>
          <w:color w:val="auto"/>
          <w:sz w:val="24"/>
          <w:highlight w:val="none"/>
          <w:lang w:val="en-US" w:eastAsia="zh-CN"/>
        </w:rPr>
        <w:t>4</w:t>
      </w:r>
      <w:r>
        <w:rPr>
          <w:rFonts w:hint="eastAsia" w:ascii="仿宋_GB2312" w:eastAsia="仿宋_GB2312"/>
          <w:b/>
          <w:bCs/>
          <w:color w:val="auto"/>
          <w:sz w:val="24"/>
          <w:highlight w:val="none"/>
        </w:rPr>
        <w:t>.报价一经涂改，应在涂改处加盖供应商CA电子签章或者由法定代表人或授权委托代理人签字或盖章，</w:t>
      </w:r>
      <w:r>
        <w:rPr>
          <w:rFonts w:hint="eastAsia" w:ascii="仿宋_GB2312" w:eastAsia="仿宋_GB2312"/>
          <w:b/>
          <w:color w:val="auto"/>
          <w:sz w:val="24"/>
          <w:highlight w:val="none"/>
        </w:rPr>
        <w:t>否则将视为无效响应</w:t>
      </w:r>
      <w:r>
        <w:rPr>
          <w:rFonts w:hint="eastAsia" w:ascii="仿宋_GB2312" w:eastAsia="仿宋_GB2312"/>
          <w:b/>
          <w:bCs/>
          <w:color w:val="auto"/>
          <w:sz w:val="24"/>
          <w:highlight w:val="none"/>
        </w:rPr>
        <w:t>；</w:t>
      </w:r>
    </w:p>
    <w:p w14:paraId="7157446D">
      <w:pPr>
        <w:snapToGrid w:val="0"/>
        <w:spacing w:before="50" w:after="50" w:line="400" w:lineRule="exact"/>
        <w:ind w:firstLine="964" w:firstLineChars="400"/>
        <w:jc w:val="left"/>
        <w:rPr>
          <w:rFonts w:hint="eastAsia" w:ascii="仿宋_GB2312" w:eastAsia="仿宋_GB2312"/>
          <w:b/>
          <w:bCs/>
          <w:color w:val="auto"/>
          <w:sz w:val="24"/>
          <w:highlight w:val="none"/>
          <w:lang w:val="en-US" w:eastAsia="zh-CN"/>
        </w:rPr>
      </w:pPr>
      <w:r>
        <w:rPr>
          <w:rFonts w:hint="eastAsia" w:ascii="仿宋_GB2312" w:eastAsia="仿宋_GB2312"/>
          <w:b/>
          <w:bCs/>
          <w:color w:val="auto"/>
          <w:sz w:val="24"/>
          <w:highlight w:val="none"/>
          <w:lang w:val="en-US" w:eastAsia="zh-CN"/>
        </w:rPr>
        <w:t>5</w:t>
      </w:r>
      <w:r>
        <w:rPr>
          <w:rFonts w:hint="eastAsia" w:ascii="仿宋_GB2312" w:eastAsia="仿宋_GB2312"/>
          <w:b/>
          <w:bCs/>
          <w:color w:val="auto"/>
          <w:sz w:val="24"/>
          <w:highlight w:val="none"/>
        </w:rPr>
        <w:t>.</w:t>
      </w:r>
      <w:r>
        <w:rPr>
          <w:rFonts w:hint="eastAsia" w:ascii="仿宋_GB2312" w:eastAsia="仿宋_GB2312"/>
          <w:b/>
          <w:bCs/>
          <w:color w:val="auto"/>
          <w:sz w:val="24"/>
          <w:highlight w:val="none"/>
          <w:lang w:val="en-US" w:eastAsia="zh-CN"/>
        </w:rPr>
        <w:t>此表竞标报价应与“已标价工程量清单”中的“投标总价”相一致。</w:t>
      </w:r>
    </w:p>
    <w:p w14:paraId="6B7474B1">
      <w:pPr>
        <w:snapToGrid w:val="0"/>
        <w:spacing w:before="50" w:after="50" w:line="400" w:lineRule="exact"/>
        <w:ind w:left="-2" w:leftChars="-1" w:right="-817" w:rightChars="-389"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 xml:space="preserve">         </w:t>
      </w:r>
      <w:r>
        <w:rPr>
          <w:rFonts w:hint="eastAsia" w:ascii="仿宋_GB2312" w:eastAsia="仿宋_GB2312"/>
          <w:color w:val="auto"/>
          <w:sz w:val="24"/>
          <w:highlight w:val="none"/>
          <w:lang w:val="en-US" w:eastAsia="zh-CN"/>
        </w:rPr>
        <w:t xml:space="preserve">                 </w:t>
      </w:r>
      <w:r>
        <w:rPr>
          <w:rFonts w:hint="eastAsia" w:ascii="仿宋_GB2312" w:eastAsia="仿宋_GB2312"/>
          <w:color w:val="auto"/>
          <w:sz w:val="24"/>
          <w:highlight w:val="none"/>
        </w:rPr>
        <w:t xml:space="preserve">  法定代表人或委托代理人</w:t>
      </w:r>
      <w:r>
        <w:rPr>
          <w:rFonts w:hint="eastAsia" w:ascii="仿宋_GB2312" w:eastAsia="仿宋_GB2312"/>
          <w:b/>
          <w:bCs/>
          <w:color w:val="auto"/>
          <w:sz w:val="24"/>
          <w:highlight w:val="none"/>
        </w:rPr>
        <w:t>（签字）：</w:t>
      </w:r>
      <w:r>
        <w:rPr>
          <w:rFonts w:hint="eastAsia" w:ascii="仿宋_GB2312" w:eastAsia="仿宋_GB2312"/>
          <w:color w:val="auto"/>
          <w:sz w:val="24"/>
          <w:highlight w:val="none"/>
          <w:u w:val="single"/>
        </w:rPr>
        <w:t xml:space="preserve">                </w:t>
      </w:r>
    </w:p>
    <w:p w14:paraId="09011232">
      <w:pPr>
        <w:pStyle w:val="29"/>
        <w:spacing w:line="400" w:lineRule="exact"/>
        <w:ind w:firstLine="5520" w:firstLineChars="2300"/>
        <w:rPr>
          <w:rFonts w:ascii="仿宋_GB2312" w:eastAsia="仿宋_GB2312"/>
          <w:color w:val="auto"/>
          <w:sz w:val="24"/>
          <w:szCs w:val="24"/>
          <w:highlight w:val="none"/>
        </w:rPr>
      </w:pPr>
      <w:r>
        <w:rPr>
          <w:rFonts w:hint="eastAsia" w:ascii="仿宋_GB2312" w:eastAsia="仿宋_GB2312"/>
          <w:color w:val="auto"/>
          <w:sz w:val="24"/>
          <w:szCs w:val="24"/>
          <w:highlight w:val="none"/>
        </w:rPr>
        <w:t>供应商</w:t>
      </w:r>
      <w:r>
        <w:rPr>
          <w:rFonts w:hint="eastAsia" w:ascii="仿宋_GB2312" w:hAnsi="宋体" w:eastAsia="仿宋_GB2312"/>
          <w:color w:val="auto"/>
          <w:sz w:val="24"/>
          <w:highlight w:val="none"/>
        </w:rPr>
        <w:t>名称</w:t>
      </w:r>
      <w:r>
        <w:rPr>
          <w:rFonts w:hint="eastAsia" w:ascii="仿宋_GB2312" w:eastAsia="仿宋_GB2312"/>
          <w:b/>
          <w:bCs/>
          <w:color w:val="auto"/>
          <w:sz w:val="24"/>
          <w:szCs w:val="24"/>
          <w:highlight w:val="none"/>
        </w:rPr>
        <w:t>（CA电子签章）</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rPr>
        <w:t xml:space="preserve">                               </w:t>
      </w:r>
    </w:p>
    <w:p w14:paraId="4C289429">
      <w:pPr>
        <w:snapToGrid w:val="0"/>
        <w:spacing w:before="50" w:after="50" w:line="400" w:lineRule="exact"/>
        <w:ind w:left="-2" w:leftChars="-1" w:right="-817" w:rightChars="-389" w:firstLine="480" w:firstLineChars="200"/>
        <w:jc w:val="right"/>
        <w:rPr>
          <w:rFonts w:ascii="仿宋_GB2312" w:eastAsia="仿宋_GB2312"/>
          <w:color w:val="auto"/>
          <w:sz w:val="24"/>
          <w:highlight w:val="none"/>
        </w:rPr>
      </w:pPr>
    </w:p>
    <w:p w14:paraId="492D0938">
      <w:pPr>
        <w:snapToGrid w:val="0"/>
        <w:spacing w:before="50" w:after="50" w:line="400" w:lineRule="exact"/>
        <w:ind w:right="-817" w:rightChars="-389" w:firstLine="480" w:firstLineChars="200"/>
        <w:jc w:val="center"/>
        <w:rPr>
          <w:rFonts w:ascii="仿宋_GB2312" w:eastAsia="仿宋_GB2312"/>
          <w:color w:val="auto"/>
          <w:sz w:val="24"/>
          <w:highlight w:val="none"/>
        </w:rPr>
      </w:pPr>
      <w:r>
        <w:rPr>
          <w:rFonts w:hint="eastAsia" w:ascii="仿宋_GB2312" w:eastAsia="仿宋_GB2312"/>
          <w:color w:val="auto"/>
          <w:sz w:val="24"/>
          <w:highlight w:val="none"/>
        </w:rPr>
        <w:t xml:space="preserve">                                         日期：       年   月   日</w:t>
      </w:r>
    </w:p>
    <w:p w14:paraId="2F37E1E3">
      <w:pPr>
        <w:snapToGrid w:val="0"/>
        <w:spacing w:before="50" w:after="50" w:line="400" w:lineRule="exact"/>
        <w:ind w:right="-817" w:rightChars="-389" w:firstLine="480" w:firstLineChars="200"/>
        <w:jc w:val="center"/>
        <w:rPr>
          <w:rFonts w:ascii="仿宋_GB2312" w:eastAsia="仿宋_GB2312"/>
          <w:b/>
          <w:color w:val="auto"/>
          <w:sz w:val="32"/>
          <w:szCs w:val="32"/>
          <w:highlight w:val="none"/>
        </w:rPr>
      </w:pPr>
      <w:r>
        <w:rPr>
          <w:rFonts w:hint="eastAsia" w:ascii="仿宋_GB2312" w:eastAsia="仿宋_GB2312"/>
          <w:color w:val="auto"/>
          <w:sz w:val="24"/>
          <w:highlight w:val="none"/>
        </w:rPr>
        <w:br w:type="page"/>
      </w:r>
    </w:p>
    <w:p w14:paraId="67719A6C">
      <w:pPr>
        <w:snapToGrid w:val="0"/>
        <w:spacing w:before="157" w:beforeLines="50" w:after="50" w:line="320" w:lineRule="exact"/>
        <w:ind w:firstLine="482" w:firstLineChars="200"/>
        <w:rPr>
          <w:rFonts w:ascii="仿宋_GB2312" w:eastAsia="仿宋_GB2312"/>
          <w:color w:val="auto"/>
          <w:sz w:val="32"/>
          <w:szCs w:val="32"/>
          <w:highlight w:val="none"/>
        </w:rPr>
      </w:pPr>
      <w:r>
        <w:rPr>
          <w:rFonts w:hint="eastAsia" w:ascii="仿宋_GB2312" w:eastAsia="仿宋_GB2312"/>
          <w:b/>
          <w:color w:val="auto"/>
          <w:sz w:val="24"/>
          <w:highlight w:val="none"/>
        </w:rPr>
        <w:t>（</w:t>
      </w:r>
      <w:r>
        <w:rPr>
          <w:rFonts w:hint="eastAsia" w:ascii="仿宋_GB2312" w:eastAsia="仿宋_GB2312"/>
          <w:b/>
          <w:color w:val="auto"/>
          <w:sz w:val="24"/>
          <w:highlight w:val="none"/>
          <w:lang w:val="en-US" w:eastAsia="zh-CN"/>
        </w:rPr>
        <w:t>3</w:t>
      </w:r>
      <w:r>
        <w:rPr>
          <w:rFonts w:hint="eastAsia" w:ascii="仿宋_GB2312" w:eastAsia="仿宋_GB2312"/>
          <w:b/>
          <w:color w:val="auto"/>
          <w:sz w:val="24"/>
          <w:highlight w:val="none"/>
        </w:rPr>
        <w:t>）</w:t>
      </w:r>
      <w:r>
        <w:rPr>
          <w:rFonts w:hint="eastAsia" w:ascii="仿宋_GB2312" w:eastAsia="仿宋_GB2312"/>
          <w:b/>
          <w:color w:val="auto"/>
          <w:sz w:val="24"/>
          <w:highlight w:val="none"/>
          <w:lang w:val="en-US" w:eastAsia="zh-CN"/>
        </w:rPr>
        <w:t>已标价工程量清单</w:t>
      </w:r>
      <w:r>
        <w:rPr>
          <w:rFonts w:hint="eastAsia" w:ascii="仿宋_GB2312" w:eastAsia="仿宋_GB2312"/>
          <w:b/>
          <w:color w:val="auto"/>
          <w:sz w:val="24"/>
          <w:highlight w:val="none"/>
        </w:rPr>
        <w:t>（必须提供）：</w:t>
      </w:r>
    </w:p>
    <w:p w14:paraId="05E62C3E">
      <w:pPr>
        <w:spacing w:line="360" w:lineRule="auto"/>
        <w:contextualSpacing/>
        <w:jc w:val="center"/>
        <w:rPr>
          <w:rFonts w:ascii="宋体" w:hAnsi="宋体" w:cs="仿宋_GB2312"/>
          <w:b/>
          <w:color w:val="auto"/>
          <w:sz w:val="32"/>
          <w:szCs w:val="32"/>
          <w:highlight w:val="none"/>
        </w:rPr>
      </w:pPr>
      <w:r>
        <w:rPr>
          <w:rFonts w:hint="eastAsia" w:ascii="宋体" w:hAnsi="宋体" w:cs="宋体"/>
          <w:b/>
          <w:color w:val="auto"/>
          <w:sz w:val="32"/>
          <w:szCs w:val="32"/>
          <w:highlight w:val="none"/>
        </w:rPr>
        <w:t>已标价工程量清单</w:t>
      </w:r>
    </w:p>
    <w:p w14:paraId="4D6BA0E3">
      <w:pPr>
        <w:numPr>
          <w:ilvl w:val="0"/>
          <w:numId w:val="0"/>
        </w:numPr>
        <w:spacing w:line="360" w:lineRule="auto"/>
        <w:rPr>
          <w:rFonts w:hint="eastAsia" w:cs="宋体"/>
          <w:color w:val="auto"/>
          <w:sz w:val="21"/>
          <w:szCs w:val="21"/>
          <w:highlight w:val="none"/>
        </w:rPr>
      </w:pPr>
      <w:r>
        <w:rPr>
          <w:rFonts w:hint="eastAsia" w:cs="宋体"/>
          <w:color w:val="auto"/>
          <w:sz w:val="21"/>
          <w:szCs w:val="21"/>
          <w:highlight w:val="none"/>
        </w:rPr>
        <w:t>已标价工程量清单应按第</w:t>
      </w:r>
      <w:r>
        <w:rPr>
          <w:rFonts w:hint="eastAsia" w:cs="宋体"/>
          <w:color w:val="auto"/>
          <w:sz w:val="21"/>
          <w:szCs w:val="21"/>
          <w:highlight w:val="none"/>
          <w:lang w:val="en-US" w:eastAsia="zh-CN"/>
        </w:rPr>
        <w:t>四</w:t>
      </w:r>
      <w:r>
        <w:rPr>
          <w:rFonts w:hint="eastAsia" w:cs="宋体"/>
          <w:color w:val="auto"/>
          <w:sz w:val="21"/>
          <w:szCs w:val="21"/>
          <w:highlight w:val="none"/>
        </w:rPr>
        <w:t>章</w:t>
      </w:r>
      <w:r>
        <w:rPr>
          <w:rFonts w:hint="eastAsia"/>
          <w:color w:val="auto"/>
          <w:sz w:val="21"/>
          <w:szCs w:val="21"/>
          <w:highlight w:val="none"/>
        </w:rPr>
        <w:t>“工程量清单</w:t>
      </w:r>
      <w:r>
        <w:rPr>
          <w:rFonts w:hint="eastAsia"/>
          <w:color w:val="auto"/>
          <w:sz w:val="21"/>
          <w:szCs w:val="21"/>
          <w:highlight w:val="none"/>
          <w:lang w:val="en-US" w:eastAsia="zh-CN"/>
        </w:rPr>
        <w:t>及图纸</w:t>
      </w:r>
      <w:r>
        <w:rPr>
          <w:rFonts w:hint="eastAsia"/>
          <w:color w:val="auto"/>
          <w:sz w:val="21"/>
          <w:szCs w:val="21"/>
          <w:highlight w:val="none"/>
        </w:rPr>
        <w:t>”</w:t>
      </w:r>
      <w:r>
        <w:rPr>
          <w:rFonts w:hint="eastAsia" w:cs="宋体"/>
          <w:color w:val="auto"/>
          <w:sz w:val="21"/>
          <w:szCs w:val="21"/>
          <w:highlight w:val="none"/>
        </w:rPr>
        <w:t>中的相关表格及</w:t>
      </w:r>
      <w:r>
        <w:rPr>
          <w:rFonts w:hint="eastAsia" w:cs="宋体"/>
          <w:color w:val="auto"/>
          <w:sz w:val="21"/>
          <w:szCs w:val="21"/>
          <w:highlight w:val="none"/>
          <w:lang w:val="en-US" w:eastAsia="zh-CN"/>
        </w:rPr>
        <w:t>竞标</w:t>
      </w:r>
      <w:r>
        <w:rPr>
          <w:rFonts w:hint="eastAsia" w:cs="宋体"/>
          <w:color w:val="auto"/>
          <w:sz w:val="21"/>
          <w:szCs w:val="21"/>
          <w:highlight w:val="none"/>
        </w:rPr>
        <w:t>报价说明填写。构成合同文件的已标价工程量清单包括第</w:t>
      </w:r>
      <w:r>
        <w:rPr>
          <w:rFonts w:hint="eastAsia" w:cs="宋体"/>
          <w:color w:val="auto"/>
          <w:sz w:val="21"/>
          <w:szCs w:val="21"/>
          <w:highlight w:val="none"/>
          <w:lang w:val="en-US" w:eastAsia="zh-CN"/>
        </w:rPr>
        <w:t>四</w:t>
      </w:r>
      <w:r>
        <w:rPr>
          <w:rFonts w:hint="eastAsia" w:cs="宋体"/>
          <w:color w:val="auto"/>
          <w:sz w:val="21"/>
          <w:szCs w:val="21"/>
          <w:highlight w:val="none"/>
        </w:rPr>
        <w:t>章</w:t>
      </w:r>
      <w:r>
        <w:rPr>
          <w:rFonts w:hint="eastAsia"/>
          <w:color w:val="auto"/>
          <w:sz w:val="21"/>
          <w:szCs w:val="21"/>
          <w:highlight w:val="none"/>
        </w:rPr>
        <w:t>“工程量清单</w:t>
      </w:r>
      <w:r>
        <w:rPr>
          <w:rFonts w:hint="eastAsia"/>
          <w:color w:val="auto"/>
          <w:sz w:val="21"/>
          <w:szCs w:val="21"/>
          <w:highlight w:val="none"/>
          <w:lang w:val="en-US" w:eastAsia="zh-CN"/>
        </w:rPr>
        <w:t>及图纸</w:t>
      </w:r>
      <w:r>
        <w:rPr>
          <w:rFonts w:hint="eastAsia"/>
          <w:color w:val="auto"/>
          <w:sz w:val="21"/>
          <w:szCs w:val="21"/>
          <w:highlight w:val="none"/>
        </w:rPr>
        <w:t>”</w:t>
      </w:r>
      <w:r>
        <w:rPr>
          <w:rFonts w:hint="eastAsia" w:cs="宋体"/>
          <w:color w:val="auto"/>
          <w:sz w:val="21"/>
          <w:szCs w:val="21"/>
          <w:highlight w:val="none"/>
        </w:rPr>
        <w:t>有关工程量清单、</w:t>
      </w:r>
      <w:r>
        <w:rPr>
          <w:rFonts w:hint="eastAsia" w:cs="宋体"/>
          <w:color w:val="auto"/>
          <w:sz w:val="21"/>
          <w:szCs w:val="21"/>
          <w:highlight w:val="none"/>
          <w:lang w:val="en-US" w:eastAsia="zh-CN"/>
        </w:rPr>
        <w:t>竞标</w:t>
      </w:r>
      <w:r>
        <w:rPr>
          <w:rFonts w:hint="eastAsia" w:cs="宋体"/>
          <w:color w:val="auto"/>
          <w:sz w:val="21"/>
          <w:szCs w:val="21"/>
          <w:highlight w:val="none"/>
        </w:rPr>
        <w:t>报价以及其他说明的内容。</w:t>
      </w:r>
    </w:p>
    <w:p w14:paraId="061E3D58">
      <w:pPr>
        <w:pStyle w:val="41"/>
        <w:numPr>
          <w:ilvl w:val="0"/>
          <w:numId w:val="0"/>
        </w:numPr>
        <w:rPr>
          <w:color w:val="auto"/>
          <w:highlight w:val="none"/>
        </w:rPr>
      </w:pPr>
    </w:p>
    <w:p w14:paraId="2593796C">
      <w:pPr>
        <w:ind w:firstLine="2642" w:firstLineChars="940"/>
        <w:jc w:val="left"/>
        <w:rPr>
          <w:rFonts w:hint="eastAsia" w:ascii="宋体" w:hAnsi="宋体"/>
          <w:b/>
          <w:color w:val="auto"/>
          <w:sz w:val="44"/>
          <w:highlight w:val="none"/>
        </w:rPr>
      </w:pPr>
      <w:r>
        <w:rPr>
          <w:rFonts w:hint="eastAsia" w:ascii="宋体" w:hAnsi="宋体"/>
          <w:b/>
          <w:color w:val="auto"/>
          <w:sz w:val="28"/>
          <w:highlight w:val="none"/>
          <w:u w:val="single"/>
        </w:rPr>
        <w:t xml:space="preserve">                  </w:t>
      </w:r>
      <w:r>
        <w:rPr>
          <w:rFonts w:hint="eastAsia" w:ascii="宋体" w:hAnsi="宋体"/>
          <w:b/>
          <w:color w:val="auto"/>
          <w:sz w:val="28"/>
          <w:highlight w:val="none"/>
        </w:rPr>
        <w:t>工程</w:t>
      </w:r>
    </w:p>
    <w:p w14:paraId="14C927DA">
      <w:pPr>
        <w:rPr>
          <w:rFonts w:hint="eastAsia" w:ascii="宋体" w:hAnsi="宋体"/>
          <w:b/>
          <w:color w:val="auto"/>
          <w:sz w:val="44"/>
          <w:highlight w:val="none"/>
        </w:rPr>
      </w:pPr>
    </w:p>
    <w:p w14:paraId="56D58433">
      <w:pPr>
        <w:jc w:val="center"/>
        <w:rPr>
          <w:rFonts w:hint="eastAsia" w:ascii="宋体" w:hAnsi="宋体"/>
          <w:b/>
          <w:color w:val="auto"/>
          <w:sz w:val="44"/>
          <w:highlight w:val="none"/>
        </w:rPr>
      </w:pPr>
      <w:r>
        <w:rPr>
          <w:rFonts w:hint="eastAsia" w:ascii="宋体" w:hAnsi="宋体"/>
          <w:b/>
          <w:color w:val="auto"/>
          <w:sz w:val="44"/>
          <w:highlight w:val="none"/>
        </w:rPr>
        <w:t>投标总价</w:t>
      </w:r>
    </w:p>
    <w:p w14:paraId="33E61681">
      <w:pPr>
        <w:rPr>
          <w:rFonts w:hint="eastAsia" w:ascii="宋体" w:hAnsi="宋体"/>
          <w:b/>
          <w:color w:val="auto"/>
          <w:sz w:val="36"/>
          <w:highlight w:val="none"/>
        </w:rPr>
      </w:pPr>
    </w:p>
    <w:p w14:paraId="15363F0B">
      <w:pPr>
        <w:spacing w:line="440" w:lineRule="exact"/>
        <w:rPr>
          <w:rFonts w:hint="eastAsia" w:ascii="宋体" w:hAnsi="宋体"/>
          <w:color w:val="auto"/>
          <w:sz w:val="28"/>
          <w:highlight w:val="none"/>
        </w:rPr>
      </w:pPr>
      <w:r>
        <w:rPr>
          <w:rFonts w:hint="eastAsia" w:ascii="宋体" w:hAnsi="宋体"/>
          <w:color w:val="auto"/>
          <w:sz w:val="28"/>
          <w:highlight w:val="none"/>
        </w:rPr>
        <w:t>投标报价（签约合同价）（小写）：</w:t>
      </w:r>
      <w:r>
        <w:rPr>
          <w:rFonts w:hint="eastAsia" w:ascii="宋体" w:hAnsi="宋体"/>
          <w:color w:val="auto"/>
          <w:sz w:val="28"/>
          <w:highlight w:val="none"/>
          <w:u w:val="single"/>
        </w:rPr>
        <w:t xml:space="preserve">                        </w:t>
      </w:r>
      <w:r>
        <w:rPr>
          <w:rFonts w:hint="eastAsia" w:ascii="宋体" w:hAnsi="宋体"/>
          <w:color w:val="auto"/>
          <w:sz w:val="28"/>
          <w:highlight w:val="none"/>
          <w:u w:val="single"/>
          <w:lang w:val="en-US" w:eastAsia="zh-CN"/>
        </w:rPr>
        <w:t xml:space="preserve"> </w:t>
      </w:r>
      <w:r>
        <w:rPr>
          <w:rFonts w:hint="eastAsia" w:ascii="宋体" w:hAnsi="宋体"/>
          <w:color w:val="auto"/>
          <w:sz w:val="28"/>
          <w:highlight w:val="none"/>
          <w:u w:val="single"/>
        </w:rPr>
        <w:t xml:space="preserve">             </w:t>
      </w:r>
    </w:p>
    <w:p w14:paraId="6329A28E">
      <w:pPr>
        <w:rPr>
          <w:rFonts w:hint="eastAsia" w:ascii="宋体" w:hAnsi="宋体"/>
          <w:color w:val="auto"/>
          <w:sz w:val="28"/>
          <w:highlight w:val="none"/>
          <w:u w:val="single"/>
        </w:rPr>
      </w:pPr>
      <w:r>
        <w:rPr>
          <w:rFonts w:hint="eastAsia" w:ascii="宋体" w:hAnsi="宋体"/>
          <w:color w:val="auto"/>
          <w:sz w:val="28"/>
          <w:highlight w:val="none"/>
        </w:rPr>
        <w:t xml:space="preserve">                       （大写）：</w:t>
      </w:r>
      <w:r>
        <w:rPr>
          <w:rFonts w:hint="eastAsia" w:ascii="宋体" w:hAnsi="宋体"/>
          <w:color w:val="auto"/>
          <w:sz w:val="28"/>
          <w:highlight w:val="none"/>
          <w:u w:val="single"/>
        </w:rPr>
        <w:t xml:space="preserve">                                     </w:t>
      </w:r>
    </w:p>
    <w:p w14:paraId="74BAC6C3">
      <w:pPr>
        <w:rPr>
          <w:rFonts w:hint="eastAsia" w:ascii="宋体" w:hAnsi="宋体"/>
          <w:color w:val="auto"/>
          <w:highlight w:val="none"/>
        </w:rPr>
      </w:pPr>
      <w:r>
        <w:rPr>
          <w:rFonts w:hint="eastAsia" w:ascii="宋体" w:hAnsi="宋体"/>
          <w:color w:val="auto"/>
          <w:highlight w:val="none"/>
        </w:rPr>
        <w:t xml:space="preserve">            注：含暂列金额、材料和工程设备暂估价、专业工程暂估价、安全生产责任保险费暂估价</w:t>
      </w:r>
    </w:p>
    <w:p w14:paraId="44E399C4">
      <w:pPr>
        <w:rPr>
          <w:rFonts w:hint="eastAsia" w:ascii="宋体" w:hAnsi="宋体"/>
          <w:color w:val="auto"/>
          <w:sz w:val="28"/>
          <w:highlight w:val="none"/>
        </w:rPr>
      </w:pPr>
    </w:p>
    <w:p w14:paraId="5BBCA143">
      <w:pPr>
        <w:rPr>
          <w:rFonts w:hint="eastAsia" w:ascii="宋体" w:hAnsi="宋体"/>
          <w:color w:val="auto"/>
          <w:sz w:val="28"/>
          <w:highlight w:val="none"/>
        </w:rPr>
      </w:pPr>
      <w:r>
        <w:rPr>
          <w:rFonts w:hint="eastAsia" w:ascii="宋体" w:hAnsi="宋体"/>
          <w:color w:val="auto"/>
          <w:sz w:val="28"/>
          <w:highlight w:val="none"/>
        </w:rPr>
        <w:t>投标报价（合同价格）（小写）：</w:t>
      </w:r>
      <w:r>
        <w:rPr>
          <w:rFonts w:hint="eastAsia" w:ascii="宋体" w:hAnsi="宋体"/>
          <w:color w:val="auto"/>
          <w:sz w:val="28"/>
          <w:highlight w:val="none"/>
          <w:u w:val="single"/>
        </w:rPr>
        <w:t xml:space="preserve">                                     </w:t>
      </w:r>
    </w:p>
    <w:p w14:paraId="473579E1">
      <w:pPr>
        <w:rPr>
          <w:rFonts w:hint="eastAsia" w:ascii="宋体" w:hAnsi="宋体"/>
          <w:color w:val="auto"/>
          <w:sz w:val="28"/>
          <w:highlight w:val="none"/>
          <w:u w:val="single"/>
        </w:rPr>
      </w:pPr>
      <w:r>
        <w:rPr>
          <w:rFonts w:hint="eastAsia" w:ascii="宋体" w:hAnsi="宋体"/>
          <w:color w:val="auto"/>
          <w:sz w:val="28"/>
          <w:highlight w:val="none"/>
        </w:rPr>
        <w:t xml:space="preserve">                  </w:t>
      </w:r>
      <w:r>
        <w:rPr>
          <w:rFonts w:hint="eastAsia" w:ascii="宋体" w:hAnsi="宋体"/>
          <w:color w:val="auto"/>
          <w:sz w:val="28"/>
          <w:highlight w:val="none"/>
          <w:lang w:val="en-US" w:eastAsia="zh-CN"/>
        </w:rPr>
        <w:t xml:space="preserve"> </w:t>
      </w:r>
      <w:r>
        <w:rPr>
          <w:rFonts w:hint="eastAsia" w:ascii="宋体" w:hAnsi="宋体"/>
          <w:color w:val="auto"/>
          <w:sz w:val="28"/>
          <w:highlight w:val="none"/>
        </w:rPr>
        <w:t xml:space="preserve"> （大写）：</w:t>
      </w:r>
      <w:r>
        <w:rPr>
          <w:rFonts w:hint="eastAsia" w:ascii="宋体" w:hAnsi="宋体"/>
          <w:color w:val="auto"/>
          <w:sz w:val="28"/>
          <w:highlight w:val="none"/>
          <w:u w:val="single"/>
        </w:rPr>
        <w:t xml:space="preserve">               </w:t>
      </w:r>
      <w:r>
        <w:rPr>
          <w:rFonts w:hint="eastAsia" w:ascii="宋体" w:hAnsi="宋体"/>
          <w:color w:val="auto"/>
          <w:sz w:val="28"/>
          <w:highlight w:val="none"/>
          <w:u w:val="single"/>
          <w:lang w:val="en-US" w:eastAsia="zh-CN"/>
        </w:rPr>
        <w:t xml:space="preserve"> </w:t>
      </w:r>
      <w:r>
        <w:rPr>
          <w:rFonts w:hint="eastAsia" w:ascii="宋体" w:hAnsi="宋体"/>
          <w:color w:val="auto"/>
          <w:sz w:val="28"/>
          <w:highlight w:val="none"/>
          <w:u w:val="single"/>
        </w:rPr>
        <w:t xml:space="preserve">                     </w:t>
      </w:r>
    </w:p>
    <w:p w14:paraId="7A6FA6FC">
      <w:pPr>
        <w:rPr>
          <w:rFonts w:hint="eastAsia" w:ascii="宋体" w:hAnsi="宋体"/>
          <w:color w:val="auto"/>
          <w:sz w:val="28"/>
          <w:highlight w:val="none"/>
          <w:u w:val="single"/>
        </w:rPr>
      </w:pPr>
      <w:r>
        <w:rPr>
          <w:rFonts w:hint="eastAsia" w:ascii="宋体" w:hAnsi="宋体"/>
          <w:color w:val="auto"/>
          <w:highlight w:val="none"/>
        </w:rPr>
        <w:t xml:space="preserve">            注：不含暂列金额、材料和工程设备暂估价、专业工程暂估价、安全生产责任保险费暂估价</w:t>
      </w:r>
    </w:p>
    <w:p w14:paraId="3F89E840">
      <w:pPr>
        <w:rPr>
          <w:rFonts w:hint="eastAsia" w:ascii="宋体" w:hAnsi="宋体"/>
          <w:color w:val="auto"/>
          <w:highlight w:val="none"/>
        </w:rPr>
      </w:pPr>
    </w:p>
    <w:p w14:paraId="04F9AA86">
      <w:pPr>
        <w:spacing w:line="440" w:lineRule="exact"/>
        <w:rPr>
          <w:rFonts w:hint="eastAsia" w:ascii="宋体" w:hAnsi="宋体"/>
          <w:color w:val="auto"/>
          <w:sz w:val="28"/>
          <w:highlight w:val="none"/>
        </w:rPr>
      </w:pPr>
    </w:p>
    <w:p w14:paraId="5E057E56">
      <w:pPr>
        <w:spacing w:line="440" w:lineRule="exact"/>
        <w:rPr>
          <w:rFonts w:hint="eastAsia" w:ascii="宋体" w:hAnsi="宋体"/>
          <w:color w:val="auto"/>
          <w:sz w:val="28"/>
          <w:highlight w:val="none"/>
          <w:u w:val="single"/>
        </w:rPr>
      </w:pPr>
      <w:r>
        <w:rPr>
          <w:rFonts w:hint="eastAsia" w:ascii="宋体" w:hAnsi="宋体"/>
          <w:color w:val="auto"/>
          <w:sz w:val="28"/>
          <w:highlight w:val="none"/>
          <w:lang w:val="en-US" w:eastAsia="zh-CN"/>
        </w:rPr>
        <w:t>竞标</w:t>
      </w:r>
      <w:r>
        <w:rPr>
          <w:rFonts w:hint="eastAsia" w:ascii="宋体" w:hAnsi="宋体"/>
          <w:color w:val="auto"/>
          <w:sz w:val="28"/>
          <w:highlight w:val="none"/>
        </w:rPr>
        <w:t>人：</w:t>
      </w:r>
      <w:r>
        <w:rPr>
          <w:rFonts w:hint="eastAsia" w:ascii="宋体" w:hAnsi="宋体"/>
          <w:color w:val="auto"/>
          <w:sz w:val="28"/>
          <w:highlight w:val="none"/>
          <w:u w:val="single"/>
        </w:rPr>
        <w:t xml:space="preserve">                                         </w:t>
      </w:r>
    </w:p>
    <w:p w14:paraId="05688132">
      <w:pPr>
        <w:jc w:val="center"/>
        <w:rPr>
          <w:rFonts w:hint="eastAsia" w:ascii="宋体" w:hAnsi="宋体"/>
          <w:color w:val="auto"/>
          <w:highlight w:val="none"/>
        </w:rPr>
      </w:pPr>
      <w:r>
        <w:rPr>
          <w:rFonts w:hint="eastAsia" w:ascii="宋体" w:hAnsi="宋体"/>
          <w:color w:val="auto"/>
          <w:highlight w:val="none"/>
        </w:rPr>
        <w:t>（单位盖章）</w:t>
      </w:r>
    </w:p>
    <w:p w14:paraId="4D87B7C3">
      <w:pPr>
        <w:rPr>
          <w:rFonts w:hint="eastAsia" w:ascii="宋体" w:hAnsi="宋体"/>
          <w:color w:val="auto"/>
          <w:highlight w:val="none"/>
        </w:rPr>
      </w:pPr>
    </w:p>
    <w:p w14:paraId="30F56C80">
      <w:pPr>
        <w:spacing w:line="440" w:lineRule="exact"/>
        <w:rPr>
          <w:rFonts w:hint="eastAsia" w:ascii="宋体" w:hAnsi="宋体"/>
          <w:color w:val="auto"/>
          <w:sz w:val="28"/>
          <w:highlight w:val="none"/>
        </w:rPr>
      </w:pPr>
      <w:r>
        <w:rPr>
          <w:rFonts w:hint="eastAsia" w:ascii="宋体" w:hAnsi="宋体"/>
          <w:color w:val="auto"/>
          <w:sz w:val="28"/>
          <w:highlight w:val="none"/>
        </w:rPr>
        <w:t>法定代表人</w:t>
      </w:r>
    </w:p>
    <w:p w14:paraId="1D24C2CA">
      <w:pPr>
        <w:spacing w:line="440" w:lineRule="exact"/>
        <w:rPr>
          <w:rFonts w:hint="eastAsia" w:ascii="宋体" w:hAnsi="宋体"/>
          <w:color w:val="auto"/>
          <w:sz w:val="28"/>
          <w:highlight w:val="none"/>
        </w:rPr>
      </w:pPr>
      <w:r>
        <w:rPr>
          <w:rFonts w:hint="eastAsia" w:ascii="宋体" w:hAnsi="宋体"/>
          <w:color w:val="auto"/>
          <w:sz w:val="28"/>
          <w:highlight w:val="none"/>
        </w:rPr>
        <w:t>或其授权人：</w:t>
      </w:r>
      <w:r>
        <w:rPr>
          <w:rFonts w:hint="eastAsia" w:ascii="宋体" w:hAnsi="宋体"/>
          <w:color w:val="auto"/>
          <w:sz w:val="28"/>
          <w:highlight w:val="none"/>
          <w:u w:val="single"/>
        </w:rPr>
        <w:t xml:space="preserve">                                      </w:t>
      </w:r>
    </w:p>
    <w:p w14:paraId="51E3C823">
      <w:pPr>
        <w:jc w:val="center"/>
        <w:rPr>
          <w:rFonts w:hint="eastAsia" w:ascii="宋体" w:hAnsi="宋体"/>
          <w:color w:val="auto"/>
          <w:highlight w:val="none"/>
        </w:rPr>
      </w:pPr>
      <w:r>
        <w:rPr>
          <w:rFonts w:hint="eastAsia" w:ascii="宋体" w:hAnsi="宋体"/>
          <w:color w:val="auto"/>
          <w:highlight w:val="none"/>
        </w:rPr>
        <w:t>（签字或盖章）</w:t>
      </w:r>
    </w:p>
    <w:p w14:paraId="3812FFC1">
      <w:pPr>
        <w:rPr>
          <w:rFonts w:hint="eastAsia" w:ascii="宋体" w:hAnsi="宋体"/>
          <w:color w:val="auto"/>
          <w:highlight w:val="none"/>
        </w:rPr>
      </w:pPr>
    </w:p>
    <w:p w14:paraId="687052B7">
      <w:pPr>
        <w:rPr>
          <w:rFonts w:hint="eastAsia" w:ascii="宋体" w:hAnsi="宋体"/>
          <w:color w:val="auto"/>
          <w:sz w:val="24"/>
          <w:highlight w:val="none"/>
          <w:u w:val="single"/>
        </w:rPr>
      </w:pPr>
      <w:r>
        <w:rPr>
          <w:rFonts w:hint="eastAsia" w:ascii="宋体" w:hAnsi="宋体"/>
          <w:color w:val="auto"/>
          <w:sz w:val="28"/>
          <w:szCs w:val="28"/>
          <w:highlight w:val="none"/>
        </w:rPr>
        <w:t>编  制  人：</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0EBC541C">
      <w:pPr>
        <w:jc w:val="center"/>
        <w:rPr>
          <w:rFonts w:hint="eastAsia" w:ascii="宋体" w:hAnsi="宋体"/>
          <w:color w:val="auto"/>
          <w:sz w:val="28"/>
          <w:highlight w:val="none"/>
        </w:rPr>
      </w:pPr>
      <w:r>
        <w:rPr>
          <w:rFonts w:hint="eastAsia" w:ascii="宋体" w:hAnsi="宋体"/>
          <w:color w:val="auto"/>
          <w:highlight w:val="none"/>
        </w:rPr>
        <w:t>（造价人员签字盖专用章）</w:t>
      </w:r>
    </w:p>
    <w:p w14:paraId="22D90625">
      <w:pPr>
        <w:pStyle w:val="41"/>
        <w:numPr>
          <w:ilvl w:val="0"/>
          <w:numId w:val="0"/>
        </w:numPr>
        <w:rPr>
          <w:color w:val="auto"/>
          <w:sz w:val="28"/>
          <w:szCs w:val="28"/>
          <w:highlight w:val="none"/>
        </w:rPr>
      </w:pPr>
      <w:r>
        <w:rPr>
          <w:rFonts w:hint="eastAsia" w:ascii="宋体" w:hAnsi="宋体"/>
          <w:color w:val="auto"/>
          <w:sz w:val="28"/>
          <w:szCs w:val="28"/>
          <w:highlight w:val="none"/>
        </w:rPr>
        <w:t>编制时间：    年    月    日</w:t>
      </w:r>
    </w:p>
    <w:p w14:paraId="2E126D94">
      <w:pPr>
        <w:pStyle w:val="29"/>
        <w:spacing w:line="400" w:lineRule="exact"/>
        <w:ind w:firstLine="482" w:firstLineChars="200"/>
        <w:rPr>
          <w:color w:val="auto"/>
          <w:highlight w:val="none"/>
        </w:rPr>
      </w:pPr>
      <w:r>
        <w:rPr>
          <w:rFonts w:hint="eastAsia" w:ascii="仿宋_GB2312" w:eastAsia="仿宋_GB2312"/>
          <w:b/>
          <w:color w:val="auto"/>
          <w:sz w:val="24"/>
          <w:szCs w:val="24"/>
          <w:highlight w:val="none"/>
        </w:rPr>
        <w:t>注：此项材料必须</w:t>
      </w:r>
      <w:r>
        <w:rPr>
          <w:rFonts w:hint="eastAsia" w:ascii="仿宋_GB2312" w:hAnsi="宋体" w:eastAsia="仿宋_GB2312"/>
          <w:b/>
          <w:bCs/>
          <w:color w:val="auto"/>
          <w:sz w:val="24"/>
          <w:szCs w:val="24"/>
          <w:highlight w:val="none"/>
        </w:rPr>
        <w:t>以PDF格式上传。</w:t>
      </w:r>
    </w:p>
    <w:p w14:paraId="011499B8">
      <w:pPr>
        <w:rPr>
          <w:rFonts w:hint="eastAsia" w:ascii="仿宋_GB2312" w:eastAsia="仿宋_GB2312"/>
          <w:b/>
          <w:color w:val="auto"/>
          <w:sz w:val="24"/>
          <w:highlight w:val="none"/>
        </w:rPr>
      </w:pPr>
      <w:r>
        <w:rPr>
          <w:rFonts w:hint="eastAsia" w:ascii="仿宋_GB2312" w:eastAsia="仿宋_GB2312"/>
          <w:b/>
          <w:color w:val="auto"/>
          <w:sz w:val="24"/>
          <w:highlight w:val="none"/>
        </w:rPr>
        <w:br w:type="page"/>
      </w:r>
    </w:p>
    <w:p w14:paraId="3D9389AA">
      <w:pPr>
        <w:pStyle w:val="29"/>
        <w:spacing w:line="400" w:lineRule="exact"/>
        <w:jc w:val="left"/>
        <w:rPr>
          <w:rFonts w:ascii="仿宋_GB2312" w:eastAsia="仿宋_GB2312"/>
          <w:b/>
          <w:color w:val="auto"/>
          <w:sz w:val="24"/>
          <w:highlight w:val="none"/>
        </w:rPr>
      </w:pPr>
      <w:r>
        <w:rPr>
          <w:rFonts w:hint="eastAsia" w:ascii="仿宋_GB2312" w:eastAsia="仿宋_GB2312"/>
          <w:b/>
          <w:color w:val="auto"/>
          <w:sz w:val="24"/>
          <w:highlight w:val="none"/>
        </w:rPr>
        <w:t>（</w:t>
      </w:r>
      <w:r>
        <w:rPr>
          <w:rFonts w:hint="eastAsia" w:ascii="仿宋_GB2312" w:eastAsia="仿宋_GB2312"/>
          <w:b/>
          <w:color w:val="auto"/>
          <w:sz w:val="24"/>
          <w:highlight w:val="none"/>
          <w:lang w:val="en-US" w:eastAsia="zh-CN"/>
        </w:rPr>
        <w:t>4</w:t>
      </w:r>
      <w:r>
        <w:rPr>
          <w:rFonts w:hint="eastAsia" w:ascii="仿宋_GB2312" w:eastAsia="仿宋_GB2312"/>
          <w:b/>
          <w:color w:val="auto"/>
          <w:sz w:val="24"/>
          <w:highlight w:val="none"/>
        </w:rPr>
        <w:t>）供应商针对报价需要说明的其他文件和说明（格式自拟）：</w:t>
      </w:r>
    </w:p>
    <w:p w14:paraId="4AE32FBA">
      <w:pPr>
        <w:spacing w:line="276" w:lineRule="auto"/>
        <w:jc w:val="center"/>
        <w:rPr>
          <w:rFonts w:ascii="宋体" w:hAnsi="宋体"/>
          <w:b/>
          <w:color w:val="auto"/>
          <w:sz w:val="32"/>
          <w:szCs w:val="32"/>
          <w:highlight w:val="none"/>
        </w:rPr>
      </w:pPr>
    </w:p>
    <w:p w14:paraId="4C294A80">
      <w:pPr>
        <w:jc w:val="left"/>
        <w:rPr>
          <w:rFonts w:ascii="仿宋_GB2312" w:eastAsia="仿宋_GB2312"/>
          <w:color w:val="auto"/>
          <w:sz w:val="24"/>
          <w:highlight w:val="none"/>
        </w:rPr>
      </w:pPr>
    </w:p>
    <w:p w14:paraId="178A042E">
      <w:pPr>
        <w:jc w:val="left"/>
        <w:rPr>
          <w:rFonts w:ascii="仿宋_GB2312" w:eastAsia="仿宋_GB2312"/>
          <w:color w:val="auto"/>
          <w:sz w:val="24"/>
          <w:highlight w:val="none"/>
        </w:rPr>
      </w:pPr>
    </w:p>
    <w:p w14:paraId="2BEF25EA">
      <w:pPr>
        <w:jc w:val="left"/>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注：如有请提供且为PDF格式，并加盖供应商CA电子签章。</w:t>
      </w:r>
    </w:p>
    <w:p w14:paraId="4FD02614">
      <w:pPr>
        <w:numPr>
          <w:ilvl w:val="255"/>
          <w:numId w:val="0"/>
        </w:numPr>
        <w:snapToGrid w:val="0"/>
        <w:spacing w:before="50" w:after="50"/>
        <w:jc w:val="left"/>
        <w:rPr>
          <w:rFonts w:ascii="仿宋_GB2312" w:hAnsi="宋体" w:eastAsia="仿宋_GB2312"/>
          <w:b/>
          <w:bCs/>
          <w:color w:val="auto"/>
          <w:sz w:val="44"/>
          <w:szCs w:val="44"/>
          <w:highlight w:val="none"/>
        </w:rPr>
      </w:pPr>
    </w:p>
    <w:p w14:paraId="773D3F14">
      <w:pPr>
        <w:numPr>
          <w:ilvl w:val="255"/>
          <w:numId w:val="0"/>
        </w:numPr>
        <w:snapToGrid w:val="0"/>
        <w:spacing w:before="50" w:after="50"/>
        <w:jc w:val="left"/>
        <w:rPr>
          <w:rFonts w:ascii="仿宋_GB2312" w:hAnsi="宋体" w:eastAsia="仿宋_GB2312"/>
          <w:b/>
          <w:bCs/>
          <w:color w:val="auto"/>
          <w:sz w:val="44"/>
          <w:szCs w:val="44"/>
          <w:highlight w:val="none"/>
        </w:rPr>
      </w:pPr>
    </w:p>
    <w:p w14:paraId="020E5AD5">
      <w:pPr>
        <w:pStyle w:val="50"/>
        <w:ind w:left="0" w:leftChars="0" w:firstLine="0" w:firstLineChars="0"/>
        <w:rPr>
          <w:rFonts w:ascii="仿宋_GB2312" w:hAnsi="宋体" w:eastAsia="仿宋_GB2312"/>
          <w:b/>
          <w:bCs/>
          <w:color w:val="auto"/>
          <w:sz w:val="44"/>
          <w:szCs w:val="44"/>
          <w:highlight w:val="none"/>
        </w:rPr>
      </w:pPr>
    </w:p>
    <w:p w14:paraId="1EA59E66">
      <w:pPr>
        <w:rPr>
          <w:rFonts w:ascii="仿宋_GB2312" w:hAnsi="宋体" w:eastAsia="仿宋_GB2312"/>
          <w:b/>
          <w:bCs/>
          <w:color w:val="auto"/>
          <w:sz w:val="44"/>
          <w:szCs w:val="44"/>
          <w:highlight w:val="none"/>
        </w:rPr>
      </w:pPr>
      <w:r>
        <w:rPr>
          <w:rFonts w:ascii="仿宋_GB2312" w:hAnsi="宋体" w:eastAsia="仿宋_GB2312"/>
          <w:b/>
          <w:bCs/>
          <w:color w:val="auto"/>
          <w:sz w:val="44"/>
          <w:szCs w:val="44"/>
          <w:highlight w:val="none"/>
        </w:rPr>
        <w:br w:type="page"/>
      </w:r>
    </w:p>
    <w:p w14:paraId="1C452425">
      <w:pPr>
        <w:pStyle w:val="50"/>
        <w:ind w:firstLine="442"/>
        <w:rPr>
          <w:rFonts w:ascii="仿宋_GB2312" w:hAnsi="宋体" w:eastAsia="仿宋_GB2312"/>
          <w:b/>
          <w:bCs/>
          <w:color w:val="auto"/>
          <w:sz w:val="44"/>
          <w:szCs w:val="44"/>
          <w:highlight w:val="none"/>
        </w:rPr>
      </w:pPr>
    </w:p>
    <w:p w14:paraId="2A54BD6E">
      <w:pPr>
        <w:pStyle w:val="50"/>
        <w:ind w:firstLine="442"/>
        <w:rPr>
          <w:rFonts w:ascii="仿宋_GB2312" w:hAnsi="宋体" w:eastAsia="仿宋_GB2312"/>
          <w:b/>
          <w:bCs/>
          <w:color w:val="auto"/>
          <w:sz w:val="44"/>
          <w:szCs w:val="44"/>
          <w:highlight w:val="none"/>
        </w:rPr>
      </w:pPr>
    </w:p>
    <w:p w14:paraId="4A741847">
      <w:pPr>
        <w:pStyle w:val="50"/>
        <w:ind w:firstLine="442"/>
        <w:rPr>
          <w:rFonts w:ascii="仿宋_GB2312" w:hAnsi="宋体" w:eastAsia="仿宋_GB2312"/>
          <w:b/>
          <w:bCs/>
          <w:color w:val="auto"/>
          <w:sz w:val="44"/>
          <w:szCs w:val="44"/>
          <w:highlight w:val="none"/>
        </w:rPr>
      </w:pPr>
    </w:p>
    <w:p w14:paraId="23BCA9ED">
      <w:pPr>
        <w:pStyle w:val="50"/>
        <w:ind w:firstLine="442"/>
        <w:rPr>
          <w:rFonts w:ascii="仿宋_GB2312" w:hAnsi="宋体" w:eastAsia="仿宋_GB2312"/>
          <w:b/>
          <w:bCs/>
          <w:color w:val="auto"/>
          <w:sz w:val="44"/>
          <w:szCs w:val="44"/>
          <w:highlight w:val="none"/>
        </w:rPr>
      </w:pPr>
    </w:p>
    <w:p w14:paraId="6758C278">
      <w:pPr>
        <w:pStyle w:val="50"/>
        <w:ind w:firstLine="442"/>
        <w:rPr>
          <w:rFonts w:ascii="仿宋_GB2312" w:hAnsi="宋体" w:eastAsia="仿宋_GB2312"/>
          <w:b/>
          <w:bCs/>
          <w:color w:val="auto"/>
          <w:sz w:val="44"/>
          <w:szCs w:val="44"/>
          <w:highlight w:val="none"/>
        </w:rPr>
      </w:pPr>
    </w:p>
    <w:p w14:paraId="7BD3978B">
      <w:pPr>
        <w:pStyle w:val="50"/>
        <w:ind w:firstLine="442"/>
        <w:rPr>
          <w:rFonts w:ascii="仿宋_GB2312" w:hAnsi="宋体" w:eastAsia="仿宋_GB2312"/>
          <w:b/>
          <w:bCs/>
          <w:color w:val="auto"/>
          <w:sz w:val="44"/>
          <w:szCs w:val="44"/>
          <w:highlight w:val="none"/>
        </w:rPr>
      </w:pPr>
    </w:p>
    <w:p w14:paraId="1B2C6A70">
      <w:pPr>
        <w:pStyle w:val="50"/>
        <w:ind w:firstLine="442"/>
        <w:rPr>
          <w:rFonts w:ascii="仿宋_GB2312" w:hAnsi="宋体" w:eastAsia="仿宋_GB2312"/>
          <w:b/>
          <w:bCs/>
          <w:color w:val="auto"/>
          <w:sz w:val="44"/>
          <w:szCs w:val="44"/>
          <w:highlight w:val="none"/>
        </w:rPr>
      </w:pPr>
    </w:p>
    <w:p w14:paraId="3D888CE9">
      <w:pPr>
        <w:pStyle w:val="50"/>
        <w:ind w:left="0" w:leftChars="0" w:firstLine="0" w:firstLineChars="0"/>
        <w:rPr>
          <w:rFonts w:ascii="仿宋_GB2312" w:hAnsi="宋体" w:eastAsia="仿宋_GB2312"/>
          <w:b/>
          <w:bCs/>
          <w:color w:val="auto"/>
          <w:sz w:val="44"/>
          <w:szCs w:val="44"/>
          <w:highlight w:val="none"/>
        </w:rPr>
      </w:pPr>
    </w:p>
    <w:p w14:paraId="42555429">
      <w:pPr>
        <w:pStyle w:val="50"/>
        <w:ind w:left="0" w:leftChars="0" w:firstLine="0" w:firstLineChars="0"/>
        <w:rPr>
          <w:rFonts w:ascii="仿宋_GB2312" w:hAnsi="宋体" w:eastAsia="仿宋_GB2312"/>
          <w:b/>
          <w:bCs/>
          <w:color w:val="auto"/>
          <w:sz w:val="44"/>
          <w:szCs w:val="44"/>
          <w:highlight w:val="none"/>
        </w:rPr>
      </w:pPr>
    </w:p>
    <w:p w14:paraId="0A1653E9">
      <w:pPr>
        <w:pStyle w:val="50"/>
        <w:ind w:left="0" w:leftChars="0" w:firstLine="0" w:firstLineChars="0"/>
        <w:rPr>
          <w:rFonts w:ascii="仿宋_GB2312" w:hAnsi="宋体" w:eastAsia="仿宋_GB2312"/>
          <w:b/>
          <w:bCs/>
          <w:color w:val="auto"/>
          <w:sz w:val="44"/>
          <w:szCs w:val="44"/>
          <w:highlight w:val="none"/>
        </w:rPr>
      </w:pPr>
    </w:p>
    <w:p w14:paraId="3D91380E">
      <w:pPr>
        <w:pStyle w:val="50"/>
        <w:ind w:firstLine="442"/>
        <w:rPr>
          <w:rFonts w:ascii="仿宋_GB2312" w:hAnsi="宋体" w:eastAsia="仿宋_GB2312"/>
          <w:b/>
          <w:bCs/>
          <w:color w:val="auto"/>
          <w:sz w:val="44"/>
          <w:szCs w:val="44"/>
          <w:highlight w:val="none"/>
        </w:rPr>
      </w:pPr>
    </w:p>
    <w:p w14:paraId="25B8B5CB">
      <w:pPr>
        <w:numPr>
          <w:ilvl w:val="255"/>
          <w:numId w:val="0"/>
        </w:numPr>
        <w:snapToGrid w:val="0"/>
        <w:spacing w:before="50" w:after="50"/>
        <w:jc w:val="left"/>
        <w:rPr>
          <w:rFonts w:ascii="仿宋_GB2312" w:hAnsi="宋体" w:eastAsia="仿宋_GB2312"/>
          <w:b/>
          <w:bCs/>
          <w:color w:val="auto"/>
          <w:sz w:val="44"/>
          <w:szCs w:val="44"/>
          <w:highlight w:val="none"/>
        </w:rPr>
      </w:pPr>
    </w:p>
    <w:p w14:paraId="2B9741D0">
      <w:pPr>
        <w:numPr>
          <w:ilvl w:val="255"/>
          <w:numId w:val="0"/>
        </w:numPr>
        <w:snapToGrid w:val="0"/>
        <w:spacing w:before="50" w:after="50"/>
        <w:jc w:val="center"/>
        <w:rPr>
          <w:rFonts w:ascii="仿宋_GB2312" w:hAnsi="宋体" w:eastAsia="仿宋_GB2312"/>
          <w:b/>
          <w:bCs/>
          <w:color w:val="auto"/>
          <w:sz w:val="56"/>
          <w:szCs w:val="56"/>
          <w:highlight w:val="none"/>
        </w:rPr>
      </w:pPr>
      <w:r>
        <w:rPr>
          <w:rFonts w:hint="eastAsia" w:ascii="仿宋_GB2312" w:hAnsi="宋体" w:eastAsia="仿宋_GB2312"/>
          <w:b/>
          <w:bCs/>
          <w:color w:val="auto"/>
          <w:sz w:val="56"/>
          <w:szCs w:val="56"/>
          <w:highlight w:val="none"/>
        </w:rPr>
        <w:t>三、商 务 技 术 文 件 格 式</w:t>
      </w:r>
    </w:p>
    <w:p w14:paraId="2EF8DA51">
      <w:pPr>
        <w:numPr>
          <w:ilvl w:val="255"/>
          <w:numId w:val="0"/>
        </w:numPr>
        <w:snapToGrid w:val="0"/>
        <w:spacing w:before="50" w:after="50"/>
        <w:jc w:val="left"/>
        <w:rPr>
          <w:rFonts w:ascii="仿宋_GB2312" w:hAnsi="宋体" w:eastAsia="仿宋_GB2312"/>
          <w:b/>
          <w:bCs/>
          <w:color w:val="auto"/>
          <w:sz w:val="24"/>
          <w:highlight w:val="none"/>
        </w:rPr>
      </w:pPr>
    </w:p>
    <w:p w14:paraId="60ABB57C">
      <w:pPr>
        <w:numPr>
          <w:ilvl w:val="255"/>
          <w:numId w:val="0"/>
        </w:numPr>
        <w:snapToGrid w:val="0"/>
        <w:spacing w:before="50" w:after="50"/>
        <w:jc w:val="left"/>
        <w:rPr>
          <w:rFonts w:ascii="仿宋_GB2312" w:hAnsi="宋体" w:eastAsia="仿宋_GB2312"/>
          <w:b/>
          <w:bCs/>
          <w:color w:val="auto"/>
          <w:sz w:val="24"/>
          <w:highlight w:val="none"/>
        </w:rPr>
      </w:pPr>
    </w:p>
    <w:p w14:paraId="07477B95">
      <w:pPr>
        <w:numPr>
          <w:ilvl w:val="255"/>
          <w:numId w:val="0"/>
        </w:numPr>
        <w:snapToGrid w:val="0"/>
        <w:spacing w:before="50" w:after="50"/>
        <w:jc w:val="left"/>
        <w:rPr>
          <w:rFonts w:ascii="仿宋_GB2312" w:hAnsi="宋体" w:eastAsia="仿宋_GB2312"/>
          <w:b/>
          <w:bCs/>
          <w:color w:val="auto"/>
          <w:sz w:val="24"/>
          <w:highlight w:val="none"/>
        </w:rPr>
      </w:pPr>
    </w:p>
    <w:p w14:paraId="0A5DF50A">
      <w:pPr>
        <w:spacing w:line="276" w:lineRule="auto"/>
        <w:jc w:val="left"/>
        <w:rPr>
          <w:rFonts w:ascii="仿宋_GB2312" w:hAnsi="宋体" w:eastAsia="仿宋_GB2312"/>
          <w:b/>
          <w:bCs/>
          <w:color w:val="auto"/>
          <w:sz w:val="24"/>
          <w:highlight w:val="none"/>
        </w:rPr>
      </w:pPr>
    </w:p>
    <w:p w14:paraId="7CD8747F">
      <w:pPr>
        <w:spacing w:line="276" w:lineRule="auto"/>
        <w:jc w:val="left"/>
        <w:rPr>
          <w:rFonts w:ascii="仿宋_GB2312" w:hAnsi="宋体" w:eastAsia="仿宋_GB2312"/>
          <w:b/>
          <w:bCs/>
          <w:color w:val="auto"/>
          <w:sz w:val="24"/>
          <w:highlight w:val="none"/>
        </w:rPr>
      </w:pPr>
    </w:p>
    <w:p w14:paraId="6BE79CF2">
      <w:pPr>
        <w:spacing w:line="276" w:lineRule="auto"/>
        <w:jc w:val="left"/>
        <w:rPr>
          <w:rFonts w:ascii="仿宋_GB2312" w:hAnsi="宋体" w:eastAsia="仿宋_GB2312"/>
          <w:b/>
          <w:bCs/>
          <w:color w:val="auto"/>
          <w:sz w:val="24"/>
          <w:highlight w:val="none"/>
        </w:rPr>
      </w:pPr>
    </w:p>
    <w:p w14:paraId="1B027061">
      <w:pPr>
        <w:rPr>
          <w:rFonts w:ascii="仿宋_GB2312" w:hAnsi="宋体" w:eastAsia="仿宋_GB2312"/>
          <w:b/>
          <w:bCs/>
          <w:color w:val="auto"/>
          <w:sz w:val="24"/>
          <w:highlight w:val="none"/>
        </w:rPr>
      </w:pPr>
      <w:r>
        <w:rPr>
          <w:rFonts w:ascii="仿宋_GB2312" w:hAnsi="宋体" w:eastAsia="仿宋_GB2312"/>
          <w:b/>
          <w:bCs/>
          <w:color w:val="auto"/>
          <w:sz w:val="24"/>
          <w:highlight w:val="none"/>
        </w:rPr>
        <w:br w:type="page"/>
      </w:r>
    </w:p>
    <w:p w14:paraId="37CD564D">
      <w:pPr>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 xml:space="preserve">响应文件封面格式： </w:t>
      </w:r>
    </w:p>
    <w:p w14:paraId="4913A64E">
      <w:pPr>
        <w:snapToGrid w:val="0"/>
        <w:spacing w:before="157" w:beforeLines="50" w:after="50" w:line="360" w:lineRule="exact"/>
        <w:rPr>
          <w:rFonts w:hint="eastAsia" w:ascii="仿宋_GB2312" w:hAnsi="宋体" w:eastAsia="仿宋_GB2312"/>
          <w:color w:val="auto"/>
          <w:sz w:val="24"/>
          <w:highlight w:val="none"/>
        </w:rPr>
      </w:pPr>
    </w:p>
    <w:p w14:paraId="6FD6D5C5">
      <w:pPr>
        <w:snapToGrid w:val="0"/>
        <w:spacing w:before="157" w:beforeLines="50" w:after="50" w:line="360" w:lineRule="exact"/>
        <w:jc w:val="right"/>
        <w:rPr>
          <w:rFonts w:hint="eastAsia" w:ascii="仿宋_GB2312" w:hAnsi="宋体" w:eastAsia="仿宋_GB2312"/>
          <w:b/>
          <w:bCs/>
          <w:color w:val="auto"/>
          <w:sz w:val="32"/>
          <w:szCs w:val="32"/>
          <w:highlight w:val="none"/>
        </w:rPr>
      </w:pPr>
    </w:p>
    <w:p w14:paraId="3DFF9844">
      <w:pPr>
        <w:snapToGrid w:val="0"/>
        <w:spacing w:before="157" w:beforeLines="50" w:after="50" w:line="360" w:lineRule="exact"/>
        <w:jc w:val="center"/>
        <w:rPr>
          <w:rFonts w:hint="eastAsia" w:ascii="仿宋_GB2312" w:hAnsi="宋体" w:eastAsia="仿宋_GB2312"/>
          <w:bCs/>
          <w:color w:val="auto"/>
          <w:sz w:val="24"/>
          <w:highlight w:val="none"/>
        </w:rPr>
      </w:pPr>
    </w:p>
    <w:p w14:paraId="545D6C32">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响</w:t>
      </w:r>
    </w:p>
    <w:p w14:paraId="32719EE1">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应</w:t>
      </w:r>
    </w:p>
    <w:p w14:paraId="28012D8E">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文</w:t>
      </w:r>
    </w:p>
    <w:p w14:paraId="07F3D121">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件</w:t>
      </w:r>
    </w:p>
    <w:p w14:paraId="2D0DEA28">
      <w:pPr>
        <w:snapToGrid w:val="0"/>
        <w:spacing w:before="157" w:beforeLines="50" w:after="50" w:line="360" w:lineRule="exact"/>
        <w:jc w:val="center"/>
        <w:rPr>
          <w:rFonts w:hint="eastAsia" w:ascii="仿宋_GB2312" w:hAnsi="宋体" w:eastAsia="仿宋_GB2312"/>
          <w:b/>
          <w:bCs/>
          <w:color w:val="auto"/>
          <w:sz w:val="44"/>
          <w:szCs w:val="44"/>
          <w:highlight w:val="none"/>
        </w:rPr>
      </w:pPr>
    </w:p>
    <w:p w14:paraId="254BD696">
      <w:pPr>
        <w:snapToGrid w:val="0"/>
        <w:spacing w:before="157" w:beforeLines="50" w:after="50" w:line="360" w:lineRule="exact"/>
        <w:jc w:val="center"/>
        <w:rPr>
          <w:rFonts w:hint="eastAsia" w:ascii="仿宋_GB2312" w:hAnsi="宋体" w:eastAsia="仿宋_GB2312"/>
          <w:bCs/>
          <w:color w:val="auto"/>
          <w:sz w:val="24"/>
          <w:highlight w:val="none"/>
        </w:rPr>
      </w:pPr>
    </w:p>
    <w:p w14:paraId="06A7AAFE">
      <w:pPr>
        <w:snapToGrid w:val="0"/>
        <w:spacing w:before="157" w:beforeLines="50" w:after="50" w:line="360" w:lineRule="exact"/>
        <w:jc w:val="center"/>
        <w:rPr>
          <w:rFonts w:hint="eastAsia" w:ascii="仿宋_GB2312" w:hAnsi="宋体" w:eastAsia="仿宋_GB2312"/>
          <w:bCs/>
          <w:color w:val="auto"/>
          <w:sz w:val="24"/>
          <w:highlight w:val="none"/>
        </w:rPr>
      </w:pPr>
    </w:p>
    <w:p w14:paraId="3AE2FF67">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项目名称：</w:t>
      </w:r>
      <w:r>
        <w:rPr>
          <w:rFonts w:hint="eastAsia" w:ascii="仿宋_GB2312" w:hAnsi="宋体" w:eastAsia="仿宋_GB2312"/>
          <w:bCs/>
          <w:color w:val="auto"/>
          <w:sz w:val="32"/>
          <w:szCs w:val="32"/>
          <w:highlight w:val="none"/>
          <w:u w:val="single"/>
        </w:rPr>
        <w:t xml:space="preserve">                                  </w:t>
      </w:r>
    </w:p>
    <w:p w14:paraId="13075601">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项目编号：</w:t>
      </w:r>
      <w:r>
        <w:rPr>
          <w:rFonts w:hint="eastAsia" w:ascii="仿宋_GB2312" w:hAnsi="宋体" w:eastAsia="仿宋_GB2312"/>
          <w:bCs/>
          <w:color w:val="auto"/>
          <w:sz w:val="32"/>
          <w:szCs w:val="32"/>
          <w:highlight w:val="none"/>
          <w:u w:val="single"/>
        </w:rPr>
        <w:t xml:space="preserve">                                  </w:t>
      </w:r>
    </w:p>
    <w:p w14:paraId="4D6A22FC">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default" w:ascii="仿宋_GB2312" w:hAnsi="宋体" w:eastAsia="仿宋_GB2312"/>
          <w:bCs/>
          <w:color w:val="auto"/>
          <w:sz w:val="32"/>
          <w:szCs w:val="32"/>
          <w:highlight w:val="none"/>
          <w:u w:val="single"/>
          <w:lang w:val="en-US" w:eastAsia="zh-CN"/>
        </w:rPr>
      </w:pPr>
      <w:r>
        <w:rPr>
          <w:rFonts w:hint="eastAsia" w:ascii="仿宋_GB2312" w:hAnsi="宋体" w:eastAsia="仿宋_GB2312"/>
          <w:bCs/>
          <w:color w:val="auto"/>
          <w:sz w:val="32"/>
          <w:szCs w:val="32"/>
          <w:highlight w:val="none"/>
          <w:lang w:val="en-US" w:eastAsia="zh-CN"/>
        </w:rPr>
        <w:t>响应文件内容：</w:t>
      </w:r>
      <w:r>
        <w:rPr>
          <w:rFonts w:hint="eastAsia" w:ascii="仿宋_GB2312" w:hAnsi="宋体" w:eastAsia="仿宋_GB2312"/>
          <w:bCs/>
          <w:color w:val="auto"/>
          <w:sz w:val="32"/>
          <w:szCs w:val="32"/>
          <w:highlight w:val="none"/>
          <w:u w:val="single"/>
          <w:lang w:val="en-US" w:eastAsia="zh-CN"/>
        </w:rPr>
        <w:t xml:space="preserve">        商务技术文件              </w:t>
      </w:r>
    </w:p>
    <w:p w14:paraId="087105CD">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rPr>
      </w:pPr>
    </w:p>
    <w:p w14:paraId="1A008368">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rPr>
      </w:pPr>
    </w:p>
    <w:p w14:paraId="27EA0B61">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供应商名称：</w:t>
      </w:r>
      <w:r>
        <w:rPr>
          <w:rFonts w:hint="eastAsia" w:ascii="仿宋_GB2312" w:hAnsi="宋体" w:eastAsia="仿宋_GB2312"/>
          <w:bCs/>
          <w:color w:val="auto"/>
          <w:sz w:val="32"/>
          <w:szCs w:val="32"/>
          <w:highlight w:val="none"/>
          <w:u w:val="single"/>
        </w:rPr>
        <w:t xml:space="preserve">         </w:t>
      </w:r>
      <w:r>
        <w:rPr>
          <w:rFonts w:hint="eastAsia" w:ascii="仿宋_GB2312" w:hAnsi="宋体" w:eastAsia="仿宋_GB2312"/>
          <w:bCs/>
          <w:color w:val="auto"/>
          <w:sz w:val="32"/>
          <w:szCs w:val="32"/>
          <w:highlight w:val="none"/>
          <w:u w:val="single"/>
          <w:lang w:val="en-US" w:eastAsia="zh-CN"/>
        </w:rPr>
        <w:t>(盖CA电子签章)</w:t>
      </w:r>
      <w:r>
        <w:rPr>
          <w:rFonts w:hint="eastAsia" w:ascii="仿宋_GB2312" w:hAnsi="宋体" w:eastAsia="仿宋_GB2312"/>
          <w:bCs/>
          <w:color w:val="auto"/>
          <w:sz w:val="32"/>
          <w:szCs w:val="32"/>
          <w:highlight w:val="none"/>
          <w:u w:val="single"/>
        </w:rPr>
        <w:t xml:space="preserve">        </w:t>
      </w:r>
    </w:p>
    <w:p w14:paraId="479F651D">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联系人：</w:t>
      </w:r>
      <w:r>
        <w:rPr>
          <w:rFonts w:hint="eastAsia" w:ascii="仿宋_GB2312" w:hAnsi="宋体" w:eastAsia="仿宋_GB2312"/>
          <w:bCs/>
          <w:color w:val="auto"/>
          <w:sz w:val="32"/>
          <w:szCs w:val="32"/>
          <w:highlight w:val="none"/>
          <w:u w:val="single"/>
        </w:rPr>
        <w:t xml:space="preserve">          </w:t>
      </w:r>
      <w:r>
        <w:rPr>
          <w:rFonts w:hint="eastAsia" w:ascii="仿宋_GB2312" w:hAnsi="宋体" w:eastAsia="仿宋_GB2312"/>
          <w:bCs/>
          <w:color w:val="auto"/>
          <w:sz w:val="32"/>
          <w:szCs w:val="32"/>
          <w:highlight w:val="none"/>
        </w:rPr>
        <w:t xml:space="preserve"> 联系电话：</w:t>
      </w:r>
      <w:r>
        <w:rPr>
          <w:rFonts w:hint="eastAsia" w:ascii="仿宋_GB2312" w:hAnsi="宋体" w:eastAsia="仿宋_GB2312"/>
          <w:bCs/>
          <w:color w:val="auto"/>
          <w:sz w:val="32"/>
          <w:szCs w:val="32"/>
          <w:highlight w:val="none"/>
          <w:u w:val="single"/>
        </w:rPr>
        <w:t xml:space="preserve">           </w:t>
      </w:r>
    </w:p>
    <w:p w14:paraId="11DB55BD">
      <w:pPr>
        <w:pStyle w:val="19"/>
        <w:ind w:firstLine="640" w:firstLineChars="200"/>
        <w:rPr>
          <w:color w:val="auto"/>
          <w:highlight w:val="none"/>
        </w:rPr>
      </w:pPr>
      <w:r>
        <w:rPr>
          <w:rFonts w:hint="eastAsia" w:ascii="仿宋_GB2312" w:hAnsi="宋体" w:eastAsia="仿宋_GB2312"/>
          <w:color w:val="auto"/>
          <w:sz w:val="32"/>
          <w:szCs w:val="32"/>
          <w:highlight w:val="none"/>
          <w:lang w:val="en-US" w:eastAsia="zh-CN"/>
        </w:rPr>
        <w:t>日期：</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年</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月</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日</w:t>
      </w:r>
    </w:p>
    <w:p w14:paraId="37269763">
      <w:pPr>
        <w:spacing w:line="276" w:lineRule="auto"/>
        <w:jc w:val="left"/>
        <w:rPr>
          <w:rFonts w:ascii="仿宋_GB2312" w:hAnsi="宋体" w:eastAsia="仿宋_GB2312"/>
          <w:b/>
          <w:bCs/>
          <w:color w:val="auto"/>
          <w:sz w:val="24"/>
          <w:highlight w:val="none"/>
        </w:rPr>
      </w:pPr>
    </w:p>
    <w:p w14:paraId="578BD26D">
      <w:pPr>
        <w:spacing w:line="276" w:lineRule="auto"/>
        <w:jc w:val="left"/>
        <w:rPr>
          <w:rFonts w:ascii="仿宋_GB2312" w:hAnsi="宋体" w:eastAsia="仿宋_GB2312"/>
          <w:b/>
          <w:bCs/>
          <w:color w:val="auto"/>
          <w:sz w:val="24"/>
          <w:highlight w:val="none"/>
        </w:rPr>
      </w:pPr>
    </w:p>
    <w:p w14:paraId="4A6BE8AA">
      <w:pPr>
        <w:rPr>
          <w:rFonts w:ascii="仿宋_GB2312" w:hAnsi="宋体" w:eastAsia="仿宋_GB2312"/>
          <w:b/>
          <w:bCs/>
          <w:color w:val="auto"/>
          <w:sz w:val="24"/>
          <w:highlight w:val="none"/>
        </w:rPr>
      </w:pPr>
      <w:r>
        <w:rPr>
          <w:rFonts w:ascii="仿宋_GB2312" w:hAnsi="宋体" w:eastAsia="仿宋_GB2312"/>
          <w:b/>
          <w:bCs/>
          <w:color w:val="auto"/>
          <w:sz w:val="24"/>
          <w:highlight w:val="none"/>
        </w:rPr>
        <w:br w:type="page"/>
      </w:r>
    </w:p>
    <w:p w14:paraId="712322F0">
      <w:pPr>
        <w:tabs>
          <w:tab w:val="left" w:pos="3870"/>
          <w:tab w:val="left" w:pos="4085"/>
        </w:tabs>
        <w:snapToGrid w:val="0"/>
        <w:spacing w:line="440" w:lineRule="exact"/>
        <w:rPr>
          <w:rFonts w:hint="eastAsia" w:ascii="仿宋_GB2312" w:hAnsi="宋体" w:eastAsia="仿宋_GB2312"/>
          <w:b/>
          <w:bCs/>
          <w:color w:val="auto"/>
          <w:sz w:val="24"/>
          <w:highlight w:val="none"/>
        </w:rPr>
      </w:pPr>
      <w:r>
        <w:rPr>
          <w:rFonts w:hint="eastAsia" w:ascii="仿宋_GB2312" w:hAnsi="宋体" w:eastAsia="仿宋_GB2312"/>
          <w:b/>
          <w:bCs/>
          <w:color w:val="auto"/>
          <w:sz w:val="24"/>
          <w:highlight w:val="none"/>
        </w:rPr>
        <w:t>商务技术文件目录：</w:t>
      </w:r>
    </w:p>
    <w:p w14:paraId="0C2C6FF1">
      <w:pPr>
        <w:tabs>
          <w:tab w:val="left" w:pos="3870"/>
          <w:tab w:val="left" w:pos="4085"/>
        </w:tabs>
        <w:snapToGrid w:val="0"/>
        <w:spacing w:line="440" w:lineRule="exact"/>
        <w:jc w:val="center"/>
        <w:rPr>
          <w:rFonts w:hint="eastAsia" w:ascii="仿宋_GB2312" w:hAnsi="宋体" w:eastAsia="仿宋_GB2312"/>
          <w:b/>
          <w:bCs/>
          <w:color w:val="auto"/>
          <w:sz w:val="24"/>
          <w:highlight w:val="none"/>
        </w:rPr>
      </w:pPr>
    </w:p>
    <w:p w14:paraId="541E1871">
      <w:pPr>
        <w:tabs>
          <w:tab w:val="left" w:pos="3870"/>
          <w:tab w:val="left" w:pos="4085"/>
        </w:tabs>
        <w:snapToGrid w:val="0"/>
        <w:spacing w:line="440" w:lineRule="exact"/>
        <w:jc w:val="center"/>
        <w:rPr>
          <w:rFonts w:hint="eastAsia" w:ascii="仿宋_GB2312" w:hAnsi="宋体" w:eastAsia="仿宋_GB2312"/>
          <w:b/>
          <w:bCs/>
          <w:color w:val="auto"/>
          <w:sz w:val="24"/>
          <w:highlight w:val="none"/>
        </w:rPr>
      </w:pPr>
    </w:p>
    <w:p w14:paraId="5ED146EC">
      <w:pPr>
        <w:tabs>
          <w:tab w:val="left" w:pos="3870"/>
          <w:tab w:val="left" w:pos="4085"/>
        </w:tabs>
        <w:snapToGrid w:val="0"/>
        <w:spacing w:line="440" w:lineRule="exact"/>
        <w:jc w:val="center"/>
        <w:rPr>
          <w:rFonts w:hint="eastAsia" w:ascii="仿宋_GB2312" w:hAnsi="宋体" w:eastAsia="仿宋_GB2312"/>
          <w:b/>
          <w:bCs/>
          <w:color w:val="auto"/>
          <w:sz w:val="44"/>
          <w:szCs w:val="44"/>
          <w:highlight w:val="none"/>
        </w:rPr>
      </w:pPr>
      <w:r>
        <w:rPr>
          <w:rFonts w:hint="eastAsia" w:ascii="仿宋_GB2312" w:hAnsi="宋体" w:eastAsia="仿宋_GB2312"/>
          <w:b/>
          <w:bCs/>
          <w:color w:val="auto"/>
          <w:sz w:val="44"/>
          <w:szCs w:val="44"/>
          <w:highlight w:val="none"/>
        </w:rPr>
        <w:t>目    录</w:t>
      </w:r>
    </w:p>
    <w:p w14:paraId="12D1097F">
      <w:pPr>
        <w:snapToGrid w:val="0"/>
        <w:spacing w:line="360" w:lineRule="auto"/>
        <w:ind w:firstLine="470" w:firstLineChars="196"/>
        <w:jc w:val="left"/>
        <w:rPr>
          <w:rFonts w:hint="eastAsia" w:ascii="仿宋_GB2312" w:hAnsi="宋体" w:eastAsia="仿宋_GB2312"/>
          <w:color w:val="auto"/>
          <w:sz w:val="24"/>
          <w:highlight w:val="none"/>
        </w:rPr>
      </w:pPr>
    </w:p>
    <w:p w14:paraId="3887C97C">
      <w:pPr>
        <w:snapToGrid w:val="0"/>
        <w:spacing w:line="360" w:lineRule="auto"/>
        <w:ind w:firstLine="548" w:firstLineChars="196"/>
        <w:jc w:val="center"/>
        <w:rPr>
          <w:rFonts w:ascii="仿宋_GB2312" w:hAnsi="宋体" w:eastAsia="仿宋_GB2312"/>
          <w:color w:val="auto"/>
          <w:sz w:val="24"/>
          <w:highlight w:val="none"/>
        </w:rPr>
      </w:pPr>
      <w:r>
        <w:rPr>
          <w:rFonts w:hint="eastAsia" w:ascii="仿宋_GB2312" w:hAnsi="宋体" w:eastAsia="仿宋_GB2312"/>
          <w:color w:val="auto"/>
          <w:sz w:val="28"/>
          <w:szCs w:val="28"/>
          <w:highlight w:val="none"/>
          <w:lang w:val="en-US" w:eastAsia="zh-CN"/>
        </w:rPr>
        <w:t>格式自拟</w:t>
      </w:r>
    </w:p>
    <w:p w14:paraId="17437D4A">
      <w:pPr>
        <w:tabs>
          <w:tab w:val="left" w:pos="3870"/>
          <w:tab w:val="left" w:pos="4085"/>
        </w:tabs>
        <w:snapToGrid w:val="0"/>
        <w:spacing w:line="440" w:lineRule="exact"/>
        <w:rPr>
          <w:rFonts w:hint="eastAsia" w:ascii="仿宋_GB2312" w:hAnsi="宋体" w:eastAsia="仿宋_GB2312"/>
          <w:b/>
          <w:bCs/>
          <w:color w:val="auto"/>
          <w:sz w:val="24"/>
          <w:highlight w:val="none"/>
        </w:rPr>
      </w:pPr>
    </w:p>
    <w:p w14:paraId="4B3EEF88">
      <w:pPr>
        <w:tabs>
          <w:tab w:val="left" w:pos="3870"/>
          <w:tab w:val="left" w:pos="4085"/>
        </w:tabs>
        <w:snapToGrid w:val="0"/>
        <w:spacing w:line="440" w:lineRule="exact"/>
        <w:rPr>
          <w:rFonts w:hint="eastAsia" w:ascii="仿宋_GB2312" w:hAnsi="宋体" w:eastAsia="仿宋_GB2312"/>
          <w:b/>
          <w:bCs/>
          <w:color w:val="auto"/>
          <w:sz w:val="24"/>
          <w:highlight w:val="none"/>
        </w:rPr>
      </w:pPr>
    </w:p>
    <w:p w14:paraId="75D5EDAC">
      <w:pPr>
        <w:tabs>
          <w:tab w:val="left" w:pos="3870"/>
          <w:tab w:val="left" w:pos="4085"/>
        </w:tabs>
        <w:snapToGrid w:val="0"/>
        <w:spacing w:line="440" w:lineRule="exact"/>
        <w:rPr>
          <w:rFonts w:hint="eastAsia" w:ascii="仿宋_GB2312" w:hAnsi="宋体" w:eastAsia="仿宋_GB2312"/>
          <w:b/>
          <w:bCs/>
          <w:color w:val="auto"/>
          <w:sz w:val="24"/>
          <w:highlight w:val="none"/>
        </w:rPr>
      </w:pPr>
    </w:p>
    <w:p w14:paraId="390744A1">
      <w:pPr>
        <w:tabs>
          <w:tab w:val="left" w:pos="3870"/>
          <w:tab w:val="left" w:pos="4085"/>
        </w:tabs>
        <w:snapToGrid w:val="0"/>
        <w:spacing w:line="440" w:lineRule="exact"/>
        <w:rPr>
          <w:rFonts w:hint="eastAsia" w:ascii="仿宋_GB2312" w:hAnsi="宋体" w:eastAsia="仿宋_GB2312"/>
          <w:b/>
          <w:bCs/>
          <w:color w:val="auto"/>
          <w:sz w:val="24"/>
          <w:highlight w:val="none"/>
        </w:rPr>
      </w:pPr>
    </w:p>
    <w:p w14:paraId="74A60C7C">
      <w:pPr>
        <w:tabs>
          <w:tab w:val="left" w:pos="3870"/>
          <w:tab w:val="left" w:pos="4085"/>
        </w:tabs>
        <w:snapToGrid w:val="0"/>
        <w:spacing w:line="440" w:lineRule="exact"/>
        <w:rPr>
          <w:rFonts w:hint="eastAsia" w:ascii="仿宋_GB2312" w:hAnsi="宋体" w:eastAsia="仿宋_GB2312"/>
          <w:b/>
          <w:bCs/>
          <w:color w:val="auto"/>
          <w:sz w:val="24"/>
          <w:highlight w:val="none"/>
        </w:rPr>
      </w:pPr>
    </w:p>
    <w:p w14:paraId="071EF77D">
      <w:pPr>
        <w:tabs>
          <w:tab w:val="left" w:pos="3870"/>
          <w:tab w:val="left" w:pos="4085"/>
        </w:tabs>
        <w:snapToGrid w:val="0"/>
        <w:spacing w:line="440" w:lineRule="exact"/>
        <w:rPr>
          <w:rFonts w:hint="eastAsia" w:ascii="仿宋_GB2312" w:hAnsi="宋体" w:eastAsia="仿宋_GB2312"/>
          <w:b/>
          <w:bCs/>
          <w:color w:val="auto"/>
          <w:sz w:val="24"/>
          <w:highlight w:val="none"/>
        </w:rPr>
      </w:pPr>
    </w:p>
    <w:p w14:paraId="70B7A8CE">
      <w:pPr>
        <w:tabs>
          <w:tab w:val="left" w:pos="3870"/>
          <w:tab w:val="left" w:pos="4085"/>
        </w:tabs>
        <w:snapToGrid w:val="0"/>
        <w:spacing w:line="440" w:lineRule="exact"/>
        <w:rPr>
          <w:rFonts w:hint="eastAsia" w:ascii="仿宋_GB2312" w:hAnsi="宋体" w:eastAsia="仿宋_GB2312"/>
          <w:b/>
          <w:bCs/>
          <w:color w:val="auto"/>
          <w:sz w:val="24"/>
          <w:highlight w:val="none"/>
        </w:rPr>
      </w:pPr>
    </w:p>
    <w:p w14:paraId="247AB27C">
      <w:pPr>
        <w:rPr>
          <w:rFonts w:hint="eastAsia" w:ascii="仿宋_GB2312" w:hAnsi="宋体" w:eastAsia="仿宋_GB2312"/>
          <w:b/>
          <w:bCs/>
          <w:color w:val="auto"/>
          <w:sz w:val="24"/>
          <w:highlight w:val="none"/>
        </w:rPr>
      </w:pPr>
      <w:r>
        <w:rPr>
          <w:rFonts w:hint="eastAsia" w:ascii="仿宋_GB2312" w:hAnsi="宋体" w:eastAsia="仿宋_GB2312"/>
          <w:b/>
          <w:bCs/>
          <w:color w:val="auto"/>
          <w:sz w:val="24"/>
          <w:highlight w:val="none"/>
        </w:rPr>
        <w:br w:type="page"/>
      </w:r>
    </w:p>
    <w:p w14:paraId="62B70AF5">
      <w:pPr>
        <w:tabs>
          <w:tab w:val="left" w:pos="3870"/>
          <w:tab w:val="left" w:pos="4085"/>
        </w:tabs>
        <w:snapToGrid w:val="0"/>
        <w:spacing w:line="440" w:lineRule="exac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（1）磋商书格式</w:t>
      </w:r>
      <w:r>
        <w:rPr>
          <w:rFonts w:hint="eastAsia" w:ascii="仿宋_GB2312" w:eastAsia="仿宋_GB2312"/>
          <w:b/>
          <w:color w:val="auto"/>
          <w:sz w:val="24"/>
          <w:highlight w:val="none"/>
        </w:rPr>
        <w:t>（必须提供）</w:t>
      </w:r>
      <w:r>
        <w:rPr>
          <w:rFonts w:hint="eastAsia" w:ascii="仿宋_GB2312" w:hAnsi="宋体" w:eastAsia="仿宋_GB2312"/>
          <w:b/>
          <w:bCs/>
          <w:color w:val="auto"/>
          <w:sz w:val="24"/>
          <w:highlight w:val="none"/>
        </w:rPr>
        <w:t>：</w:t>
      </w:r>
    </w:p>
    <w:p w14:paraId="377E73CC">
      <w:pPr>
        <w:snapToGrid w:val="0"/>
        <w:spacing w:before="50" w:after="50"/>
        <w:jc w:val="center"/>
        <w:rPr>
          <w:rFonts w:ascii="仿宋_GB2312" w:eastAsia="仿宋_GB2312"/>
          <w:b/>
          <w:color w:val="auto"/>
          <w:sz w:val="24"/>
          <w:szCs w:val="24"/>
          <w:highlight w:val="none"/>
          <w:u w:val="single"/>
        </w:rPr>
      </w:pPr>
      <w:r>
        <w:rPr>
          <w:rFonts w:hint="eastAsia" w:ascii="宋体" w:hAnsi="宋体"/>
          <w:b/>
          <w:color w:val="auto"/>
          <w:sz w:val="32"/>
          <w:szCs w:val="32"/>
          <w:highlight w:val="none"/>
        </w:rPr>
        <w:t>磋商书</w:t>
      </w:r>
    </w:p>
    <w:p w14:paraId="5865DD74">
      <w:pPr>
        <w:pStyle w:val="29"/>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auto"/>
          <w:sz w:val="21"/>
          <w:highlight w:val="none"/>
        </w:rPr>
      </w:pPr>
      <w:r>
        <w:rPr>
          <w:rFonts w:hint="eastAsia" w:ascii="仿宋" w:hAnsi="仿宋" w:eastAsia="仿宋" w:cs="仿宋"/>
          <w:color w:val="auto"/>
          <w:sz w:val="21"/>
          <w:highlight w:val="none"/>
        </w:rPr>
        <w:t>致：</w:t>
      </w:r>
      <w:r>
        <w:rPr>
          <w:rFonts w:hint="eastAsia" w:ascii="仿宋" w:hAnsi="仿宋" w:eastAsia="仿宋" w:cs="仿宋"/>
          <w:color w:val="auto"/>
          <w:sz w:val="21"/>
          <w:highlight w:val="none"/>
          <w:u w:val="single"/>
        </w:rPr>
        <w:t xml:space="preserve">              </w:t>
      </w:r>
      <w:r>
        <w:rPr>
          <w:rFonts w:hint="eastAsia" w:ascii="仿宋" w:hAnsi="仿宋" w:eastAsia="仿宋" w:cs="仿宋"/>
          <w:color w:val="auto"/>
          <w:sz w:val="21"/>
          <w:highlight w:val="none"/>
        </w:rPr>
        <w:t>（采购人单位名称）：</w:t>
      </w:r>
    </w:p>
    <w:p w14:paraId="27B9D1E6">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我方愿意参加贵方组织的</w:t>
      </w:r>
      <w:r>
        <w:rPr>
          <w:rFonts w:hint="eastAsia" w:ascii="仿宋" w:hAnsi="仿宋" w:eastAsia="仿宋" w:cs="仿宋"/>
          <w:color w:val="auto"/>
          <w:szCs w:val="21"/>
          <w:highlight w:val="none"/>
          <w:u w:val="single"/>
        </w:rPr>
        <w:t xml:space="preserve">   （项目名称）  </w:t>
      </w:r>
      <w:r>
        <w:rPr>
          <w:rFonts w:hint="eastAsia" w:ascii="仿宋" w:hAnsi="仿宋" w:eastAsia="仿宋" w:cs="仿宋"/>
          <w:color w:val="auto"/>
          <w:szCs w:val="21"/>
          <w:highlight w:val="none"/>
        </w:rPr>
        <w:t>项目的竞标，为便于贵方公正、择优地确定成交供应商及其竞标产品和服务，我方就本次竞标有关事项郑重声明如下：</w:t>
      </w:r>
    </w:p>
    <w:p w14:paraId="7BB173AE">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1.我方向贵方提交的所有响应文件、资料都是准确的和真实的。</w:t>
      </w:r>
    </w:p>
    <w:p w14:paraId="67DF7B48">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A1FC3F6">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3.在此，我方宣布同意如下：</w:t>
      </w:r>
    </w:p>
    <w:p w14:paraId="664BD28E">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（1）将按磋商文件的约定履行合同责任和义务；</w:t>
      </w:r>
    </w:p>
    <w:p w14:paraId="39727225">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（2）已详细审查全部磋商文件，包括澄清或者更正公告（如有）；</w:t>
      </w:r>
    </w:p>
    <w:p w14:paraId="700FFBBD">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（3）同意提供按照贵方可能要求的与谈判有关的一切数据或者资料；</w:t>
      </w:r>
    </w:p>
    <w:p w14:paraId="2679E476">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（4）响应磋商文件规定的响应文件有效期。</w:t>
      </w:r>
    </w:p>
    <w:p w14:paraId="06F8AC95">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4.我方承诺符合《中华人民共和国政府采购法》第二十二条规定：</w:t>
      </w:r>
    </w:p>
    <w:p w14:paraId="234B0083">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（1）具有独立承担民事责任的能力；</w:t>
      </w:r>
    </w:p>
    <w:p w14:paraId="5BD1775D">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（2）具有良好的商业信誉和健全的财务会计制度；</w:t>
      </w:r>
    </w:p>
    <w:p w14:paraId="5F591694">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（3）具有履行合同所必需的设备和专业技术能力；</w:t>
      </w:r>
    </w:p>
    <w:p w14:paraId="20F1A6E0">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（4）有依法缴纳税收和社会保障资金的良好记录；</w:t>
      </w:r>
    </w:p>
    <w:p w14:paraId="337FBD8E">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（5）参加政府采购活动前三年内，在经营活动中没有重大违法记录；</w:t>
      </w:r>
    </w:p>
    <w:p w14:paraId="36C24986">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（6）法律、行政法规规定的其他条件。</w:t>
      </w:r>
    </w:p>
    <w:p w14:paraId="1758A9C0">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97EEA5A">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r>
        <w:rPr>
          <w:rFonts w:hint="eastAsia" w:ascii="仿宋" w:hAnsi="仿宋" w:eastAsia="仿宋" w:cs="仿宋"/>
          <w:color w:val="auto"/>
          <w:szCs w:val="21"/>
          <w:highlight w:val="none"/>
          <w:lang w:eastAsia="zh-CN"/>
        </w:rPr>
        <w:t>，如均未选择则视为同意将合同进行公示</w:t>
      </w:r>
      <w:r>
        <w:rPr>
          <w:rFonts w:hint="eastAsia" w:ascii="仿宋" w:hAnsi="仿宋" w:eastAsia="仿宋" w:cs="仿宋"/>
          <w:color w:val="auto"/>
          <w:szCs w:val="21"/>
          <w:highlight w:val="none"/>
        </w:rPr>
        <w:t>）</w:t>
      </w:r>
    </w:p>
    <w:p w14:paraId="6E01869E">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□我方本次响应文件内容中未涉及商业秘密；</w:t>
      </w:r>
    </w:p>
    <w:p w14:paraId="15C97AC7">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□我方本次响应文件涉及商业秘密的内容有：</w:t>
      </w:r>
    </w:p>
    <w:p w14:paraId="01270CB9">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7.以上事项如有虚假或者隐瞒，我方愿意承担一切后果，并不再寻求任何旨在减轻或者免除法律责任的辩解。</w:t>
      </w:r>
    </w:p>
    <w:p w14:paraId="6145A660">
      <w:pPr>
        <w:snapToGrid w:val="0"/>
        <w:spacing w:line="400" w:lineRule="exact"/>
        <w:jc w:val="both"/>
        <w:rPr>
          <w:rFonts w:ascii="仿宋_GB2312" w:hAnsi="宋体" w:eastAsia="仿宋_GB2312"/>
          <w:color w:val="auto"/>
          <w:sz w:val="24"/>
          <w:szCs w:val="24"/>
          <w:highlight w:val="none"/>
        </w:rPr>
      </w:pPr>
    </w:p>
    <w:p w14:paraId="66CDC6A0">
      <w:pPr>
        <w:pStyle w:val="29"/>
        <w:spacing w:line="360" w:lineRule="auto"/>
        <w:ind w:left="0" w:leftChars="0" w:firstLine="2951" w:firstLineChars="1225"/>
        <w:rPr>
          <w:rFonts w:ascii="仿宋_GB2312" w:eastAsia="仿宋_GB2312"/>
          <w:color w:val="auto"/>
          <w:sz w:val="24"/>
          <w:szCs w:val="24"/>
          <w:highlight w:val="none"/>
        </w:rPr>
      </w:pPr>
      <w:r>
        <w:rPr>
          <w:rFonts w:hint="eastAsia" w:ascii="仿宋_GB2312" w:eastAsia="仿宋_GB2312"/>
          <w:b/>
          <w:bCs/>
          <w:color w:val="auto"/>
          <w:sz w:val="24"/>
          <w:szCs w:val="24"/>
          <w:highlight w:val="none"/>
        </w:rPr>
        <w:t>法定代表人或委托代理人签字（签字）：</w:t>
      </w:r>
      <w:r>
        <w:rPr>
          <w:rFonts w:hint="eastAsia" w:ascii="仿宋_GB2312" w:eastAsia="仿宋_GB2312"/>
          <w:color w:val="auto"/>
          <w:sz w:val="24"/>
          <w:szCs w:val="24"/>
          <w:highlight w:val="none"/>
          <w:u w:val="single"/>
        </w:rPr>
        <w:t xml:space="preserve">                 </w:t>
      </w:r>
    </w:p>
    <w:p w14:paraId="1E0BCFB3">
      <w:pPr>
        <w:snapToGrid w:val="0"/>
        <w:spacing w:line="400" w:lineRule="exact"/>
        <w:ind w:right="480" w:firstLine="480" w:firstLineChars="200"/>
        <w:jc w:val="center"/>
        <w:rPr>
          <w:rFonts w:ascii="仿宋_GB2312" w:hAnsi="宋体" w:eastAsia="仿宋_GB2312"/>
          <w:color w:val="auto"/>
          <w:sz w:val="24"/>
          <w:szCs w:val="24"/>
          <w:highlight w:val="none"/>
        </w:rPr>
      </w:pPr>
      <w:r>
        <w:rPr>
          <w:rFonts w:hint="eastAsia" w:ascii="仿宋_GB2312" w:eastAsia="仿宋_GB2312"/>
          <w:color w:val="auto"/>
          <w:sz w:val="24"/>
          <w:szCs w:val="24"/>
          <w:highlight w:val="none"/>
        </w:rPr>
        <w:t xml:space="preserve">                               供应商名称</w:t>
      </w:r>
      <w:r>
        <w:rPr>
          <w:rFonts w:hint="eastAsia" w:ascii="仿宋_GB2312" w:eastAsia="仿宋_GB2312"/>
          <w:b/>
          <w:bCs/>
          <w:color w:val="auto"/>
          <w:sz w:val="24"/>
          <w:szCs w:val="24"/>
          <w:highlight w:val="none"/>
        </w:rPr>
        <w:t>（CA电子签章）</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rPr>
        <w:t xml:space="preserve">        </w:t>
      </w:r>
    </w:p>
    <w:p w14:paraId="60F9F33A">
      <w:pPr>
        <w:snapToGrid w:val="0"/>
        <w:spacing w:line="400" w:lineRule="exact"/>
        <w:ind w:firstLine="480" w:firstLineChars="200"/>
        <w:rPr>
          <w:rFonts w:hint="eastAsia" w:ascii="仿宋_GB2312" w:eastAsia="仿宋_GB2312"/>
          <w:color w:val="auto"/>
          <w:sz w:val="24"/>
          <w:szCs w:val="24"/>
          <w:highlight w:val="none"/>
        </w:rPr>
      </w:pPr>
      <w:r>
        <w:rPr>
          <w:rFonts w:hint="eastAsia" w:ascii="仿宋_GB2312" w:hAnsi="宋体" w:eastAsia="仿宋_GB2312"/>
          <w:color w:val="auto"/>
          <w:sz w:val="24"/>
          <w:szCs w:val="24"/>
          <w:highlight w:val="none"/>
        </w:rPr>
        <w:t xml:space="preserve">                                      </w:t>
      </w:r>
      <w:r>
        <w:rPr>
          <w:rFonts w:hint="eastAsia" w:ascii="仿宋_GB2312" w:hAnsi="宋体" w:eastAsia="仿宋_GB2312" w:cs="宋体"/>
          <w:color w:val="auto"/>
          <w:kern w:val="0"/>
          <w:sz w:val="24"/>
          <w:szCs w:val="24"/>
          <w:highlight w:val="none"/>
        </w:rPr>
        <w:t xml:space="preserve">          日  期</w:t>
      </w:r>
      <w:r>
        <w:rPr>
          <w:rFonts w:hint="eastAsia" w:ascii="仿宋_GB2312" w:hAnsi="宋体" w:eastAsia="仿宋_GB2312"/>
          <w:color w:val="auto"/>
          <w:sz w:val="24"/>
          <w:szCs w:val="24"/>
          <w:highlight w:val="none"/>
        </w:rPr>
        <w:t>：</w:t>
      </w:r>
      <w:r>
        <w:rPr>
          <w:rFonts w:hint="eastAsia" w:ascii="仿宋_GB2312" w:eastAsia="仿宋_GB2312"/>
          <w:color w:val="auto"/>
          <w:sz w:val="24"/>
          <w:szCs w:val="24"/>
          <w:highlight w:val="none"/>
        </w:rPr>
        <w:t xml:space="preserve">       年   月   日</w:t>
      </w:r>
    </w:p>
    <w:p w14:paraId="24E6D5F4">
      <w:pPr>
        <w:snapToGrid w:val="0"/>
        <w:spacing w:line="400" w:lineRule="exact"/>
        <w:ind w:firstLine="480" w:firstLineChars="200"/>
        <w:rPr>
          <w:rFonts w:hint="eastAsia" w:ascii="仿宋_GB2312" w:eastAsia="仿宋_GB2312"/>
          <w:color w:val="auto"/>
          <w:sz w:val="24"/>
          <w:szCs w:val="24"/>
          <w:highlight w:val="none"/>
        </w:rPr>
      </w:pPr>
    </w:p>
    <w:p w14:paraId="68219F2C">
      <w:pPr>
        <w:pStyle w:val="29"/>
        <w:spacing w:line="360" w:lineRule="exact"/>
        <w:ind w:firstLine="482" w:firstLineChars="200"/>
        <w:rPr>
          <w:rFonts w:ascii="仿宋_GB2312" w:hAnsi="宋体" w:eastAsia="仿宋_GB2312"/>
          <w:b/>
          <w:bCs/>
          <w:color w:val="auto"/>
          <w:sz w:val="24"/>
          <w:highlight w:val="none"/>
        </w:rPr>
      </w:pPr>
      <w:r>
        <w:rPr>
          <w:rFonts w:hint="eastAsia" w:ascii="仿宋_GB2312" w:eastAsia="仿宋_GB2312"/>
          <w:b/>
          <w:color w:val="auto"/>
          <w:sz w:val="24"/>
          <w:highlight w:val="none"/>
        </w:rPr>
        <w:t>注：此项材料必须</w:t>
      </w:r>
      <w:r>
        <w:rPr>
          <w:rFonts w:hint="eastAsia" w:ascii="仿宋_GB2312" w:hAnsi="宋体" w:eastAsia="仿宋_GB2312"/>
          <w:b/>
          <w:bCs/>
          <w:color w:val="auto"/>
          <w:sz w:val="24"/>
          <w:highlight w:val="none"/>
        </w:rPr>
        <w:t>以PDF格式上传。</w:t>
      </w:r>
    </w:p>
    <w:p w14:paraId="470DE195">
      <w:pPr>
        <w:rPr>
          <w:rFonts w:ascii="仿宋_GB2312" w:hAnsi="宋体" w:eastAsia="仿宋_GB2312"/>
          <w:b/>
          <w:bCs/>
          <w:color w:val="auto"/>
          <w:sz w:val="24"/>
          <w:highlight w:val="none"/>
        </w:rPr>
      </w:pPr>
      <w:r>
        <w:rPr>
          <w:rFonts w:ascii="仿宋_GB2312" w:hAnsi="宋体" w:eastAsia="仿宋_GB2312"/>
          <w:b/>
          <w:bCs/>
          <w:color w:val="auto"/>
          <w:sz w:val="24"/>
          <w:highlight w:val="none"/>
        </w:rPr>
        <w:br w:type="page"/>
      </w:r>
    </w:p>
    <w:p w14:paraId="7E70EDF3">
      <w:pPr>
        <w:spacing w:line="276" w:lineRule="auto"/>
        <w:jc w:val="left"/>
        <w:rPr>
          <w:rFonts w:ascii="仿宋_GB2312" w:eastAsia="仿宋_GB2312"/>
          <w:color w:val="auto"/>
          <w:sz w:val="24"/>
          <w:highlight w:val="none"/>
          <w:u w:val="single"/>
        </w:rPr>
      </w:pPr>
      <w:r>
        <w:rPr>
          <w:rFonts w:hint="eastAsia" w:ascii="仿宋_GB2312" w:hAnsi="宋体" w:eastAsia="仿宋_GB2312"/>
          <w:b/>
          <w:bCs/>
          <w:color w:val="auto"/>
          <w:sz w:val="24"/>
          <w:highlight w:val="none"/>
        </w:rPr>
        <w:t>（2）</w:t>
      </w:r>
      <w:r>
        <w:rPr>
          <w:rFonts w:hint="eastAsia" w:ascii="仿宋_GB2312" w:hAnsi="宋体" w:eastAsia="仿宋_GB2312"/>
          <w:b/>
          <w:bCs/>
          <w:color w:val="auto"/>
          <w:sz w:val="24"/>
          <w:highlight w:val="none"/>
          <w:lang w:val="en-US" w:eastAsia="zh-CN"/>
        </w:rPr>
        <w:t>无串通竞标行为的承诺函</w:t>
      </w:r>
      <w:r>
        <w:rPr>
          <w:rFonts w:hint="eastAsia" w:ascii="仿宋_GB2312" w:eastAsia="仿宋_GB2312"/>
          <w:b/>
          <w:color w:val="auto"/>
          <w:sz w:val="24"/>
          <w:highlight w:val="none"/>
        </w:rPr>
        <w:t>（必须提供）</w:t>
      </w:r>
      <w:r>
        <w:rPr>
          <w:rFonts w:hint="eastAsia" w:ascii="仿宋_GB2312" w:hAnsi="宋体" w:eastAsia="仿宋_GB2312"/>
          <w:b/>
          <w:bCs/>
          <w:color w:val="auto"/>
          <w:sz w:val="24"/>
          <w:highlight w:val="none"/>
        </w:rPr>
        <w:t>：</w:t>
      </w:r>
    </w:p>
    <w:p w14:paraId="24F3AC4E">
      <w:pPr>
        <w:spacing w:line="276" w:lineRule="auto"/>
        <w:jc w:val="center"/>
        <w:rPr>
          <w:rFonts w:ascii="仿宋_GB2312" w:eastAsia="仿宋_GB2312"/>
          <w:color w:val="auto"/>
          <w:sz w:val="24"/>
          <w:highlight w:val="none"/>
          <w:u w:val="single"/>
        </w:rPr>
      </w:pPr>
    </w:p>
    <w:p w14:paraId="5911D880">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无串通竞标行为的承诺函</w:t>
      </w:r>
    </w:p>
    <w:p w14:paraId="55F0CF3E">
      <w:pPr>
        <w:spacing w:line="360" w:lineRule="auto"/>
        <w:ind w:firstLine="640" w:firstLineChars="200"/>
        <w:contextualSpacing/>
        <w:rPr>
          <w:rFonts w:ascii="仿宋_GB2312" w:hAnsi="仿宋_GB2312" w:eastAsia="仿宋_GB2312" w:cs="仿宋_GB2312"/>
          <w:color w:val="auto"/>
          <w:sz w:val="32"/>
          <w:szCs w:val="32"/>
          <w:highlight w:val="none"/>
        </w:rPr>
      </w:pPr>
    </w:p>
    <w:p w14:paraId="36440311">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4E50A4F1">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1.不同供应商的响应文件由同一单位或者个人编制；</w:t>
      </w:r>
    </w:p>
    <w:p w14:paraId="1AEE633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5A01331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41EC5774">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2E5A452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227C99DF">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4333A6D0">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4CD65810">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3049BBD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595CA5D4">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5B03559A">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2BEBFEFA">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3C24F9A1">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15886BAE">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11CE9C7E">
      <w:pPr>
        <w:spacing w:line="360" w:lineRule="auto"/>
        <w:ind w:firstLine="480" w:firstLineChars="200"/>
        <w:contextualSpacing/>
        <w:rPr>
          <w:rFonts w:ascii="宋体" w:hAnsi="宋体" w:cs="仿宋_GB2312"/>
          <w:color w:val="auto"/>
          <w:sz w:val="24"/>
          <w:highlight w:val="none"/>
        </w:rPr>
      </w:pPr>
    </w:p>
    <w:p w14:paraId="030DEB45">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5393B0D5">
      <w:pPr>
        <w:spacing w:line="360" w:lineRule="auto"/>
        <w:contextualSpacing/>
        <w:rPr>
          <w:rFonts w:ascii="宋体" w:hAnsi="宋体" w:cs="仿宋_GB2312"/>
          <w:color w:val="auto"/>
          <w:sz w:val="24"/>
          <w:highlight w:val="none"/>
        </w:rPr>
      </w:pPr>
    </w:p>
    <w:p w14:paraId="2AD22CD0">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40D6A86F">
      <w:pPr>
        <w:ind w:firstLine="480" w:firstLineChars="200"/>
        <w:jc w:val="left"/>
        <w:rPr>
          <w:rFonts w:ascii="仿宋_GB2312" w:eastAsia="仿宋_GB2312"/>
          <w:b/>
          <w:bCs/>
          <w:color w:val="auto"/>
          <w:sz w:val="24"/>
          <w:szCs w:val="24"/>
          <w:highlight w:val="none"/>
        </w:rPr>
      </w:pPr>
      <w:r>
        <w:rPr>
          <w:rFonts w:hint="eastAsia" w:ascii="宋体" w:hAnsi="宋体" w:cs="仿宋_GB2312"/>
          <w:color w:val="auto"/>
          <w:sz w:val="24"/>
          <w:highlight w:val="none"/>
        </w:rPr>
        <w:t xml:space="preserve">                               年   月   日</w:t>
      </w:r>
    </w:p>
    <w:p w14:paraId="1D45C1FA">
      <w:pPr>
        <w:pStyle w:val="29"/>
        <w:spacing w:line="360" w:lineRule="exact"/>
        <w:rPr>
          <w:rFonts w:ascii="仿宋_GB2312" w:eastAsia="仿宋_GB2312"/>
          <w:b/>
          <w:color w:val="auto"/>
          <w:sz w:val="24"/>
          <w:highlight w:val="none"/>
        </w:rPr>
      </w:pPr>
    </w:p>
    <w:p w14:paraId="4F1B63FF">
      <w:pPr>
        <w:pStyle w:val="29"/>
        <w:spacing w:line="360" w:lineRule="exact"/>
        <w:ind w:firstLine="482" w:firstLineChars="200"/>
        <w:rPr>
          <w:rFonts w:ascii="仿宋_GB2312" w:hAnsi="宋体" w:eastAsia="仿宋_GB2312"/>
          <w:b/>
          <w:bCs/>
          <w:color w:val="auto"/>
          <w:sz w:val="24"/>
          <w:highlight w:val="none"/>
        </w:rPr>
      </w:pPr>
      <w:r>
        <w:rPr>
          <w:rFonts w:hint="eastAsia" w:ascii="仿宋_GB2312" w:eastAsia="仿宋_GB2312"/>
          <w:b/>
          <w:color w:val="auto"/>
          <w:sz w:val="24"/>
          <w:highlight w:val="none"/>
        </w:rPr>
        <w:t>注：此项材料必须</w:t>
      </w:r>
      <w:r>
        <w:rPr>
          <w:rFonts w:hint="eastAsia" w:ascii="仿宋_GB2312" w:hAnsi="宋体" w:eastAsia="仿宋_GB2312"/>
          <w:b/>
          <w:bCs/>
          <w:color w:val="auto"/>
          <w:sz w:val="24"/>
          <w:highlight w:val="none"/>
        </w:rPr>
        <w:t>以PDF格式上传。</w:t>
      </w:r>
    </w:p>
    <w:p w14:paraId="1A44CC36">
      <w:pPr>
        <w:rPr>
          <w:rFonts w:ascii="仿宋_GB2312" w:hAnsi="宋体" w:eastAsia="仿宋_GB2312"/>
          <w:b/>
          <w:bCs/>
          <w:color w:val="auto"/>
          <w:sz w:val="24"/>
          <w:highlight w:val="none"/>
        </w:rPr>
      </w:pPr>
      <w:r>
        <w:rPr>
          <w:rFonts w:ascii="仿宋_GB2312" w:hAnsi="宋体" w:eastAsia="仿宋_GB2312"/>
          <w:b/>
          <w:bCs/>
          <w:color w:val="auto"/>
          <w:sz w:val="24"/>
          <w:highlight w:val="none"/>
        </w:rPr>
        <w:br w:type="page"/>
      </w:r>
    </w:p>
    <w:p w14:paraId="21BD9202">
      <w:pPr>
        <w:pStyle w:val="29"/>
        <w:spacing w:line="276" w:lineRule="auto"/>
        <w:jc w:val="left"/>
        <w:rPr>
          <w:rFonts w:ascii="仿宋_GB2312" w:eastAsia="仿宋_GB2312"/>
          <w:color w:val="auto"/>
          <w:sz w:val="24"/>
          <w:highlight w:val="none"/>
        </w:rPr>
      </w:pPr>
      <w:r>
        <w:rPr>
          <w:rFonts w:hint="eastAsia" w:ascii="仿宋_GB2312" w:hAnsi="宋体" w:eastAsia="仿宋_GB2312"/>
          <w:b/>
          <w:bCs/>
          <w:color w:val="auto"/>
          <w:sz w:val="24"/>
          <w:highlight w:val="none"/>
        </w:rPr>
        <w:t>（</w:t>
      </w:r>
      <w:r>
        <w:rPr>
          <w:rFonts w:hint="eastAsia" w:ascii="仿宋_GB2312" w:hAnsi="宋体" w:eastAsia="仿宋_GB2312"/>
          <w:b/>
          <w:bCs/>
          <w:color w:val="auto"/>
          <w:sz w:val="24"/>
          <w:highlight w:val="none"/>
          <w:lang w:val="en-US" w:eastAsia="zh-CN"/>
        </w:rPr>
        <w:t>3</w:t>
      </w:r>
      <w:r>
        <w:rPr>
          <w:rFonts w:hint="eastAsia" w:ascii="仿宋_GB2312" w:hAnsi="宋体" w:eastAsia="仿宋_GB2312"/>
          <w:b/>
          <w:bCs/>
          <w:color w:val="auto"/>
          <w:sz w:val="24"/>
          <w:highlight w:val="none"/>
        </w:rPr>
        <w:t>）</w:t>
      </w:r>
      <w:r>
        <w:rPr>
          <w:rFonts w:hint="eastAsia" w:ascii="仿宋_GB2312" w:hAnsi="宋体" w:eastAsia="仿宋_GB2312"/>
          <w:b/>
          <w:bCs/>
          <w:color w:val="auto"/>
          <w:sz w:val="24"/>
          <w:highlight w:val="none"/>
          <w:lang w:val="en-US" w:eastAsia="zh-CN"/>
        </w:rPr>
        <w:t>项目管理机构配备情况表及主要人员简历表</w:t>
      </w:r>
      <w:r>
        <w:rPr>
          <w:rFonts w:hint="eastAsia" w:ascii="仿宋_GB2312" w:eastAsia="仿宋_GB2312"/>
          <w:b/>
          <w:color w:val="auto"/>
          <w:sz w:val="24"/>
          <w:highlight w:val="none"/>
        </w:rPr>
        <w:t>（必须提供）</w:t>
      </w:r>
      <w:r>
        <w:rPr>
          <w:rFonts w:hint="eastAsia" w:ascii="仿宋_GB2312" w:hAnsi="宋体" w:eastAsia="仿宋_GB2312"/>
          <w:b/>
          <w:bCs/>
          <w:color w:val="auto"/>
          <w:sz w:val="24"/>
          <w:highlight w:val="none"/>
        </w:rPr>
        <w:t>：</w:t>
      </w:r>
    </w:p>
    <w:p w14:paraId="1B5B2CF7">
      <w:pPr>
        <w:snapToGrid w:val="0"/>
        <w:spacing w:beforeLines="50" w:after="50"/>
        <w:jc w:val="center"/>
        <w:rPr>
          <w:rFonts w:ascii="宋体" w:hAnsi="宋体"/>
          <w:b/>
          <w:color w:val="auto"/>
          <w:sz w:val="32"/>
          <w:szCs w:val="32"/>
          <w:highlight w:val="none"/>
        </w:rPr>
      </w:pPr>
      <w:r>
        <w:rPr>
          <w:rFonts w:hint="eastAsia" w:ascii="宋体" w:hAnsi="宋体"/>
          <w:b/>
          <w:color w:val="auto"/>
          <w:sz w:val="32"/>
          <w:szCs w:val="32"/>
          <w:highlight w:val="none"/>
        </w:rPr>
        <w:t>（一）项目管理机构配备情况表</w:t>
      </w:r>
    </w:p>
    <w:p w14:paraId="43766D2B">
      <w:pPr>
        <w:pStyle w:val="29"/>
        <w:spacing w:line="360" w:lineRule="auto"/>
        <w:contextualSpacing/>
        <w:rPr>
          <w:rFonts w:hint="default" w:eastAsia="宋体"/>
          <w:color w:val="auto"/>
          <w:sz w:val="24"/>
          <w:szCs w:val="24"/>
          <w:highlight w:val="none"/>
          <w:lang w:val="en-US" w:eastAsia="zh-CN"/>
        </w:rPr>
      </w:pPr>
      <w:r>
        <w:rPr>
          <w:rFonts w:hint="eastAsia" w:hAnsi="宋体" w:cs="仿宋_GB2312"/>
          <w:color w:val="auto"/>
          <w:sz w:val="24"/>
          <w:highlight w:val="none"/>
          <w:lang w:val="en-US" w:eastAsia="zh-CN"/>
        </w:rPr>
        <w:t>项目名称</w:t>
      </w:r>
      <w:r>
        <w:rPr>
          <w:rFonts w:hint="eastAsia"/>
          <w:color w:val="auto"/>
          <w:sz w:val="24"/>
          <w:szCs w:val="24"/>
          <w:highlight w:val="none"/>
        </w:rPr>
        <w:t>：</w:t>
      </w:r>
      <w:r>
        <w:rPr>
          <w:rFonts w:hint="eastAsia"/>
          <w:color w:val="auto"/>
          <w:sz w:val="24"/>
          <w:szCs w:val="24"/>
          <w:highlight w:val="none"/>
          <w:lang w:val="en-US" w:eastAsia="zh-CN"/>
        </w:rPr>
        <w:t xml:space="preserve">                                    项目编号：</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48F0F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vAlign w:val="center"/>
          </w:tcPr>
          <w:p w14:paraId="0FEBDD39">
            <w:pPr>
              <w:ind w:left="223" w:hanging="222" w:hangingChars="106"/>
              <w:jc w:val="center"/>
              <w:rPr>
                <w:color w:val="auto"/>
                <w:highlight w:val="none"/>
              </w:rPr>
            </w:pPr>
            <w:r>
              <w:rPr>
                <w:color w:val="auto"/>
                <w:highlight w:val="none"/>
              </w:rPr>
              <w:t>岗位</w:t>
            </w:r>
          </w:p>
        </w:tc>
        <w:tc>
          <w:tcPr>
            <w:tcW w:w="670" w:type="dxa"/>
            <w:vMerge w:val="restart"/>
            <w:vAlign w:val="center"/>
          </w:tcPr>
          <w:p w14:paraId="74DB5E21">
            <w:pPr>
              <w:ind w:left="223" w:hanging="222" w:hangingChars="106"/>
              <w:jc w:val="center"/>
              <w:rPr>
                <w:color w:val="auto"/>
                <w:highlight w:val="none"/>
              </w:rPr>
            </w:pPr>
            <w:r>
              <w:rPr>
                <w:color w:val="auto"/>
                <w:highlight w:val="none"/>
              </w:rPr>
              <w:t>姓名</w:t>
            </w:r>
          </w:p>
        </w:tc>
        <w:tc>
          <w:tcPr>
            <w:tcW w:w="829" w:type="dxa"/>
            <w:vMerge w:val="restart"/>
            <w:vAlign w:val="center"/>
          </w:tcPr>
          <w:p w14:paraId="4B7C5FD6">
            <w:pPr>
              <w:jc w:val="center"/>
              <w:rPr>
                <w:color w:val="auto"/>
                <w:highlight w:val="none"/>
              </w:rPr>
            </w:pPr>
            <w:r>
              <w:rPr>
                <w:color w:val="auto"/>
                <w:highlight w:val="none"/>
              </w:rPr>
              <w:t>身份证号</w:t>
            </w:r>
          </w:p>
        </w:tc>
        <w:tc>
          <w:tcPr>
            <w:tcW w:w="816" w:type="dxa"/>
            <w:vMerge w:val="restart"/>
            <w:vAlign w:val="center"/>
          </w:tcPr>
          <w:p w14:paraId="35000EC1">
            <w:pPr>
              <w:ind w:left="223" w:hanging="222" w:hangingChars="106"/>
              <w:jc w:val="center"/>
              <w:rPr>
                <w:color w:val="auto"/>
                <w:highlight w:val="none"/>
              </w:rPr>
            </w:pPr>
            <w:r>
              <w:rPr>
                <w:color w:val="auto"/>
                <w:highlight w:val="none"/>
              </w:rPr>
              <w:t>职称</w:t>
            </w:r>
          </w:p>
        </w:tc>
        <w:tc>
          <w:tcPr>
            <w:tcW w:w="4188" w:type="dxa"/>
            <w:gridSpan w:val="4"/>
            <w:vAlign w:val="center"/>
          </w:tcPr>
          <w:p w14:paraId="65A3447E">
            <w:pPr>
              <w:ind w:left="223" w:hanging="222" w:hangingChars="106"/>
              <w:jc w:val="center"/>
              <w:rPr>
                <w:color w:val="auto"/>
                <w:highlight w:val="none"/>
              </w:rPr>
            </w:pPr>
            <w:r>
              <w:rPr>
                <w:color w:val="auto"/>
                <w:highlight w:val="none"/>
              </w:rPr>
              <w:t>执业或职业资格</w:t>
            </w:r>
          </w:p>
        </w:tc>
        <w:tc>
          <w:tcPr>
            <w:tcW w:w="2443" w:type="dxa"/>
            <w:gridSpan w:val="2"/>
            <w:vAlign w:val="center"/>
          </w:tcPr>
          <w:p w14:paraId="31619F0D">
            <w:pPr>
              <w:jc w:val="left"/>
              <w:rPr>
                <w:color w:val="auto"/>
                <w:highlight w:val="none"/>
              </w:rPr>
            </w:pPr>
            <w:r>
              <w:rPr>
                <w:color w:val="auto"/>
                <w:highlight w:val="none"/>
              </w:rPr>
              <w:t>承担完工</w:t>
            </w:r>
            <w:r>
              <w:rPr>
                <w:rFonts w:hint="eastAsia"/>
                <w:color w:val="auto"/>
                <w:highlight w:val="none"/>
              </w:rPr>
              <w:t>、</w:t>
            </w:r>
            <w:r>
              <w:rPr>
                <w:color w:val="auto"/>
                <w:highlight w:val="none"/>
              </w:rPr>
              <w:t>在建工程情况</w:t>
            </w:r>
          </w:p>
        </w:tc>
      </w:tr>
      <w:tr w14:paraId="05BF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vAlign w:val="center"/>
          </w:tcPr>
          <w:p w14:paraId="0862B5BF">
            <w:pPr>
              <w:ind w:left="223" w:hanging="222" w:hangingChars="106"/>
              <w:jc w:val="center"/>
              <w:rPr>
                <w:color w:val="auto"/>
                <w:highlight w:val="none"/>
              </w:rPr>
            </w:pPr>
          </w:p>
        </w:tc>
        <w:tc>
          <w:tcPr>
            <w:tcW w:w="670" w:type="dxa"/>
            <w:vMerge w:val="continue"/>
            <w:vAlign w:val="center"/>
          </w:tcPr>
          <w:p w14:paraId="314D01D8">
            <w:pPr>
              <w:ind w:left="223" w:hanging="222" w:hangingChars="106"/>
              <w:jc w:val="center"/>
              <w:rPr>
                <w:color w:val="auto"/>
                <w:highlight w:val="none"/>
              </w:rPr>
            </w:pPr>
          </w:p>
        </w:tc>
        <w:tc>
          <w:tcPr>
            <w:tcW w:w="829" w:type="dxa"/>
            <w:vMerge w:val="continue"/>
            <w:vAlign w:val="center"/>
          </w:tcPr>
          <w:p w14:paraId="182D2BFB">
            <w:pPr>
              <w:ind w:left="223" w:hanging="222" w:hangingChars="106"/>
              <w:jc w:val="center"/>
              <w:rPr>
                <w:color w:val="auto"/>
                <w:highlight w:val="none"/>
              </w:rPr>
            </w:pPr>
          </w:p>
        </w:tc>
        <w:tc>
          <w:tcPr>
            <w:tcW w:w="816" w:type="dxa"/>
            <w:vMerge w:val="continue"/>
            <w:vAlign w:val="center"/>
          </w:tcPr>
          <w:p w14:paraId="37D9F1E3">
            <w:pPr>
              <w:ind w:left="223" w:hanging="222" w:hangingChars="106"/>
              <w:jc w:val="center"/>
              <w:rPr>
                <w:color w:val="auto"/>
                <w:highlight w:val="none"/>
              </w:rPr>
            </w:pPr>
          </w:p>
        </w:tc>
        <w:tc>
          <w:tcPr>
            <w:tcW w:w="1148" w:type="dxa"/>
            <w:vAlign w:val="center"/>
          </w:tcPr>
          <w:p w14:paraId="585A67F5">
            <w:pPr>
              <w:ind w:left="223" w:hanging="222" w:hangingChars="106"/>
              <w:jc w:val="center"/>
              <w:rPr>
                <w:color w:val="auto"/>
                <w:highlight w:val="none"/>
              </w:rPr>
            </w:pPr>
            <w:r>
              <w:rPr>
                <w:color w:val="auto"/>
                <w:highlight w:val="none"/>
              </w:rPr>
              <w:t>证书名称</w:t>
            </w:r>
          </w:p>
        </w:tc>
        <w:tc>
          <w:tcPr>
            <w:tcW w:w="1148" w:type="dxa"/>
            <w:vAlign w:val="center"/>
          </w:tcPr>
          <w:p w14:paraId="6B9F7808">
            <w:pPr>
              <w:ind w:left="223" w:hanging="222" w:hangingChars="106"/>
              <w:jc w:val="center"/>
              <w:rPr>
                <w:color w:val="auto"/>
                <w:highlight w:val="none"/>
              </w:rPr>
            </w:pPr>
            <w:r>
              <w:rPr>
                <w:color w:val="auto"/>
                <w:highlight w:val="none"/>
              </w:rPr>
              <w:t>级别</w:t>
            </w:r>
          </w:p>
        </w:tc>
        <w:tc>
          <w:tcPr>
            <w:tcW w:w="1148" w:type="dxa"/>
            <w:vAlign w:val="center"/>
          </w:tcPr>
          <w:p w14:paraId="1D1F3588">
            <w:pPr>
              <w:ind w:left="223" w:hanging="222" w:hangingChars="106"/>
              <w:jc w:val="center"/>
              <w:rPr>
                <w:color w:val="auto"/>
                <w:highlight w:val="none"/>
              </w:rPr>
            </w:pPr>
            <w:r>
              <w:rPr>
                <w:color w:val="auto"/>
                <w:highlight w:val="none"/>
              </w:rPr>
              <w:t>证号</w:t>
            </w:r>
          </w:p>
        </w:tc>
        <w:tc>
          <w:tcPr>
            <w:tcW w:w="744" w:type="dxa"/>
            <w:vAlign w:val="center"/>
          </w:tcPr>
          <w:p w14:paraId="007560F1">
            <w:pPr>
              <w:ind w:left="223" w:hanging="222" w:hangingChars="106"/>
              <w:jc w:val="center"/>
              <w:rPr>
                <w:color w:val="auto"/>
                <w:highlight w:val="none"/>
              </w:rPr>
            </w:pPr>
            <w:r>
              <w:rPr>
                <w:color w:val="auto"/>
                <w:highlight w:val="none"/>
              </w:rPr>
              <w:t>专业</w:t>
            </w:r>
          </w:p>
        </w:tc>
        <w:tc>
          <w:tcPr>
            <w:tcW w:w="1167" w:type="dxa"/>
            <w:vAlign w:val="center"/>
          </w:tcPr>
          <w:p w14:paraId="2D05BCD2">
            <w:pPr>
              <w:jc w:val="center"/>
              <w:rPr>
                <w:color w:val="auto"/>
                <w:highlight w:val="none"/>
              </w:rPr>
            </w:pPr>
            <w:r>
              <w:rPr>
                <w:rFonts w:hint="eastAsia"/>
                <w:color w:val="auto"/>
                <w:highlight w:val="none"/>
              </w:rPr>
              <w:t>完工/在建</w:t>
            </w:r>
          </w:p>
        </w:tc>
        <w:tc>
          <w:tcPr>
            <w:tcW w:w="1276" w:type="dxa"/>
            <w:vAlign w:val="center"/>
          </w:tcPr>
          <w:p w14:paraId="51EB733B">
            <w:pPr>
              <w:jc w:val="center"/>
              <w:rPr>
                <w:color w:val="auto"/>
                <w:highlight w:val="none"/>
              </w:rPr>
            </w:pPr>
            <w:r>
              <w:rPr>
                <w:color w:val="auto"/>
                <w:highlight w:val="none"/>
              </w:rPr>
              <w:t>主要项目</w:t>
            </w:r>
          </w:p>
          <w:p w14:paraId="5B346B88">
            <w:pPr>
              <w:jc w:val="center"/>
              <w:rPr>
                <w:color w:val="auto"/>
                <w:highlight w:val="none"/>
              </w:rPr>
            </w:pPr>
            <w:r>
              <w:rPr>
                <w:color w:val="auto"/>
                <w:highlight w:val="none"/>
              </w:rPr>
              <w:t>名称</w:t>
            </w:r>
          </w:p>
        </w:tc>
      </w:tr>
      <w:tr w14:paraId="1F7D2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08283DC8">
            <w:pPr>
              <w:pStyle w:val="291"/>
              <w:spacing w:line="240" w:lineRule="auto"/>
              <w:ind w:firstLine="0"/>
              <w:rPr>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1.</w:t>
            </w:r>
            <w:r>
              <w:rPr>
                <w:color w:val="auto"/>
                <w:sz w:val="21"/>
                <w:szCs w:val="21"/>
                <w:highlight w:val="none"/>
              </w:rPr>
              <w:t>项目经理</w:t>
            </w:r>
          </w:p>
        </w:tc>
        <w:tc>
          <w:tcPr>
            <w:tcW w:w="670" w:type="dxa"/>
            <w:vAlign w:val="center"/>
          </w:tcPr>
          <w:p w14:paraId="11A34390">
            <w:pPr>
              <w:ind w:left="223" w:hanging="222" w:hangingChars="106"/>
              <w:jc w:val="center"/>
              <w:rPr>
                <w:color w:val="auto"/>
                <w:szCs w:val="21"/>
                <w:highlight w:val="none"/>
              </w:rPr>
            </w:pPr>
          </w:p>
        </w:tc>
        <w:tc>
          <w:tcPr>
            <w:tcW w:w="829" w:type="dxa"/>
            <w:vAlign w:val="center"/>
          </w:tcPr>
          <w:p w14:paraId="0E744104">
            <w:pPr>
              <w:ind w:left="223" w:hanging="222" w:hangingChars="106"/>
              <w:jc w:val="center"/>
              <w:rPr>
                <w:color w:val="auto"/>
                <w:szCs w:val="21"/>
                <w:highlight w:val="none"/>
              </w:rPr>
            </w:pPr>
          </w:p>
        </w:tc>
        <w:tc>
          <w:tcPr>
            <w:tcW w:w="816" w:type="dxa"/>
            <w:vAlign w:val="center"/>
          </w:tcPr>
          <w:p w14:paraId="67ABCB11">
            <w:pPr>
              <w:ind w:left="223" w:hanging="222" w:hangingChars="106"/>
              <w:jc w:val="center"/>
              <w:rPr>
                <w:color w:val="auto"/>
                <w:szCs w:val="21"/>
                <w:highlight w:val="none"/>
              </w:rPr>
            </w:pPr>
          </w:p>
        </w:tc>
        <w:tc>
          <w:tcPr>
            <w:tcW w:w="1148" w:type="dxa"/>
            <w:vAlign w:val="center"/>
          </w:tcPr>
          <w:p w14:paraId="42D2CFBF">
            <w:pPr>
              <w:ind w:left="223" w:hanging="222" w:hangingChars="106"/>
              <w:jc w:val="center"/>
              <w:rPr>
                <w:color w:val="auto"/>
                <w:szCs w:val="21"/>
                <w:highlight w:val="none"/>
              </w:rPr>
            </w:pPr>
          </w:p>
        </w:tc>
        <w:tc>
          <w:tcPr>
            <w:tcW w:w="1148" w:type="dxa"/>
            <w:vAlign w:val="center"/>
          </w:tcPr>
          <w:p w14:paraId="44E98576">
            <w:pPr>
              <w:ind w:left="223" w:hanging="222" w:hangingChars="106"/>
              <w:jc w:val="center"/>
              <w:rPr>
                <w:color w:val="auto"/>
                <w:szCs w:val="21"/>
                <w:highlight w:val="none"/>
              </w:rPr>
            </w:pPr>
          </w:p>
        </w:tc>
        <w:tc>
          <w:tcPr>
            <w:tcW w:w="1148" w:type="dxa"/>
            <w:vAlign w:val="center"/>
          </w:tcPr>
          <w:p w14:paraId="56416780">
            <w:pPr>
              <w:ind w:left="223" w:hanging="222" w:hangingChars="106"/>
              <w:jc w:val="center"/>
              <w:rPr>
                <w:color w:val="auto"/>
                <w:szCs w:val="21"/>
                <w:highlight w:val="none"/>
              </w:rPr>
            </w:pPr>
          </w:p>
        </w:tc>
        <w:tc>
          <w:tcPr>
            <w:tcW w:w="744" w:type="dxa"/>
            <w:vAlign w:val="center"/>
          </w:tcPr>
          <w:p w14:paraId="732E054E">
            <w:pPr>
              <w:ind w:left="223" w:hanging="222" w:hangingChars="106"/>
              <w:jc w:val="center"/>
              <w:rPr>
                <w:color w:val="auto"/>
                <w:szCs w:val="21"/>
                <w:highlight w:val="none"/>
              </w:rPr>
            </w:pPr>
          </w:p>
        </w:tc>
        <w:tc>
          <w:tcPr>
            <w:tcW w:w="1167" w:type="dxa"/>
            <w:vAlign w:val="center"/>
          </w:tcPr>
          <w:p w14:paraId="6DC6BB66">
            <w:pPr>
              <w:ind w:left="223" w:hanging="222" w:hangingChars="106"/>
              <w:jc w:val="center"/>
              <w:rPr>
                <w:color w:val="auto"/>
                <w:szCs w:val="21"/>
                <w:highlight w:val="none"/>
              </w:rPr>
            </w:pPr>
          </w:p>
        </w:tc>
        <w:tc>
          <w:tcPr>
            <w:tcW w:w="1276" w:type="dxa"/>
            <w:vAlign w:val="center"/>
          </w:tcPr>
          <w:p w14:paraId="676C7164">
            <w:pPr>
              <w:ind w:left="223" w:hanging="222" w:hangingChars="106"/>
              <w:jc w:val="center"/>
              <w:rPr>
                <w:color w:val="auto"/>
                <w:szCs w:val="21"/>
                <w:highlight w:val="none"/>
              </w:rPr>
            </w:pPr>
          </w:p>
        </w:tc>
      </w:tr>
      <w:tr w14:paraId="2A0C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5CE75BD6">
            <w:pPr>
              <w:pStyle w:val="291"/>
              <w:spacing w:line="240" w:lineRule="auto"/>
              <w:ind w:firstLine="0"/>
              <w:rPr>
                <w:color w:val="auto"/>
                <w:sz w:val="21"/>
                <w:szCs w:val="21"/>
                <w:highlight w:val="none"/>
              </w:rPr>
            </w:pPr>
            <w:r>
              <w:rPr>
                <w:rFonts w:ascii="Times New Roman" w:hAnsi="Times New Roman" w:eastAsia="Times New Roman" w:cs="Times New Roman"/>
                <w:color w:val="auto"/>
                <w:sz w:val="21"/>
                <w:szCs w:val="21"/>
                <w:highlight w:val="none"/>
                <w:lang w:val="en-US" w:bidi="en-US"/>
              </w:rPr>
              <w:t>2.</w:t>
            </w:r>
            <w:r>
              <w:rPr>
                <w:color w:val="auto"/>
                <w:sz w:val="21"/>
                <w:szCs w:val="21"/>
                <w:highlight w:val="none"/>
              </w:rPr>
              <w:t>技术负责人</w:t>
            </w:r>
            <w:r>
              <w:rPr>
                <w:rFonts w:hint="eastAsia"/>
                <w:color w:val="auto"/>
                <w:sz w:val="21"/>
                <w:szCs w:val="21"/>
                <w:highlight w:val="none"/>
              </w:rPr>
              <w:t>（项目总工）</w:t>
            </w:r>
          </w:p>
        </w:tc>
        <w:tc>
          <w:tcPr>
            <w:tcW w:w="670" w:type="dxa"/>
            <w:vAlign w:val="center"/>
          </w:tcPr>
          <w:p w14:paraId="546C085F">
            <w:pPr>
              <w:ind w:left="223" w:hanging="222" w:hangingChars="106"/>
              <w:jc w:val="center"/>
              <w:rPr>
                <w:color w:val="auto"/>
                <w:szCs w:val="21"/>
                <w:highlight w:val="none"/>
              </w:rPr>
            </w:pPr>
          </w:p>
        </w:tc>
        <w:tc>
          <w:tcPr>
            <w:tcW w:w="829" w:type="dxa"/>
            <w:vAlign w:val="center"/>
          </w:tcPr>
          <w:p w14:paraId="578F6A79">
            <w:pPr>
              <w:ind w:left="223" w:hanging="222" w:hangingChars="106"/>
              <w:jc w:val="center"/>
              <w:rPr>
                <w:color w:val="auto"/>
                <w:szCs w:val="21"/>
                <w:highlight w:val="none"/>
              </w:rPr>
            </w:pPr>
          </w:p>
        </w:tc>
        <w:tc>
          <w:tcPr>
            <w:tcW w:w="816" w:type="dxa"/>
            <w:vAlign w:val="center"/>
          </w:tcPr>
          <w:p w14:paraId="3F78A2D5">
            <w:pPr>
              <w:ind w:left="223" w:hanging="222" w:hangingChars="106"/>
              <w:jc w:val="center"/>
              <w:rPr>
                <w:color w:val="auto"/>
                <w:szCs w:val="21"/>
                <w:highlight w:val="none"/>
              </w:rPr>
            </w:pPr>
          </w:p>
        </w:tc>
        <w:tc>
          <w:tcPr>
            <w:tcW w:w="1148" w:type="dxa"/>
            <w:vAlign w:val="center"/>
          </w:tcPr>
          <w:p w14:paraId="75164A33">
            <w:pPr>
              <w:ind w:left="223" w:hanging="222" w:hangingChars="106"/>
              <w:jc w:val="center"/>
              <w:rPr>
                <w:color w:val="auto"/>
                <w:szCs w:val="21"/>
                <w:highlight w:val="none"/>
              </w:rPr>
            </w:pPr>
          </w:p>
        </w:tc>
        <w:tc>
          <w:tcPr>
            <w:tcW w:w="1148" w:type="dxa"/>
            <w:vAlign w:val="center"/>
          </w:tcPr>
          <w:p w14:paraId="25DF0E71">
            <w:pPr>
              <w:ind w:left="223" w:hanging="222" w:hangingChars="106"/>
              <w:jc w:val="center"/>
              <w:rPr>
                <w:color w:val="auto"/>
                <w:szCs w:val="21"/>
                <w:highlight w:val="none"/>
              </w:rPr>
            </w:pPr>
          </w:p>
        </w:tc>
        <w:tc>
          <w:tcPr>
            <w:tcW w:w="1148" w:type="dxa"/>
            <w:vAlign w:val="center"/>
          </w:tcPr>
          <w:p w14:paraId="7FDAD502">
            <w:pPr>
              <w:ind w:left="223" w:hanging="222" w:hangingChars="106"/>
              <w:jc w:val="center"/>
              <w:rPr>
                <w:color w:val="auto"/>
                <w:szCs w:val="21"/>
                <w:highlight w:val="none"/>
              </w:rPr>
            </w:pPr>
          </w:p>
        </w:tc>
        <w:tc>
          <w:tcPr>
            <w:tcW w:w="744" w:type="dxa"/>
            <w:vAlign w:val="center"/>
          </w:tcPr>
          <w:p w14:paraId="1F67283A">
            <w:pPr>
              <w:ind w:left="223" w:hanging="222" w:hangingChars="106"/>
              <w:jc w:val="center"/>
              <w:rPr>
                <w:color w:val="auto"/>
                <w:szCs w:val="21"/>
                <w:highlight w:val="none"/>
              </w:rPr>
            </w:pPr>
          </w:p>
        </w:tc>
        <w:tc>
          <w:tcPr>
            <w:tcW w:w="1167" w:type="dxa"/>
            <w:vAlign w:val="center"/>
          </w:tcPr>
          <w:p w14:paraId="3EE11F32">
            <w:pPr>
              <w:ind w:left="223" w:hanging="222" w:hangingChars="106"/>
              <w:jc w:val="center"/>
              <w:rPr>
                <w:color w:val="auto"/>
                <w:szCs w:val="21"/>
                <w:highlight w:val="none"/>
              </w:rPr>
            </w:pPr>
          </w:p>
        </w:tc>
        <w:tc>
          <w:tcPr>
            <w:tcW w:w="1276" w:type="dxa"/>
            <w:vAlign w:val="center"/>
          </w:tcPr>
          <w:p w14:paraId="66B41B6E">
            <w:pPr>
              <w:ind w:left="223" w:hanging="222" w:hangingChars="106"/>
              <w:jc w:val="center"/>
              <w:rPr>
                <w:color w:val="auto"/>
                <w:szCs w:val="21"/>
                <w:highlight w:val="none"/>
              </w:rPr>
            </w:pPr>
          </w:p>
        </w:tc>
      </w:tr>
      <w:tr w14:paraId="16BE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12908B44">
            <w:pPr>
              <w:pStyle w:val="291"/>
              <w:spacing w:line="240" w:lineRule="auto"/>
              <w:ind w:firstLine="0"/>
              <w:rPr>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3.</w:t>
            </w:r>
            <w:r>
              <w:rPr>
                <w:rFonts w:hint="eastAsia"/>
                <w:color w:val="auto"/>
                <w:sz w:val="21"/>
                <w:szCs w:val="21"/>
                <w:highlight w:val="none"/>
              </w:rPr>
              <w:t>施工员</w:t>
            </w:r>
          </w:p>
        </w:tc>
        <w:tc>
          <w:tcPr>
            <w:tcW w:w="670" w:type="dxa"/>
            <w:vAlign w:val="center"/>
          </w:tcPr>
          <w:p w14:paraId="0622D099">
            <w:pPr>
              <w:ind w:left="223" w:hanging="222" w:hangingChars="106"/>
              <w:jc w:val="center"/>
              <w:rPr>
                <w:color w:val="auto"/>
                <w:szCs w:val="21"/>
                <w:highlight w:val="none"/>
              </w:rPr>
            </w:pPr>
          </w:p>
        </w:tc>
        <w:tc>
          <w:tcPr>
            <w:tcW w:w="829" w:type="dxa"/>
            <w:vAlign w:val="center"/>
          </w:tcPr>
          <w:p w14:paraId="4A2427C0">
            <w:pPr>
              <w:ind w:left="223" w:hanging="222" w:hangingChars="106"/>
              <w:jc w:val="center"/>
              <w:rPr>
                <w:color w:val="auto"/>
                <w:szCs w:val="21"/>
                <w:highlight w:val="none"/>
              </w:rPr>
            </w:pPr>
          </w:p>
        </w:tc>
        <w:tc>
          <w:tcPr>
            <w:tcW w:w="816" w:type="dxa"/>
            <w:vAlign w:val="center"/>
          </w:tcPr>
          <w:p w14:paraId="68AD2C0C">
            <w:pPr>
              <w:ind w:left="223" w:hanging="222" w:hangingChars="106"/>
              <w:jc w:val="center"/>
              <w:rPr>
                <w:color w:val="auto"/>
                <w:szCs w:val="21"/>
                <w:highlight w:val="none"/>
              </w:rPr>
            </w:pPr>
          </w:p>
        </w:tc>
        <w:tc>
          <w:tcPr>
            <w:tcW w:w="1148" w:type="dxa"/>
            <w:vAlign w:val="center"/>
          </w:tcPr>
          <w:p w14:paraId="1522C6FD">
            <w:pPr>
              <w:ind w:left="223" w:hanging="222" w:hangingChars="106"/>
              <w:jc w:val="center"/>
              <w:rPr>
                <w:color w:val="auto"/>
                <w:szCs w:val="21"/>
                <w:highlight w:val="none"/>
              </w:rPr>
            </w:pPr>
          </w:p>
        </w:tc>
        <w:tc>
          <w:tcPr>
            <w:tcW w:w="1148" w:type="dxa"/>
            <w:vAlign w:val="center"/>
          </w:tcPr>
          <w:p w14:paraId="07F35016">
            <w:pPr>
              <w:ind w:left="223" w:hanging="222" w:hangingChars="106"/>
              <w:jc w:val="center"/>
              <w:rPr>
                <w:color w:val="auto"/>
                <w:szCs w:val="21"/>
                <w:highlight w:val="none"/>
              </w:rPr>
            </w:pPr>
          </w:p>
        </w:tc>
        <w:tc>
          <w:tcPr>
            <w:tcW w:w="1148" w:type="dxa"/>
            <w:vAlign w:val="center"/>
          </w:tcPr>
          <w:p w14:paraId="739E20A6">
            <w:pPr>
              <w:ind w:left="223" w:hanging="222" w:hangingChars="106"/>
              <w:jc w:val="center"/>
              <w:rPr>
                <w:color w:val="auto"/>
                <w:szCs w:val="21"/>
                <w:highlight w:val="none"/>
              </w:rPr>
            </w:pPr>
          </w:p>
        </w:tc>
        <w:tc>
          <w:tcPr>
            <w:tcW w:w="744" w:type="dxa"/>
            <w:vAlign w:val="center"/>
          </w:tcPr>
          <w:p w14:paraId="3A745EC4">
            <w:pPr>
              <w:ind w:left="223" w:hanging="222" w:hangingChars="106"/>
              <w:jc w:val="center"/>
              <w:rPr>
                <w:color w:val="auto"/>
                <w:szCs w:val="21"/>
                <w:highlight w:val="none"/>
              </w:rPr>
            </w:pPr>
          </w:p>
        </w:tc>
        <w:tc>
          <w:tcPr>
            <w:tcW w:w="1167" w:type="dxa"/>
            <w:vAlign w:val="center"/>
          </w:tcPr>
          <w:p w14:paraId="622EF2CC">
            <w:pPr>
              <w:ind w:left="223" w:hanging="222" w:hangingChars="106"/>
              <w:jc w:val="center"/>
              <w:rPr>
                <w:color w:val="auto"/>
                <w:szCs w:val="21"/>
                <w:highlight w:val="none"/>
              </w:rPr>
            </w:pPr>
          </w:p>
        </w:tc>
        <w:tc>
          <w:tcPr>
            <w:tcW w:w="1276" w:type="dxa"/>
            <w:vAlign w:val="center"/>
          </w:tcPr>
          <w:p w14:paraId="0B6FBBF4">
            <w:pPr>
              <w:ind w:left="223" w:hanging="222" w:hangingChars="106"/>
              <w:jc w:val="center"/>
              <w:rPr>
                <w:color w:val="auto"/>
                <w:szCs w:val="21"/>
                <w:highlight w:val="none"/>
              </w:rPr>
            </w:pPr>
          </w:p>
        </w:tc>
      </w:tr>
      <w:tr w14:paraId="27D45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4DFE18F5">
            <w:pPr>
              <w:pStyle w:val="291"/>
              <w:spacing w:line="240" w:lineRule="auto"/>
              <w:ind w:firstLine="0"/>
              <w:rPr>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4.</w:t>
            </w:r>
            <w:r>
              <w:rPr>
                <w:color w:val="auto"/>
                <w:sz w:val="21"/>
                <w:szCs w:val="21"/>
                <w:highlight w:val="none"/>
              </w:rPr>
              <w:t>安全员</w:t>
            </w:r>
          </w:p>
        </w:tc>
        <w:tc>
          <w:tcPr>
            <w:tcW w:w="670" w:type="dxa"/>
            <w:vAlign w:val="center"/>
          </w:tcPr>
          <w:p w14:paraId="36B6CC08">
            <w:pPr>
              <w:ind w:left="223" w:hanging="222" w:hangingChars="106"/>
              <w:jc w:val="center"/>
              <w:rPr>
                <w:color w:val="auto"/>
                <w:szCs w:val="21"/>
                <w:highlight w:val="none"/>
              </w:rPr>
            </w:pPr>
          </w:p>
        </w:tc>
        <w:tc>
          <w:tcPr>
            <w:tcW w:w="829" w:type="dxa"/>
            <w:vAlign w:val="center"/>
          </w:tcPr>
          <w:p w14:paraId="1E234164">
            <w:pPr>
              <w:ind w:left="223" w:hanging="222" w:hangingChars="106"/>
              <w:jc w:val="center"/>
              <w:rPr>
                <w:color w:val="auto"/>
                <w:szCs w:val="21"/>
                <w:highlight w:val="none"/>
              </w:rPr>
            </w:pPr>
          </w:p>
        </w:tc>
        <w:tc>
          <w:tcPr>
            <w:tcW w:w="816" w:type="dxa"/>
            <w:vAlign w:val="center"/>
          </w:tcPr>
          <w:p w14:paraId="2E2975AA">
            <w:pPr>
              <w:ind w:left="223" w:hanging="222" w:hangingChars="106"/>
              <w:jc w:val="center"/>
              <w:rPr>
                <w:color w:val="auto"/>
                <w:szCs w:val="21"/>
                <w:highlight w:val="none"/>
              </w:rPr>
            </w:pPr>
          </w:p>
        </w:tc>
        <w:tc>
          <w:tcPr>
            <w:tcW w:w="1148" w:type="dxa"/>
            <w:vAlign w:val="center"/>
          </w:tcPr>
          <w:p w14:paraId="7AC53C0F">
            <w:pPr>
              <w:ind w:left="223" w:hanging="222" w:hangingChars="106"/>
              <w:jc w:val="center"/>
              <w:rPr>
                <w:color w:val="auto"/>
                <w:szCs w:val="21"/>
                <w:highlight w:val="none"/>
              </w:rPr>
            </w:pPr>
          </w:p>
        </w:tc>
        <w:tc>
          <w:tcPr>
            <w:tcW w:w="1148" w:type="dxa"/>
            <w:vAlign w:val="center"/>
          </w:tcPr>
          <w:p w14:paraId="7904D55D">
            <w:pPr>
              <w:ind w:left="223" w:hanging="222" w:hangingChars="106"/>
              <w:jc w:val="center"/>
              <w:rPr>
                <w:color w:val="auto"/>
                <w:szCs w:val="21"/>
                <w:highlight w:val="none"/>
              </w:rPr>
            </w:pPr>
          </w:p>
        </w:tc>
        <w:tc>
          <w:tcPr>
            <w:tcW w:w="1148" w:type="dxa"/>
            <w:vAlign w:val="center"/>
          </w:tcPr>
          <w:p w14:paraId="0D015E4A">
            <w:pPr>
              <w:ind w:left="223" w:hanging="222" w:hangingChars="106"/>
              <w:jc w:val="center"/>
              <w:rPr>
                <w:color w:val="auto"/>
                <w:szCs w:val="21"/>
                <w:highlight w:val="none"/>
              </w:rPr>
            </w:pPr>
          </w:p>
        </w:tc>
        <w:tc>
          <w:tcPr>
            <w:tcW w:w="744" w:type="dxa"/>
            <w:vAlign w:val="center"/>
          </w:tcPr>
          <w:p w14:paraId="1C4724BB">
            <w:pPr>
              <w:ind w:left="223" w:hanging="222" w:hangingChars="106"/>
              <w:jc w:val="center"/>
              <w:rPr>
                <w:color w:val="auto"/>
                <w:szCs w:val="21"/>
                <w:highlight w:val="none"/>
              </w:rPr>
            </w:pPr>
          </w:p>
        </w:tc>
        <w:tc>
          <w:tcPr>
            <w:tcW w:w="1167" w:type="dxa"/>
            <w:vAlign w:val="center"/>
          </w:tcPr>
          <w:p w14:paraId="43B56061">
            <w:pPr>
              <w:ind w:left="223" w:hanging="222" w:hangingChars="106"/>
              <w:jc w:val="center"/>
              <w:rPr>
                <w:color w:val="auto"/>
                <w:szCs w:val="21"/>
                <w:highlight w:val="none"/>
              </w:rPr>
            </w:pPr>
          </w:p>
        </w:tc>
        <w:tc>
          <w:tcPr>
            <w:tcW w:w="1276" w:type="dxa"/>
            <w:vAlign w:val="center"/>
          </w:tcPr>
          <w:p w14:paraId="2FFCE09C">
            <w:pPr>
              <w:ind w:left="223" w:hanging="222" w:hangingChars="106"/>
              <w:jc w:val="center"/>
              <w:rPr>
                <w:color w:val="auto"/>
                <w:szCs w:val="21"/>
                <w:highlight w:val="none"/>
              </w:rPr>
            </w:pPr>
          </w:p>
        </w:tc>
      </w:tr>
      <w:tr w14:paraId="28632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06F23BF4">
            <w:pPr>
              <w:jc w:val="left"/>
              <w:rPr>
                <w:color w:val="auto"/>
                <w:szCs w:val="21"/>
                <w:highlight w:val="none"/>
              </w:rPr>
            </w:pPr>
            <w:r>
              <w:rPr>
                <w:rFonts w:hint="eastAsia"/>
                <w:color w:val="auto"/>
                <w:szCs w:val="21"/>
                <w:highlight w:val="none"/>
              </w:rPr>
              <w:t>5.</w:t>
            </w:r>
            <w:r>
              <w:rPr>
                <w:color w:val="auto"/>
                <w:szCs w:val="21"/>
                <w:highlight w:val="none"/>
              </w:rPr>
              <w:t>质量员</w:t>
            </w:r>
          </w:p>
        </w:tc>
        <w:tc>
          <w:tcPr>
            <w:tcW w:w="670" w:type="dxa"/>
            <w:vAlign w:val="center"/>
          </w:tcPr>
          <w:p w14:paraId="453D6455">
            <w:pPr>
              <w:ind w:left="223" w:hanging="222" w:hangingChars="106"/>
              <w:jc w:val="center"/>
              <w:rPr>
                <w:color w:val="auto"/>
                <w:szCs w:val="21"/>
                <w:highlight w:val="none"/>
              </w:rPr>
            </w:pPr>
          </w:p>
        </w:tc>
        <w:tc>
          <w:tcPr>
            <w:tcW w:w="829" w:type="dxa"/>
            <w:vAlign w:val="center"/>
          </w:tcPr>
          <w:p w14:paraId="10B749B4">
            <w:pPr>
              <w:ind w:left="223" w:hanging="222" w:hangingChars="106"/>
              <w:jc w:val="center"/>
              <w:rPr>
                <w:color w:val="auto"/>
                <w:szCs w:val="21"/>
                <w:highlight w:val="none"/>
              </w:rPr>
            </w:pPr>
          </w:p>
        </w:tc>
        <w:tc>
          <w:tcPr>
            <w:tcW w:w="816" w:type="dxa"/>
            <w:vAlign w:val="center"/>
          </w:tcPr>
          <w:p w14:paraId="35EC90DA">
            <w:pPr>
              <w:ind w:left="223" w:hanging="222" w:hangingChars="106"/>
              <w:jc w:val="center"/>
              <w:rPr>
                <w:color w:val="auto"/>
                <w:szCs w:val="21"/>
                <w:highlight w:val="none"/>
              </w:rPr>
            </w:pPr>
          </w:p>
        </w:tc>
        <w:tc>
          <w:tcPr>
            <w:tcW w:w="1148" w:type="dxa"/>
            <w:vAlign w:val="center"/>
          </w:tcPr>
          <w:p w14:paraId="0C013441">
            <w:pPr>
              <w:ind w:left="223" w:hanging="222" w:hangingChars="106"/>
              <w:jc w:val="center"/>
              <w:rPr>
                <w:color w:val="auto"/>
                <w:szCs w:val="21"/>
                <w:highlight w:val="none"/>
              </w:rPr>
            </w:pPr>
          </w:p>
        </w:tc>
        <w:tc>
          <w:tcPr>
            <w:tcW w:w="1148" w:type="dxa"/>
            <w:vAlign w:val="center"/>
          </w:tcPr>
          <w:p w14:paraId="24DD1A78">
            <w:pPr>
              <w:ind w:left="223" w:hanging="222" w:hangingChars="106"/>
              <w:jc w:val="center"/>
              <w:rPr>
                <w:color w:val="auto"/>
                <w:szCs w:val="21"/>
                <w:highlight w:val="none"/>
              </w:rPr>
            </w:pPr>
          </w:p>
        </w:tc>
        <w:tc>
          <w:tcPr>
            <w:tcW w:w="1148" w:type="dxa"/>
            <w:vAlign w:val="center"/>
          </w:tcPr>
          <w:p w14:paraId="42ACBD51">
            <w:pPr>
              <w:ind w:left="223" w:hanging="222" w:hangingChars="106"/>
              <w:jc w:val="center"/>
              <w:rPr>
                <w:color w:val="auto"/>
                <w:szCs w:val="21"/>
                <w:highlight w:val="none"/>
              </w:rPr>
            </w:pPr>
          </w:p>
        </w:tc>
        <w:tc>
          <w:tcPr>
            <w:tcW w:w="744" w:type="dxa"/>
            <w:vAlign w:val="center"/>
          </w:tcPr>
          <w:p w14:paraId="36B4A621">
            <w:pPr>
              <w:ind w:left="223" w:hanging="222" w:hangingChars="106"/>
              <w:jc w:val="center"/>
              <w:rPr>
                <w:color w:val="auto"/>
                <w:szCs w:val="21"/>
                <w:highlight w:val="none"/>
              </w:rPr>
            </w:pPr>
          </w:p>
        </w:tc>
        <w:tc>
          <w:tcPr>
            <w:tcW w:w="1167" w:type="dxa"/>
            <w:vAlign w:val="center"/>
          </w:tcPr>
          <w:p w14:paraId="6C793E4C">
            <w:pPr>
              <w:ind w:left="223" w:hanging="222" w:hangingChars="106"/>
              <w:jc w:val="center"/>
              <w:rPr>
                <w:color w:val="auto"/>
                <w:szCs w:val="21"/>
                <w:highlight w:val="none"/>
              </w:rPr>
            </w:pPr>
          </w:p>
        </w:tc>
        <w:tc>
          <w:tcPr>
            <w:tcW w:w="1276" w:type="dxa"/>
            <w:vAlign w:val="center"/>
          </w:tcPr>
          <w:p w14:paraId="69465880">
            <w:pPr>
              <w:ind w:left="223" w:hanging="222" w:hangingChars="106"/>
              <w:jc w:val="center"/>
              <w:rPr>
                <w:color w:val="auto"/>
                <w:szCs w:val="21"/>
                <w:highlight w:val="none"/>
              </w:rPr>
            </w:pPr>
          </w:p>
        </w:tc>
      </w:tr>
      <w:tr w14:paraId="14EB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4E727374">
            <w:pPr>
              <w:jc w:val="left"/>
              <w:rPr>
                <w:color w:val="auto"/>
                <w:szCs w:val="21"/>
                <w:highlight w:val="none"/>
              </w:rPr>
            </w:pPr>
            <w:r>
              <w:rPr>
                <w:rFonts w:hint="eastAsia"/>
                <w:color w:val="auto"/>
                <w:szCs w:val="21"/>
                <w:highlight w:val="none"/>
              </w:rPr>
              <w:t>6.材料员</w:t>
            </w:r>
          </w:p>
        </w:tc>
        <w:tc>
          <w:tcPr>
            <w:tcW w:w="670" w:type="dxa"/>
            <w:vAlign w:val="center"/>
          </w:tcPr>
          <w:p w14:paraId="0A570001">
            <w:pPr>
              <w:ind w:left="223" w:hanging="222" w:hangingChars="106"/>
              <w:jc w:val="center"/>
              <w:rPr>
                <w:color w:val="auto"/>
                <w:szCs w:val="21"/>
                <w:highlight w:val="none"/>
              </w:rPr>
            </w:pPr>
          </w:p>
        </w:tc>
        <w:tc>
          <w:tcPr>
            <w:tcW w:w="829" w:type="dxa"/>
            <w:vAlign w:val="center"/>
          </w:tcPr>
          <w:p w14:paraId="0ED369D4">
            <w:pPr>
              <w:ind w:left="223" w:hanging="222" w:hangingChars="106"/>
              <w:jc w:val="center"/>
              <w:rPr>
                <w:color w:val="auto"/>
                <w:szCs w:val="21"/>
                <w:highlight w:val="none"/>
              </w:rPr>
            </w:pPr>
          </w:p>
        </w:tc>
        <w:tc>
          <w:tcPr>
            <w:tcW w:w="816" w:type="dxa"/>
            <w:vAlign w:val="center"/>
          </w:tcPr>
          <w:p w14:paraId="61485593">
            <w:pPr>
              <w:ind w:left="223" w:hanging="222" w:hangingChars="106"/>
              <w:jc w:val="center"/>
              <w:rPr>
                <w:color w:val="auto"/>
                <w:szCs w:val="21"/>
                <w:highlight w:val="none"/>
              </w:rPr>
            </w:pPr>
          </w:p>
        </w:tc>
        <w:tc>
          <w:tcPr>
            <w:tcW w:w="1148" w:type="dxa"/>
            <w:vAlign w:val="center"/>
          </w:tcPr>
          <w:p w14:paraId="39CF4CD1">
            <w:pPr>
              <w:ind w:left="223" w:hanging="222" w:hangingChars="106"/>
              <w:jc w:val="center"/>
              <w:rPr>
                <w:color w:val="auto"/>
                <w:szCs w:val="21"/>
                <w:highlight w:val="none"/>
              </w:rPr>
            </w:pPr>
          </w:p>
        </w:tc>
        <w:tc>
          <w:tcPr>
            <w:tcW w:w="1148" w:type="dxa"/>
            <w:vAlign w:val="center"/>
          </w:tcPr>
          <w:p w14:paraId="5C95E0EE">
            <w:pPr>
              <w:ind w:left="223" w:hanging="222" w:hangingChars="106"/>
              <w:jc w:val="center"/>
              <w:rPr>
                <w:color w:val="auto"/>
                <w:szCs w:val="21"/>
                <w:highlight w:val="none"/>
              </w:rPr>
            </w:pPr>
          </w:p>
        </w:tc>
        <w:tc>
          <w:tcPr>
            <w:tcW w:w="1148" w:type="dxa"/>
            <w:vAlign w:val="center"/>
          </w:tcPr>
          <w:p w14:paraId="1E7F4EFB">
            <w:pPr>
              <w:ind w:left="223" w:hanging="222" w:hangingChars="106"/>
              <w:jc w:val="center"/>
              <w:rPr>
                <w:color w:val="auto"/>
                <w:szCs w:val="21"/>
                <w:highlight w:val="none"/>
              </w:rPr>
            </w:pPr>
          </w:p>
        </w:tc>
        <w:tc>
          <w:tcPr>
            <w:tcW w:w="744" w:type="dxa"/>
            <w:vAlign w:val="center"/>
          </w:tcPr>
          <w:p w14:paraId="5B58FEC2">
            <w:pPr>
              <w:ind w:left="223" w:hanging="222" w:hangingChars="106"/>
              <w:jc w:val="center"/>
              <w:rPr>
                <w:color w:val="auto"/>
                <w:szCs w:val="21"/>
                <w:highlight w:val="none"/>
              </w:rPr>
            </w:pPr>
          </w:p>
        </w:tc>
        <w:tc>
          <w:tcPr>
            <w:tcW w:w="1167" w:type="dxa"/>
            <w:vAlign w:val="center"/>
          </w:tcPr>
          <w:p w14:paraId="72391AEC">
            <w:pPr>
              <w:ind w:left="223" w:hanging="222" w:hangingChars="106"/>
              <w:jc w:val="center"/>
              <w:rPr>
                <w:color w:val="auto"/>
                <w:szCs w:val="21"/>
                <w:highlight w:val="none"/>
              </w:rPr>
            </w:pPr>
          </w:p>
        </w:tc>
        <w:tc>
          <w:tcPr>
            <w:tcW w:w="1276" w:type="dxa"/>
            <w:vAlign w:val="center"/>
          </w:tcPr>
          <w:p w14:paraId="7BDA44CD">
            <w:pPr>
              <w:ind w:left="223" w:hanging="222" w:hangingChars="106"/>
              <w:jc w:val="center"/>
              <w:rPr>
                <w:color w:val="auto"/>
                <w:szCs w:val="21"/>
                <w:highlight w:val="none"/>
              </w:rPr>
            </w:pPr>
          </w:p>
        </w:tc>
      </w:tr>
      <w:tr w14:paraId="46EA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7DE64482">
            <w:pPr>
              <w:ind w:left="223" w:hanging="222" w:hangingChars="106"/>
              <w:jc w:val="center"/>
              <w:rPr>
                <w:rFonts w:hint="default" w:eastAsia="宋体"/>
                <w:color w:val="auto"/>
                <w:szCs w:val="21"/>
                <w:highlight w:val="none"/>
                <w:lang w:val="en-US" w:eastAsia="zh-CN"/>
              </w:rPr>
            </w:pPr>
            <w:r>
              <w:rPr>
                <w:rFonts w:hint="eastAsia"/>
                <w:color w:val="auto"/>
                <w:szCs w:val="21"/>
                <w:highlight w:val="none"/>
                <w:lang w:val="en-US" w:eastAsia="zh-CN"/>
              </w:rPr>
              <w:t>7.预算员</w:t>
            </w:r>
          </w:p>
        </w:tc>
        <w:tc>
          <w:tcPr>
            <w:tcW w:w="670" w:type="dxa"/>
            <w:vAlign w:val="center"/>
          </w:tcPr>
          <w:p w14:paraId="1C4A4BB3">
            <w:pPr>
              <w:ind w:left="223" w:hanging="222" w:hangingChars="106"/>
              <w:jc w:val="center"/>
              <w:rPr>
                <w:color w:val="auto"/>
                <w:szCs w:val="21"/>
                <w:highlight w:val="none"/>
              </w:rPr>
            </w:pPr>
          </w:p>
        </w:tc>
        <w:tc>
          <w:tcPr>
            <w:tcW w:w="829" w:type="dxa"/>
            <w:vAlign w:val="center"/>
          </w:tcPr>
          <w:p w14:paraId="0E9FAF75">
            <w:pPr>
              <w:ind w:left="223" w:hanging="222" w:hangingChars="106"/>
              <w:jc w:val="center"/>
              <w:rPr>
                <w:color w:val="auto"/>
                <w:szCs w:val="21"/>
                <w:highlight w:val="none"/>
              </w:rPr>
            </w:pPr>
          </w:p>
        </w:tc>
        <w:tc>
          <w:tcPr>
            <w:tcW w:w="816" w:type="dxa"/>
            <w:vAlign w:val="center"/>
          </w:tcPr>
          <w:p w14:paraId="395AEB0A">
            <w:pPr>
              <w:ind w:left="223" w:hanging="222" w:hangingChars="106"/>
              <w:jc w:val="center"/>
              <w:rPr>
                <w:color w:val="auto"/>
                <w:szCs w:val="21"/>
                <w:highlight w:val="none"/>
              </w:rPr>
            </w:pPr>
          </w:p>
        </w:tc>
        <w:tc>
          <w:tcPr>
            <w:tcW w:w="1148" w:type="dxa"/>
            <w:vAlign w:val="center"/>
          </w:tcPr>
          <w:p w14:paraId="7703F2A9">
            <w:pPr>
              <w:ind w:left="223" w:hanging="222" w:hangingChars="106"/>
              <w:jc w:val="center"/>
              <w:rPr>
                <w:color w:val="auto"/>
                <w:szCs w:val="21"/>
                <w:highlight w:val="none"/>
              </w:rPr>
            </w:pPr>
          </w:p>
        </w:tc>
        <w:tc>
          <w:tcPr>
            <w:tcW w:w="1148" w:type="dxa"/>
            <w:vAlign w:val="center"/>
          </w:tcPr>
          <w:p w14:paraId="1B52D366">
            <w:pPr>
              <w:ind w:left="223" w:hanging="222" w:hangingChars="106"/>
              <w:jc w:val="center"/>
              <w:rPr>
                <w:color w:val="auto"/>
                <w:szCs w:val="21"/>
                <w:highlight w:val="none"/>
              </w:rPr>
            </w:pPr>
          </w:p>
        </w:tc>
        <w:tc>
          <w:tcPr>
            <w:tcW w:w="1148" w:type="dxa"/>
            <w:vAlign w:val="center"/>
          </w:tcPr>
          <w:p w14:paraId="308E888A">
            <w:pPr>
              <w:ind w:left="223" w:hanging="222" w:hangingChars="106"/>
              <w:jc w:val="center"/>
              <w:rPr>
                <w:color w:val="auto"/>
                <w:szCs w:val="21"/>
                <w:highlight w:val="none"/>
              </w:rPr>
            </w:pPr>
          </w:p>
        </w:tc>
        <w:tc>
          <w:tcPr>
            <w:tcW w:w="744" w:type="dxa"/>
            <w:vAlign w:val="center"/>
          </w:tcPr>
          <w:p w14:paraId="2BFBA125">
            <w:pPr>
              <w:ind w:left="223" w:hanging="222" w:hangingChars="106"/>
              <w:jc w:val="center"/>
              <w:rPr>
                <w:color w:val="auto"/>
                <w:szCs w:val="21"/>
                <w:highlight w:val="none"/>
              </w:rPr>
            </w:pPr>
          </w:p>
        </w:tc>
        <w:tc>
          <w:tcPr>
            <w:tcW w:w="1167" w:type="dxa"/>
            <w:vAlign w:val="center"/>
          </w:tcPr>
          <w:p w14:paraId="104D8596">
            <w:pPr>
              <w:ind w:left="223" w:hanging="222" w:hangingChars="106"/>
              <w:jc w:val="center"/>
              <w:rPr>
                <w:color w:val="auto"/>
                <w:szCs w:val="21"/>
                <w:highlight w:val="none"/>
              </w:rPr>
            </w:pPr>
          </w:p>
        </w:tc>
        <w:tc>
          <w:tcPr>
            <w:tcW w:w="1276" w:type="dxa"/>
            <w:vAlign w:val="center"/>
          </w:tcPr>
          <w:p w14:paraId="5773E209">
            <w:pPr>
              <w:ind w:left="223" w:hanging="222" w:hangingChars="106"/>
              <w:jc w:val="center"/>
              <w:rPr>
                <w:color w:val="auto"/>
                <w:szCs w:val="21"/>
                <w:highlight w:val="none"/>
              </w:rPr>
            </w:pPr>
          </w:p>
        </w:tc>
      </w:tr>
      <w:tr w14:paraId="1DA48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66" w:type="dxa"/>
            <w:gridSpan w:val="10"/>
            <w:vAlign w:val="center"/>
          </w:tcPr>
          <w:p w14:paraId="199DF17C">
            <w:pPr>
              <w:ind w:left="223" w:hanging="222" w:hangingChars="106"/>
              <w:jc w:val="center"/>
              <w:rPr>
                <w:color w:val="auto"/>
                <w:highlight w:val="none"/>
              </w:rPr>
            </w:pPr>
            <w:r>
              <w:rPr>
                <w:rFonts w:hint="eastAsia"/>
                <w:color w:val="auto"/>
                <w:highlight w:val="none"/>
              </w:rPr>
              <w:t>一旦我单位成交，将实行项目经理负责制，我方保证并配备上述项目管理机构。上述填报内容真实，若不真实，愿按有关规定接受处理。项目管理班子机构设置、职责分工等情况另附资料说明。</w:t>
            </w:r>
          </w:p>
        </w:tc>
      </w:tr>
    </w:tbl>
    <w:p w14:paraId="27B73946">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备注：</w:t>
      </w:r>
    </w:p>
    <w:p w14:paraId="0A2D38DF">
      <w:pPr>
        <w:spacing w:line="360" w:lineRule="auto"/>
        <w:ind w:firstLine="480" w:firstLineChars="200"/>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本表所列岗位的所有管理人员的情况均应如实填写。可按以上格式扩展为多页填写。</w:t>
      </w:r>
    </w:p>
    <w:p w14:paraId="7C9C6EEB">
      <w:pPr>
        <w:spacing w:line="360" w:lineRule="auto"/>
        <w:ind w:firstLine="482" w:firstLineChars="200"/>
        <w:contextualSpacing/>
        <w:jc w:val="left"/>
        <w:rPr>
          <w:rFonts w:ascii="宋体" w:hAnsi="宋体"/>
          <w:b/>
          <w:bCs/>
          <w:color w:val="auto"/>
          <w:sz w:val="24"/>
          <w:szCs w:val="20"/>
          <w:highlight w:val="none"/>
        </w:rPr>
      </w:pPr>
      <w:r>
        <w:rPr>
          <w:rFonts w:hint="eastAsia" w:ascii="宋体" w:hAnsi="宋体"/>
          <w:b/>
          <w:bCs/>
          <w:color w:val="auto"/>
          <w:sz w:val="24"/>
          <w:szCs w:val="20"/>
          <w:highlight w:val="none"/>
        </w:rPr>
        <w:t>2</w:t>
      </w:r>
      <w:r>
        <w:rPr>
          <w:rFonts w:ascii="宋体" w:hAnsi="宋体"/>
          <w:b/>
          <w:bCs/>
          <w:color w:val="auto"/>
          <w:sz w:val="24"/>
          <w:szCs w:val="20"/>
          <w:highlight w:val="none"/>
        </w:rPr>
        <w:t>.</w:t>
      </w:r>
      <w:r>
        <w:rPr>
          <w:rFonts w:hint="eastAsia" w:ascii="宋体" w:hAnsi="宋体"/>
          <w:b/>
          <w:bCs/>
          <w:color w:val="auto"/>
          <w:sz w:val="24"/>
          <w:szCs w:val="20"/>
          <w:highlight w:val="none"/>
        </w:rPr>
        <w:t>供应商应当在本表后附所有管理人员的身份证、职称证、执业或职业资格证书</w:t>
      </w:r>
      <w:r>
        <w:rPr>
          <w:rFonts w:hint="eastAsia" w:ascii="宋体" w:hAnsi="宋体"/>
          <w:b/>
          <w:bCs/>
          <w:color w:val="auto"/>
          <w:sz w:val="24"/>
          <w:szCs w:val="20"/>
          <w:highlight w:val="none"/>
          <w:lang w:val="en-US" w:eastAsia="zh-CN"/>
        </w:rPr>
        <w:t>的复印件</w:t>
      </w:r>
      <w:r>
        <w:rPr>
          <w:rFonts w:hint="eastAsia" w:ascii="宋体" w:hAnsi="宋体"/>
          <w:b/>
          <w:bCs/>
          <w:color w:val="auto"/>
          <w:sz w:val="24"/>
          <w:szCs w:val="20"/>
          <w:highlight w:val="none"/>
        </w:rPr>
        <w:t>并加盖供应商电子签章。</w:t>
      </w:r>
    </w:p>
    <w:p w14:paraId="5557E9EE">
      <w:pPr>
        <w:spacing w:line="360" w:lineRule="auto"/>
        <w:ind w:firstLine="480" w:firstLineChars="200"/>
        <w:contextualSpacing/>
        <w:rPr>
          <w:rFonts w:hint="eastAsia" w:ascii="宋体" w:hAnsi="宋体"/>
          <w:color w:val="auto"/>
          <w:sz w:val="24"/>
          <w:highlight w:val="none"/>
        </w:rPr>
      </w:pPr>
    </w:p>
    <w:p w14:paraId="146C22BA">
      <w:pPr>
        <w:spacing w:line="360" w:lineRule="auto"/>
        <w:ind w:firstLine="480" w:firstLineChars="200"/>
        <w:contextualSpacing/>
        <w:rPr>
          <w:rFonts w:hint="eastAsia" w:ascii="宋体" w:hAnsi="宋体"/>
          <w:color w:val="auto"/>
          <w:sz w:val="24"/>
          <w:highlight w:val="none"/>
        </w:rPr>
      </w:pPr>
    </w:p>
    <w:p w14:paraId="262A21A5">
      <w:pPr>
        <w:spacing w:line="360" w:lineRule="auto"/>
        <w:ind w:firstLine="480" w:firstLineChars="200"/>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p>
    <w:p w14:paraId="27552E8D">
      <w:pPr>
        <w:spacing w:line="360" w:lineRule="auto"/>
        <w:ind w:firstLine="560" w:firstLineChars="200"/>
        <w:contextualSpacing/>
        <w:jc w:val="left"/>
        <w:rPr>
          <w:rFonts w:hint="eastAsia" w:ascii="宋体" w:hAnsi="宋体"/>
          <w:color w:val="auto"/>
          <w:spacing w:val="20"/>
          <w:sz w:val="24"/>
          <w:highlight w:val="none"/>
        </w:rPr>
      </w:pPr>
      <w:r>
        <w:rPr>
          <w:rFonts w:hint="eastAsia" w:ascii="宋体" w:hAnsi="宋体"/>
          <w:color w:val="auto"/>
          <w:spacing w:val="20"/>
          <w:sz w:val="24"/>
          <w:highlight w:val="none"/>
        </w:rPr>
        <w:t xml:space="preserve">供应商（电子签章）：      </w:t>
      </w:r>
    </w:p>
    <w:p w14:paraId="2906EE78">
      <w:pPr>
        <w:spacing w:line="360" w:lineRule="auto"/>
        <w:ind w:firstLine="560" w:firstLineChars="200"/>
        <w:contextualSpacing/>
        <w:jc w:val="left"/>
        <w:rPr>
          <w:rFonts w:hint="eastAsia" w:ascii="宋体" w:hAnsi="宋体"/>
          <w:color w:val="auto"/>
          <w:spacing w:val="20"/>
          <w:sz w:val="24"/>
          <w:highlight w:val="none"/>
        </w:rPr>
      </w:pPr>
      <w:r>
        <w:rPr>
          <w:rFonts w:hint="eastAsia" w:ascii="宋体" w:hAnsi="宋体"/>
          <w:color w:val="auto"/>
          <w:spacing w:val="20"/>
          <w:sz w:val="24"/>
          <w:highlight w:val="none"/>
        </w:rPr>
        <w:t>日 期：</w:t>
      </w:r>
    </w:p>
    <w:p w14:paraId="0F53B89D">
      <w:pPr>
        <w:spacing w:line="360" w:lineRule="auto"/>
        <w:ind w:firstLine="482" w:firstLineChars="200"/>
        <w:contextualSpacing/>
        <w:jc w:val="left"/>
        <w:rPr>
          <w:rFonts w:hint="eastAsia" w:ascii="宋体" w:hAnsi="宋体"/>
          <w:color w:val="auto"/>
          <w:spacing w:val="20"/>
          <w:sz w:val="24"/>
          <w:highlight w:val="none"/>
        </w:rPr>
      </w:pPr>
      <w:r>
        <w:rPr>
          <w:rFonts w:hint="eastAsia" w:ascii="仿宋_GB2312" w:eastAsia="仿宋_GB2312"/>
          <w:b/>
          <w:color w:val="auto"/>
          <w:sz w:val="24"/>
          <w:highlight w:val="none"/>
        </w:rPr>
        <w:t>注：此项材料必须</w:t>
      </w:r>
      <w:r>
        <w:rPr>
          <w:rFonts w:hint="eastAsia" w:ascii="仿宋_GB2312" w:hAnsi="宋体" w:eastAsia="仿宋_GB2312"/>
          <w:b/>
          <w:bCs/>
          <w:color w:val="auto"/>
          <w:sz w:val="24"/>
          <w:highlight w:val="none"/>
        </w:rPr>
        <w:t>以PDF格式上传。</w:t>
      </w:r>
    </w:p>
    <w:p w14:paraId="5274EF48">
      <w:pPr>
        <w:spacing w:line="360" w:lineRule="auto"/>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（二）拟投入的主要人员简历表</w:t>
      </w:r>
    </w:p>
    <w:p w14:paraId="5A231AC3">
      <w:pPr>
        <w:spacing w:line="360" w:lineRule="auto"/>
        <w:ind w:firstLine="643" w:firstLineChars="200"/>
        <w:jc w:val="center"/>
        <w:rPr>
          <w:color w:val="auto"/>
          <w:highlight w:val="none"/>
          <w:u w:val="single"/>
        </w:rPr>
      </w:pPr>
      <w:r>
        <w:rPr>
          <w:rFonts w:hint="eastAsia" w:cs="宋体"/>
          <w:b/>
          <w:color w:val="auto"/>
          <w:sz w:val="32"/>
          <w:szCs w:val="32"/>
          <w:highlight w:val="none"/>
        </w:rPr>
        <w:t>项目经理简历表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76"/>
        <w:gridCol w:w="442"/>
        <w:gridCol w:w="888"/>
        <w:gridCol w:w="660"/>
        <w:gridCol w:w="328"/>
        <w:gridCol w:w="234"/>
        <w:gridCol w:w="1275"/>
        <w:gridCol w:w="142"/>
        <w:gridCol w:w="242"/>
        <w:gridCol w:w="1088"/>
        <w:gridCol w:w="88"/>
        <w:gridCol w:w="409"/>
        <w:gridCol w:w="1108"/>
        <w:gridCol w:w="36"/>
        <w:gridCol w:w="79"/>
        <w:gridCol w:w="1405"/>
        <w:gridCol w:w="11"/>
      </w:tblGrid>
      <w:tr w14:paraId="79D04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76" w:type="dxa"/>
            <w:vAlign w:val="center"/>
          </w:tcPr>
          <w:p w14:paraId="2ABC2673">
            <w:pPr>
              <w:jc w:val="center"/>
              <w:rPr>
                <w:color w:val="auto"/>
                <w:highlight w:val="none"/>
              </w:rPr>
            </w:pPr>
            <w:r>
              <w:rPr>
                <w:rFonts w:hint="eastAsia" w:cs="宋体"/>
                <w:color w:val="auto"/>
                <w:highlight w:val="none"/>
              </w:rPr>
              <w:t>姓名</w:t>
            </w:r>
          </w:p>
        </w:tc>
        <w:tc>
          <w:tcPr>
            <w:tcW w:w="2318" w:type="dxa"/>
            <w:gridSpan w:val="4"/>
            <w:vAlign w:val="center"/>
          </w:tcPr>
          <w:p w14:paraId="508385A4">
            <w:pPr>
              <w:jc w:val="center"/>
              <w:rPr>
                <w:color w:val="auto"/>
                <w:highlight w:val="none"/>
              </w:rPr>
            </w:pPr>
          </w:p>
        </w:tc>
        <w:tc>
          <w:tcPr>
            <w:tcW w:w="1893" w:type="dxa"/>
            <w:gridSpan w:val="4"/>
            <w:vAlign w:val="center"/>
          </w:tcPr>
          <w:p w14:paraId="15FADCFA">
            <w:pPr>
              <w:jc w:val="center"/>
              <w:rPr>
                <w:color w:val="auto"/>
                <w:highlight w:val="none"/>
              </w:rPr>
            </w:pPr>
            <w:r>
              <w:rPr>
                <w:rFonts w:hint="eastAsia" w:cs="宋体"/>
                <w:color w:val="auto"/>
                <w:highlight w:val="none"/>
              </w:rPr>
              <w:t>性别</w:t>
            </w:r>
          </w:p>
        </w:tc>
        <w:tc>
          <w:tcPr>
            <w:tcW w:w="1585" w:type="dxa"/>
            <w:gridSpan w:val="3"/>
            <w:vAlign w:val="center"/>
          </w:tcPr>
          <w:p w14:paraId="0488CC7D">
            <w:pPr>
              <w:jc w:val="center"/>
              <w:rPr>
                <w:color w:val="auto"/>
                <w:highlight w:val="none"/>
              </w:rPr>
            </w:pPr>
          </w:p>
        </w:tc>
        <w:tc>
          <w:tcPr>
            <w:tcW w:w="1108" w:type="dxa"/>
            <w:vAlign w:val="center"/>
          </w:tcPr>
          <w:p w14:paraId="4DCD5911">
            <w:pPr>
              <w:jc w:val="center"/>
              <w:rPr>
                <w:color w:val="auto"/>
                <w:highlight w:val="none"/>
              </w:rPr>
            </w:pPr>
            <w:r>
              <w:rPr>
                <w:rFonts w:hint="eastAsia" w:cs="宋体"/>
                <w:color w:val="auto"/>
                <w:highlight w:val="none"/>
              </w:rPr>
              <w:t>年龄</w:t>
            </w:r>
          </w:p>
        </w:tc>
        <w:tc>
          <w:tcPr>
            <w:tcW w:w="1531" w:type="dxa"/>
            <w:gridSpan w:val="4"/>
            <w:vAlign w:val="center"/>
          </w:tcPr>
          <w:p w14:paraId="51C93053">
            <w:pPr>
              <w:jc w:val="center"/>
              <w:rPr>
                <w:color w:val="auto"/>
                <w:highlight w:val="none"/>
              </w:rPr>
            </w:pPr>
          </w:p>
        </w:tc>
      </w:tr>
      <w:tr w14:paraId="480F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vAlign w:val="center"/>
          </w:tcPr>
          <w:p w14:paraId="3C4FB6C4">
            <w:pPr>
              <w:jc w:val="center"/>
              <w:rPr>
                <w:color w:val="auto"/>
                <w:highlight w:val="none"/>
              </w:rPr>
            </w:pPr>
            <w:r>
              <w:rPr>
                <w:rFonts w:hint="eastAsia" w:cs="宋体"/>
                <w:color w:val="auto"/>
                <w:highlight w:val="none"/>
              </w:rPr>
              <w:t>岗位</w:t>
            </w:r>
          </w:p>
        </w:tc>
        <w:tc>
          <w:tcPr>
            <w:tcW w:w="2318" w:type="dxa"/>
            <w:gridSpan w:val="4"/>
            <w:vAlign w:val="center"/>
          </w:tcPr>
          <w:p w14:paraId="61936CDE">
            <w:pPr>
              <w:jc w:val="center"/>
              <w:rPr>
                <w:color w:val="auto"/>
                <w:highlight w:val="none"/>
              </w:rPr>
            </w:pPr>
            <w:r>
              <w:rPr>
                <w:rFonts w:hint="eastAsia"/>
                <w:color w:val="auto"/>
                <w:highlight w:val="none"/>
              </w:rPr>
              <w:t>项目经理</w:t>
            </w:r>
          </w:p>
        </w:tc>
        <w:tc>
          <w:tcPr>
            <w:tcW w:w="1893" w:type="dxa"/>
            <w:gridSpan w:val="4"/>
            <w:vAlign w:val="center"/>
          </w:tcPr>
          <w:p w14:paraId="1A568AAA">
            <w:pPr>
              <w:jc w:val="center"/>
              <w:rPr>
                <w:color w:val="auto"/>
                <w:highlight w:val="none"/>
              </w:rPr>
            </w:pPr>
            <w:r>
              <w:rPr>
                <w:rFonts w:hint="eastAsia" w:cs="宋体"/>
                <w:color w:val="auto"/>
                <w:highlight w:val="none"/>
              </w:rPr>
              <w:t>职称</w:t>
            </w:r>
          </w:p>
        </w:tc>
        <w:tc>
          <w:tcPr>
            <w:tcW w:w="1585" w:type="dxa"/>
            <w:gridSpan w:val="3"/>
            <w:vAlign w:val="center"/>
          </w:tcPr>
          <w:p w14:paraId="20B1261A">
            <w:pPr>
              <w:jc w:val="center"/>
              <w:rPr>
                <w:color w:val="auto"/>
                <w:highlight w:val="none"/>
              </w:rPr>
            </w:pPr>
          </w:p>
        </w:tc>
        <w:tc>
          <w:tcPr>
            <w:tcW w:w="1108" w:type="dxa"/>
            <w:vAlign w:val="center"/>
          </w:tcPr>
          <w:p w14:paraId="7DD9AC80">
            <w:pPr>
              <w:jc w:val="center"/>
              <w:rPr>
                <w:color w:val="auto"/>
                <w:highlight w:val="none"/>
              </w:rPr>
            </w:pPr>
            <w:r>
              <w:rPr>
                <w:rFonts w:hint="eastAsia" w:cs="宋体"/>
                <w:color w:val="auto"/>
                <w:highlight w:val="none"/>
              </w:rPr>
              <w:t>学历</w:t>
            </w:r>
          </w:p>
        </w:tc>
        <w:tc>
          <w:tcPr>
            <w:tcW w:w="1531" w:type="dxa"/>
            <w:gridSpan w:val="4"/>
            <w:vAlign w:val="center"/>
          </w:tcPr>
          <w:p w14:paraId="37E17816">
            <w:pPr>
              <w:jc w:val="center"/>
              <w:rPr>
                <w:color w:val="auto"/>
                <w:highlight w:val="none"/>
              </w:rPr>
            </w:pPr>
          </w:p>
        </w:tc>
      </w:tr>
      <w:tr w14:paraId="4A1BD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vAlign w:val="center"/>
          </w:tcPr>
          <w:p w14:paraId="15CA8796">
            <w:pPr>
              <w:jc w:val="center"/>
              <w:rPr>
                <w:rFonts w:cs="宋体"/>
                <w:color w:val="auto"/>
                <w:highlight w:val="none"/>
              </w:rPr>
            </w:pPr>
            <w:r>
              <w:rPr>
                <w:rFonts w:hint="eastAsia" w:cs="宋体"/>
                <w:color w:val="auto"/>
                <w:highlight w:val="none"/>
              </w:rPr>
              <w:t>从业开始时间</w:t>
            </w:r>
          </w:p>
        </w:tc>
        <w:tc>
          <w:tcPr>
            <w:tcW w:w="2318" w:type="dxa"/>
            <w:gridSpan w:val="4"/>
            <w:vAlign w:val="center"/>
          </w:tcPr>
          <w:p w14:paraId="2B62C047">
            <w:pPr>
              <w:jc w:val="center"/>
              <w:rPr>
                <w:color w:val="auto"/>
                <w:highlight w:val="none"/>
              </w:rPr>
            </w:pPr>
          </w:p>
        </w:tc>
        <w:tc>
          <w:tcPr>
            <w:tcW w:w="1893" w:type="dxa"/>
            <w:gridSpan w:val="4"/>
            <w:vAlign w:val="center"/>
          </w:tcPr>
          <w:p w14:paraId="2FF6ADA2">
            <w:pPr>
              <w:jc w:val="center"/>
              <w:rPr>
                <w:rFonts w:cs="宋体"/>
                <w:color w:val="auto"/>
                <w:highlight w:val="none"/>
              </w:rPr>
            </w:pPr>
            <w:r>
              <w:rPr>
                <w:rFonts w:hint="eastAsia" w:cs="宋体"/>
                <w:color w:val="auto"/>
                <w:highlight w:val="none"/>
              </w:rPr>
              <w:t>职称</w:t>
            </w:r>
            <w:r>
              <w:rPr>
                <w:rFonts w:cs="宋体"/>
                <w:color w:val="auto"/>
                <w:highlight w:val="none"/>
              </w:rPr>
              <w:t>获</w:t>
            </w:r>
            <w:r>
              <w:rPr>
                <w:rFonts w:hint="eastAsia" w:cs="宋体"/>
                <w:color w:val="auto"/>
                <w:highlight w:val="none"/>
              </w:rPr>
              <w:t>得</w:t>
            </w:r>
            <w:r>
              <w:rPr>
                <w:rFonts w:cs="宋体"/>
                <w:color w:val="auto"/>
                <w:highlight w:val="none"/>
              </w:rPr>
              <w:t>时间</w:t>
            </w:r>
          </w:p>
        </w:tc>
        <w:tc>
          <w:tcPr>
            <w:tcW w:w="1585" w:type="dxa"/>
            <w:gridSpan w:val="3"/>
            <w:vAlign w:val="center"/>
          </w:tcPr>
          <w:p w14:paraId="7B58DCCC">
            <w:pPr>
              <w:jc w:val="center"/>
              <w:rPr>
                <w:color w:val="auto"/>
                <w:highlight w:val="none"/>
              </w:rPr>
            </w:pPr>
          </w:p>
        </w:tc>
        <w:tc>
          <w:tcPr>
            <w:tcW w:w="1108" w:type="dxa"/>
            <w:vAlign w:val="center"/>
          </w:tcPr>
          <w:p w14:paraId="0371EA22">
            <w:pPr>
              <w:jc w:val="center"/>
              <w:rPr>
                <w:rFonts w:cs="宋体"/>
                <w:color w:val="auto"/>
                <w:highlight w:val="none"/>
              </w:rPr>
            </w:pPr>
            <w:r>
              <w:rPr>
                <w:rFonts w:hint="eastAsia" w:cs="宋体"/>
                <w:color w:val="auto"/>
                <w:highlight w:val="none"/>
              </w:rPr>
              <w:t>毕业时间</w:t>
            </w:r>
          </w:p>
        </w:tc>
        <w:tc>
          <w:tcPr>
            <w:tcW w:w="1531" w:type="dxa"/>
            <w:gridSpan w:val="4"/>
            <w:vAlign w:val="center"/>
          </w:tcPr>
          <w:p w14:paraId="5283E8B9">
            <w:pPr>
              <w:jc w:val="center"/>
              <w:rPr>
                <w:color w:val="auto"/>
                <w:highlight w:val="none"/>
              </w:rPr>
            </w:pPr>
          </w:p>
        </w:tc>
      </w:tr>
      <w:tr w14:paraId="11A6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76" w:type="dxa"/>
            <w:vAlign w:val="center"/>
          </w:tcPr>
          <w:p w14:paraId="31E1A6FB">
            <w:pPr>
              <w:jc w:val="center"/>
              <w:rPr>
                <w:color w:val="auto"/>
                <w:highlight w:val="none"/>
              </w:rPr>
            </w:pPr>
            <w:r>
              <w:rPr>
                <w:rFonts w:hint="eastAsia" w:cs="宋体"/>
                <w:color w:val="auto"/>
                <w:highlight w:val="none"/>
              </w:rPr>
              <w:t>担任项目经理年限</w:t>
            </w:r>
          </w:p>
        </w:tc>
        <w:tc>
          <w:tcPr>
            <w:tcW w:w="2318" w:type="dxa"/>
            <w:gridSpan w:val="4"/>
            <w:vAlign w:val="center"/>
          </w:tcPr>
          <w:p w14:paraId="7700CF78">
            <w:pPr>
              <w:jc w:val="center"/>
              <w:rPr>
                <w:color w:val="auto"/>
                <w:highlight w:val="none"/>
              </w:rPr>
            </w:pPr>
          </w:p>
        </w:tc>
        <w:tc>
          <w:tcPr>
            <w:tcW w:w="1509" w:type="dxa"/>
            <w:gridSpan w:val="2"/>
            <w:vAlign w:val="center"/>
          </w:tcPr>
          <w:p w14:paraId="045529C3">
            <w:pPr>
              <w:jc w:val="center"/>
              <w:rPr>
                <w:color w:val="auto"/>
                <w:highlight w:val="none"/>
              </w:rPr>
            </w:pPr>
            <w:r>
              <w:rPr>
                <w:rFonts w:hint="eastAsia"/>
                <w:color w:val="auto"/>
                <w:highlight w:val="none"/>
              </w:rPr>
              <w:t>身份</w:t>
            </w:r>
            <w:r>
              <w:rPr>
                <w:color w:val="auto"/>
                <w:highlight w:val="none"/>
              </w:rPr>
              <w:t>证号码</w:t>
            </w:r>
          </w:p>
        </w:tc>
        <w:tc>
          <w:tcPr>
            <w:tcW w:w="4608" w:type="dxa"/>
            <w:gridSpan w:val="10"/>
            <w:vAlign w:val="center"/>
          </w:tcPr>
          <w:p w14:paraId="295BDE8D">
            <w:pPr>
              <w:jc w:val="center"/>
              <w:rPr>
                <w:color w:val="auto"/>
                <w:highlight w:val="none"/>
              </w:rPr>
            </w:pPr>
          </w:p>
        </w:tc>
      </w:tr>
      <w:tr w14:paraId="2F6F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76" w:type="dxa"/>
            <w:vAlign w:val="center"/>
          </w:tcPr>
          <w:p w14:paraId="5D0039EE">
            <w:pPr>
              <w:jc w:val="center"/>
              <w:rPr>
                <w:color w:val="auto"/>
                <w:highlight w:val="none"/>
              </w:rPr>
            </w:pPr>
            <w:r>
              <w:rPr>
                <w:rFonts w:hint="eastAsia"/>
                <w:color w:val="auto"/>
                <w:highlight w:val="none"/>
              </w:rPr>
              <w:t>证书名称</w:t>
            </w:r>
          </w:p>
        </w:tc>
        <w:tc>
          <w:tcPr>
            <w:tcW w:w="1330" w:type="dxa"/>
            <w:gridSpan w:val="2"/>
            <w:vAlign w:val="center"/>
          </w:tcPr>
          <w:p w14:paraId="05B9D208">
            <w:pPr>
              <w:jc w:val="center"/>
              <w:rPr>
                <w:color w:val="auto"/>
                <w:highlight w:val="none"/>
              </w:rPr>
            </w:pPr>
            <w:r>
              <w:rPr>
                <w:rFonts w:hint="eastAsia"/>
                <w:color w:val="auto"/>
                <w:highlight w:val="none"/>
              </w:rPr>
              <w:t>注册专业</w:t>
            </w:r>
          </w:p>
        </w:tc>
        <w:tc>
          <w:tcPr>
            <w:tcW w:w="1222" w:type="dxa"/>
            <w:gridSpan w:val="3"/>
            <w:vAlign w:val="center"/>
          </w:tcPr>
          <w:p w14:paraId="4BC05D0B">
            <w:pPr>
              <w:jc w:val="center"/>
              <w:rPr>
                <w:color w:val="auto"/>
                <w:highlight w:val="none"/>
              </w:rPr>
            </w:pPr>
            <w:r>
              <w:rPr>
                <w:color w:val="auto"/>
                <w:highlight w:val="none"/>
              </w:rPr>
              <w:t>级别</w:t>
            </w:r>
          </w:p>
        </w:tc>
        <w:tc>
          <w:tcPr>
            <w:tcW w:w="1417" w:type="dxa"/>
            <w:gridSpan w:val="2"/>
            <w:vAlign w:val="center"/>
          </w:tcPr>
          <w:p w14:paraId="6616B4A9">
            <w:pPr>
              <w:jc w:val="center"/>
              <w:rPr>
                <w:color w:val="auto"/>
                <w:highlight w:val="none"/>
              </w:rPr>
            </w:pPr>
            <w:r>
              <w:rPr>
                <w:rFonts w:hint="eastAsia" w:cs="宋体"/>
                <w:color w:val="auto"/>
                <w:highlight w:val="none"/>
              </w:rPr>
              <w:t>证书编号</w:t>
            </w:r>
          </w:p>
        </w:tc>
        <w:tc>
          <w:tcPr>
            <w:tcW w:w="1418" w:type="dxa"/>
            <w:gridSpan w:val="3"/>
            <w:vAlign w:val="center"/>
          </w:tcPr>
          <w:p w14:paraId="4F9E4A05">
            <w:pPr>
              <w:jc w:val="center"/>
              <w:rPr>
                <w:color w:val="auto"/>
                <w:highlight w:val="none"/>
              </w:rPr>
            </w:pPr>
            <w:r>
              <w:rPr>
                <w:rFonts w:hint="eastAsia"/>
                <w:color w:val="auto"/>
                <w:highlight w:val="none"/>
              </w:rPr>
              <w:t>注册时间</w:t>
            </w:r>
          </w:p>
        </w:tc>
        <w:tc>
          <w:tcPr>
            <w:tcW w:w="1632" w:type="dxa"/>
            <w:gridSpan w:val="4"/>
            <w:vAlign w:val="center"/>
          </w:tcPr>
          <w:p w14:paraId="668F58F6">
            <w:pPr>
              <w:jc w:val="center"/>
              <w:rPr>
                <w:color w:val="auto"/>
                <w:highlight w:val="none"/>
              </w:rPr>
            </w:pPr>
            <w:r>
              <w:rPr>
                <w:rFonts w:hint="eastAsia"/>
                <w:color w:val="auto"/>
                <w:highlight w:val="none"/>
              </w:rPr>
              <w:t>注册单位</w:t>
            </w:r>
          </w:p>
        </w:tc>
        <w:tc>
          <w:tcPr>
            <w:tcW w:w="1416" w:type="dxa"/>
            <w:gridSpan w:val="2"/>
            <w:vAlign w:val="center"/>
          </w:tcPr>
          <w:p w14:paraId="15D00795">
            <w:pPr>
              <w:jc w:val="center"/>
              <w:rPr>
                <w:color w:val="auto"/>
                <w:highlight w:val="none"/>
              </w:rPr>
            </w:pPr>
            <w:r>
              <w:rPr>
                <w:rFonts w:hint="eastAsia"/>
                <w:color w:val="auto"/>
                <w:highlight w:val="none"/>
              </w:rPr>
              <w:t>注册有效期</w:t>
            </w:r>
          </w:p>
        </w:tc>
      </w:tr>
      <w:tr w14:paraId="0894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76" w:type="dxa"/>
            <w:vAlign w:val="center"/>
          </w:tcPr>
          <w:p w14:paraId="78D0006C">
            <w:pPr>
              <w:jc w:val="center"/>
              <w:rPr>
                <w:color w:val="auto"/>
                <w:highlight w:val="none"/>
              </w:rPr>
            </w:pPr>
          </w:p>
        </w:tc>
        <w:tc>
          <w:tcPr>
            <w:tcW w:w="1330" w:type="dxa"/>
            <w:gridSpan w:val="2"/>
            <w:vAlign w:val="center"/>
          </w:tcPr>
          <w:p w14:paraId="2D200747">
            <w:pPr>
              <w:jc w:val="center"/>
              <w:rPr>
                <w:color w:val="auto"/>
                <w:highlight w:val="none"/>
              </w:rPr>
            </w:pPr>
          </w:p>
        </w:tc>
        <w:tc>
          <w:tcPr>
            <w:tcW w:w="1222" w:type="dxa"/>
            <w:gridSpan w:val="3"/>
            <w:vAlign w:val="center"/>
          </w:tcPr>
          <w:p w14:paraId="6F3E13CB">
            <w:pPr>
              <w:jc w:val="center"/>
              <w:rPr>
                <w:rFonts w:cs="宋体"/>
                <w:color w:val="auto"/>
                <w:highlight w:val="none"/>
              </w:rPr>
            </w:pPr>
          </w:p>
        </w:tc>
        <w:tc>
          <w:tcPr>
            <w:tcW w:w="1417" w:type="dxa"/>
            <w:gridSpan w:val="2"/>
            <w:vAlign w:val="center"/>
          </w:tcPr>
          <w:p w14:paraId="05FD2F38">
            <w:pPr>
              <w:jc w:val="center"/>
              <w:rPr>
                <w:color w:val="auto"/>
                <w:highlight w:val="none"/>
              </w:rPr>
            </w:pPr>
          </w:p>
        </w:tc>
        <w:tc>
          <w:tcPr>
            <w:tcW w:w="1418" w:type="dxa"/>
            <w:gridSpan w:val="3"/>
            <w:vAlign w:val="center"/>
          </w:tcPr>
          <w:p w14:paraId="64723282">
            <w:pPr>
              <w:jc w:val="center"/>
              <w:rPr>
                <w:color w:val="auto"/>
                <w:highlight w:val="none"/>
              </w:rPr>
            </w:pPr>
          </w:p>
        </w:tc>
        <w:tc>
          <w:tcPr>
            <w:tcW w:w="1632" w:type="dxa"/>
            <w:gridSpan w:val="4"/>
            <w:vAlign w:val="center"/>
          </w:tcPr>
          <w:p w14:paraId="3800B41C">
            <w:pPr>
              <w:jc w:val="center"/>
              <w:rPr>
                <w:color w:val="auto"/>
                <w:highlight w:val="none"/>
              </w:rPr>
            </w:pPr>
          </w:p>
        </w:tc>
        <w:tc>
          <w:tcPr>
            <w:tcW w:w="1416" w:type="dxa"/>
            <w:gridSpan w:val="2"/>
            <w:vAlign w:val="center"/>
          </w:tcPr>
          <w:p w14:paraId="4ACD0E39">
            <w:pPr>
              <w:jc w:val="center"/>
              <w:rPr>
                <w:color w:val="auto"/>
                <w:highlight w:val="none"/>
              </w:rPr>
            </w:pPr>
          </w:p>
        </w:tc>
      </w:tr>
      <w:tr w14:paraId="1665D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76" w:type="dxa"/>
            <w:vAlign w:val="center"/>
          </w:tcPr>
          <w:p w14:paraId="644AA1D7">
            <w:pPr>
              <w:jc w:val="center"/>
              <w:rPr>
                <w:color w:val="auto"/>
                <w:highlight w:val="none"/>
              </w:rPr>
            </w:pPr>
            <w:r>
              <w:rPr>
                <w:rFonts w:hint="eastAsia"/>
                <w:color w:val="auto"/>
                <w:highlight w:val="none"/>
              </w:rPr>
              <w:t>安全生产考核合格证书</w:t>
            </w:r>
          </w:p>
        </w:tc>
        <w:tc>
          <w:tcPr>
            <w:tcW w:w="1330" w:type="dxa"/>
            <w:gridSpan w:val="2"/>
            <w:vAlign w:val="center"/>
          </w:tcPr>
          <w:p w14:paraId="4070E2CA">
            <w:pPr>
              <w:jc w:val="center"/>
              <w:rPr>
                <w:color w:val="auto"/>
                <w:highlight w:val="none"/>
              </w:rPr>
            </w:pPr>
          </w:p>
        </w:tc>
        <w:tc>
          <w:tcPr>
            <w:tcW w:w="1222" w:type="dxa"/>
            <w:gridSpan w:val="3"/>
            <w:vAlign w:val="center"/>
          </w:tcPr>
          <w:p w14:paraId="0084B56C">
            <w:pPr>
              <w:jc w:val="center"/>
              <w:rPr>
                <w:rFonts w:cs="宋体"/>
                <w:color w:val="auto"/>
                <w:highlight w:val="none"/>
              </w:rPr>
            </w:pPr>
            <w:r>
              <w:rPr>
                <w:rFonts w:hint="eastAsia"/>
                <w:color w:val="auto"/>
                <w:highlight w:val="none"/>
              </w:rPr>
              <w:t>B类</w:t>
            </w:r>
          </w:p>
        </w:tc>
        <w:tc>
          <w:tcPr>
            <w:tcW w:w="1417" w:type="dxa"/>
            <w:gridSpan w:val="2"/>
            <w:vAlign w:val="center"/>
          </w:tcPr>
          <w:p w14:paraId="7ACBDF70">
            <w:pPr>
              <w:jc w:val="center"/>
              <w:rPr>
                <w:color w:val="auto"/>
                <w:highlight w:val="none"/>
              </w:rPr>
            </w:pPr>
          </w:p>
        </w:tc>
        <w:tc>
          <w:tcPr>
            <w:tcW w:w="1418" w:type="dxa"/>
            <w:gridSpan w:val="3"/>
            <w:vAlign w:val="center"/>
          </w:tcPr>
          <w:p w14:paraId="2EF818E4">
            <w:pPr>
              <w:jc w:val="center"/>
              <w:rPr>
                <w:color w:val="auto"/>
                <w:highlight w:val="none"/>
              </w:rPr>
            </w:pPr>
          </w:p>
        </w:tc>
        <w:tc>
          <w:tcPr>
            <w:tcW w:w="1632" w:type="dxa"/>
            <w:gridSpan w:val="4"/>
            <w:vAlign w:val="center"/>
          </w:tcPr>
          <w:p w14:paraId="31BACB40">
            <w:pPr>
              <w:jc w:val="center"/>
              <w:rPr>
                <w:color w:val="auto"/>
                <w:highlight w:val="none"/>
              </w:rPr>
            </w:pPr>
          </w:p>
        </w:tc>
        <w:tc>
          <w:tcPr>
            <w:tcW w:w="1416" w:type="dxa"/>
            <w:gridSpan w:val="2"/>
            <w:vAlign w:val="center"/>
          </w:tcPr>
          <w:p w14:paraId="55E2DC55">
            <w:pPr>
              <w:jc w:val="center"/>
              <w:rPr>
                <w:color w:val="auto"/>
                <w:highlight w:val="none"/>
              </w:rPr>
            </w:pPr>
          </w:p>
        </w:tc>
      </w:tr>
      <w:tr w14:paraId="0349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7"/>
            <w:vAlign w:val="center"/>
          </w:tcPr>
          <w:p w14:paraId="2EFDB52A">
            <w:pPr>
              <w:jc w:val="center"/>
              <w:rPr>
                <w:color w:val="auto"/>
                <w:highlight w:val="none"/>
              </w:rPr>
            </w:pPr>
            <w:r>
              <w:rPr>
                <w:rFonts w:hint="eastAsia" w:cs="宋体"/>
                <w:color w:val="auto"/>
                <w:highlight w:val="none"/>
              </w:rPr>
              <w:t>在建和已完工程项目情况</w:t>
            </w:r>
          </w:p>
        </w:tc>
      </w:tr>
      <w:tr w14:paraId="00B0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6FAA4148">
            <w:pPr>
              <w:jc w:val="center"/>
              <w:rPr>
                <w:color w:val="auto"/>
                <w:highlight w:val="none"/>
              </w:rPr>
            </w:pPr>
          </w:p>
        </w:tc>
        <w:tc>
          <w:tcPr>
            <w:tcW w:w="1548" w:type="dxa"/>
            <w:gridSpan w:val="2"/>
            <w:vAlign w:val="center"/>
          </w:tcPr>
          <w:p w14:paraId="52BE1B3E">
            <w:pPr>
              <w:jc w:val="center"/>
              <w:rPr>
                <w:color w:val="auto"/>
                <w:highlight w:val="none"/>
              </w:rPr>
            </w:pPr>
            <w:r>
              <w:rPr>
                <w:rFonts w:hint="eastAsia"/>
                <w:color w:val="auto"/>
                <w:highlight w:val="none"/>
              </w:rPr>
              <w:t>项目1</w:t>
            </w:r>
          </w:p>
        </w:tc>
        <w:tc>
          <w:tcPr>
            <w:tcW w:w="1837" w:type="dxa"/>
            <w:gridSpan w:val="3"/>
            <w:vAlign w:val="center"/>
          </w:tcPr>
          <w:p w14:paraId="49F6101C">
            <w:pPr>
              <w:jc w:val="center"/>
              <w:rPr>
                <w:color w:val="auto"/>
                <w:highlight w:val="none"/>
              </w:rPr>
            </w:pPr>
            <w:r>
              <w:rPr>
                <w:rFonts w:hint="eastAsia"/>
                <w:color w:val="auto"/>
                <w:highlight w:val="none"/>
              </w:rPr>
              <w:t>项目2</w:t>
            </w:r>
          </w:p>
        </w:tc>
        <w:tc>
          <w:tcPr>
            <w:tcW w:w="1472" w:type="dxa"/>
            <w:gridSpan w:val="3"/>
            <w:vAlign w:val="center"/>
          </w:tcPr>
          <w:p w14:paraId="66F0A370">
            <w:pPr>
              <w:jc w:val="center"/>
              <w:rPr>
                <w:color w:val="auto"/>
                <w:highlight w:val="none"/>
              </w:rPr>
            </w:pPr>
            <w:r>
              <w:rPr>
                <w:rFonts w:hint="eastAsia"/>
                <w:color w:val="auto"/>
                <w:highlight w:val="none"/>
              </w:rPr>
              <w:t>项目3</w:t>
            </w:r>
          </w:p>
        </w:tc>
        <w:tc>
          <w:tcPr>
            <w:tcW w:w="1641" w:type="dxa"/>
            <w:gridSpan w:val="4"/>
            <w:vAlign w:val="center"/>
          </w:tcPr>
          <w:p w14:paraId="509FE694">
            <w:pPr>
              <w:jc w:val="center"/>
              <w:rPr>
                <w:color w:val="auto"/>
                <w:highlight w:val="none"/>
              </w:rPr>
            </w:pPr>
            <w:r>
              <w:rPr>
                <w:rFonts w:hint="eastAsia"/>
                <w:color w:val="auto"/>
                <w:highlight w:val="none"/>
              </w:rPr>
              <w:t>项目4</w:t>
            </w:r>
          </w:p>
        </w:tc>
        <w:tc>
          <w:tcPr>
            <w:tcW w:w="1484" w:type="dxa"/>
            <w:gridSpan w:val="2"/>
            <w:vAlign w:val="center"/>
          </w:tcPr>
          <w:p w14:paraId="509DA61D">
            <w:pPr>
              <w:jc w:val="center"/>
              <w:rPr>
                <w:color w:val="auto"/>
                <w:highlight w:val="none"/>
              </w:rPr>
            </w:pPr>
            <w:r>
              <w:rPr>
                <w:rFonts w:hint="eastAsia"/>
                <w:color w:val="auto"/>
                <w:highlight w:val="none"/>
              </w:rPr>
              <w:t>……</w:t>
            </w:r>
          </w:p>
        </w:tc>
      </w:tr>
      <w:tr w14:paraId="2029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7540A4B9">
            <w:pPr>
              <w:jc w:val="center"/>
              <w:rPr>
                <w:color w:val="auto"/>
                <w:highlight w:val="none"/>
              </w:rPr>
            </w:pPr>
            <w:r>
              <w:rPr>
                <w:rFonts w:hint="eastAsia"/>
                <w:color w:val="auto"/>
                <w:highlight w:val="none"/>
              </w:rPr>
              <w:t>项目名称</w:t>
            </w:r>
          </w:p>
        </w:tc>
        <w:tc>
          <w:tcPr>
            <w:tcW w:w="1548" w:type="dxa"/>
            <w:gridSpan w:val="2"/>
            <w:vAlign w:val="center"/>
          </w:tcPr>
          <w:p w14:paraId="1D49FC1B">
            <w:pPr>
              <w:jc w:val="center"/>
              <w:rPr>
                <w:color w:val="auto"/>
                <w:highlight w:val="none"/>
              </w:rPr>
            </w:pPr>
          </w:p>
        </w:tc>
        <w:tc>
          <w:tcPr>
            <w:tcW w:w="1837" w:type="dxa"/>
            <w:gridSpan w:val="3"/>
            <w:vAlign w:val="center"/>
          </w:tcPr>
          <w:p w14:paraId="5E6CF022">
            <w:pPr>
              <w:jc w:val="center"/>
              <w:rPr>
                <w:color w:val="auto"/>
                <w:highlight w:val="none"/>
              </w:rPr>
            </w:pPr>
          </w:p>
        </w:tc>
        <w:tc>
          <w:tcPr>
            <w:tcW w:w="1472" w:type="dxa"/>
            <w:gridSpan w:val="3"/>
            <w:vAlign w:val="center"/>
          </w:tcPr>
          <w:p w14:paraId="1921F203">
            <w:pPr>
              <w:jc w:val="center"/>
              <w:rPr>
                <w:color w:val="auto"/>
                <w:highlight w:val="none"/>
              </w:rPr>
            </w:pPr>
          </w:p>
        </w:tc>
        <w:tc>
          <w:tcPr>
            <w:tcW w:w="1641" w:type="dxa"/>
            <w:gridSpan w:val="4"/>
            <w:vAlign w:val="center"/>
          </w:tcPr>
          <w:p w14:paraId="5E14ADA5">
            <w:pPr>
              <w:jc w:val="center"/>
              <w:rPr>
                <w:color w:val="auto"/>
                <w:highlight w:val="none"/>
              </w:rPr>
            </w:pPr>
          </w:p>
        </w:tc>
        <w:tc>
          <w:tcPr>
            <w:tcW w:w="1484" w:type="dxa"/>
            <w:gridSpan w:val="2"/>
            <w:vAlign w:val="center"/>
          </w:tcPr>
          <w:p w14:paraId="260B94B0">
            <w:pPr>
              <w:jc w:val="center"/>
              <w:rPr>
                <w:color w:val="auto"/>
                <w:highlight w:val="none"/>
              </w:rPr>
            </w:pPr>
          </w:p>
        </w:tc>
      </w:tr>
      <w:tr w14:paraId="595B4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3366DBB2">
            <w:pPr>
              <w:jc w:val="center"/>
              <w:rPr>
                <w:color w:val="auto"/>
                <w:highlight w:val="none"/>
              </w:rPr>
            </w:pPr>
            <w:r>
              <w:rPr>
                <w:rFonts w:hint="eastAsia" w:cs="宋体"/>
                <w:color w:val="auto"/>
                <w:highlight w:val="none"/>
              </w:rPr>
              <w:t>建设单位</w:t>
            </w:r>
          </w:p>
        </w:tc>
        <w:tc>
          <w:tcPr>
            <w:tcW w:w="1548" w:type="dxa"/>
            <w:gridSpan w:val="2"/>
            <w:vAlign w:val="center"/>
          </w:tcPr>
          <w:p w14:paraId="3ACF5524">
            <w:pPr>
              <w:jc w:val="center"/>
              <w:rPr>
                <w:color w:val="auto"/>
                <w:highlight w:val="none"/>
              </w:rPr>
            </w:pPr>
          </w:p>
        </w:tc>
        <w:tc>
          <w:tcPr>
            <w:tcW w:w="1837" w:type="dxa"/>
            <w:gridSpan w:val="3"/>
            <w:vAlign w:val="center"/>
          </w:tcPr>
          <w:p w14:paraId="59E49E33">
            <w:pPr>
              <w:jc w:val="center"/>
              <w:rPr>
                <w:color w:val="auto"/>
                <w:highlight w:val="none"/>
              </w:rPr>
            </w:pPr>
          </w:p>
        </w:tc>
        <w:tc>
          <w:tcPr>
            <w:tcW w:w="1472" w:type="dxa"/>
            <w:gridSpan w:val="3"/>
            <w:vAlign w:val="center"/>
          </w:tcPr>
          <w:p w14:paraId="57636D36">
            <w:pPr>
              <w:jc w:val="center"/>
              <w:rPr>
                <w:color w:val="auto"/>
                <w:highlight w:val="none"/>
              </w:rPr>
            </w:pPr>
          </w:p>
        </w:tc>
        <w:tc>
          <w:tcPr>
            <w:tcW w:w="1641" w:type="dxa"/>
            <w:gridSpan w:val="4"/>
            <w:vAlign w:val="center"/>
          </w:tcPr>
          <w:p w14:paraId="4A26B335">
            <w:pPr>
              <w:jc w:val="center"/>
              <w:rPr>
                <w:color w:val="auto"/>
                <w:highlight w:val="none"/>
              </w:rPr>
            </w:pPr>
          </w:p>
        </w:tc>
        <w:tc>
          <w:tcPr>
            <w:tcW w:w="1484" w:type="dxa"/>
            <w:gridSpan w:val="2"/>
            <w:vAlign w:val="center"/>
          </w:tcPr>
          <w:p w14:paraId="6F735B01">
            <w:pPr>
              <w:jc w:val="center"/>
              <w:rPr>
                <w:color w:val="auto"/>
                <w:highlight w:val="none"/>
              </w:rPr>
            </w:pPr>
          </w:p>
        </w:tc>
      </w:tr>
      <w:tr w14:paraId="5A76A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7955E5C6">
            <w:pPr>
              <w:jc w:val="center"/>
              <w:rPr>
                <w:color w:val="auto"/>
                <w:highlight w:val="none"/>
              </w:rPr>
            </w:pPr>
            <w:r>
              <w:rPr>
                <w:rFonts w:hint="eastAsia" w:cs="宋体"/>
                <w:color w:val="auto"/>
                <w:highlight w:val="none"/>
              </w:rPr>
              <w:t>建设规模</w:t>
            </w:r>
          </w:p>
        </w:tc>
        <w:tc>
          <w:tcPr>
            <w:tcW w:w="1548" w:type="dxa"/>
            <w:gridSpan w:val="2"/>
            <w:vAlign w:val="center"/>
          </w:tcPr>
          <w:p w14:paraId="75B79881">
            <w:pPr>
              <w:jc w:val="center"/>
              <w:rPr>
                <w:color w:val="auto"/>
                <w:highlight w:val="none"/>
              </w:rPr>
            </w:pPr>
          </w:p>
        </w:tc>
        <w:tc>
          <w:tcPr>
            <w:tcW w:w="1837" w:type="dxa"/>
            <w:gridSpan w:val="3"/>
            <w:vAlign w:val="center"/>
          </w:tcPr>
          <w:p w14:paraId="7E2C8A9A">
            <w:pPr>
              <w:jc w:val="center"/>
              <w:rPr>
                <w:color w:val="auto"/>
                <w:highlight w:val="none"/>
              </w:rPr>
            </w:pPr>
          </w:p>
        </w:tc>
        <w:tc>
          <w:tcPr>
            <w:tcW w:w="1472" w:type="dxa"/>
            <w:gridSpan w:val="3"/>
            <w:vAlign w:val="center"/>
          </w:tcPr>
          <w:p w14:paraId="77562974">
            <w:pPr>
              <w:jc w:val="center"/>
              <w:rPr>
                <w:color w:val="auto"/>
                <w:highlight w:val="none"/>
              </w:rPr>
            </w:pPr>
          </w:p>
        </w:tc>
        <w:tc>
          <w:tcPr>
            <w:tcW w:w="1641" w:type="dxa"/>
            <w:gridSpan w:val="4"/>
            <w:vAlign w:val="center"/>
          </w:tcPr>
          <w:p w14:paraId="1FF7126A">
            <w:pPr>
              <w:jc w:val="center"/>
              <w:rPr>
                <w:color w:val="auto"/>
                <w:highlight w:val="none"/>
              </w:rPr>
            </w:pPr>
          </w:p>
        </w:tc>
        <w:tc>
          <w:tcPr>
            <w:tcW w:w="1484" w:type="dxa"/>
            <w:gridSpan w:val="2"/>
            <w:vAlign w:val="center"/>
          </w:tcPr>
          <w:p w14:paraId="2EC43DD9">
            <w:pPr>
              <w:jc w:val="center"/>
              <w:rPr>
                <w:color w:val="auto"/>
                <w:highlight w:val="none"/>
              </w:rPr>
            </w:pPr>
          </w:p>
        </w:tc>
      </w:tr>
      <w:tr w14:paraId="506E1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6DB1279C">
            <w:pPr>
              <w:jc w:val="center"/>
              <w:rPr>
                <w:rFonts w:ascii="宋体" w:hAnsi="宋体" w:cs="宋体"/>
                <w:color w:val="auto"/>
                <w:sz w:val="27"/>
                <w:szCs w:val="27"/>
                <w:highlight w:val="none"/>
              </w:rPr>
            </w:pPr>
            <w:r>
              <w:rPr>
                <w:rFonts w:hint="eastAsia" w:cs="宋体"/>
                <w:color w:val="auto"/>
                <w:highlight w:val="none"/>
              </w:rPr>
              <w:t>开工日期</w:t>
            </w:r>
          </w:p>
        </w:tc>
        <w:tc>
          <w:tcPr>
            <w:tcW w:w="1548" w:type="dxa"/>
            <w:gridSpan w:val="2"/>
            <w:vAlign w:val="center"/>
          </w:tcPr>
          <w:p w14:paraId="3505C4C9">
            <w:pPr>
              <w:jc w:val="center"/>
              <w:rPr>
                <w:color w:val="auto"/>
                <w:highlight w:val="none"/>
              </w:rPr>
            </w:pPr>
          </w:p>
        </w:tc>
        <w:tc>
          <w:tcPr>
            <w:tcW w:w="1837" w:type="dxa"/>
            <w:gridSpan w:val="3"/>
            <w:vAlign w:val="center"/>
          </w:tcPr>
          <w:p w14:paraId="3CDF62D3">
            <w:pPr>
              <w:jc w:val="center"/>
              <w:rPr>
                <w:color w:val="auto"/>
                <w:highlight w:val="none"/>
              </w:rPr>
            </w:pPr>
          </w:p>
        </w:tc>
        <w:tc>
          <w:tcPr>
            <w:tcW w:w="1472" w:type="dxa"/>
            <w:gridSpan w:val="3"/>
            <w:vAlign w:val="center"/>
          </w:tcPr>
          <w:p w14:paraId="7A3A8C81">
            <w:pPr>
              <w:jc w:val="center"/>
              <w:rPr>
                <w:color w:val="auto"/>
                <w:highlight w:val="none"/>
              </w:rPr>
            </w:pPr>
          </w:p>
        </w:tc>
        <w:tc>
          <w:tcPr>
            <w:tcW w:w="1641" w:type="dxa"/>
            <w:gridSpan w:val="4"/>
            <w:vAlign w:val="center"/>
          </w:tcPr>
          <w:p w14:paraId="34C11551">
            <w:pPr>
              <w:jc w:val="center"/>
              <w:rPr>
                <w:color w:val="auto"/>
                <w:highlight w:val="none"/>
              </w:rPr>
            </w:pPr>
          </w:p>
        </w:tc>
        <w:tc>
          <w:tcPr>
            <w:tcW w:w="1484" w:type="dxa"/>
            <w:gridSpan w:val="2"/>
            <w:vAlign w:val="center"/>
          </w:tcPr>
          <w:p w14:paraId="1CDEA0B2">
            <w:pPr>
              <w:jc w:val="center"/>
              <w:rPr>
                <w:color w:val="auto"/>
                <w:highlight w:val="none"/>
              </w:rPr>
            </w:pPr>
          </w:p>
        </w:tc>
      </w:tr>
      <w:tr w14:paraId="52E95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27819551">
            <w:pPr>
              <w:jc w:val="center"/>
              <w:rPr>
                <w:color w:val="auto"/>
                <w:highlight w:val="none"/>
              </w:rPr>
            </w:pPr>
            <w:r>
              <w:rPr>
                <w:rFonts w:hint="eastAsia" w:cs="宋体"/>
                <w:color w:val="auto"/>
                <w:highlight w:val="none"/>
              </w:rPr>
              <w:t>竣工日期</w:t>
            </w:r>
          </w:p>
        </w:tc>
        <w:tc>
          <w:tcPr>
            <w:tcW w:w="1548" w:type="dxa"/>
            <w:gridSpan w:val="2"/>
            <w:vAlign w:val="center"/>
          </w:tcPr>
          <w:p w14:paraId="08F72B6D">
            <w:pPr>
              <w:jc w:val="center"/>
              <w:rPr>
                <w:color w:val="auto"/>
                <w:highlight w:val="none"/>
              </w:rPr>
            </w:pPr>
          </w:p>
        </w:tc>
        <w:tc>
          <w:tcPr>
            <w:tcW w:w="1837" w:type="dxa"/>
            <w:gridSpan w:val="3"/>
            <w:vAlign w:val="center"/>
          </w:tcPr>
          <w:p w14:paraId="670A200A">
            <w:pPr>
              <w:jc w:val="center"/>
              <w:rPr>
                <w:color w:val="auto"/>
                <w:highlight w:val="none"/>
              </w:rPr>
            </w:pPr>
          </w:p>
        </w:tc>
        <w:tc>
          <w:tcPr>
            <w:tcW w:w="1472" w:type="dxa"/>
            <w:gridSpan w:val="3"/>
            <w:vAlign w:val="center"/>
          </w:tcPr>
          <w:p w14:paraId="7A6FF2C3">
            <w:pPr>
              <w:jc w:val="center"/>
              <w:rPr>
                <w:color w:val="auto"/>
                <w:highlight w:val="none"/>
              </w:rPr>
            </w:pPr>
          </w:p>
        </w:tc>
        <w:tc>
          <w:tcPr>
            <w:tcW w:w="1641" w:type="dxa"/>
            <w:gridSpan w:val="4"/>
            <w:vAlign w:val="center"/>
          </w:tcPr>
          <w:p w14:paraId="4920D120">
            <w:pPr>
              <w:jc w:val="center"/>
              <w:rPr>
                <w:color w:val="auto"/>
                <w:highlight w:val="none"/>
              </w:rPr>
            </w:pPr>
          </w:p>
        </w:tc>
        <w:tc>
          <w:tcPr>
            <w:tcW w:w="1484" w:type="dxa"/>
            <w:gridSpan w:val="2"/>
            <w:vAlign w:val="center"/>
          </w:tcPr>
          <w:p w14:paraId="56C3B8C6">
            <w:pPr>
              <w:jc w:val="center"/>
              <w:rPr>
                <w:color w:val="auto"/>
                <w:highlight w:val="none"/>
              </w:rPr>
            </w:pPr>
          </w:p>
        </w:tc>
      </w:tr>
      <w:tr w14:paraId="378E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46D4F871">
            <w:pPr>
              <w:jc w:val="center"/>
              <w:rPr>
                <w:rFonts w:cs="宋体"/>
                <w:color w:val="auto"/>
                <w:highlight w:val="none"/>
              </w:rPr>
            </w:pPr>
            <w:r>
              <w:rPr>
                <w:rFonts w:hint="eastAsia" w:cs="宋体"/>
                <w:color w:val="auto"/>
                <w:highlight w:val="none"/>
              </w:rPr>
              <w:t>人员角色</w:t>
            </w:r>
          </w:p>
        </w:tc>
        <w:tc>
          <w:tcPr>
            <w:tcW w:w="1548" w:type="dxa"/>
            <w:gridSpan w:val="2"/>
            <w:vAlign w:val="center"/>
          </w:tcPr>
          <w:p w14:paraId="2CB0258B">
            <w:pPr>
              <w:jc w:val="center"/>
              <w:rPr>
                <w:color w:val="auto"/>
                <w:highlight w:val="none"/>
              </w:rPr>
            </w:pPr>
          </w:p>
        </w:tc>
        <w:tc>
          <w:tcPr>
            <w:tcW w:w="1837" w:type="dxa"/>
            <w:gridSpan w:val="3"/>
            <w:vAlign w:val="center"/>
          </w:tcPr>
          <w:p w14:paraId="247D057C">
            <w:pPr>
              <w:jc w:val="center"/>
              <w:rPr>
                <w:color w:val="auto"/>
                <w:highlight w:val="none"/>
              </w:rPr>
            </w:pPr>
          </w:p>
        </w:tc>
        <w:tc>
          <w:tcPr>
            <w:tcW w:w="1472" w:type="dxa"/>
            <w:gridSpan w:val="3"/>
            <w:vAlign w:val="center"/>
          </w:tcPr>
          <w:p w14:paraId="3A711209">
            <w:pPr>
              <w:jc w:val="center"/>
              <w:rPr>
                <w:color w:val="auto"/>
                <w:highlight w:val="none"/>
              </w:rPr>
            </w:pPr>
          </w:p>
        </w:tc>
        <w:tc>
          <w:tcPr>
            <w:tcW w:w="1641" w:type="dxa"/>
            <w:gridSpan w:val="4"/>
            <w:vAlign w:val="center"/>
          </w:tcPr>
          <w:p w14:paraId="075B7561">
            <w:pPr>
              <w:jc w:val="center"/>
              <w:rPr>
                <w:color w:val="auto"/>
                <w:highlight w:val="none"/>
              </w:rPr>
            </w:pPr>
          </w:p>
        </w:tc>
        <w:tc>
          <w:tcPr>
            <w:tcW w:w="1484" w:type="dxa"/>
            <w:gridSpan w:val="2"/>
            <w:vAlign w:val="center"/>
          </w:tcPr>
          <w:p w14:paraId="3EB794F5">
            <w:pPr>
              <w:jc w:val="center"/>
              <w:rPr>
                <w:color w:val="auto"/>
                <w:highlight w:val="none"/>
              </w:rPr>
            </w:pPr>
          </w:p>
        </w:tc>
      </w:tr>
      <w:tr w14:paraId="0920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0E2E9024">
            <w:pPr>
              <w:jc w:val="center"/>
              <w:rPr>
                <w:rFonts w:cs="宋体"/>
                <w:color w:val="auto"/>
                <w:highlight w:val="none"/>
              </w:rPr>
            </w:pPr>
            <w:r>
              <w:rPr>
                <w:rFonts w:hint="eastAsia" w:cs="宋体"/>
                <w:color w:val="auto"/>
                <w:highlight w:val="none"/>
              </w:rPr>
              <w:t>在建或已完</w:t>
            </w:r>
          </w:p>
        </w:tc>
        <w:tc>
          <w:tcPr>
            <w:tcW w:w="1548" w:type="dxa"/>
            <w:gridSpan w:val="2"/>
            <w:vAlign w:val="center"/>
          </w:tcPr>
          <w:p w14:paraId="3DAB6A5A">
            <w:pPr>
              <w:jc w:val="center"/>
              <w:rPr>
                <w:color w:val="auto"/>
                <w:highlight w:val="none"/>
              </w:rPr>
            </w:pPr>
          </w:p>
        </w:tc>
        <w:tc>
          <w:tcPr>
            <w:tcW w:w="1837" w:type="dxa"/>
            <w:gridSpan w:val="3"/>
            <w:vAlign w:val="center"/>
          </w:tcPr>
          <w:p w14:paraId="3E882D9E">
            <w:pPr>
              <w:jc w:val="center"/>
              <w:rPr>
                <w:color w:val="auto"/>
                <w:highlight w:val="none"/>
              </w:rPr>
            </w:pPr>
          </w:p>
        </w:tc>
        <w:tc>
          <w:tcPr>
            <w:tcW w:w="1472" w:type="dxa"/>
            <w:gridSpan w:val="3"/>
            <w:vAlign w:val="center"/>
          </w:tcPr>
          <w:p w14:paraId="2ADB0E22">
            <w:pPr>
              <w:jc w:val="center"/>
              <w:rPr>
                <w:color w:val="auto"/>
                <w:highlight w:val="none"/>
              </w:rPr>
            </w:pPr>
          </w:p>
        </w:tc>
        <w:tc>
          <w:tcPr>
            <w:tcW w:w="1641" w:type="dxa"/>
            <w:gridSpan w:val="4"/>
            <w:vAlign w:val="center"/>
          </w:tcPr>
          <w:p w14:paraId="18CF4675">
            <w:pPr>
              <w:jc w:val="center"/>
              <w:rPr>
                <w:color w:val="auto"/>
                <w:highlight w:val="none"/>
              </w:rPr>
            </w:pPr>
          </w:p>
        </w:tc>
        <w:tc>
          <w:tcPr>
            <w:tcW w:w="1484" w:type="dxa"/>
            <w:gridSpan w:val="2"/>
            <w:vAlign w:val="center"/>
          </w:tcPr>
          <w:p w14:paraId="713F4A7E">
            <w:pPr>
              <w:jc w:val="center"/>
              <w:rPr>
                <w:color w:val="auto"/>
                <w:highlight w:val="none"/>
              </w:rPr>
            </w:pPr>
          </w:p>
        </w:tc>
      </w:tr>
      <w:tr w14:paraId="369F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2C50165A">
            <w:pPr>
              <w:jc w:val="center"/>
              <w:rPr>
                <w:rFonts w:cs="宋体"/>
                <w:color w:val="auto"/>
                <w:highlight w:val="none"/>
              </w:rPr>
            </w:pPr>
            <w:r>
              <w:rPr>
                <w:rFonts w:hint="eastAsia" w:cs="宋体"/>
                <w:color w:val="auto"/>
                <w:highlight w:val="none"/>
              </w:rPr>
              <w:t>工程质量</w:t>
            </w:r>
          </w:p>
        </w:tc>
        <w:tc>
          <w:tcPr>
            <w:tcW w:w="1548" w:type="dxa"/>
            <w:gridSpan w:val="2"/>
            <w:vAlign w:val="center"/>
          </w:tcPr>
          <w:p w14:paraId="4ECF9698">
            <w:pPr>
              <w:jc w:val="center"/>
              <w:rPr>
                <w:color w:val="auto"/>
                <w:highlight w:val="none"/>
              </w:rPr>
            </w:pPr>
          </w:p>
        </w:tc>
        <w:tc>
          <w:tcPr>
            <w:tcW w:w="1837" w:type="dxa"/>
            <w:gridSpan w:val="3"/>
            <w:vAlign w:val="center"/>
          </w:tcPr>
          <w:p w14:paraId="3E56F055">
            <w:pPr>
              <w:jc w:val="center"/>
              <w:rPr>
                <w:color w:val="auto"/>
                <w:highlight w:val="none"/>
              </w:rPr>
            </w:pPr>
          </w:p>
        </w:tc>
        <w:tc>
          <w:tcPr>
            <w:tcW w:w="1472" w:type="dxa"/>
            <w:gridSpan w:val="3"/>
            <w:vAlign w:val="center"/>
          </w:tcPr>
          <w:p w14:paraId="24316ED6">
            <w:pPr>
              <w:jc w:val="center"/>
              <w:rPr>
                <w:color w:val="auto"/>
                <w:highlight w:val="none"/>
              </w:rPr>
            </w:pPr>
          </w:p>
        </w:tc>
        <w:tc>
          <w:tcPr>
            <w:tcW w:w="1641" w:type="dxa"/>
            <w:gridSpan w:val="4"/>
            <w:vAlign w:val="center"/>
          </w:tcPr>
          <w:p w14:paraId="147935DA">
            <w:pPr>
              <w:jc w:val="center"/>
              <w:rPr>
                <w:color w:val="auto"/>
                <w:highlight w:val="none"/>
              </w:rPr>
            </w:pPr>
          </w:p>
        </w:tc>
        <w:tc>
          <w:tcPr>
            <w:tcW w:w="1484" w:type="dxa"/>
            <w:gridSpan w:val="2"/>
            <w:vAlign w:val="center"/>
          </w:tcPr>
          <w:p w14:paraId="294986B7">
            <w:pPr>
              <w:jc w:val="center"/>
              <w:rPr>
                <w:color w:val="auto"/>
                <w:highlight w:val="none"/>
              </w:rPr>
            </w:pPr>
          </w:p>
        </w:tc>
      </w:tr>
      <w:tr w14:paraId="48B3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4EC5DFED">
            <w:pPr>
              <w:jc w:val="center"/>
              <w:rPr>
                <w:rFonts w:cs="宋体"/>
                <w:color w:val="auto"/>
                <w:highlight w:val="none"/>
              </w:rPr>
            </w:pPr>
            <w:r>
              <w:rPr>
                <w:rFonts w:hint="eastAsia" w:cs="宋体"/>
                <w:color w:val="auto"/>
                <w:highlight w:val="none"/>
              </w:rPr>
              <w:t>受奖情况</w:t>
            </w:r>
          </w:p>
        </w:tc>
        <w:tc>
          <w:tcPr>
            <w:tcW w:w="1548" w:type="dxa"/>
            <w:gridSpan w:val="2"/>
            <w:vAlign w:val="center"/>
          </w:tcPr>
          <w:p w14:paraId="4867AC71">
            <w:pPr>
              <w:jc w:val="center"/>
              <w:rPr>
                <w:color w:val="auto"/>
                <w:highlight w:val="none"/>
              </w:rPr>
            </w:pPr>
          </w:p>
        </w:tc>
        <w:tc>
          <w:tcPr>
            <w:tcW w:w="1837" w:type="dxa"/>
            <w:gridSpan w:val="3"/>
            <w:vAlign w:val="center"/>
          </w:tcPr>
          <w:p w14:paraId="25E4B75D">
            <w:pPr>
              <w:jc w:val="center"/>
              <w:rPr>
                <w:color w:val="auto"/>
                <w:highlight w:val="none"/>
              </w:rPr>
            </w:pPr>
          </w:p>
        </w:tc>
        <w:tc>
          <w:tcPr>
            <w:tcW w:w="1472" w:type="dxa"/>
            <w:gridSpan w:val="3"/>
            <w:vAlign w:val="center"/>
          </w:tcPr>
          <w:p w14:paraId="57D193A4">
            <w:pPr>
              <w:jc w:val="center"/>
              <w:rPr>
                <w:color w:val="auto"/>
                <w:highlight w:val="none"/>
              </w:rPr>
            </w:pPr>
          </w:p>
        </w:tc>
        <w:tc>
          <w:tcPr>
            <w:tcW w:w="1641" w:type="dxa"/>
            <w:gridSpan w:val="4"/>
            <w:vAlign w:val="center"/>
          </w:tcPr>
          <w:p w14:paraId="70D63F5A">
            <w:pPr>
              <w:jc w:val="center"/>
              <w:rPr>
                <w:color w:val="auto"/>
                <w:highlight w:val="none"/>
              </w:rPr>
            </w:pPr>
          </w:p>
        </w:tc>
        <w:tc>
          <w:tcPr>
            <w:tcW w:w="1484" w:type="dxa"/>
            <w:gridSpan w:val="2"/>
            <w:vAlign w:val="center"/>
          </w:tcPr>
          <w:p w14:paraId="37511017">
            <w:pPr>
              <w:jc w:val="center"/>
              <w:rPr>
                <w:color w:val="auto"/>
                <w:highlight w:val="none"/>
              </w:rPr>
            </w:pPr>
          </w:p>
        </w:tc>
      </w:tr>
    </w:tbl>
    <w:p w14:paraId="6487005E">
      <w:pPr>
        <w:rPr>
          <w:rFonts w:ascii="宋体" w:hAnsi="宋体"/>
          <w:color w:val="auto"/>
          <w:szCs w:val="21"/>
          <w:highlight w:val="none"/>
        </w:rPr>
      </w:pPr>
      <w:r>
        <w:rPr>
          <w:rFonts w:hint="eastAsia" w:ascii="宋体" w:hAnsi="宋体" w:cs="楷体_GB2312"/>
          <w:color w:val="auto"/>
          <w:szCs w:val="21"/>
          <w:highlight w:val="none"/>
        </w:rPr>
        <w:t>备注：</w:t>
      </w:r>
    </w:p>
    <w:p w14:paraId="155A613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1.项目</w:t>
      </w:r>
      <w:r>
        <w:rPr>
          <w:rFonts w:ascii="宋体" w:hAnsi="宋体"/>
          <w:color w:val="auto"/>
          <w:szCs w:val="21"/>
          <w:highlight w:val="none"/>
        </w:rPr>
        <w:t>数</w:t>
      </w:r>
      <w:r>
        <w:rPr>
          <w:rFonts w:hint="eastAsia" w:ascii="宋体" w:hAnsi="宋体"/>
          <w:color w:val="auto"/>
          <w:szCs w:val="21"/>
          <w:highlight w:val="none"/>
        </w:rPr>
        <w:t>可</w:t>
      </w:r>
      <w:r>
        <w:rPr>
          <w:rFonts w:ascii="宋体" w:hAnsi="宋体"/>
          <w:color w:val="auto"/>
          <w:szCs w:val="21"/>
          <w:highlight w:val="none"/>
        </w:rPr>
        <w:t>以根据需要增加</w:t>
      </w:r>
      <w:r>
        <w:rPr>
          <w:rFonts w:hint="eastAsia" w:ascii="宋体" w:hAnsi="宋体"/>
          <w:color w:val="auto"/>
          <w:szCs w:val="21"/>
          <w:highlight w:val="none"/>
        </w:rPr>
        <w:t>。</w:t>
      </w:r>
    </w:p>
    <w:p w14:paraId="1212B0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color w:val="auto"/>
          <w:highlight w:val="none"/>
          <w:u w:val="single"/>
        </w:rPr>
      </w:pPr>
      <w:r>
        <w:rPr>
          <w:rFonts w:hint="eastAsia" w:ascii="宋体" w:hAnsi="宋体"/>
          <w:color w:val="auto"/>
          <w:szCs w:val="21"/>
          <w:highlight w:val="none"/>
        </w:rPr>
        <w:t>2.本表后附项目经理的学历证、安全生产考核合格证（B类）、本表所列证书扫描件并加盖供应商电子签章。</w:t>
      </w:r>
      <w:r>
        <w:rPr>
          <w:rFonts w:hint="eastAsia" w:ascii="宋体" w:hAnsi="宋体"/>
          <w:color w:val="auto"/>
          <w:szCs w:val="21"/>
          <w:highlight w:val="none"/>
          <w:lang w:val="en-US" w:eastAsia="zh-CN"/>
        </w:rPr>
        <w:t xml:space="preserve">                     </w:t>
      </w:r>
      <w:r>
        <w:rPr>
          <w:rFonts w:hint="eastAsia" w:ascii="仿宋_GB2312" w:eastAsia="仿宋_GB2312"/>
          <w:b/>
          <w:color w:val="auto"/>
          <w:sz w:val="24"/>
          <w:highlight w:val="none"/>
        </w:rPr>
        <w:t>注：此项材料必须</w:t>
      </w:r>
      <w:r>
        <w:rPr>
          <w:rFonts w:hint="eastAsia" w:ascii="仿宋_GB2312" w:hAnsi="宋体" w:eastAsia="仿宋_GB2312"/>
          <w:b/>
          <w:bCs/>
          <w:color w:val="auto"/>
          <w:sz w:val="24"/>
          <w:highlight w:val="none"/>
        </w:rPr>
        <w:t>以PDF格式上传。</w:t>
      </w:r>
      <w:r>
        <w:rPr>
          <w:rFonts w:cs="宋体"/>
          <w:b/>
          <w:color w:val="auto"/>
          <w:sz w:val="32"/>
          <w:szCs w:val="32"/>
          <w:highlight w:val="none"/>
        </w:rPr>
        <w:br w:type="page"/>
      </w:r>
      <w:r>
        <w:rPr>
          <w:rFonts w:hint="eastAsia" w:cs="宋体"/>
          <w:b/>
          <w:color w:val="auto"/>
          <w:sz w:val="32"/>
          <w:szCs w:val="32"/>
          <w:highlight w:val="none"/>
        </w:rPr>
        <w:t>项目技术负责人（项目总工）简历表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464"/>
        <w:gridCol w:w="888"/>
        <w:gridCol w:w="660"/>
        <w:gridCol w:w="328"/>
        <w:gridCol w:w="234"/>
        <w:gridCol w:w="1275"/>
        <w:gridCol w:w="142"/>
        <w:gridCol w:w="242"/>
        <w:gridCol w:w="1088"/>
        <w:gridCol w:w="88"/>
        <w:gridCol w:w="409"/>
        <w:gridCol w:w="1108"/>
        <w:gridCol w:w="36"/>
        <w:gridCol w:w="79"/>
        <w:gridCol w:w="1405"/>
        <w:gridCol w:w="11"/>
      </w:tblGrid>
      <w:tr w14:paraId="25E2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2AB76118">
            <w:pPr>
              <w:jc w:val="center"/>
              <w:rPr>
                <w:color w:val="auto"/>
                <w:highlight w:val="none"/>
              </w:rPr>
            </w:pPr>
            <w:r>
              <w:rPr>
                <w:rFonts w:hint="eastAsia" w:cs="宋体"/>
                <w:color w:val="auto"/>
                <w:highlight w:val="none"/>
              </w:rPr>
              <w:t>姓名</w:t>
            </w:r>
          </w:p>
        </w:tc>
        <w:tc>
          <w:tcPr>
            <w:tcW w:w="2340" w:type="dxa"/>
            <w:gridSpan w:val="4"/>
            <w:vAlign w:val="center"/>
          </w:tcPr>
          <w:p w14:paraId="74BFF185">
            <w:pPr>
              <w:jc w:val="center"/>
              <w:rPr>
                <w:color w:val="auto"/>
                <w:highlight w:val="none"/>
              </w:rPr>
            </w:pPr>
          </w:p>
        </w:tc>
        <w:tc>
          <w:tcPr>
            <w:tcW w:w="1893" w:type="dxa"/>
            <w:gridSpan w:val="4"/>
            <w:vAlign w:val="center"/>
          </w:tcPr>
          <w:p w14:paraId="365B5606">
            <w:pPr>
              <w:jc w:val="center"/>
              <w:rPr>
                <w:color w:val="auto"/>
                <w:highlight w:val="none"/>
              </w:rPr>
            </w:pPr>
            <w:r>
              <w:rPr>
                <w:rFonts w:hint="eastAsia" w:cs="宋体"/>
                <w:color w:val="auto"/>
                <w:highlight w:val="none"/>
              </w:rPr>
              <w:t>性别</w:t>
            </w:r>
          </w:p>
        </w:tc>
        <w:tc>
          <w:tcPr>
            <w:tcW w:w="1585" w:type="dxa"/>
            <w:gridSpan w:val="3"/>
            <w:vAlign w:val="center"/>
          </w:tcPr>
          <w:p w14:paraId="714D3970">
            <w:pPr>
              <w:jc w:val="center"/>
              <w:rPr>
                <w:color w:val="auto"/>
                <w:highlight w:val="none"/>
              </w:rPr>
            </w:pPr>
          </w:p>
        </w:tc>
        <w:tc>
          <w:tcPr>
            <w:tcW w:w="1108" w:type="dxa"/>
            <w:vAlign w:val="center"/>
          </w:tcPr>
          <w:p w14:paraId="0FE4AABA">
            <w:pPr>
              <w:jc w:val="center"/>
              <w:rPr>
                <w:color w:val="auto"/>
                <w:highlight w:val="none"/>
              </w:rPr>
            </w:pPr>
            <w:r>
              <w:rPr>
                <w:rFonts w:hint="eastAsia" w:cs="宋体"/>
                <w:color w:val="auto"/>
                <w:highlight w:val="none"/>
              </w:rPr>
              <w:t>年龄</w:t>
            </w:r>
          </w:p>
        </w:tc>
        <w:tc>
          <w:tcPr>
            <w:tcW w:w="1531" w:type="dxa"/>
            <w:gridSpan w:val="4"/>
            <w:vAlign w:val="center"/>
          </w:tcPr>
          <w:p w14:paraId="39ADB265">
            <w:pPr>
              <w:jc w:val="center"/>
              <w:rPr>
                <w:color w:val="auto"/>
                <w:highlight w:val="none"/>
              </w:rPr>
            </w:pPr>
          </w:p>
        </w:tc>
      </w:tr>
      <w:tr w14:paraId="726E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46BE1294">
            <w:pPr>
              <w:jc w:val="center"/>
              <w:rPr>
                <w:color w:val="auto"/>
                <w:highlight w:val="none"/>
              </w:rPr>
            </w:pPr>
            <w:r>
              <w:rPr>
                <w:rFonts w:hint="eastAsia" w:cs="宋体"/>
                <w:color w:val="auto"/>
                <w:highlight w:val="none"/>
              </w:rPr>
              <w:t>岗位</w:t>
            </w:r>
          </w:p>
        </w:tc>
        <w:tc>
          <w:tcPr>
            <w:tcW w:w="2340" w:type="dxa"/>
            <w:gridSpan w:val="4"/>
            <w:vAlign w:val="center"/>
          </w:tcPr>
          <w:p w14:paraId="3FF3A766">
            <w:pPr>
              <w:jc w:val="center"/>
              <w:rPr>
                <w:color w:val="auto"/>
                <w:highlight w:val="none"/>
              </w:rPr>
            </w:pPr>
            <w:r>
              <w:rPr>
                <w:rFonts w:hint="eastAsia"/>
                <w:color w:val="auto"/>
                <w:highlight w:val="none"/>
              </w:rPr>
              <w:t>项目技术负责人（项目总工）</w:t>
            </w:r>
          </w:p>
        </w:tc>
        <w:tc>
          <w:tcPr>
            <w:tcW w:w="1893" w:type="dxa"/>
            <w:gridSpan w:val="4"/>
            <w:vAlign w:val="center"/>
          </w:tcPr>
          <w:p w14:paraId="7CB0702D">
            <w:pPr>
              <w:jc w:val="center"/>
              <w:rPr>
                <w:color w:val="auto"/>
                <w:highlight w:val="none"/>
              </w:rPr>
            </w:pPr>
            <w:r>
              <w:rPr>
                <w:rFonts w:hint="eastAsia" w:cs="宋体"/>
                <w:color w:val="auto"/>
                <w:highlight w:val="none"/>
              </w:rPr>
              <w:t>职称</w:t>
            </w:r>
          </w:p>
        </w:tc>
        <w:tc>
          <w:tcPr>
            <w:tcW w:w="1585" w:type="dxa"/>
            <w:gridSpan w:val="3"/>
            <w:vAlign w:val="center"/>
          </w:tcPr>
          <w:p w14:paraId="027D66D9">
            <w:pPr>
              <w:jc w:val="center"/>
              <w:rPr>
                <w:color w:val="auto"/>
                <w:highlight w:val="none"/>
              </w:rPr>
            </w:pPr>
          </w:p>
        </w:tc>
        <w:tc>
          <w:tcPr>
            <w:tcW w:w="1108" w:type="dxa"/>
            <w:vAlign w:val="center"/>
          </w:tcPr>
          <w:p w14:paraId="234AE267">
            <w:pPr>
              <w:jc w:val="center"/>
              <w:rPr>
                <w:color w:val="auto"/>
                <w:highlight w:val="none"/>
              </w:rPr>
            </w:pPr>
            <w:r>
              <w:rPr>
                <w:rFonts w:hint="eastAsia" w:cs="宋体"/>
                <w:color w:val="auto"/>
                <w:highlight w:val="none"/>
              </w:rPr>
              <w:t>学历</w:t>
            </w:r>
          </w:p>
        </w:tc>
        <w:tc>
          <w:tcPr>
            <w:tcW w:w="1531" w:type="dxa"/>
            <w:gridSpan w:val="4"/>
            <w:vAlign w:val="center"/>
          </w:tcPr>
          <w:p w14:paraId="3CA2375B">
            <w:pPr>
              <w:jc w:val="center"/>
              <w:rPr>
                <w:color w:val="auto"/>
                <w:highlight w:val="none"/>
              </w:rPr>
            </w:pPr>
          </w:p>
        </w:tc>
      </w:tr>
      <w:tr w14:paraId="05F3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66C957D5">
            <w:pPr>
              <w:jc w:val="center"/>
              <w:rPr>
                <w:rFonts w:cs="宋体"/>
                <w:color w:val="auto"/>
                <w:highlight w:val="none"/>
              </w:rPr>
            </w:pPr>
            <w:r>
              <w:rPr>
                <w:rFonts w:hint="eastAsia" w:cs="宋体"/>
                <w:color w:val="auto"/>
                <w:highlight w:val="none"/>
              </w:rPr>
              <w:t>从业开始时间</w:t>
            </w:r>
          </w:p>
        </w:tc>
        <w:tc>
          <w:tcPr>
            <w:tcW w:w="2340" w:type="dxa"/>
            <w:gridSpan w:val="4"/>
            <w:vAlign w:val="center"/>
          </w:tcPr>
          <w:p w14:paraId="7F463138">
            <w:pPr>
              <w:jc w:val="center"/>
              <w:rPr>
                <w:color w:val="auto"/>
                <w:highlight w:val="none"/>
              </w:rPr>
            </w:pPr>
          </w:p>
        </w:tc>
        <w:tc>
          <w:tcPr>
            <w:tcW w:w="1893" w:type="dxa"/>
            <w:gridSpan w:val="4"/>
            <w:vAlign w:val="center"/>
          </w:tcPr>
          <w:p w14:paraId="6A1F7147">
            <w:pPr>
              <w:jc w:val="center"/>
              <w:rPr>
                <w:rFonts w:cs="宋体"/>
                <w:color w:val="auto"/>
                <w:highlight w:val="none"/>
              </w:rPr>
            </w:pPr>
            <w:r>
              <w:rPr>
                <w:rFonts w:hint="eastAsia" w:cs="宋体"/>
                <w:color w:val="auto"/>
                <w:highlight w:val="none"/>
              </w:rPr>
              <w:t>职称</w:t>
            </w:r>
            <w:r>
              <w:rPr>
                <w:rFonts w:cs="宋体"/>
                <w:color w:val="auto"/>
                <w:highlight w:val="none"/>
              </w:rPr>
              <w:t>获</w:t>
            </w:r>
            <w:r>
              <w:rPr>
                <w:rFonts w:hint="eastAsia" w:cs="宋体"/>
                <w:color w:val="auto"/>
                <w:highlight w:val="none"/>
              </w:rPr>
              <w:t>得</w:t>
            </w:r>
            <w:r>
              <w:rPr>
                <w:rFonts w:cs="宋体"/>
                <w:color w:val="auto"/>
                <w:highlight w:val="none"/>
              </w:rPr>
              <w:t>时间</w:t>
            </w:r>
          </w:p>
        </w:tc>
        <w:tc>
          <w:tcPr>
            <w:tcW w:w="1585" w:type="dxa"/>
            <w:gridSpan w:val="3"/>
            <w:vAlign w:val="center"/>
          </w:tcPr>
          <w:p w14:paraId="379F50DE">
            <w:pPr>
              <w:jc w:val="center"/>
              <w:rPr>
                <w:color w:val="auto"/>
                <w:highlight w:val="none"/>
              </w:rPr>
            </w:pPr>
          </w:p>
        </w:tc>
        <w:tc>
          <w:tcPr>
            <w:tcW w:w="1108" w:type="dxa"/>
            <w:vAlign w:val="center"/>
          </w:tcPr>
          <w:p w14:paraId="3FBAC985">
            <w:pPr>
              <w:jc w:val="center"/>
              <w:rPr>
                <w:rFonts w:cs="宋体"/>
                <w:color w:val="auto"/>
                <w:highlight w:val="none"/>
              </w:rPr>
            </w:pPr>
            <w:r>
              <w:rPr>
                <w:rFonts w:hint="eastAsia" w:cs="宋体"/>
                <w:color w:val="auto"/>
                <w:highlight w:val="none"/>
              </w:rPr>
              <w:t>毕业时间</w:t>
            </w:r>
          </w:p>
        </w:tc>
        <w:tc>
          <w:tcPr>
            <w:tcW w:w="1531" w:type="dxa"/>
            <w:gridSpan w:val="4"/>
            <w:vAlign w:val="center"/>
          </w:tcPr>
          <w:p w14:paraId="4529821B">
            <w:pPr>
              <w:jc w:val="center"/>
              <w:rPr>
                <w:color w:val="auto"/>
                <w:highlight w:val="none"/>
              </w:rPr>
            </w:pPr>
          </w:p>
        </w:tc>
      </w:tr>
      <w:tr w14:paraId="6AF9E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19FCF573">
            <w:pPr>
              <w:jc w:val="center"/>
              <w:rPr>
                <w:color w:val="auto"/>
                <w:highlight w:val="none"/>
              </w:rPr>
            </w:pPr>
            <w:r>
              <w:rPr>
                <w:rFonts w:hint="eastAsia" w:cs="宋体"/>
                <w:color w:val="auto"/>
                <w:highlight w:val="none"/>
              </w:rPr>
              <w:t>担任</w:t>
            </w:r>
            <w:r>
              <w:rPr>
                <w:rFonts w:hint="eastAsia"/>
                <w:color w:val="auto"/>
                <w:highlight w:val="none"/>
              </w:rPr>
              <w:t>……</w:t>
            </w:r>
            <w:r>
              <w:rPr>
                <w:rFonts w:hint="eastAsia" w:cs="宋体"/>
                <w:color w:val="auto"/>
                <w:highlight w:val="none"/>
              </w:rPr>
              <w:t>年限</w:t>
            </w:r>
          </w:p>
        </w:tc>
        <w:tc>
          <w:tcPr>
            <w:tcW w:w="2340" w:type="dxa"/>
            <w:gridSpan w:val="4"/>
            <w:vAlign w:val="center"/>
          </w:tcPr>
          <w:p w14:paraId="3D978652">
            <w:pPr>
              <w:jc w:val="center"/>
              <w:rPr>
                <w:color w:val="auto"/>
                <w:highlight w:val="none"/>
              </w:rPr>
            </w:pPr>
          </w:p>
        </w:tc>
        <w:tc>
          <w:tcPr>
            <w:tcW w:w="1509" w:type="dxa"/>
            <w:gridSpan w:val="2"/>
            <w:vAlign w:val="center"/>
          </w:tcPr>
          <w:p w14:paraId="0EBD2726">
            <w:pPr>
              <w:jc w:val="center"/>
              <w:rPr>
                <w:color w:val="auto"/>
                <w:highlight w:val="none"/>
              </w:rPr>
            </w:pPr>
            <w:r>
              <w:rPr>
                <w:rFonts w:hint="eastAsia"/>
                <w:color w:val="auto"/>
                <w:highlight w:val="none"/>
              </w:rPr>
              <w:t>身份</w:t>
            </w:r>
            <w:r>
              <w:rPr>
                <w:color w:val="auto"/>
                <w:highlight w:val="none"/>
              </w:rPr>
              <w:t>证号码</w:t>
            </w:r>
          </w:p>
        </w:tc>
        <w:tc>
          <w:tcPr>
            <w:tcW w:w="4608" w:type="dxa"/>
            <w:gridSpan w:val="10"/>
            <w:vAlign w:val="center"/>
          </w:tcPr>
          <w:p w14:paraId="4C025BAF">
            <w:pPr>
              <w:jc w:val="center"/>
              <w:rPr>
                <w:color w:val="auto"/>
                <w:highlight w:val="none"/>
              </w:rPr>
            </w:pPr>
          </w:p>
        </w:tc>
      </w:tr>
      <w:tr w14:paraId="1766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572D2C14">
            <w:pPr>
              <w:jc w:val="center"/>
              <w:rPr>
                <w:color w:val="auto"/>
                <w:highlight w:val="none"/>
              </w:rPr>
            </w:pPr>
            <w:r>
              <w:rPr>
                <w:rFonts w:hint="eastAsia"/>
                <w:color w:val="auto"/>
                <w:highlight w:val="none"/>
              </w:rPr>
              <w:t>证书名称</w:t>
            </w:r>
          </w:p>
        </w:tc>
        <w:tc>
          <w:tcPr>
            <w:tcW w:w="1352" w:type="dxa"/>
            <w:gridSpan w:val="2"/>
            <w:vAlign w:val="center"/>
          </w:tcPr>
          <w:p w14:paraId="1B2AEF12">
            <w:pPr>
              <w:jc w:val="center"/>
              <w:rPr>
                <w:color w:val="auto"/>
                <w:highlight w:val="none"/>
              </w:rPr>
            </w:pPr>
            <w:r>
              <w:rPr>
                <w:rFonts w:hint="eastAsia"/>
                <w:color w:val="auto"/>
                <w:highlight w:val="none"/>
              </w:rPr>
              <w:t>注册专业</w:t>
            </w:r>
          </w:p>
        </w:tc>
        <w:tc>
          <w:tcPr>
            <w:tcW w:w="1222" w:type="dxa"/>
            <w:gridSpan w:val="3"/>
            <w:vAlign w:val="center"/>
          </w:tcPr>
          <w:p w14:paraId="6B832265">
            <w:pPr>
              <w:jc w:val="center"/>
              <w:rPr>
                <w:color w:val="auto"/>
                <w:highlight w:val="none"/>
              </w:rPr>
            </w:pPr>
            <w:r>
              <w:rPr>
                <w:color w:val="auto"/>
                <w:highlight w:val="none"/>
              </w:rPr>
              <w:t>级别</w:t>
            </w:r>
          </w:p>
        </w:tc>
        <w:tc>
          <w:tcPr>
            <w:tcW w:w="1417" w:type="dxa"/>
            <w:gridSpan w:val="2"/>
            <w:vAlign w:val="center"/>
          </w:tcPr>
          <w:p w14:paraId="0A4A2CCE">
            <w:pPr>
              <w:jc w:val="center"/>
              <w:rPr>
                <w:color w:val="auto"/>
                <w:highlight w:val="none"/>
              </w:rPr>
            </w:pPr>
            <w:r>
              <w:rPr>
                <w:rFonts w:hint="eastAsia" w:cs="宋体"/>
                <w:color w:val="auto"/>
                <w:highlight w:val="none"/>
              </w:rPr>
              <w:t>证书编号</w:t>
            </w:r>
          </w:p>
        </w:tc>
        <w:tc>
          <w:tcPr>
            <w:tcW w:w="1418" w:type="dxa"/>
            <w:gridSpan w:val="3"/>
            <w:vAlign w:val="center"/>
          </w:tcPr>
          <w:p w14:paraId="13011B3D">
            <w:pPr>
              <w:jc w:val="center"/>
              <w:rPr>
                <w:color w:val="auto"/>
                <w:highlight w:val="none"/>
              </w:rPr>
            </w:pPr>
            <w:r>
              <w:rPr>
                <w:rFonts w:hint="eastAsia"/>
                <w:color w:val="auto"/>
                <w:highlight w:val="none"/>
              </w:rPr>
              <w:t>注册时间</w:t>
            </w:r>
          </w:p>
        </w:tc>
        <w:tc>
          <w:tcPr>
            <w:tcW w:w="1632" w:type="dxa"/>
            <w:gridSpan w:val="4"/>
            <w:vAlign w:val="center"/>
          </w:tcPr>
          <w:p w14:paraId="5FEDD19A">
            <w:pPr>
              <w:jc w:val="center"/>
              <w:rPr>
                <w:color w:val="auto"/>
                <w:highlight w:val="none"/>
              </w:rPr>
            </w:pPr>
            <w:r>
              <w:rPr>
                <w:rFonts w:hint="eastAsia"/>
                <w:color w:val="auto"/>
                <w:highlight w:val="none"/>
              </w:rPr>
              <w:t>注册单位</w:t>
            </w:r>
          </w:p>
        </w:tc>
        <w:tc>
          <w:tcPr>
            <w:tcW w:w="1416" w:type="dxa"/>
            <w:gridSpan w:val="2"/>
            <w:vAlign w:val="center"/>
          </w:tcPr>
          <w:p w14:paraId="02B44211">
            <w:pPr>
              <w:jc w:val="center"/>
              <w:rPr>
                <w:color w:val="auto"/>
                <w:highlight w:val="none"/>
              </w:rPr>
            </w:pPr>
            <w:r>
              <w:rPr>
                <w:rFonts w:hint="eastAsia"/>
                <w:color w:val="auto"/>
                <w:highlight w:val="none"/>
              </w:rPr>
              <w:t>注册有效期</w:t>
            </w:r>
          </w:p>
        </w:tc>
      </w:tr>
      <w:tr w14:paraId="1177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78685CA5">
            <w:pPr>
              <w:jc w:val="center"/>
              <w:rPr>
                <w:color w:val="auto"/>
                <w:highlight w:val="none"/>
              </w:rPr>
            </w:pPr>
          </w:p>
        </w:tc>
        <w:tc>
          <w:tcPr>
            <w:tcW w:w="1352" w:type="dxa"/>
            <w:gridSpan w:val="2"/>
            <w:vAlign w:val="center"/>
          </w:tcPr>
          <w:p w14:paraId="58933FEE">
            <w:pPr>
              <w:jc w:val="center"/>
              <w:rPr>
                <w:color w:val="auto"/>
                <w:highlight w:val="none"/>
              </w:rPr>
            </w:pPr>
          </w:p>
        </w:tc>
        <w:tc>
          <w:tcPr>
            <w:tcW w:w="1222" w:type="dxa"/>
            <w:gridSpan w:val="3"/>
            <w:vAlign w:val="center"/>
          </w:tcPr>
          <w:p w14:paraId="6F7F5CF9">
            <w:pPr>
              <w:jc w:val="center"/>
              <w:rPr>
                <w:rFonts w:cs="宋体"/>
                <w:color w:val="auto"/>
                <w:highlight w:val="none"/>
              </w:rPr>
            </w:pPr>
          </w:p>
        </w:tc>
        <w:tc>
          <w:tcPr>
            <w:tcW w:w="1417" w:type="dxa"/>
            <w:gridSpan w:val="2"/>
            <w:vAlign w:val="center"/>
          </w:tcPr>
          <w:p w14:paraId="14AE77FE">
            <w:pPr>
              <w:jc w:val="center"/>
              <w:rPr>
                <w:color w:val="auto"/>
                <w:highlight w:val="none"/>
              </w:rPr>
            </w:pPr>
          </w:p>
        </w:tc>
        <w:tc>
          <w:tcPr>
            <w:tcW w:w="1418" w:type="dxa"/>
            <w:gridSpan w:val="3"/>
            <w:vAlign w:val="center"/>
          </w:tcPr>
          <w:p w14:paraId="288D2528">
            <w:pPr>
              <w:jc w:val="center"/>
              <w:rPr>
                <w:color w:val="auto"/>
                <w:highlight w:val="none"/>
              </w:rPr>
            </w:pPr>
          </w:p>
        </w:tc>
        <w:tc>
          <w:tcPr>
            <w:tcW w:w="1632" w:type="dxa"/>
            <w:gridSpan w:val="4"/>
            <w:vAlign w:val="center"/>
          </w:tcPr>
          <w:p w14:paraId="13C142F7">
            <w:pPr>
              <w:jc w:val="center"/>
              <w:rPr>
                <w:color w:val="auto"/>
                <w:highlight w:val="none"/>
              </w:rPr>
            </w:pPr>
          </w:p>
        </w:tc>
        <w:tc>
          <w:tcPr>
            <w:tcW w:w="1416" w:type="dxa"/>
            <w:gridSpan w:val="2"/>
            <w:vAlign w:val="center"/>
          </w:tcPr>
          <w:p w14:paraId="589D5FF2">
            <w:pPr>
              <w:jc w:val="center"/>
              <w:rPr>
                <w:color w:val="auto"/>
                <w:highlight w:val="none"/>
              </w:rPr>
            </w:pPr>
          </w:p>
        </w:tc>
      </w:tr>
      <w:tr w14:paraId="0D8D6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233A5B09">
            <w:pPr>
              <w:jc w:val="center"/>
              <w:rPr>
                <w:color w:val="auto"/>
                <w:highlight w:val="none"/>
              </w:rPr>
            </w:pPr>
          </w:p>
        </w:tc>
        <w:tc>
          <w:tcPr>
            <w:tcW w:w="1352" w:type="dxa"/>
            <w:gridSpan w:val="2"/>
            <w:vAlign w:val="center"/>
          </w:tcPr>
          <w:p w14:paraId="1646C9DE">
            <w:pPr>
              <w:jc w:val="center"/>
              <w:rPr>
                <w:color w:val="auto"/>
                <w:highlight w:val="none"/>
              </w:rPr>
            </w:pPr>
          </w:p>
        </w:tc>
        <w:tc>
          <w:tcPr>
            <w:tcW w:w="1222" w:type="dxa"/>
            <w:gridSpan w:val="3"/>
            <w:vAlign w:val="center"/>
          </w:tcPr>
          <w:p w14:paraId="28AC4075">
            <w:pPr>
              <w:jc w:val="center"/>
              <w:rPr>
                <w:rFonts w:cs="宋体"/>
                <w:color w:val="auto"/>
                <w:highlight w:val="none"/>
              </w:rPr>
            </w:pPr>
          </w:p>
        </w:tc>
        <w:tc>
          <w:tcPr>
            <w:tcW w:w="1417" w:type="dxa"/>
            <w:gridSpan w:val="2"/>
            <w:vAlign w:val="center"/>
          </w:tcPr>
          <w:p w14:paraId="6FA19F5B">
            <w:pPr>
              <w:jc w:val="center"/>
              <w:rPr>
                <w:color w:val="auto"/>
                <w:highlight w:val="none"/>
              </w:rPr>
            </w:pPr>
          </w:p>
        </w:tc>
        <w:tc>
          <w:tcPr>
            <w:tcW w:w="1418" w:type="dxa"/>
            <w:gridSpan w:val="3"/>
            <w:vAlign w:val="center"/>
          </w:tcPr>
          <w:p w14:paraId="1F8265D8">
            <w:pPr>
              <w:jc w:val="center"/>
              <w:rPr>
                <w:color w:val="auto"/>
                <w:highlight w:val="none"/>
              </w:rPr>
            </w:pPr>
          </w:p>
        </w:tc>
        <w:tc>
          <w:tcPr>
            <w:tcW w:w="1632" w:type="dxa"/>
            <w:gridSpan w:val="4"/>
            <w:vAlign w:val="center"/>
          </w:tcPr>
          <w:p w14:paraId="1DC07635">
            <w:pPr>
              <w:jc w:val="center"/>
              <w:rPr>
                <w:color w:val="auto"/>
                <w:highlight w:val="none"/>
              </w:rPr>
            </w:pPr>
          </w:p>
        </w:tc>
        <w:tc>
          <w:tcPr>
            <w:tcW w:w="1416" w:type="dxa"/>
            <w:gridSpan w:val="2"/>
            <w:vAlign w:val="center"/>
          </w:tcPr>
          <w:p w14:paraId="4F728570">
            <w:pPr>
              <w:jc w:val="center"/>
              <w:rPr>
                <w:color w:val="auto"/>
                <w:highlight w:val="none"/>
              </w:rPr>
            </w:pPr>
          </w:p>
        </w:tc>
      </w:tr>
      <w:tr w14:paraId="661E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7"/>
            <w:vAlign w:val="center"/>
          </w:tcPr>
          <w:p w14:paraId="1B8C56EB">
            <w:pPr>
              <w:jc w:val="center"/>
              <w:rPr>
                <w:color w:val="auto"/>
                <w:highlight w:val="none"/>
              </w:rPr>
            </w:pPr>
            <w:r>
              <w:rPr>
                <w:rFonts w:hint="eastAsia" w:cs="宋体"/>
                <w:color w:val="auto"/>
                <w:highlight w:val="none"/>
              </w:rPr>
              <w:t>在建和已完工程项目情况</w:t>
            </w:r>
          </w:p>
        </w:tc>
      </w:tr>
      <w:tr w14:paraId="7F65B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720CCFDA">
            <w:pPr>
              <w:jc w:val="center"/>
              <w:rPr>
                <w:color w:val="auto"/>
                <w:highlight w:val="none"/>
              </w:rPr>
            </w:pPr>
          </w:p>
        </w:tc>
        <w:tc>
          <w:tcPr>
            <w:tcW w:w="1548" w:type="dxa"/>
            <w:gridSpan w:val="2"/>
            <w:vAlign w:val="center"/>
          </w:tcPr>
          <w:p w14:paraId="48FD8B83">
            <w:pPr>
              <w:jc w:val="center"/>
              <w:rPr>
                <w:color w:val="auto"/>
                <w:highlight w:val="none"/>
              </w:rPr>
            </w:pPr>
            <w:r>
              <w:rPr>
                <w:rFonts w:hint="eastAsia"/>
                <w:color w:val="auto"/>
                <w:highlight w:val="none"/>
              </w:rPr>
              <w:t>项目1</w:t>
            </w:r>
          </w:p>
        </w:tc>
        <w:tc>
          <w:tcPr>
            <w:tcW w:w="1837" w:type="dxa"/>
            <w:gridSpan w:val="3"/>
            <w:vAlign w:val="center"/>
          </w:tcPr>
          <w:p w14:paraId="251143B1">
            <w:pPr>
              <w:jc w:val="center"/>
              <w:rPr>
                <w:color w:val="auto"/>
                <w:highlight w:val="none"/>
              </w:rPr>
            </w:pPr>
            <w:r>
              <w:rPr>
                <w:rFonts w:hint="eastAsia"/>
                <w:color w:val="auto"/>
                <w:highlight w:val="none"/>
              </w:rPr>
              <w:t>项目2</w:t>
            </w:r>
          </w:p>
        </w:tc>
        <w:tc>
          <w:tcPr>
            <w:tcW w:w="1472" w:type="dxa"/>
            <w:gridSpan w:val="3"/>
            <w:vAlign w:val="center"/>
          </w:tcPr>
          <w:p w14:paraId="4929EF23">
            <w:pPr>
              <w:jc w:val="center"/>
              <w:rPr>
                <w:color w:val="auto"/>
                <w:highlight w:val="none"/>
              </w:rPr>
            </w:pPr>
            <w:r>
              <w:rPr>
                <w:rFonts w:hint="eastAsia"/>
                <w:color w:val="auto"/>
                <w:highlight w:val="none"/>
              </w:rPr>
              <w:t>项目3</w:t>
            </w:r>
          </w:p>
        </w:tc>
        <w:tc>
          <w:tcPr>
            <w:tcW w:w="1641" w:type="dxa"/>
            <w:gridSpan w:val="4"/>
            <w:vAlign w:val="center"/>
          </w:tcPr>
          <w:p w14:paraId="0E26FE62">
            <w:pPr>
              <w:jc w:val="center"/>
              <w:rPr>
                <w:color w:val="auto"/>
                <w:highlight w:val="none"/>
              </w:rPr>
            </w:pPr>
            <w:r>
              <w:rPr>
                <w:rFonts w:hint="eastAsia"/>
                <w:color w:val="auto"/>
                <w:highlight w:val="none"/>
              </w:rPr>
              <w:t>项目4</w:t>
            </w:r>
          </w:p>
        </w:tc>
        <w:tc>
          <w:tcPr>
            <w:tcW w:w="1484" w:type="dxa"/>
            <w:gridSpan w:val="2"/>
            <w:vAlign w:val="center"/>
          </w:tcPr>
          <w:p w14:paraId="56D26299">
            <w:pPr>
              <w:jc w:val="center"/>
              <w:rPr>
                <w:color w:val="auto"/>
                <w:highlight w:val="none"/>
              </w:rPr>
            </w:pPr>
            <w:r>
              <w:rPr>
                <w:rFonts w:hint="eastAsia"/>
                <w:color w:val="auto"/>
                <w:highlight w:val="none"/>
              </w:rPr>
              <w:t>……</w:t>
            </w:r>
          </w:p>
        </w:tc>
      </w:tr>
      <w:tr w14:paraId="31731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6470EDDE">
            <w:pPr>
              <w:jc w:val="center"/>
              <w:rPr>
                <w:color w:val="auto"/>
                <w:highlight w:val="none"/>
              </w:rPr>
            </w:pPr>
            <w:r>
              <w:rPr>
                <w:rFonts w:hint="eastAsia"/>
                <w:color w:val="auto"/>
                <w:highlight w:val="none"/>
              </w:rPr>
              <w:t>项目名称</w:t>
            </w:r>
          </w:p>
        </w:tc>
        <w:tc>
          <w:tcPr>
            <w:tcW w:w="1548" w:type="dxa"/>
            <w:gridSpan w:val="2"/>
            <w:vAlign w:val="center"/>
          </w:tcPr>
          <w:p w14:paraId="51C977AA">
            <w:pPr>
              <w:jc w:val="center"/>
              <w:rPr>
                <w:color w:val="auto"/>
                <w:highlight w:val="none"/>
              </w:rPr>
            </w:pPr>
          </w:p>
        </w:tc>
        <w:tc>
          <w:tcPr>
            <w:tcW w:w="1837" w:type="dxa"/>
            <w:gridSpan w:val="3"/>
            <w:vAlign w:val="center"/>
          </w:tcPr>
          <w:p w14:paraId="462A7035">
            <w:pPr>
              <w:jc w:val="center"/>
              <w:rPr>
                <w:color w:val="auto"/>
                <w:highlight w:val="none"/>
              </w:rPr>
            </w:pPr>
          </w:p>
        </w:tc>
        <w:tc>
          <w:tcPr>
            <w:tcW w:w="1472" w:type="dxa"/>
            <w:gridSpan w:val="3"/>
            <w:vAlign w:val="center"/>
          </w:tcPr>
          <w:p w14:paraId="3959FD63">
            <w:pPr>
              <w:jc w:val="center"/>
              <w:rPr>
                <w:color w:val="auto"/>
                <w:highlight w:val="none"/>
              </w:rPr>
            </w:pPr>
          </w:p>
        </w:tc>
        <w:tc>
          <w:tcPr>
            <w:tcW w:w="1641" w:type="dxa"/>
            <w:gridSpan w:val="4"/>
            <w:vAlign w:val="center"/>
          </w:tcPr>
          <w:p w14:paraId="6DD4F01F">
            <w:pPr>
              <w:jc w:val="center"/>
              <w:rPr>
                <w:color w:val="auto"/>
                <w:highlight w:val="none"/>
              </w:rPr>
            </w:pPr>
          </w:p>
        </w:tc>
        <w:tc>
          <w:tcPr>
            <w:tcW w:w="1484" w:type="dxa"/>
            <w:gridSpan w:val="2"/>
            <w:vAlign w:val="center"/>
          </w:tcPr>
          <w:p w14:paraId="69C6ADBD">
            <w:pPr>
              <w:jc w:val="center"/>
              <w:rPr>
                <w:color w:val="auto"/>
                <w:highlight w:val="none"/>
              </w:rPr>
            </w:pPr>
          </w:p>
        </w:tc>
      </w:tr>
      <w:tr w14:paraId="7351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09C65936">
            <w:pPr>
              <w:jc w:val="center"/>
              <w:rPr>
                <w:color w:val="auto"/>
                <w:highlight w:val="none"/>
              </w:rPr>
            </w:pPr>
            <w:r>
              <w:rPr>
                <w:rFonts w:hint="eastAsia" w:cs="宋体"/>
                <w:color w:val="auto"/>
                <w:highlight w:val="none"/>
              </w:rPr>
              <w:t>建设单位</w:t>
            </w:r>
          </w:p>
        </w:tc>
        <w:tc>
          <w:tcPr>
            <w:tcW w:w="1548" w:type="dxa"/>
            <w:gridSpan w:val="2"/>
            <w:vAlign w:val="center"/>
          </w:tcPr>
          <w:p w14:paraId="56ECD2BF">
            <w:pPr>
              <w:jc w:val="center"/>
              <w:rPr>
                <w:color w:val="auto"/>
                <w:highlight w:val="none"/>
              </w:rPr>
            </w:pPr>
          </w:p>
        </w:tc>
        <w:tc>
          <w:tcPr>
            <w:tcW w:w="1837" w:type="dxa"/>
            <w:gridSpan w:val="3"/>
            <w:vAlign w:val="center"/>
          </w:tcPr>
          <w:p w14:paraId="7D870773">
            <w:pPr>
              <w:jc w:val="center"/>
              <w:rPr>
                <w:color w:val="auto"/>
                <w:highlight w:val="none"/>
              </w:rPr>
            </w:pPr>
          </w:p>
        </w:tc>
        <w:tc>
          <w:tcPr>
            <w:tcW w:w="1472" w:type="dxa"/>
            <w:gridSpan w:val="3"/>
            <w:vAlign w:val="center"/>
          </w:tcPr>
          <w:p w14:paraId="6AF6FBA3">
            <w:pPr>
              <w:jc w:val="center"/>
              <w:rPr>
                <w:color w:val="auto"/>
                <w:highlight w:val="none"/>
              </w:rPr>
            </w:pPr>
          </w:p>
        </w:tc>
        <w:tc>
          <w:tcPr>
            <w:tcW w:w="1641" w:type="dxa"/>
            <w:gridSpan w:val="4"/>
            <w:vAlign w:val="center"/>
          </w:tcPr>
          <w:p w14:paraId="66842FB6">
            <w:pPr>
              <w:jc w:val="center"/>
              <w:rPr>
                <w:color w:val="auto"/>
                <w:highlight w:val="none"/>
              </w:rPr>
            </w:pPr>
          </w:p>
        </w:tc>
        <w:tc>
          <w:tcPr>
            <w:tcW w:w="1484" w:type="dxa"/>
            <w:gridSpan w:val="2"/>
            <w:vAlign w:val="center"/>
          </w:tcPr>
          <w:p w14:paraId="268B5B22">
            <w:pPr>
              <w:jc w:val="center"/>
              <w:rPr>
                <w:color w:val="auto"/>
                <w:highlight w:val="none"/>
              </w:rPr>
            </w:pPr>
          </w:p>
        </w:tc>
      </w:tr>
      <w:tr w14:paraId="6766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2A589D5D">
            <w:pPr>
              <w:jc w:val="center"/>
              <w:rPr>
                <w:color w:val="auto"/>
                <w:highlight w:val="none"/>
              </w:rPr>
            </w:pPr>
            <w:r>
              <w:rPr>
                <w:rFonts w:hint="eastAsia" w:cs="宋体"/>
                <w:color w:val="auto"/>
                <w:highlight w:val="none"/>
              </w:rPr>
              <w:t>建设规模</w:t>
            </w:r>
          </w:p>
        </w:tc>
        <w:tc>
          <w:tcPr>
            <w:tcW w:w="1548" w:type="dxa"/>
            <w:gridSpan w:val="2"/>
            <w:vAlign w:val="center"/>
          </w:tcPr>
          <w:p w14:paraId="6BBD8D2A">
            <w:pPr>
              <w:jc w:val="center"/>
              <w:rPr>
                <w:color w:val="auto"/>
                <w:highlight w:val="none"/>
              </w:rPr>
            </w:pPr>
          </w:p>
        </w:tc>
        <w:tc>
          <w:tcPr>
            <w:tcW w:w="1837" w:type="dxa"/>
            <w:gridSpan w:val="3"/>
            <w:vAlign w:val="center"/>
          </w:tcPr>
          <w:p w14:paraId="263F4681">
            <w:pPr>
              <w:jc w:val="center"/>
              <w:rPr>
                <w:color w:val="auto"/>
                <w:highlight w:val="none"/>
              </w:rPr>
            </w:pPr>
          </w:p>
        </w:tc>
        <w:tc>
          <w:tcPr>
            <w:tcW w:w="1472" w:type="dxa"/>
            <w:gridSpan w:val="3"/>
            <w:vAlign w:val="center"/>
          </w:tcPr>
          <w:p w14:paraId="1BD632AB">
            <w:pPr>
              <w:jc w:val="center"/>
              <w:rPr>
                <w:color w:val="auto"/>
                <w:highlight w:val="none"/>
              </w:rPr>
            </w:pPr>
          </w:p>
        </w:tc>
        <w:tc>
          <w:tcPr>
            <w:tcW w:w="1641" w:type="dxa"/>
            <w:gridSpan w:val="4"/>
            <w:vAlign w:val="center"/>
          </w:tcPr>
          <w:p w14:paraId="5613C8F9">
            <w:pPr>
              <w:jc w:val="center"/>
              <w:rPr>
                <w:color w:val="auto"/>
                <w:highlight w:val="none"/>
              </w:rPr>
            </w:pPr>
          </w:p>
        </w:tc>
        <w:tc>
          <w:tcPr>
            <w:tcW w:w="1484" w:type="dxa"/>
            <w:gridSpan w:val="2"/>
            <w:vAlign w:val="center"/>
          </w:tcPr>
          <w:p w14:paraId="2F77A14A">
            <w:pPr>
              <w:jc w:val="center"/>
              <w:rPr>
                <w:color w:val="auto"/>
                <w:highlight w:val="none"/>
              </w:rPr>
            </w:pPr>
          </w:p>
        </w:tc>
      </w:tr>
      <w:tr w14:paraId="3514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5C594478">
            <w:pPr>
              <w:jc w:val="center"/>
              <w:rPr>
                <w:rFonts w:ascii="宋体" w:hAnsi="宋体" w:cs="宋体"/>
                <w:color w:val="auto"/>
                <w:sz w:val="27"/>
                <w:szCs w:val="27"/>
                <w:highlight w:val="none"/>
              </w:rPr>
            </w:pPr>
            <w:r>
              <w:rPr>
                <w:rFonts w:hint="eastAsia" w:cs="宋体"/>
                <w:color w:val="auto"/>
                <w:highlight w:val="none"/>
              </w:rPr>
              <w:t>开工日期</w:t>
            </w:r>
          </w:p>
        </w:tc>
        <w:tc>
          <w:tcPr>
            <w:tcW w:w="1548" w:type="dxa"/>
            <w:gridSpan w:val="2"/>
            <w:vAlign w:val="center"/>
          </w:tcPr>
          <w:p w14:paraId="63DE85EC">
            <w:pPr>
              <w:jc w:val="center"/>
              <w:rPr>
                <w:color w:val="auto"/>
                <w:highlight w:val="none"/>
              </w:rPr>
            </w:pPr>
          </w:p>
        </w:tc>
        <w:tc>
          <w:tcPr>
            <w:tcW w:w="1837" w:type="dxa"/>
            <w:gridSpan w:val="3"/>
            <w:vAlign w:val="center"/>
          </w:tcPr>
          <w:p w14:paraId="1C277A13">
            <w:pPr>
              <w:jc w:val="center"/>
              <w:rPr>
                <w:color w:val="auto"/>
                <w:highlight w:val="none"/>
              </w:rPr>
            </w:pPr>
          </w:p>
        </w:tc>
        <w:tc>
          <w:tcPr>
            <w:tcW w:w="1472" w:type="dxa"/>
            <w:gridSpan w:val="3"/>
            <w:vAlign w:val="center"/>
          </w:tcPr>
          <w:p w14:paraId="1C40914E">
            <w:pPr>
              <w:jc w:val="center"/>
              <w:rPr>
                <w:color w:val="auto"/>
                <w:highlight w:val="none"/>
              </w:rPr>
            </w:pPr>
          </w:p>
        </w:tc>
        <w:tc>
          <w:tcPr>
            <w:tcW w:w="1641" w:type="dxa"/>
            <w:gridSpan w:val="4"/>
            <w:vAlign w:val="center"/>
          </w:tcPr>
          <w:p w14:paraId="1415DC38">
            <w:pPr>
              <w:jc w:val="center"/>
              <w:rPr>
                <w:color w:val="auto"/>
                <w:highlight w:val="none"/>
              </w:rPr>
            </w:pPr>
          </w:p>
        </w:tc>
        <w:tc>
          <w:tcPr>
            <w:tcW w:w="1484" w:type="dxa"/>
            <w:gridSpan w:val="2"/>
            <w:vAlign w:val="center"/>
          </w:tcPr>
          <w:p w14:paraId="4888926F">
            <w:pPr>
              <w:jc w:val="center"/>
              <w:rPr>
                <w:color w:val="auto"/>
                <w:highlight w:val="none"/>
              </w:rPr>
            </w:pPr>
          </w:p>
        </w:tc>
      </w:tr>
      <w:tr w14:paraId="5DF0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45393EC1">
            <w:pPr>
              <w:jc w:val="center"/>
              <w:rPr>
                <w:color w:val="auto"/>
                <w:highlight w:val="none"/>
              </w:rPr>
            </w:pPr>
            <w:r>
              <w:rPr>
                <w:rFonts w:hint="eastAsia" w:cs="宋体"/>
                <w:color w:val="auto"/>
                <w:highlight w:val="none"/>
              </w:rPr>
              <w:t>竣工日期</w:t>
            </w:r>
          </w:p>
        </w:tc>
        <w:tc>
          <w:tcPr>
            <w:tcW w:w="1548" w:type="dxa"/>
            <w:gridSpan w:val="2"/>
            <w:vAlign w:val="center"/>
          </w:tcPr>
          <w:p w14:paraId="672160B4">
            <w:pPr>
              <w:jc w:val="center"/>
              <w:rPr>
                <w:color w:val="auto"/>
                <w:highlight w:val="none"/>
              </w:rPr>
            </w:pPr>
          </w:p>
        </w:tc>
        <w:tc>
          <w:tcPr>
            <w:tcW w:w="1837" w:type="dxa"/>
            <w:gridSpan w:val="3"/>
            <w:vAlign w:val="center"/>
          </w:tcPr>
          <w:p w14:paraId="0C965BB8">
            <w:pPr>
              <w:jc w:val="center"/>
              <w:rPr>
                <w:color w:val="auto"/>
                <w:highlight w:val="none"/>
              </w:rPr>
            </w:pPr>
          </w:p>
        </w:tc>
        <w:tc>
          <w:tcPr>
            <w:tcW w:w="1472" w:type="dxa"/>
            <w:gridSpan w:val="3"/>
            <w:vAlign w:val="center"/>
          </w:tcPr>
          <w:p w14:paraId="637CE987">
            <w:pPr>
              <w:jc w:val="center"/>
              <w:rPr>
                <w:color w:val="auto"/>
                <w:highlight w:val="none"/>
              </w:rPr>
            </w:pPr>
          </w:p>
        </w:tc>
        <w:tc>
          <w:tcPr>
            <w:tcW w:w="1641" w:type="dxa"/>
            <w:gridSpan w:val="4"/>
            <w:vAlign w:val="center"/>
          </w:tcPr>
          <w:p w14:paraId="75929EFB">
            <w:pPr>
              <w:jc w:val="center"/>
              <w:rPr>
                <w:color w:val="auto"/>
                <w:highlight w:val="none"/>
              </w:rPr>
            </w:pPr>
          </w:p>
        </w:tc>
        <w:tc>
          <w:tcPr>
            <w:tcW w:w="1484" w:type="dxa"/>
            <w:gridSpan w:val="2"/>
            <w:vAlign w:val="center"/>
          </w:tcPr>
          <w:p w14:paraId="0CF350FD">
            <w:pPr>
              <w:jc w:val="center"/>
              <w:rPr>
                <w:color w:val="auto"/>
                <w:highlight w:val="none"/>
              </w:rPr>
            </w:pPr>
          </w:p>
        </w:tc>
      </w:tr>
      <w:tr w14:paraId="04BE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3B074022">
            <w:pPr>
              <w:jc w:val="center"/>
              <w:rPr>
                <w:rFonts w:cs="宋体"/>
                <w:color w:val="auto"/>
                <w:highlight w:val="none"/>
              </w:rPr>
            </w:pPr>
            <w:r>
              <w:rPr>
                <w:rFonts w:hint="eastAsia" w:cs="宋体"/>
                <w:color w:val="auto"/>
                <w:highlight w:val="none"/>
              </w:rPr>
              <w:t>人员角色</w:t>
            </w:r>
          </w:p>
        </w:tc>
        <w:tc>
          <w:tcPr>
            <w:tcW w:w="1548" w:type="dxa"/>
            <w:gridSpan w:val="2"/>
            <w:vAlign w:val="center"/>
          </w:tcPr>
          <w:p w14:paraId="0DF7D9C3">
            <w:pPr>
              <w:jc w:val="center"/>
              <w:rPr>
                <w:color w:val="auto"/>
                <w:highlight w:val="none"/>
              </w:rPr>
            </w:pPr>
          </w:p>
        </w:tc>
        <w:tc>
          <w:tcPr>
            <w:tcW w:w="1837" w:type="dxa"/>
            <w:gridSpan w:val="3"/>
            <w:vAlign w:val="center"/>
          </w:tcPr>
          <w:p w14:paraId="4943763E">
            <w:pPr>
              <w:jc w:val="center"/>
              <w:rPr>
                <w:color w:val="auto"/>
                <w:highlight w:val="none"/>
              </w:rPr>
            </w:pPr>
          </w:p>
        </w:tc>
        <w:tc>
          <w:tcPr>
            <w:tcW w:w="1472" w:type="dxa"/>
            <w:gridSpan w:val="3"/>
            <w:vAlign w:val="center"/>
          </w:tcPr>
          <w:p w14:paraId="3D51C00C">
            <w:pPr>
              <w:jc w:val="center"/>
              <w:rPr>
                <w:color w:val="auto"/>
                <w:highlight w:val="none"/>
              </w:rPr>
            </w:pPr>
          </w:p>
        </w:tc>
        <w:tc>
          <w:tcPr>
            <w:tcW w:w="1641" w:type="dxa"/>
            <w:gridSpan w:val="4"/>
            <w:vAlign w:val="center"/>
          </w:tcPr>
          <w:p w14:paraId="70D9CE54">
            <w:pPr>
              <w:jc w:val="center"/>
              <w:rPr>
                <w:color w:val="auto"/>
                <w:highlight w:val="none"/>
              </w:rPr>
            </w:pPr>
          </w:p>
        </w:tc>
        <w:tc>
          <w:tcPr>
            <w:tcW w:w="1484" w:type="dxa"/>
            <w:gridSpan w:val="2"/>
            <w:vAlign w:val="center"/>
          </w:tcPr>
          <w:p w14:paraId="709052D6">
            <w:pPr>
              <w:jc w:val="center"/>
              <w:rPr>
                <w:color w:val="auto"/>
                <w:highlight w:val="none"/>
              </w:rPr>
            </w:pPr>
          </w:p>
        </w:tc>
      </w:tr>
      <w:tr w14:paraId="502B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6871CBC8">
            <w:pPr>
              <w:jc w:val="center"/>
              <w:rPr>
                <w:rFonts w:cs="宋体"/>
                <w:color w:val="auto"/>
                <w:highlight w:val="none"/>
              </w:rPr>
            </w:pPr>
            <w:r>
              <w:rPr>
                <w:rFonts w:hint="eastAsia" w:cs="宋体"/>
                <w:color w:val="auto"/>
                <w:highlight w:val="none"/>
              </w:rPr>
              <w:t>在建或已完</w:t>
            </w:r>
          </w:p>
        </w:tc>
        <w:tc>
          <w:tcPr>
            <w:tcW w:w="1548" w:type="dxa"/>
            <w:gridSpan w:val="2"/>
            <w:vAlign w:val="center"/>
          </w:tcPr>
          <w:p w14:paraId="1E54A6B4">
            <w:pPr>
              <w:jc w:val="center"/>
              <w:rPr>
                <w:color w:val="auto"/>
                <w:highlight w:val="none"/>
              </w:rPr>
            </w:pPr>
          </w:p>
        </w:tc>
        <w:tc>
          <w:tcPr>
            <w:tcW w:w="1837" w:type="dxa"/>
            <w:gridSpan w:val="3"/>
            <w:vAlign w:val="center"/>
          </w:tcPr>
          <w:p w14:paraId="00A59D74">
            <w:pPr>
              <w:jc w:val="center"/>
              <w:rPr>
                <w:color w:val="auto"/>
                <w:highlight w:val="none"/>
              </w:rPr>
            </w:pPr>
          </w:p>
        </w:tc>
        <w:tc>
          <w:tcPr>
            <w:tcW w:w="1472" w:type="dxa"/>
            <w:gridSpan w:val="3"/>
            <w:vAlign w:val="center"/>
          </w:tcPr>
          <w:p w14:paraId="273FA90C">
            <w:pPr>
              <w:jc w:val="center"/>
              <w:rPr>
                <w:color w:val="auto"/>
                <w:highlight w:val="none"/>
              </w:rPr>
            </w:pPr>
          </w:p>
        </w:tc>
        <w:tc>
          <w:tcPr>
            <w:tcW w:w="1641" w:type="dxa"/>
            <w:gridSpan w:val="4"/>
            <w:vAlign w:val="center"/>
          </w:tcPr>
          <w:p w14:paraId="36EE2BC3">
            <w:pPr>
              <w:jc w:val="center"/>
              <w:rPr>
                <w:color w:val="auto"/>
                <w:highlight w:val="none"/>
              </w:rPr>
            </w:pPr>
          </w:p>
        </w:tc>
        <w:tc>
          <w:tcPr>
            <w:tcW w:w="1484" w:type="dxa"/>
            <w:gridSpan w:val="2"/>
            <w:vAlign w:val="center"/>
          </w:tcPr>
          <w:p w14:paraId="470E71DD">
            <w:pPr>
              <w:jc w:val="center"/>
              <w:rPr>
                <w:color w:val="auto"/>
                <w:highlight w:val="none"/>
              </w:rPr>
            </w:pPr>
          </w:p>
        </w:tc>
      </w:tr>
      <w:tr w14:paraId="1D140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3F42806F">
            <w:pPr>
              <w:jc w:val="center"/>
              <w:rPr>
                <w:rFonts w:cs="宋体"/>
                <w:color w:val="auto"/>
                <w:highlight w:val="none"/>
              </w:rPr>
            </w:pPr>
            <w:r>
              <w:rPr>
                <w:rFonts w:hint="eastAsia" w:cs="宋体"/>
                <w:color w:val="auto"/>
                <w:highlight w:val="none"/>
              </w:rPr>
              <w:t>工程质量</w:t>
            </w:r>
          </w:p>
        </w:tc>
        <w:tc>
          <w:tcPr>
            <w:tcW w:w="1548" w:type="dxa"/>
            <w:gridSpan w:val="2"/>
            <w:vAlign w:val="center"/>
          </w:tcPr>
          <w:p w14:paraId="7042B6FF">
            <w:pPr>
              <w:jc w:val="center"/>
              <w:rPr>
                <w:color w:val="auto"/>
                <w:highlight w:val="none"/>
              </w:rPr>
            </w:pPr>
          </w:p>
        </w:tc>
        <w:tc>
          <w:tcPr>
            <w:tcW w:w="1837" w:type="dxa"/>
            <w:gridSpan w:val="3"/>
            <w:vAlign w:val="center"/>
          </w:tcPr>
          <w:p w14:paraId="01101752">
            <w:pPr>
              <w:jc w:val="center"/>
              <w:rPr>
                <w:color w:val="auto"/>
                <w:highlight w:val="none"/>
              </w:rPr>
            </w:pPr>
          </w:p>
        </w:tc>
        <w:tc>
          <w:tcPr>
            <w:tcW w:w="1472" w:type="dxa"/>
            <w:gridSpan w:val="3"/>
            <w:vAlign w:val="center"/>
          </w:tcPr>
          <w:p w14:paraId="2B0868C8">
            <w:pPr>
              <w:jc w:val="center"/>
              <w:rPr>
                <w:color w:val="auto"/>
                <w:highlight w:val="none"/>
              </w:rPr>
            </w:pPr>
          </w:p>
        </w:tc>
        <w:tc>
          <w:tcPr>
            <w:tcW w:w="1641" w:type="dxa"/>
            <w:gridSpan w:val="4"/>
            <w:vAlign w:val="center"/>
          </w:tcPr>
          <w:p w14:paraId="6915D0C4">
            <w:pPr>
              <w:jc w:val="center"/>
              <w:rPr>
                <w:color w:val="auto"/>
                <w:highlight w:val="none"/>
              </w:rPr>
            </w:pPr>
          </w:p>
        </w:tc>
        <w:tc>
          <w:tcPr>
            <w:tcW w:w="1484" w:type="dxa"/>
            <w:gridSpan w:val="2"/>
            <w:vAlign w:val="center"/>
          </w:tcPr>
          <w:p w14:paraId="55F1BB16">
            <w:pPr>
              <w:jc w:val="center"/>
              <w:rPr>
                <w:color w:val="auto"/>
                <w:highlight w:val="none"/>
              </w:rPr>
            </w:pPr>
          </w:p>
        </w:tc>
      </w:tr>
      <w:tr w14:paraId="2043A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492F9467">
            <w:pPr>
              <w:jc w:val="center"/>
              <w:rPr>
                <w:rFonts w:cs="宋体"/>
                <w:color w:val="auto"/>
                <w:highlight w:val="none"/>
              </w:rPr>
            </w:pPr>
            <w:r>
              <w:rPr>
                <w:rFonts w:hint="eastAsia" w:cs="宋体"/>
                <w:color w:val="auto"/>
                <w:highlight w:val="none"/>
              </w:rPr>
              <w:t>受奖情况</w:t>
            </w:r>
          </w:p>
        </w:tc>
        <w:tc>
          <w:tcPr>
            <w:tcW w:w="1548" w:type="dxa"/>
            <w:gridSpan w:val="2"/>
            <w:vAlign w:val="center"/>
          </w:tcPr>
          <w:p w14:paraId="234A1A9D">
            <w:pPr>
              <w:jc w:val="center"/>
              <w:rPr>
                <w:color w:val="auto"/>
                <w:highlight w:val="none"/>
              </w:rPr>
            </w:pPr>
          </w:p>
        </w:tc>
        <w:tc>
          <w:tcPr>
            <w:tcW w:w="1837" w:type="dxa"/>
            <w:gridSpan w:val="3"/>
            <w:vAlign w:val="center"/>
          </w:tcPr>
          <w:p w14:paraId="028C1BB7">
            <w:pPr>
              <w:jc w:val="center"/>
              <w:rPr>
                <w:color w:val="auto"/>
                <w:highlight w:val="none"/>
              </w:rPr>
            </w:pPr>
          </w:p>
        </w:tc>
        <w:tc>
          <w:tcPr>
            <w:tcW w:w="1472" w:type="dxa"/>
            <w:gridSpan w:val="3"/>
            <w:vAlign w:val="center"/>
          </w:tcPr>
          <w:p w14:paraId="2622D281">
            <w:pPr>
              <w:jc w:val="center"/>
              <w:rPr>
                <w:color w:val="auto"/>
                <w:highlight w:val="none"/>
              </w:rPr>
            </w:pPr>
          </w:p>
        </w:tc>
        <w:tc>
          <w:tcPr>
            <w:tcW w:w="1641" w:type="dxa"/>
            <w:gridSpan w:val="4"/>
            <w:vAlign w:val="center"/>
          </w:tcPr>
          <w:p w14:paraId="64510C47">
            <w:pPr>
              <w:jc w:val="center"/>
              <w:rPr>
                <w:color w:val="auto"/>
                <w:highlight w:val="none"/>
              </w:rPr>
            </w:pPr>
          </w:p>
        </w:tc>
        <w:tc>
          <w:tcPr>
            <w:tcW w:w="1484" w:type="dxa"/>
            <w:gridSpan w:val="2"/>
            <w:vAlign w:val="center"/>
          </w:tcPr>
          <w:p w14:paraId="332A39BB">
            <w:pPr>
              <w:jc w:val="center"/>
              <w:rPr>
                <w:color w:val="auto"/>
                <w:highlight w:val="none"/>
              </w:rPr>
            </w:pPr>
          </w:p>
        </w:tc>
      </w:tr>
    </w:tbl>
    <w:p w14:paraId="5E99C108">
      <w:pPr>
        <w:spacing w:line="360" w:lineRule="auto"/>
        <w:rPr>
          <w:rFonts w:ascii="宋体" w:hAnsi="宋体"/>
          <w:color w:val="auto"/>
          <w:szCs w:val="21"/>
          <w:highlight w:val="none"/>
        </w:rPr>
      </w:pPr>
      <w:r>
        <w:rPr>
          <w:rFonts w:hint="eastAsia" w:ascii="宋体" w:hAnsi="宋体" w:cs="楷体_GB2312"/>
          <w:color w:val="auto"/>
          <w:szCs w:val="21"/>
          <w:highlight w:val="none"/>
        </w:rPr>
        <w:t>备注：</w:t>
      </w:r>
    </w:p>
    <w:p w14:paraId="770BFDBB">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.项目</w:t>
      </w:r>
      <w:r>
        <w:rPr>
          <w:rFonts w:ascii="宋体" w:hAnsi="宋体"/>
          <w:color w:val="auto"/>
          <w:szCs w:val="21"/>
          <w:highlight w:val="none"/>
        </w:rPr>
        <w:t>数</w:t>
      </w:r>
      <w:r>
        <w:rPr>
          <w:rFonts w:hint="eastAsia" w:ascii="宋体" w:hAnsi="宋体"/>
          <w:color w:val="auto"/>
          <w:szCs w:val="21"/>
          <w:highlight w:val="none"/>
        </w:rPr>
        <w:t>可</w:t>
      </w:r>
      <w:r>
        <w:rPr>
          <w:rFonts w:ascii="宋体" w:hAnsi="宋体"/>
          <w:color w:val="auto"/>
          <w:szCs w:val="21"/>
          <w:highlight w:val="none"/>
        </w:rPr>
        <w:t>以根据需要增加。</w:t>
      </w:r>
    </w:p>
    <w:p w14:paraId="132D756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2.本表后附项目技术负责人（项目总工）的学历证、本表所列证书扫描件并加盖供应商电子签章。</w:t>
      </w:r>
    </w:p>
    <w:p w14:paraId="1FEC5C3F">
      <w:pPr>
        <w:spacing w:line="360" w:lineRule="auto"/>
        <w:rPr>
          <w:rFonts w:eastAsia="楷体_GB2312"/>
          <w:color w:val="auto"/>
          <w:highlight w:val="none"/>
        </w:rPr>
      </w:pPr>
      <w:r>
        <w:rPr>
          <w:rFonts w:hint="eastAsia" w:ascii="仿宋_GB2312" w:eastAsia="仿宋_GB2312"/>
          <w:b/>
          <w:color w:val="auto"/>
          <w:sz w:val="24"/>
          <w:highlight w:val="none"/>
        </w:rPr>
        <w:t>注：此项材料必须</w:t>
      </w:r>
      <w:r>
        <w:rPr>
          <w:rFonts w:hint="eastAsia" w:ascii="仿宋_GB2312" w:hAnsi="宋体" w:eastAsia="仿宋_GB2312"/>
          <w:b/>
          <w:bCs/>
          <w:color w:val="auto"/>
          <w:sz w:val="24"/>
          <w:highlight w:val="none"/>
        </w:rPr>
        <w:t>以PDF格式上传。</w:t>
      </w:r>
    </w:p>
    <w:p w14:paraId="267F1389">
      <w:pPr>
        <w:pStyle w:val="29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color w:val="auto"/>
          <w:highlight w:val="none"/>
          <w:u w:val="single"/>
        </w:rPr>
      </w:pPr>
      <w:r>
        <w:rPr>
          <w:rFonts w:cs="宋体"/>
          <w:b/>
          <w:bCs/>
          <w:color w:val="auto"/>
          <w:sz w:val="28"/>
          <w:szCs w:val="28"/>
          <w:highlight w:val="none"/>
        </w:rPr>
        <w:br w:type="page"/>
      </w:r>
      <w:r>
        <w:rPr>
          <w:rFonts w:hint="eastAsia" w:cs="宋体"/>
          <w:b/>
          <w:color w:val="auto"/>
          <w:sz w:val="32"/>
          <w:szCs w:val="32"/>
          <w:highlight w:val="none"/>
        </w:rPr>
        <w:t>专职安全生产管理人员</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464"/>
        <w:gridCol w:w="888"/>
        <w:gridCol w:w="660"/>
        <w:gridCol w:w="328"/>
        <w:gridCol w:w="234"/>
        <w:gridCol w:w="1275"/>
        <w:gridCol w:w="142"/>
        <w:gridCol w:w="242"/>
        <w:gridCol w:w="1088"/>
        <w:gridCol w:w="88"/>
        <w:gridCol w:w="409"/>
        <w:gridCol w:w="1108"/>
        <w:gridCol w:w="36"/>
        <w:gridCol w:w="79"/>
        <w:gridCol w:w="1405"/>
        <w:gridCol w:w="11"/>
      </w:tblGrid>
      <w:tr w14:paraId="2EB16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39C9A1CE">
            <w:pPr>
              <w:jc w:val="center"/>
              <w:rPr>
                <w:color w:val="auto"/>
                <w:highlight w:val="none"/>
              </w:rPr>
            </w:pPr>
            <w:r>
              <w:rPr>
                <w:rFonts w:hint="eastAsia" w:cs="宋体"/>
                <w:color w:val="auto"/>
                <w:highlight w:val="none"/>
              </w:rPr>
              <w:t>姓名</w:t>
            </w:r>
          </w:p>
        </w:tc>
        <w:tc>
          <w:tcPr>
            <w:tcW w:w="2340" w:type="dxa"/>
            <w:gridSpan w:val="4"/>
            <w:vAlign w:val="center"/>
          </w:tcPr>
          <w:p w14:paraId="5A6A3B12">
            <w:pPr>
              <w:jc w:val="center"/>
              <w:rPr>
                <w:color w:val="auto"/>
                <w:highlight w:val="none"/>
              </w:rPr>
            </w:pPr>
          </w:p>
        </w:tc>
        <w:tc>
          <w:tcPr>
            <w:tcW w:w="1893" w:type="dxa"/>
            <w:gridSpan w:val="4"/>
            <w:vAlign w:val="center"/>
          </w:tcPr>
          <w:p w14:paraId="52F40863">
            <w:pPr>
              <w:jc w:val="center"/>
              <w:rPr>
                <w:color w:val="auto"/>
                <w:highlight w:val="none"/>
              </w:rPr>
            </w:pPr>
            <w:r>
              <w:rPr>
                <w:rFonts w:hint="eastAsia" w:cs="宋体"/>
                <w:color w:val="auto"/>
                <w:highlight w:val="none"/>
              </w:rPr>
              <w:t>性别</w:t>
            </w:r>
          </w:p>
        </w:tc>
        <w:tc>
          <w:tcPr>
            <w:tcW w:w="1585" w:type="dxa"/>
            <w:gridSpan w:val="3"/>
            <w:vAlign w:val="center"/>
          </w:tcPr>
          <w:p w14:paraId="2171E0C1">
            <w:pPr>
              <w:jc w:val="center"/>
              <w:rPr>
                <w:color w:val="auto"/>
                <w:highlight w:val="none"/>
              </w:rPr>
            </w:pPr>
          </w:p>
        </w:tc>
        <w:tc>
          <w:tcPr>
            <w:tcW w:w="1108" w:type="dxa"/>
            <w:vAlign w:val="center"/>
          </w:tcPr>
          <w:p w14:paraId="7A0E1980">
            <w:pPr>
              <w:jc w:val="center"/>
              <w:rPr>
                <w:color w:val="auto"/>
                <w:highlight w:val="none"/>
              </w:rPr>
            </w:pPr>
            <w:r>
              <w:rPr>
                <w:rFonts w:hint="eastAsia" w:cs="宋体"/>
                <w:color w:val="auto"/>
                <w:highlight w:val="none"/>
              </w:rPr>
              <w:t>年龄</w:t>
            </w:r>
          </w:p>
        </w:tc>
        <w:tc>
          <w:tcPr>
            <w:tcW w:w="1531" w:type="dxa"/>
            <w:gridSpan w:val="4"/>
            <w:vAlign w:val="center"/>
          </w:tcPr>
          <w:p w14:paraId="6EAA2CB3">
            <w:pPr>
              <w:jc w:val="center"/>
              <w:rPr>
                <w:color w:val="auto"/>
                <w:highlight w:val="none"/>
              </w:rPr>
            </w:pPr>
          </w:p>
        </w:tc>
      </w:tr>
      <w:tr w14:paraId="0ED61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7FA94673">
            <w:pPr>
              <w:jc w:val="center"/>
              <w:rPr>
                <w:color w:val="auto"/>
                <w:highlight w:val="none"/>
              </w:rPr>
            </w:pPr>
            <w:r>
              <w:rPr>
                <w:rFonts w:hint="eastAsia" w:cs="宋体"/>
                <w:color w:val="auto"/>
                <w:highlight w:val="none"/>
              </w:rPr>
              <w:t>岗位</w:t>
            </w:r>
          </w:p>
        </w:tc>
        <w:tc>
          <w:tcPr>
            <w:tcW w:w="2340" w:type="dxa"/>
            <w:gridSpan w:val="4"/>
            <w:vAlign w:val="center"/>
          </w:tcPr>
          <w:p w14:paraId="4E0A9B32">
            <w:pPr>
              <w:jc w:val="center"/>
              <w:rPr>
                <w:color w:val="auto"/>
                <w:highlight w:val="none"/>
              </w:rPr>
            </w:pPr>
            <w:r>
              <w:rPr>
                <w:rFonts w:hint="eastAsia"/>
                <w:color w:val="auto"/>
                <w:highlight w:val="none"/>
              </w:rPr>
              <w:t>专职安全生产管理人员</w:t>
            </w:r>
          </w:p>
        </w:tc>
        <w:tc>
          <w:tcPr>
            <w:tcW w:w="1893" w:type="dxa"/>
            <w:gridSpan w:val="4"/>
            <w:vAlign w:val="center"/>
          </w:tcPr>
          <w:p w14:paraId="43E592FE">
            <w:pPr>
              <w:jc w:val="center"/>
              <w:rPr>
                <w:color w:val="auto"/>
                <w:highlight w:val="none"/>
              </w:rPr>
            </w:pPr>
            <w:r>
              <w:rPr>
                <w:rFonts w:hint="eastAsia" w:cs="宋体"/>
                <w:color w:val="auto"/>
                <w:highlight w:val="none"/>
              </w:rPr>
              <w:t>职称</w:t>
            </w:r>
          </w:p>
        </w:tc>
        <w:tc>
          <w:tcPr>
            <w:tcW w:w="1585" w:type="dxa"/>
            <w:gridSpan w:val="3"/>
            <w:vAlign w:val="center"/>
          </w:tcPr>
          <w:p w14:paraId="3163D183">
            <w:pPr>
              <w:jc w:val="center"/>
              <w:rPr>
                <w:color w:val="auto"/>
                <w:highlight w:val="none"/>
              </w:rPr>
            </w:pPr>
          </w:p>
        </w:tc>
        <w:tc>
          <w:tcPr>
            <w:tcW w:w="1108" w:type="dxa"/>
            <w:vAlign w:val="center"/>
          </w:tcPr>
          <w:p w14:paraId="30A3854C">
            <w:pPr>
              <w:jc w:val="center"/>
              <w:rPr>
                <w:color w:val="auto"/>
                <w:highlight w:val="none"/>
              </w:rPr>
            </w:pPr>
            <w:r>
              <w:rPr>
                <w:rFonts w:hint="eastAsia" w:cs="宋体"/>
                <w:color w:val="auto"/>
                <w:highlight w:val="none"/>
              </w:rPr>
              <w:t>学历</w:t>
            </w:r>
          </w:p>
        </w:tc>
        <w:tc>
          <w:tcPr>
            <w:tcW w:w="1531" w:type="dxa"/>
            <w:gridSpan w:val="4"/>
            <w:vAlign w:val="center"/>
          </w:tcPr>
          <w:p w14:paraId="4F27727B">
            <w:pPr>
              <w:jc w:val="center"/>
              <w:rPr>
                <w:color w:val="auto"/>
                <w:highlight w:val="none"/>
              </w:rPr>
            </w:pPr>
          </w:p>
        </w:tc>
      </w:tr>
      <w:tr w14:paraId="3332B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14:paraId="5E85EFDD">
            <w:pPr>
              <w:jc w:val="center"/>
              <w:rPr>
                <w:rFonts w:cs="宋体"/>
                <w:color w:val="auto"/>
                <w:highlight w:val="none"/>
              </w:rPr>
            </w:pPr>
            <w:r>
              <w:rPr>
                <w:rFonts w:hint="eastAsia" w:cs="宋体"/>
                <w:color w:val="auto"/>
                <w:highlight w:val="none"/>
              </w:rPr>
              <w:t>从业开始时间</w:t>
            </w:r>
          </w:p>
        </w:tc>
        <w:tc>
          <w:tcPr>
            <w:tcW w:w="2340" w:type="dxa"/>
            <w:gridSpan w:val="4"/>
            <w:vAlign w:val="center"/>
          </w:tcPr>
          <w:p w14:paraId="2B370E64">
            <w:pPr>
              <w:jc w:val="center"/>
              <w:rPr>
                <w:color w:val="auto"/>
                <w:highlight w:val="none"/>
              </w:rPr>
            </w:pPr>
          </w:p>
        </w:tc>
        <w:tc>
          <w:tcPr>
            <w:tcW w:w="1893" w:type="dxa"/>
            <w:gridSpan w:val="4"/>
            <w:vAlign w:val="center"/>
          </w:tcPr>
          <w:p w14:paraId="542F21DF">
            <w:pPr>
              <w:jc w:val="center"/>
              <w:rPr>
                <w:rFonts w:cs="宋体"/>
                <w:color w:val="auto"/>
                <w:highlight w:val="none"/>
              </w:rPr>
            </w:pPr>
            <w:r>
              <w:rPr>
                <w:rFonts w:hint="eastAsia" w:cs="宋体"/>
                <w:color w:val="auto"/>
                <w:highlight w:val="none"/>
              </w:rPr>
              <w:t>职称</w:t>
            </w:r>
            <w:r>
              <w:rPr>
                <w:rFonts w:cs="宋体"/>
                <w:color w:val="auto"/>
                <w:highlight w:val="none"/>
              </w:rPr>
              <w:t>获</w:t>
            </w:r>
            <w:r>
              <w:rPr>
                <w:rFonts w:hint="eastAsia" w:cs="宋体"/>
                <w:color w:val="auto"/>
                <w:highlight w:val="none"/>
              </w:rPr>
              <w:t>得</w:t>
            </w:r>
            <w:r>
              <w:rPr>
                <w:rFonts w:cs="宋体"/>
                <w:color w:val="auto"/>
                <w:highlight w:val="none"/>
              </w:rPr>
              <w:t>时间</w:t>
            </w:r>
          </w:p>
        </w:tc>
        <w:tc>
          <w:tcPr>
            <w:tcW w:w="1585" w:type="dxa"/>
            <w:gridSpan w:val="3"/>
            <w:vAlign w:val="center"/>
          </w:tcPr>
          <w:p w14:paraId="2FDA74A9">
            <w:pPr>
              <w:jc w:val="center"/>
              <w:rPr>
                <w:color w:val="auto"/>
                <w:highlight w:val="none"/>
              </w:rPr>
            </w:pPr>
          </w:p>
        </w:tc>
        <w:tc>
          <w:tcPr>
            <w:tcW w:w="1108" w:type="dxa"/>
            <w:vAlign w:val="center"/>
          </w:tcPr>
          <w:p w14:paraId="64A537A1">
            <w:pPr>
              <w:jc w:val="center"/>
              <w:rPr>
                <w:rFonts w:cs="宋体"/>
                <w:color w:val="auto"/>
                <w:highlight w:val="none"/>
              </w:rPr>
            </w:pPr>
            <w:r>
              <w:rPr>
                <w:rFonts w:hint="eastAsia" w:cs="宋体"/>
                <w:color w:val="auto"/>
                <w:highlight w:val="none"/>
              </w:rPr>
              <w:t>毕业时间</w:t>
            </w:r>
          </w:p>
        </w:tc>
        <w:tc>
          <w:tcPr>
            <w:tcW w:w="1531" w:type="dxa"/>
            <w:gridSpan w:val="4"/>
            <w:vAlign w:val="center"/>
          </w:tcPr>
          <w:p w14:paraId="7B59CC0D">
            <w:pPr>
              <w:jc w:val="center"/>
              <w:rPr>
                <w:color w:val="auto"/>
                <w:highlight w:val="none"/>
              </w:rPr>
            </w:pPr>
          </w:p>
        </w:tc>
      </w:tr>
      <w:tr w14:paraId="3C6C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05D94FD1">
            <w:pPr>
              <w:jc w:val="center"/>
              <w:rPr>
                <w:color w:val="auto"/>
                <w:highlight w:val="none"/>
              </w:rPr>
            </w:pPr>
            <w:r>
              <w:rPr>
                <w:rFonts w:hint="eastAsia" w:cs="宋体"/>
                <w:color w:val="auto"/>
                <w:highlight w:val="none"/>
              </w:rPr>
              <w:t>担任……年限</w:t>
            </w:r>
          </w:p>
        </w:tc>
        <w:tc>
          <w:tcPr>
            <w:tcW w:w="2340" w:type="dxa"/>
            <w:gridSpan w:val="4"/>
            <w:vAlign w:val="center"/>
          </w:tcPr>
          <w:p w14:paraId="7B75A0FB">
            <w:pPr>
              <w:jc w:val="center"/>
              <w:rPr>
                <w:color w:val="auto"/>
                <w:highlight w:val="none"/>
              </w:rPr>
            </w:pPr>
          </w:p>
        </w:tc>
        <w:tc>
          <w:tcPr>
            <w:tcW w:w="1509" w:type="dxa"/>
            <w:gridSpan w:val="2"/>
            <w:vAlign w:val="center"/>
          </w:tcPr>
          <w:p w14:paraId="3035D87D">
            <w:pPr>
              <w:jc w:val="center"/>
              <w:rPr>
                <w:color w:val="auto"/>
                <w:highlight w:val="none"/>
              </w:rPr>
            </w:pPr>
            <w:r>
              <w:rPr>
                <w:rFonts w:hint="eastAsia"/>
                <w:color w:val="auto"/>
                <w:highlight w:val="none"/>
              </w:rPr>
              <w:t>身份</w:t>
            </w:r>
            <w:r>
              <w:rPr>
                <w:color w:val="auto"/>
                <w:highlight w:val="none"/>
              </w:rPr>
              <w:t>证号码</w:t>
            </w:r>
          </w:p>
        </w:tc>
        <w:tc>
          <w:tcPr>
            <w:tcW w:w="4608" w:type="dxa"/>
            <w:gridSpan w:val="10"/>
            <w:vAlign w:val="center"/>
          </w:tcPr>
          <w:p w14:paraId="175450A8">
            <w:pPr>
              <w:jc w:val="center"/>
              <w:rPr>
                <w:color w:val="auto"/>
                <w:highlight w:val="none"/>
              </w:rPr>
            </w:pPr>
          </w:p>
        </w:tc>
      </w:tr>
      <w:tr w14:paraId="6EBA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07017969">
            <w:pPr>
              <w:jc w:val="center"/>
              <w:rPr>
                <w:color w:val="auto"/>
                <w:highlight w:val="none"/>
              </w:rPr>
            </w:pPr>
            <w:r>
              <w:rPr>
                <w:rFonts w:hint="eastAsia"/>
                <w:color w:val="auto"/>
                <w:highlight w:val="none"/>
              </w:rPr>
              <w:t>证书名称</w:t>
            </w:r>
          </w:p>
        </w:tc>
        <w:tc>
          <w:tcPr>
            <w:tcW w:w="1352" w:type="dxa"/>
            <w:gridSpan w:val="2"/>
            <w:vAlign w:val="center"/>
          </w:tcPr>
          <w:p w14:paraId="65B78307">
            <w:pPr>
              <w:jc w:val="center"/>
              <w:rPr>
                <w:color w:val="auto"/>
                <w:highlight w:val="none"/>
              </w:rPr>
            </w:pPr>
            <w:r>
              <w:rPr>
                <w:rFonts w:hint="eastAsia"/>
                <w:color w:val="auto"/>
                <w:highlight w:val="none"/>
              </w:rPr>
              <w:t>注册专业</w:t>
            </w:r>
          </w:p>
        </w:tc>
        <w:tc>
          <w:tcPr>
            <w:tcW w:w="1222" w:type="dxa"/>
            <w:gridSpan w:val="3"/>
            <w:vAlign w:val="center"/>
          </w:tcPr>
          <w:p w14:paraId="212B2BD1">
            <w:pPr>
              <w:jc w:val="center"/>
              <w:rPr>
                <w:color w:val="auto"/>
                <w:highlight w:val="none"/>
              </w:rPr>
            </w:pPr>
            <w:r>
              <w:rPr>
                <w:color w:val="auto"/>
                <w:highlight w:val="none"/>
              </w:rPr>
              <w:t>级别</w:t>
            </w:r>
          </w:p>
        </w:tc>
        <w:tc>
          <w:tcPr>
            <w:tcW w:w="1417" w:type="dxa"/>
            <w:gridSpan w:val="2"/>
            <w:vAlign w:val="center"/>
          </w:tcPr>
          <w:p w14:paraId="4B9D7696">
            <w:pPr>
              <w:jc w:val="center"/>
              <w:rPr>
                <w:color w:val="auto"/>
                <w:highlight w:val="none"/>
              </w:rPr>
            </w:pPr>
            <w:r>
              <w:rPr>
                <w:rFonts w:hint="eastAsia" w:cs="宋体"/>
                <w:color w:val="auto"/>
                <w:highlight w:val="none"/>
              </w:rPr>
              <w:t>证书编号</w:t>
            </w:r>
          </w:p>
        </w:tc>
        <w:tc>
          <w:tcPr>
            <w:tcW w:w="1418" w:type="dxa"/>
            <w:gridSpan w:val="3"/>
            <w:vAlign w:val="center"/>
          </w:tcPr>
          <w:p w14:paraId="2A749479">
            <w:pPr>
              <w:jc w:val="center"/>
              <w:rPr>
                <w:color w:val="auto"/>
                <w:highlight w:val="none"/>
              </w:rPr>
            </w:pPr>
            <w:r>
              <w:rPr>
                <w:rFonts w:hint="eastAsia"/>
                <w:color w:val="auto"/>
                <w:highlight w:val="none"/>
              </w:rPr>
              <w:t>注册时间</w:t>
            </w:r>
          </w:p>
        </w:tc>
        <w:tc>
          <w:tcPr>
            <w:tcW w:w="1632" w:type="dxa"/>
            <w:gridSpan w:val="4"/>
            <w:vAlign w:val="center"/>
          </w:tcPr>
          <w:p w14:paraId="3F7C2E1B">
            <w:pPr>
              <w:jc w:val="center"/>
              <w:rPr>
                <w:color w:val="auto"/>
                <w:highlight w:val="none"/>
              </w:rPr>
            </w:pPr>
            <w:r>
              <w:rPr>
                <w:rFonts w:hint="eastAsia"/>
                <w:color w:val="auto"/>
                <w:highlight w:val="none"/>
              </w:rPr>
              <w:t>注册单位</w:t>
            </w:r>
          </w:p>
        </w:tc>
        <w:tc>
          <w:tcPr>
            <w:tcW w:w="1416" w:type="dxa"/>
            <w:gridSpan w:val="2"/>
            <w:vAlign w:val="center"/>
          </w:tcPr>
          <w:p w14:paraId="6A448803">
            <w:pPr>
              <w:jc w:val="center"/>
              <w:rPr>
                <w:color w:val="auto"/>
                <w:highlight w:val="none"/>
              </w:rPr>
            </w:pPr>
            <w:r>
              <w:rPr>
                <w:rFonts w:hint="eastAsia"/>
                <w:color w:val="auto"/>
                <w:highlight w:val="none"/>
              </w:rPr>
              <w:t>注册有效期</w:t>
            </w:r>
          </w:p>
        </w:tc>
      </w:tr>
      <w:tr w14:paraId="2735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3A36D3D9">
            <w:pPr>
              <w:jc w:val="center"/>
              <w:rPr>
                <w:color w:val="auto"/>
                <w:highlight w:val="none"/>
              </w:rPr>
            </w:pPr>
            <w:r>
              <w:rPr>
                <w:rFonts w:hint="eastAsia"/>
                <w:color w:val="auto"/>
                <w:highlight w:val="none"/>
              </w:rPr>
              <w:t>安全生产考核合格证书</w:t>
            </w:r>
          </w:p>
        </w:tc>
        <w:tc>
          <w:tcPr>
            <w:tcW w:w="1352" w:type="dxa"/>
            <w:gridSpan w:val="2"/>
            <w:vAlign w:val="center"/>
          </w:tcPr>
          <w:p w14:paraId="5C5F6D11">
            <w:pPr>
              <w:jc w:val="center"/>
              <w:rPr>
                <w:color w:val="auto"/>
                <w:highlight w:val="none"/>
              </w:rPr>
            </w:pPr>
          </w:p>
        </w:tc>
        <w:tc>
          <w:tcPr>
            <w:tcW w:w="1222" w:type="dxa"/>
            <w:gridSpan w:val="3"/>
            <w:vAlign w:val="center"/>
          </w:tcPr>
          <w:p w14:paraId="183A72C5">
            <w:pPr>
              <w:jc w:val="center"/>
              <w:rPr>
                <w:rFonts w:cs="宋体"/>
                <w:color w:val="auto"/>
                <w:highlight w:val="none"/>
              </w:rPr>
            </w:pPr>
            <w:r>
              <w:rPr>
                <w:rFonts w:hint="eastAsia" w:cs="宋体"/>
                <w:color w:val="auto"/>
                <w:highlight w:val="none"/>
              </w:rPr>
              <w:t>C类</w:t>
            </w:r>
          </w:p>
        </w:tc>
        <w:tc>
          <w:tcPr>
            <w:tcW w:w="1417" w:type="dxa"/>
            <w:gridSpan w:val="2"/>
            <w:vAlign w:val="center"/>
          </w:tcPr>
          <w:p w14:paraId="5977FF4C">
            <w:pPr>
              <w:jc w:val="center"/>
              <w:rPr>
                <w:color w:val="auto"/>
                <w:highlight w:val="none"/>
              </w:rPr>
            </w:pPr>
          </w:p>
        </w:tc>
        <w:tc>
          <w:tcPr>
            <w:tcW w:w="1418" w:type="dxa"/>
            <w:gridSpan w:val="3"/>
            <w:vAlign w:val="center"/>
          </w:tcPr>
          <w:p w14:paraId="711FE8D1">
            <w:pPr>
              <w:jc w:val="center"/>
              <w:rPr>
                <w:color w:val="auto"/>
                <w:highlight w:val="none"/>
              </w:rPr>
            </w:pPr>
          </w:p>
        </w:tc>
        <w:tc>
          <w:tcPr>
            <w:tcW w:w="1632" w:type="dxa"/>
            <w:gridSpan w:val="4"/>
            <w:vAlign w:val="center"/>
          </w:tcPr>
          <w:p w14:paraId="44B0F793">
            <w:pPr>
              <w:jc w:val="center"/>
              <w:rPr>
                <w:color w:val="auto"/>
                <w:highlight w:val="none"/>
              </w:rPr>
            </w:pPr>
          </w:p>
        </w:tc>
        <w:tc>
          <w:tcPr>
            <w:tcW w:w="1416" w:type="dxa"/>
            <w:gridSpan w:val="2"/>
            <w:vAlign w:val="center"/>
          </w:tcPr>
          <w:p w14:paraId="4B732B61">
            <w:pPr>
              <w:jc w:val="center"/>
              <w:rPr>
                <w:color w:val="auto"/>
                <w:highlight w:val="none"/>
              </w:rPr>
            </w:pPr>
          </w:p>
        </w:tc>
      </w:tr>
      <w:tr w14:paraId="55AF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14:paraId="0668A0F0">
            <w:pPr>
              <w:jc w:val="center"/>
              <w:rPr>
                <w:color w:val="auto"/>
                <w:highlight w:val="none"/>
              </w:rPr>
            </w:pPr>
          </w:p>
        </w:tc>
        <w:tc>
          <w:tcPr>
            <w:tcW w:w="1352" w:type="dxa"/>
            <w:gridSpan w:val="2"/>
            <w:vAlign w:val="center"/>
          </w:tcPr>
          <w:p w14:paraId="714C103D">
            <w:pPr>
              <w:jc w:val="center"/>
              <w:rPr>
                <w:color w:val="auto"/>
                <w:highlight w:val="none"/>
              </w:rPr>
            </w:pPr>
          </w:p>
        </w:tc>
        <w:tc>
          <w:tcPr>
            <w:tcW w:w="1222" w:type="dxa"/>
            <w:gridSpan w:val="3"/>
            <w:vAlign w:val="center"/>
          </w:tcPr>
          <w:p w14:paraId="5D9F0AFD">
            <w:pPr>
              <w:jc w:val="center"/>
              <w:rPr>
                <w:rFonts w:cs="宋体"/>
                <w:color w:val="auto"/>
                <w:highlight w:val="none"/>
              </w:rPr>
            </w:pPr>
          </w:p>
        </w:tc>
        <w:tc>
          <w:tcPr>
            <w:tcW w:w="1417" w:type="dxa"/>
            <w:gridSpan w:val="2"/>
            <w:vAlign w:val="center"/>
          </w:tcPr>
          <w:p w14:paraId="1DC7A8AF">
            <w:pPr>
              <w:jc w:val="center"/>
              <w:rPr>
                <w:color w:val="auto"/>
                <w:highlight w:val="none"/>
              </w:rPr>
            </w:pPr>
          </w:p>
        </w:tc>
        <w:tc>
          <w:tcPr>
            <w:tcW w:w="1418" w:type="dxa"/>
            <w:gridSpan w:val="3"/>
            <w:vAlign w:val="center"/>
          </w:tcPr>
          <w:p w14:paraId="584263E0">
            <w:pPr>
              <w:jc w:val="center"/>
              <w:rPr>
                <w:color w:val="auto"/>
                <w:highlight w:val="none"/>
              </w:rPr>
            </w:pPr>
          </w:p>
        </w:tc>
        <w:tc>
          <w:tcPr>
            <w:tcW w:w="1632" w:type="dxa"/>
            <w:gridSpan w:val="4"/>
            <w:vAlign w:val="center"/>
          </w:tcPr>
          <w:p w14:paraId="60D08D47">
            <w:pPr>
              <w:jc w:val="center"/>
              <w:rPr>
                <w:color w:val="auto"/>
                <w:highlight w:val="none"/>
              </w:rPr>
            </w:pPr>
          </w:p>
        </w:tc>
        <w:tc>
          <w:tcPr>
            <w:tcW w:w="1416" w:type="dxa"/>
            <w:gridSpan w:val="2"/>
            <w:vAlign w:val="center"/>
          </w:tcPr>
          <w:p w14:paraId="2DEFD28E">
            <w:pPr>
              <w:jc w:val="center"/>
              <w:rPr>
                <w:color w:val="auto"/>
                <w:highlight w:val="none"/>
              </w:rPr>
            </w:pPr>
          </w:p>
        </w:tc>
      </w:tr>
      <w:tr w14:paraId="1E9A1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7"/>
            <w:vAlign w:val="center"/>
          </w:tcPr>
          <w:p w14:paraId="429453DE">
            <w:pPr>
              <w:jc w:val="center"/>
              <w:rPr>
                <w:color w:val="auto"/>
                <w:highlight w:val="none"/>
              </w:rPr>
            </w:pPr>
            <w:r>
              <w:rPr>
                <w:rFonts w:hint="eastAsia" w:cs="宋体"/>
                <w:color w:val="auto"/>
                <w:highlight w:val="none"/>
              </w:rPr>
              <w:t>在建和已完工程项目情况</w:t>
            </w:r>
          </w:p>
        </w:tc>
      </w:tr>
      <w:tr w14:paraId="128D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00FE7F23">
            <w:pPr>
              <w:jc w:val="center"/>
              <w:rPr>
                <w:color w:val="auto"/>
                <w:highlight w:val="none"/>
              </w:rPr>
            </w:pPr>
          </w:p>
        </w:tc>
        <w:tc>
          <w:tcPr>
            <w:tcW w:w="1548" w:type="dxa"/>
            <w:gridSpan w:val="2"/>
            <w:vAlign w:val="center"/>
          </w:tcPr>
          <w:p w14:paraId="77608F89">
            <w:pPr>
              <w:jc w:val="center"/>
              <w:rPr>
                <w:color w:val="auto"/>
                <w:highlight w:val="none"/>
              </w:rPr>
            </w:pPr>
            <w:r>
              <w:rPr>
                <w:rFonts w:hint="eastAsia"/>
                <w:color w:val="auto"/>
                <w:highlight w:val="none"/>
              </w:rPr>
              <w:t>项目1</w:t>
            </w:r>
          </w:p>
        </w:tc>
        <w:tc>
          <w:tcPr>
            <w:tcW w:w="1837" w:type="dxa"/>
            <w:gridSpan w:val="3"/>
            <w:vAlign w:val="center"/>
          </w:tcPr>
          <w:p w14:paraId="0C33CA23">
            <w:pPr>
              <w:jc w:val="center"/>
              <w:rPr>
                <w:color w:val="auto"/>
                <w:highlight w:val="none"/>
              </w:rPr>
            </w:pPr>
            <w:r>
              <w:rPr>
                <w:rFonts w:hint="eastAsia"/>
                <w:color w:val="auto"/>
                <w:highlight w:val="none"/>
              </w:rPr>
              <w:t>项目2</w:t>
            </w:r>
          </w:p>
        </w:tc>
        <w:tc>
          <w:tcPr>
            <w:tcW w:w="1472" w:type="dxa"/>
            <w:gridSpan w:val="3"/>
            <w:vAlign w:val="center"/>
          </w:tcPr>
          <w:p w14:paraId="107E92D3">
            <w:pPr>
              <w:jc w:val="center"/>
              <w:rPr>
                <w:color w:val="auto"/>
                <w:highlight w:val="none"/>
              </w:rPr>
            </w:pPr>
            <w:r>
              <w:rPr>
                <w:rFonts w:hint="eastAsia"/>
                <w:color w:val="auto"/>
                <w:highlight w:val="none"/>
              </w:rPr>
              <w:t>项目3</w:t>
            </w:r>
          </w:p>
        </w:tc>
        <w:tc>
          <w:tcPr>
            <w:tcW w:w="1641" w:type="dxa"/>
            <w:gridSpan w:val="4"/>
            <w:vAlign w:val="center"/>
          </w:tcPr>
          <w:p w14:paraId="5A4ABDE5">
            <w:pPr>
              <w:jc w:val="center"/>
              <w:rPr>
                <w:color w:val="auto"/>
                <w:highlight w:val="none"/>
              </w:rPr>
            </w:pPr>
            <w:r>
              <w:rPr>
                <w:rFonts w:hint="eastAsia"/>
                <w:color w:val="auto"/>
                <w:highlight w:val="none"/>
              </w:rPr>
              <w:t>项目4</w:t>
            </w:r>
          </w:p>
        </w:tc>
        <w:tc>
          <w:tcPr>
            <w:tcW w:w="1484" w:type="dxa"/>
            <w:gridSpan w:val="2"/>
            <w:vAlign w:val="center"/>
          </w:tcPr>
          <w:p w14:paraId="2AB8B2F7">
            <w:pPr>
              <w:jc w:val="center"/>
              <w:rPr>
                <w:color w:val="auto"/>
                <w:highlight w:val="none"/>
              </w:rPr>
            </w:pPr>
            <w:r>
              <w:rPr>
                <w:rFonts w:hint="eastAsia"/>
                <w:color w:val="auto"/>
                <w:highlight w:val="none"/>
              </w:rPr>
              <w:t>……</w:t>
            </w:r>
          </w:p>
        </w:tc>
      </w:tr>
      <w:tr w14:paraId="02142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3"/>
            <w:vAlign w:val="center"/>
          </w:tcPr>
          <w:p w14:paraId="6795B6FF">
            <w:pPr>
              <w:jc w:val="center"/>
              <w:rPr>
                <w:color w:val="auto"/>
                <w:highlight w:val="none"/>
              </w:rPr>
            </w:pPr>
            <w:r>
              <w:rPr>
                <w:rFonts w:hint="eastAsia"/>
                <w:color w:val="auto"/>
                <w:highlight w:val="none"/>
              </w:rPr>
              <w:t>项目名称</w:t>
            </w:r>
          </w:p>
        </w:tc>
        <w:tc>
          <w:tcPr>
            <w:tcW w:w="1548" w:type="dxa"/>
            <w:gridSpan w:val="2"/>
            <w:vAlign w:val="center"/>
          </w:tcPr>
          <w:p w14:paraId="5C4EE98D">
            <w:pPr>
              <w:jc w:val="center"/>
              <w:rPr>
                <w:color w:val="auto"/>
                <w:highlight w:val="none"/>
              </w:rPr>
            </w:pPr>
          </w:p>
        </w:tc>
        <w:tc>
          <w:tcPr>
            <w:tcW w:w="1837" w:type="dxa"/>
            <w:gridSpan w:val="3"/>
            <w:vAlign w:val="center"/>
          </w:tcPr>
          <w:p w14:paraId="6351FBE2">
            <w:pPr>
              <w:jc w:val="center"/>
              <w:rPr>
                <w:color w:val="auto"/>
                <w:highlight w:val="none"/>
              </w:rPr>
            </w:pPr>
          </w:p>
        </w:tc>
        <w:tc>
          <w:tcPr>
            <w:tcW w:w="1472" w:type="dxa"/>
            <w:gridSpan w:val="3"/>
            <w:vAlign w:val="center"/>
          </w:tcPr>
          <w:p w14:paraId="338CDEA3">
            <w:pPr>
              <w:jc w:val="center"/>
              <w:rPr>
                <w:color w:val="auto"/>
                <w:highlight w:val="none"/>
              </w:rPr>
            </w:pPr>
          </w:p>
        </w:tc>
        <w:tc>
          <w:tcPr>
            <w:tcW w:w="1641" w:type="dxa"/>
            <w:gridSpan w:val="4"/>
            <w:vAlign w:val="center"/>
          </w:tcPr>
          <w:p w14:paraId="67DEF133">
            <w:pPr>
              <w:jc w:val="center"/>
              <w:rPr>
                <w:color w:val="auto"/>
                <w:highlight w:val="none"/>
              </w:rPr>
            </w:pPr>
          </w:p>
        </w:tc>
        <w:tc>
          <w:tcPr>
            <w:tcW w:w="1484" w:type="dxa"/>
            <w:gridSpan w:val="2"/>
            <w:vAlign w:val="center"/>
          </w:tcPr>
          <w:p w14:paraId="4E05B0D2">
            <w:pPr>
              <w:jc w:val="center"/>
              <w:rPr>
                <w:color w:val="auto"/>
                <w:highlight w:val="none"/>
              </w:rPr>
            </w:pPr>
          </w:p>
        </w:tc>
      </w:tr>
      <w:tr w14:paraId="1BFA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2C46F7E5">
            <w:pPr>
              <w:jc w:val="center"/>
              <w:rPr>
                <w:color w:val="auto"/>
                <w:highlight w:val="none"/>
              </w:rPr>
            </w:pPr>
            <w:r>
              <w:rPr>
                <w:rFonts w:hint="eastAsia" w:cs="宋体"/>
                <w:color w:val="auto"/>
                <w:highlight w:val="none"/>
              </w:rPr>
              <w:t>建设单位</w:t>
            </w:r>
          </w:p>
        </w:tc>
        <w:tc>
          <w:tcPr>
            <w:tcW w:w="1548" w:type="dxa"/>
            <w:gridSpan w:val="2"/>
            <w:vAlign w:val="center"/>
          </w:tcPr>
          <w:p w14:paraId="193C7D45">
            <w:pPr>
              <w:jc w:val="center"/>
              <w:rPr>
                <w:color w:val="auto"/>
                <w:highlight w:val="none"/>
              </w:rPr>
            </w:pPr>
          </w:p>
        </w:tc>
        <w:tc>
          <w:tcPr>
            <w:tcW w:w="1837" w:type="dxa"/>
            <w:gridSpan w:val="3"/>
            <w:vAlign w:val="center"/>
          </w:tcPr>
          <w:p w14:paraId="29733DA2">
            <w:pPr>
              <w:jc w:val="center"/>
              <w:rPr>
                <w:color w:val="auto"/>
                <w:highlight w:val="none"/>
              </w:rPr>
            </w:pPr>
          </w:p>
        </w:tc>
        <w:tc>
          <w:tcPr>
            <w:tcW w:w="1472" w:type="dxa"/>
            <w:gridSpan w:val="3"/>
            <w:vAlign w:val="center"/>
          </w:tcPr>
          <w:p w14:paraId="76AD5DAA">
            <w:pPr>
              <w:jc w:val="center"/>
              <w:rPr>
                <w:color w:val="auto"/>
                <w:highlight w:val="none"/>
              </w:rPr>
            </w:pPr>
          </w:p>
        </w:tc>
        <w:tc>
          <w:tcPr>
            <w:tcW w:w="1641" w:type="dxa"/>
            <w:gridSpan w:val="4"/>
            <w:vAlign w:val="center"/>
          </w:tcPr>
          <w:p w14:paraId="03D3A816">
            <w:pPr>
              <w:jc w:val="center"/>
              <w:rPr>
                <w:color w:val="auto"/>
                <w:highlight w:val="none"/>
              </w:rPr>
            </w:pPr>
          </w:p>
        </w:tc>
        <w:tc>
          <w:tcPr>
            <w:tcW w:w="1484" w:type="dxa"/>
            <w:gridSpan w:val="2"/>
            <w:vAlign w:val="center"/>
          </w:tcPr>
          <w:p w14:paraId="28B181CB">
            <w:pPr>
              <w:jc w:val="center"/>
              <w:rPr>
                <w:color w:val="auto"/>
                <w:highlight w:val="none"/>
              </w:rPr>
            </w:pPr>
          </w:p>
        </w:tc>
      </w:tr>
      <w:tr w14:paraId="0993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256A945F">
            <w:pPr>
              <w:jc w:val="center"/>
              <w:rPr>
                <w:color w:val="auto"/>
                <w:highlight w:val="none"/>
              </w:rPr>
            </w:pPr>
            <w:r>
              <w:rPr>
                <w:rFonts w:hint="eastAsia" w:cs="宋体"/>
                <w:color w:val="auto"/>
                <w:highlight w:val="none"/>
              </w:rPr>
              <w:t>建设规模</w:t>
            </w:r>
          </w:p>
        </w:tc>
        <w:tc>
          <w:tcPr>
            <w:tcW w:w="1548" w:type="dxa"/>
            <w:gridSpan w:val="2"/>
            <w:vAlign w:val="center"/>
          </w:tcPr>
          <w:p w14:paraId="5AEA51B0">
            <w:pPr>
              <w:jc w:val="center"/>
              <w:rPr>
                <w:color w:val="auto"/>
                <w:highlight w:val="none"/>
              </w:rPr>
            </w:pPr>
          </w:p>
        </w:tc>
        <w:tc>
          <w:tcPr>
            <w:tcW w:w="1837" w:type="dxa"/>
            <w:gridSpan w:val="3"/>
            <w:vAlign w:val="center"/>
          </w:tcPr>
          <w:p w14:paraId="5650F3CC">
            <w:pPr>
              <w:jc w:val="center"/>
              <w:rPr>
                <w:color w:val="auto"/>
                <w:highlight w:val="none"/>
              </w:rPr>
            </w:pPr>
          </w:p>
        </w:tc>
        <w:tc>
          <w:tcPr>
            <w:tcW w:w="1472" w:type="dxa"/>
            <w:gridSpan w:val="3"/>
            <w:vAlign w:val="center"/>
          </w:tcPr>
          <w:p w14:paraId="0AA1CF7B">
            <w:pPr>
              <w:jc w:val="center"/>
              <w:rPr>
                <w:color w:val="auto"/>
                <w:highlight w:val="none"/>
              </w:rPr>
            </w:pPr>
          </w:p>
        </w:tc>
        <w:tc>
          <w:tcPr>
            <w:tcW w:w="1641" w:type="dxa"/>
            <w:gridSpan w:val="4"/>
            <w:vAlign w:val="center"/>
          </w:tcPr>
          <w:p w14:paraId="52EEF440">
            <w:pPr>
              <w:jc w:val="center"/>
              <w:rPr>
                <w:color w:val="auto"/>
                <w:highlight w:val="none"/>
              </w:rPr>
            </w:pPr>
          </w:p>
        </w:tc>
        <w:tc>
          <w:tcPr>
            <w:tcW w:w="1484" w:type="dxa"/>
            <w:gridSpan w:val="2"/>
            <w:vAlign w:val="center"/>
          </w:tcPr>
          <w:p w14:paraId="633F9A57">
            <w:pPr>
              <w:jc w:val="center"/>
              <w:rPr>
                <w:color w:val="auto"/>
                <w:highlight w:val="none"/>
              </w:rPr>
            </w:pPr>
          </w:p>
        </w:tc>
      </w:tr>
      <w:tr w14:paraId="1275D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3"/>
            <w:vAlign w:val="center"/>
          </w:tcPr>
          <w:p w14:paraId="2DC0616B">
            <w:pPr>
              <w:jc w:val="center"/>
              <w:rPr>
                <w:rFonts w:ascii="宋体" w:hAnsi="宋体" w:cs="宋体"/>
                <w:color w:val="auto"/>
                <w:sz w:val="27"/>
                <w:szCs w:val="27"/>
                <w:highlight w:val="none"/>
              </w:rPr>
            </w:pPr>
            <w:r>
              <w:rPr>
                <w:rFonts w:hint="eastAsia" w:cs="宋体"/>
                <w:color w:val="auto"/>
                <w:highlight w:val="none"/>
              </w:rPr>
              <w:t>开工日期</w:t>
            </w:r>
          </w:p>
        </w:tc>
        <w:tc>
          <w:tcPr>
            <w:tcW w:w="1548" w:type="dxa"/>
            <w:gridSpan w:val="2"/>
            <w:vAlign w:val="center"/>
          </w:tcPr>
          <w:p w14:paraId="3E34DE08">
            <w:pPr>
              <w:jc w:val="center"/>
              <w:rPr>
                <w:color w:val="auto"/>
                <w:highlight w:val="none"/>
              </w:rPr>
            </w:pPr>
          </w:p>
        </w:tc>
        <w:tc>
          <w:tcPr>
            <w:tcW w:w="1837" w:type="dxa"/>
            <w:gridSpan w:val="3"/>
            <w:vAlign w:val="center"/>
          </w:tcPr>
          <w:p w14:paraId="30676AFB">
            <w:pPr>
              <w:jc w:val="center"/>
              <w:rPr>
                <w:color w:val="auto"/>
                <w:highlight w:val="none"/>
              </w:rPr>
            </w:pPr>
          </w:p>
        </w:tc>
        <w:tc>
          <w:tcPr>
            <w:tcW w:w="1472" w:type="dxa"/>
            <w:gridSpan w:val="3"/>
            <w:vAlign w:val="center"/>
          </w:tcPr>
          <w:p w14:paraId="11CE7F43">
            <w:pPr>
              <w:jc w:val="center"/>
              <w:rPr>
                <w:color w:val="auto"/>
                <w:highlight w:val="none"/>
              </w:rPr>
            </w:pPr>
          </w:p>
        </w:tc>
        <w:tc>
          <w:tcPr>
            <w:tcW w:w="1641" w:type="dxa"/>
            <w:gridSpan w:val="4"/>
            <w:vAlign w:val="center"/>
          </w:tcPr>
          <w:p w14:paraId="4A36763F">
            <w:pPr>
              <w:jc w:val="center"/>
              <w:rPr>
                <w:color w:val="auto"/>
                <w:highlight w:val="none"/>
              </w:rPr>
            </w:pPr>
          </w:p>
        </w:tc>
        <w:tc>
          <w:tcPr>
            <w:tcW w:w="1484" w:type="dxa"/>
            <w:gridSpan w:val="2"/>
            <w:vAlign w:val="center"/>
          </w:tcPr>
          <w:p w14:paraId="2A009967">
            <w:pPr>
              <w:jc w:val="center"/>
              <w:rPr>
                <w:color w:val="auto"/>
                <w:highlight w:val="none"/>
              </w:rPr>
            </w:pPr>
          </w:p>
        </w:tc>
      </w:tr>
      <w:tr w14:paraId="62C9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1C4F4174">
            <w:pPr>
              <w:jc w:val="center"/>
              <w:rPr>
                <w:color w:val="auto"/>
                <w:highlight w:val="none"/>
              </w:rPr>
            </w:pPr>
            <w:r>
              <w:rPr>
                <w:rFonts w:hint="eastAsia" w:cs="宋体"/>
                <w:color w:val="auto"/>
                <w:highlight w:val="none"/>
              </w:rPr>
              <w:t>竣工日期</w:t>
            </w:r>
          </w:p>
        </w:tc>
        <w:tc>
          <w:tcPr>
            <w:tcW w:w="1548" w:type="dxa"/>
            <w:gridSpan w:val="2"/>
            <w:vAlign w:val="center"/>
          </w:tcPr>
          <w:p w14:paraId="537160AC">
            <w:pPr>
              <w:jc w:val="center"/>
              <w:rPr>
                <w:color w:val="auto"/>
                <w:highlight w:val="none"/>
              </w:rPr>
            </w:pPr>
          </w:p>
        </w:tc>
        <w:tc>
          <w:tcPr>
            <w:tcW w:w="1837" w:type="dxa"/>
            <w:gridSpan w:val="3"/>
            <w:vAlign w:val="center"/>
          </w:tcPr>
          <w:p w14:paraId="55C60BDE">
            <w:pPr>
              <w:jc w:val="center"/>
              <w:rPr>
                <w:color w:val="auto"/>
                <w:highlight w:val="none"/>
              </w:rPr>
            </w:pPr>
          </w:p>
        </w:tc>
        <w:tc>
          <w:tcPr>
            <w:tcW w:w="1472" w:type="dxa"/>
            <w:gridSpan w:val="3"/>
            <w:vAlign w:val="center"/>
          </w:tcPr>
          <w:p w14:paraId="3799AA10">
            <w:pPr>
              <w:jc w:val="center"/>
              <w:rPr>
                <w:color w:val="auto"/>
                <w:highlight w:val="none"/>
              </w:rPr>
            </w:pPr>
          </w:p>
        </w:tc>
        <w:tc>
          <w:tcPr>
            <w:tcW w:w="1641" w:type="dxa"/>
            <w:gridSpan w:val="4"/>
            <w:vAlign w:val="center"/>
          </w:tcPr>
          <w:p w14:paraId="1A85B2F4">
            <w:pPr>
              <w:jc w:val="center"/>
              <w:rPr>
                <w:color w:val="auto"/>
                <w:highlight w:val="none"/>
              </w:rPr>
            </w:pPr>
          </w:p>
        </w:tc>
        <w:tc>
          <w:tcPr>
            <w:tcW w:w="1484" w:type="dxa"/>
            <w:gridSpan w:val="2"/>
            <w:vAlign w:val="center"/>
          </w:tcPr>
          <w:p w14:paraId="7A825243">
            <w:pPr>
              <w:jc w:val="center"/>
              <w:rPr>
                <w:color w:val="auto"/>
                <w:highlight w:val="none"/>
              </w:rPr>
            </w:pPr>
          </w:p>
        </w:tc>
      </w:tr>
      <w:tr w14:paraId="58FB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00992534">
            <w:pPr>
              <w:jc w:val="center"/>
              <w:rPr>
                <w:rFonts w:cs="宋体"/>
                <w:color w:val="auto"/>
                <w:highlight w:val="none"/>
              </w:rPr>
            </w:pPr>
            <w:r>
              <w:rPr>
                <w:rFonts w:hint="eastAsia" w:cs="宋体"/>
                <w:color w:val="auto"/>
                <w:highlight w:val="none"/>
              </w:rPr>
              <w:t>人员角色</w:t>
            </w:r>
          </w:p>
        </w:tc>
        <w:tc>
          <w:tcPr>
            <w:tcW w:w="1548" w:type="dxa"/>
            <w:gridSpan w:val="2"/>
            <w:vAlign w:val="center"/>
          </w:tcPr>
          <w:p w14:paraId="633D95CD">
            <w:pPr>
              <w:jc w:val="center"/>
              <w:rPr>
                <w:color w:val="auto"/>
                <w:highlight w:val="none"/>
              </w:rPr>
            </w:pPr>
          </w:p>
        </w:tc>
        <w:tc>
          <w:tcPr>
            <w:tcW w:w="1837" w:type="dxa"/>
            <w:gridSpan w:val="3"/>
            <w:vAlign w:val="center"/>
          </w:tcPr>
          <w:p w14:paraId="6B53C6BB">
            <w:pPr>
              <w:jc w:val="center"/>
              <w:rPr>
                <w:color w:val="auto"/>
                <w:highlight w:val="none"/>
              </w:rPr>
            </w:pPr>
          </w:p>
        </w:tc>
        <w:tc>
          <w:tcPr>
            <w:tcW w:w="1472" w:type="dxa"/>
            <w:gridSpan w:val="3"/>
            <w:vAlign w:val="center"/>
          </w:tcPr>
          <w:p w14:paraId="016F350F">
            <w:pPr>
              <w:jc w:val="center"/>
              <w:rPr>
                <w:color w:val="auto"/>
                <w:highlight w:val="none"/>
              </w:rPr>
            </w:pPr>
          </w:p>
        </w:tc>
        <w:tc>
          <w:tcPr>
            <w:tcW w:w="1641" w:type="dxa"/>
            <w:gridSpan w:val="4"/>
            <w:vAlign w:val="center"/>
          </w:tcPr>
          <w:p w14:paraId="6318A905">
            <w:pPr>
              <w:jc w:val="center"/>
              <w:rPr>
                <w:color w:val="auto"/>
                <w:highlight w:val="none"/>
              </w:rPr>
            </w:pPr>
          </w:p>
        </w:tc>
        <w:tc>
          <w:tcPr>
            <w:tcW w:w="1484" w:type="dxa"/>
            <w:gridSpan w:val="2"/>
            <w:vAlign w:val="center"/>
          </w:tcPr>
          <w:p w14:paraId="6C7FBD8E">
            <w:pPr>
              <w:jc w:val="center"/>
              <w:rPr>
                <w:color w:val="auto"/>
                <w:highlight w:val="none"/>
              </w:rPr>
            </w:pPr>
          </w:p>
        </w:tc>
      </w:tr>
      <w:tr w14:paraId="5186B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420C4A87">
            <w:pPr>
              <w:jc w:val="center"/>
              <w:rPr>
                <w:rFonts w:cs="宋体"/>
                <w:color w:val="auto"/>
                <w:highlight w:val="none"/>
              </w:rPr>
            </w:pPr>
            <w:r>
              <w:rPr>
                <w:rFonts w:hint="eastAsia" w:cs="宋体"/>
                <w:color w:val="auto"/>
                <w:highlight w:val="none"/>
              </w:rPr>
              <w:t>在建或已完</w:t>
            </w:r>
          </w:p>
        </w:tc>
        <w:tc>
          <w:tcPr>
            <w:tcW w:w="1548" w:type="dxa"/>
            <w:gridSpan w:val="2"/>
            <w:vAlign w:val="center"/>
          </w:tcPr>
          <w:p w14:paraId="3A27B01F">
            <w:pPr>
              <w:jc w:val="center"/>
              <w:rPr>
                <w:color w:val="auto"/>
                <w:highlight w:val="none"/>
              </w:rPr>
            </w:pPr>
          </w:p>
        </w:tc>
        <w:tc>
          <w:tcPr>
            <w:tcW w:w="1837" w:type="dxa"/>
            <w:gridSpan w:val="3"/>
            <w:vAlign w:val="center"/>
          </w:tcPr>
          <w:p w14:paraId="128DBCE4">
            <w:pPr>
              <w:jc w:val="center"/>
              <w:rPr>
                <w:color w:val="auto"/>
                <w:highlight w:val="none"/>
              </w:rPr>
            </w:pPr>
          </w:p>
        </w:tc>
        <w:tc>
          <w:tcPr>
            <w:tcW w:w="1472" w:type="dxa"/>
            <w:gridSpan w:val="3"/>
            <w:vAlign w:val="center"/>
          </w:tcPr>
          <w:p w14:paraId="2E21B1DD">
            <w:pPr>
              <w:jc w:val="center"/>
              <w:rPr>
                <w:color w:val="auto"/>
                <w:highlight w:val="none"/>
              </w:rPr>
            </w:pPr>
          </w:p>
        </w:tc>
        <w:tc>
          <w:tcPr>
            <w:tcW w:w="1641" w:type="dxa"/>
            <w:gridSpan w:val="4"/>
            <w:vAlign w:val="center"/>
          </w:tcPr>
          <w:p w14:paraId="7FFA4319">
            <w:pPr>
              <w:jc w:val="center"/>
              <w:rPr>
                <w:color w:val="auto"/>
                <w:highlight w:val="none"/>
              </w:rPr>
            </w:pPr>
          </w:p>
        </w:tc>
        <w:tc>
          <w:tcPr>
            <w:tcW w:w="1484" w:type="dxa"/>
            <w:gridSpan w:val="2"/>
            <w:vAlign w:val="center"/>
          </w:tcPr>
          <w:p w14:paraId="1FD1134D">
            <w:pPr>
              <w:jc w:val="center"/>
              <w:rPr>
                <w:color w:val="auto"/>
                <w:highlight w:val="none"/>
              </w:rPr>
            </w:pPr>
          </w:p>
        </w:tc>
      </w:tr>
      <w:tr w14:paraId="104A8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3922B274">
            <w:pPr>
              <w:jc w:val="center"/>
              <w:rPr>
                <w:rFonts w:cs="宋体"/>
                <w:color w:val="auto"/>
                <w:highlight w:val="none"/>
              </w:rPr>
            </w:pPr>
            <w:r>
              <w:rPr>
                <w:rFonts w:hint="eastAsia" w:cs="宋体"/>
                <w:color w:val="auto"/>
                <w:highlight w:val="none"/>
              </w:rPr>
              <w:t>工程质量</w:t>
            </w:r>
          </w:p>
        </w:tc>
        <w:tc>
          <w:tcPr>
            <w:tcW w:w="1548" w:type="dxa"/>
            <w:gridSpan w:val="2"/>
            <w:vAlign w:val="center"/>
          </w:tcPr>
          <w:p w14:paraId="4FBD9880">
            <w:pPr>
              <w:jc w:val="center"/>
              <w:rPr>
                <w:color w:val="auto"/>
                <w:highlight w:val="none"/>
              </w:rPr>
            </w:pPr>
          </w:p>
        </w:tc>
        <w:tc>
          <w:tcPr>
            <w:tcW w:w="1837" w:type="dxa"/>
            <w:gridSpan w:val="3"/>
            <w:vAlign w:val="center"/>
          </w:tcPr>
          <w:p w14:paraId="36C29152">
            <w:pPr>
              <w:jc w:val="center"/>
              <w:rPr>
                <w:color w:val="auto"/>
                <w:highlight w:val="none"/>
              </w:rPr>
            </w:pPr>
          </w:p>
        </w:tc>
        <w:tc>
          <w:tcPr>
            <w:tcW w:w="1472" w:type="dxa"/>
            <w:gridSpan w:val="3"/>
            <w:vAlign w:val="center"/>
          </w:tcPr>
          <w:p w14:paraId="7A2F0675">
            <w:pPr>
              <w:jc w:val="center"/>
              <w:rPr>
                <w:color w:val="auto"/>
                <w:highlight w:val="none"/>
              </w:rPr>
            </w:pPr>
          </w:p>
        </w:tc>
        <w:tc>
          <w:tcPr>
            <w:tcW w:w="1641" w:type="dxa"/>
            <w:gridSpan w:val="4"/>
            <w:vAlign w:val="center"/>
          </w:tcPr>
          <w:p w14:paraId="75C88616">
            <w:pPr>
              <w:jc w:val="center"/>
              <w:rPr>
                <w:color w:val="auto"/>
                <w:highlight w:val="none"/>
              </w:rPr>
            </w:pPr>
          </w:p>
        </w:tc>
        <w:tc>
          <w:tcPr>
            <w:tcW w:w="1484" w:type="dxa"/>
            <w:gridSpan w:val="2"/>
            <w:vAlign w:val="center"/>
          </w:tcPr>
          <w:p w14:paraId="75C2239B">
            <w:pPr>
              <w:jc w:val="center"/>
              <w:rPr>
                <w:color w:val="auto"/>
                <w:highlight w:val="none"/>
              </w:rPr>
            </w:pPr>
          </w:p>
        </w:tc>
      </w:tr>
      <w:tr w14:paraId="3ACF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3"/>
            <w:vAlign w:val="center"/>
          </w:tcPr>
          <w:p w14:paraId="714B133B">
            <w:pPr>
              <w:jc w:val="center"/>
              <w:rPr>
                <w:rFonts w:cs="宋体"/>
                <w:color w:val="auto"/>
                <w:highlight w:val="none"/>
              </w:rPr>
            </w:pPr>
            <w:r>
              <w:rPr>
                <w:rFonts w:hint="eastAsia" w:cs="宋体"/>
                <w:color w:val="auto"/>
                <w:highlight w:val="none"/>
              </w:rPr>
              <w:t>受奖情况</w:t>
            </w:r>
          </w:p>
        </w:tc>
        <w:tc>
          <w:tcPr>
            <w:tcW w:w="1548" w:type="dxa"/>
            <w:gridSpan w:val="2"/>
            <w:vAlign w:val="center"/>
          </w:tcPr>
          <w:p w14:paraId="6532108F">
            <w:pPr>
              <w:jc w:val="center"/>
              <w:rPr>
                <w:color w:val="auto"/>
                <w:highlight w:val="none"/>
              </w:rPr>
            </w:pPr>
          </w:p>
        </w:tc>
        <w:tc>
          <w:tcPr>
            <w:tcW w:w="1837" w:type="dxa"/>
            <w:gridSpan w:val="3"/>
            <w:vAlign w:val="center"/>
          </w:tcPr>
          <w:p w14:paraId="31321580">
            <w:pPr>
              <w:jc w:val="center"/>
              <w:rPr>
                <w:color w:val="auto"/>
                <w:highlight w:val="none"/>
              </w:rPr>
            </w:pPr>
          </w:p>
        </w:tc>
        <w:tc>
          <w:tcPr>
            <w:tcW w:w="1472" w:type="dxa"/>
            <w:gridSpan w:val="3"/>
            <w:vAlign w:val="center"/>
          </w:tcPr>
          <w:p w14:paraId="06A81BB7">
            <w:pPr>
              <w:jc w:val="center"/>
              <w:rPr>
                <w:color w:val="auto"/>
                <w:highlight w:val="none"/>
              </w:rPr>
            </w:pPr>
          </w:p>
        </w:tc>
        <w:tc>
          <w:tcPr>
            <w:tcW w:w="1641" w:type="dxa"/>
            <w:gridSpan w:val="4"/>
            <w:vAlign w:val="center"/>
          </w:tcPr>
          <w:p w14:paraId="1D446E63">
            <w:pPr>
              <w:jc w:val="center"/>
              <w:rPr>
                <w:color w:val="auto"/>
                <w:highlight w:val="none"/>
              </w:rPr>
            </w:pPr>
          </w:p>
        </w:tc>
        <w:tc>
          <w:tcPr>
            <w:tcW w:w="1484" w:type="dxa"/>
            <w:gridSpan w:val="2"/>
            <w:vAlign w:val="center"/>
          </w:tcPr>
          <w:p w14:paraId="536B4715">
            <w:pPr>
              <w:jc w:val="center"/>
              <w:rPr>
                <w:color w:val="auto"/>
                <w:highlight w:val="none"/>
              </w:rPr>
            </w:pPr>
          </w:p>
        </w:tc>
      </w:tr>
    </w:tbl>
    <w:p w14:paraId="59D65A94">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olor w:val="auto"/>
          <w:highlight w:val="none"/>
        </w:rPr>
      </w:pPr>
      <w:r>
        <w:rPr>
          <w:rFonts w:hint="eastAsia" w:ascii="宋体" w:hAnsi="宋体" w:cs="楷体_GB2312"/>
          <w:color w:val="auto"/>
          <w:highlight w:val="none"/>
        </w:rPr>
        <w:t>备注：</w:t>
      </w:r>
    </w:p>
    <w:p w14:paraId="680CCEF0">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color w:val="auto"/>
          <w:highlight w:val="none"/>
        </w:rPr>
      </w:pPr>
      <w:r>
        <w:rPr>
          <w:rFonts w:hint="eastAsia" w:ascii="宋体" w:hAnsi="宋体"/>
          <w:color w:val="auto"/>
          <w:highlight w:val="none"/>
          <w:lang w:val="en-US" w:eastAsia="zh-CN"/>
        </w:rPr>
        <w:t>1.</w:t>
      </w:r>
      <w:r>
        <w:rPr>
          <w:rFonts w:hint="eastAsia" w:ascii="宋体" w:hAnsi="宋体"/>
          <w:color w:val="auto"/>
          <w:highlight w:val="none"/>
        </w:rPr>
        <w:t>供应商可以根据项目情况增减表格内容，项目数可以根据需要增加。</w:t>
      </w:r>
    </w:p>
    <w:p w14:paraId="3F5B91D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eastAsia="宋体"/>
          <w:b/>
          <w:bCs/>
          <w:color w:val="auto"/>
          <w:highlight w:val="none"/>
          <w:lang w:val="en-US" w:eastAsia="zh-CN"/>
        </w:rPr>
      </w:pPr>
      <w:r>
        <w:rPr>
          <w:rFonts w:hint="eastAsia" w:ascii="宋体" w:hAnsi="宋体"/>
          <w:b/>
          <w:bCs/>
          <w:color w:val="auto"/>
          <w:highlight w:val="none"/>
          <w:lang w:val="en-US" w:eastAsia="zh-CN"/>
        </w:rPr>
        <w:t>2.本项目配备专职安全生产管理人员符合住房和城乡建设部《建筑施工企业安全生产管理机构设置及专职安全生产管理人员配备办法》（建质（2008）91号）的规定不少于1人。</w:t>
      </w:r>
    </w:p>
    <w:p w14:paraId="4537831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仿宋_GB2312" w:eastAsia="仿宋_GB2312"/>
          <w:b/>
          <w:color w:val="auto"/>
          <w:sz w:val="24"/>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本表后附专职安全生产管理人员的学历证、安全生产考核合格证（C类）、本表所列证书扫描件并加盖供应商电子签章。</w:t>
      </w:r>
    </w:p>
    <w:p w14:paraId="0B48445F">
      <w:pPr>
        <w:pStyle w:val="29"/>
        <w:spacing w:line="360" w:lineRule="exact"/>
        <w:ind w:firstLine="482" w:firstLineChars="200"/>
        <w:rPr>
          <w:rFonts w:ascii="Times New Roman" w:hAnsi="Times New Roman"/>
          <w:color w:val="auto"/>
          <w:highlight w:val="none"/>
        </w:rPr>
      </w:pPr>
      <w:r>
        <w:rPr>
          <w:rFonts w:hint="eastAsia" w:ascii="仿宋_GB2312" w:eastAsia="仿宋_GB2312"/>
          <w:b/>
          <w:color w:val="auto"/>
          <w:sz w:val="24"/>
          <w:highlight w:val="none"/>
        </w:rPr>
        <w:t>注：此项材料必须</w:t>
      </w:r>
      <w:r>
        <w:rPr>
          <w:rFonts w:hint="eastAsia" w:ascii="仿宋_GB2312" w:hAnsi="宋体" w:eastAsia="仿宋_GB2312"/>
          <w:b/>
          <w:bCs/>
          <w:color w:val="auto"/>
          <w:sz w:val="24"/>
          <w:highlight w:val="none"/>
        </w:rPr>
        <w:t>以PDF格式上传。</w:t>
      </w:r>
    </w:p>
    <w:p w14:paraId="5C2562FD">
      <w:pPr>
        <w:snapToGrid w:val="0"/>
        <w:spacing w:before="50" w:after="50" w:line="400" w:lineRule="exact"/>
        <w:jc w:val="left"/>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04FD1D24">
      <w:pPr>
        <w:pStyle w:val="29"/>
        <w:spacing w:line="276" w:lineRule="auto"/>
        <w:jc w:val="left"/>
        <w:rPr>
          <w:rFonts w:ascii="仿宋_GB2312" w:eastAsia="仿宋_GB2312"/>
          <w:color w:val="auto"/>
          <w:sz w:val="24"/>
          <w:highlight w:val="none"/>
        </w:rPr>
      </w:pPr>
      <w:r>
        <w:rPr>
          <w:rFonts w:hint="eastAsia" w:ascii="仿宋_GB2312" w:hAnsi="宋体" w:eastAsia="仿宋_GB2312"/>
          <w:b/>
          <w:bCs/>
          <w:color w:val="auto"/>
          <w:sz w:val="24"/>
          <w:highlight w:val="none"/>
        </w:rPr>
        <w:t>（</w:t>
      </w:r>
      <w:r>
        <w:rPr>
          <w:rFonts w:hint="eastAsia" w:ascii="仿宋_GB2312" w:hAnsi="宋体" w:eastAsia="仿宋_GB2312"/>
          <w:b/>
          <w:bCs/>
          <w:color w:val="auto"/>
          <w:sz w:val="24"/>
          <w:highlight w:val="none"/>
          <w:lang w:val="en-US" w:eastAsia="zh-CN"/>
        </w:rPr>
        <w:t>4</w:t>
      </w:r>
      <w:r>
        <w:rPr>
          <w:rFonts w:hint="eastAsia" w:ascii="仿宋_GB2312" w:hAnsi="宋体" w:eastAsia="仿宋_GB2312"/>
          <w:b/>
          <w:bCs/>
          <w:color w:val="auto"/>
          <w:sz w:val="24"/>
          <w:highlight w:val="none"/>
        </w:rPr>
        <w:t>）</w:t>
      </w:r>
      <w:r>
        <w:rPr>
          <w:rFonts w:hint="eastAsia" w:ascii="仿宋_GB2312" w:hAnsi="宋体" w:eastAsia="仿宋_GB2312"/>
          <w:b/>
          <w:bCs/>
          <w:color w:val="auto"/>
          <w:sz w:val="24"/>
          <w:highlight w:val="none"/>
          <w:lang w:val="en-US" w:eastAsia="zh-CN"/>
        </w:rPr>
        <w:t>施工组织设计</w:t>
      </w:r>
      <w:r>
        <w:rPr>
          <w:rFonts w:hint="eastAsia" w:ascii="仿宋_GB2312" w:eastAsia="仿宋_GB2312"/>
          <w:b/>
          <w:color w:val="auto"/>
          <w:sz w:val="24"/>
          <w:highlight w:val="none"/>
        </w:rPr>
        <w:t>（必须提供）</w:t>
      </w:r>
      <w:r>
        <w:rPr>
          <w:rFonts w:hint="eastAsia" w:ascii="仿宋_GB2312" w:hAnsi="宋体" w:eastAsia="仿宋_GB2312"/>
          <w:b/>
          <w:bCs/>
          <w:color w:val="auto"/>
          <w:sz w:val="24"/>
          <w:highlight w:val="none"/>
        </w:rPr>
        <w:t>：</w:t>
      </w:r>
    </w:p>
    <w:p w14:paraId="76C24EFD">
      <w:pPr>
        <w:snapToGrid w:val="0"/>
        <w:spacing w:before="50" w:after="50" w:line="400" w:lineRule="exact"/>
        <w:jc w:val="left"/>
        <w:rPr>
          <w:rFonts w:hint="eastAsia" w:ascii="宋体" w:hAnsi="宋体"/>
          <w:b/>
          <w:color w:val="auto"/>
          <w:sz w:val="32"/>
          <w:szCs w:val="32"/>
          <w:highlight w:val="none"/>
        </w:rPr>
      </w:pPr>
    </w:p>
    <w:p w14:paraId="0F6409E4">
      <w:pPr>
        <w:spacing w:line="50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施工组织设计</w:t>
      </w:r>
    </w:p>
    <w:p w14:paraId="4F01DF9B">
      <w:pPr>
        <w:spacing w:line="360" w:lineRule="auto"/>
        <w:ind w:firstLine="420" w:firstLineChars="200"/>
        <w:rPr>
          <w:rFonts w:cs="宋体"/>
          <w:color w:val="auto"/>
          <w:highlight w:val="none"/>
        </w:rPr>
      </w:pPr>
      <w:r>
        <w:rPr>
          <w:rFonts w:hint="eastAsia"/>
          <w:color w:val="auto"/>
          <w:highlight w:val="none"/>
        </w:rPr>
        <w:t>1.</w:t>
      </w:r>
      <w:r>
        <w:rPr>
          <w:color w:val="auto"/>
          <w:highlight w:val="none"/>
        </w:rPr>
        <w:t>施工组织</w:t>
      </w:r>
      <w:r>
        <w:rPr>
          <w:rFonts w:hint="eastAsia"/>
          <w:color w:val="auto"/>
          <w:highlight w:val="none"/>
        </w:rPr>
        <w:t>设计</w:t>
      </w:r>
      <w:r>
        <w:rPr>
          <w:rFonts w:hint="eastAsia" w:ascii="宋体" w:hAnsi="宋体"/>
          <w:color w:val="auto"/>
          <w:highlight w:val="none"/>
        </w:rPr>
        <w:t>应</w:t>
      </w:r>
      <w:r>
        <w:rPr>
          <w:rFonts w:hint="eastAsia"/>
          <w:color w:val="auto"/>
          <w:highlight w:val="none"/>
        </w:rPr>
        <w:t>以下内容顺序编制，可</w:t>
      </w:r>
      <w:r>
        <w:rPr>
          <w:rFonts w:hint="eastAsia" w:ascii="宋体" w:hAnsi="宋体"/>
          <w:color w:val="auto"/>
          <w:highlight w:val="none"/>
        </w:rPr>
        <w:t>采用文字并结合图表形式说明施工方法，</w:t>
      </w:r>
      <w:r>
        <w:rPr>
          <w:color w:val="auto"/>
          <w:highlight w:val="none"/>
        </w:rPr>
        <w:t>施工组织</w:t>
      </w:r>
      <w:r>
        <w:rPr>
          <w:rFonts w:hint="eastAsia"/>
          <w:color w:val="auto"/>
          <w:highlight w:val="none"/>
        </w:rPr>
        <w:t>设计具体</w:t>
      </w:r>
      <w:r>
        <w:rPr>
          <w:color w:val="auto"/>
          <w:highlight w:val="none"/>
        </w:rPr>
        <w:t>内容</w:t>
      </w:r>
      <w:r>
        <w:rPr>
          <w:rFonts w:hint="eastAsia" w:cs="宋体"/>
          <w:color w:val="auto"/>
          <w:highlight w:val="none"/>
        </w:rPr>
        <w:t>如下：</w:t>
      </w:r>
    </w:p>
    <w:p w14:paraId="608C1C8B">
      <w:pPr>
        <w:spacing w:line="360" w:lineRule="auto"/>
        <w:ind w:firstLine="420" w:firstLineChars="200"/>
        <w:rPr>
          <w:color w:val="auto"/>
          <w:highlight w:val="none"/>
        </w:rPr>
      </w:pPr>
      <w:r>
        <w:rPr>
          <w:rFonts w:hint="eastAsia"/>
          <w:color w:val="auto"/>
          <w:highlight w:val="none"/>
        </w:rPr>
        <w:t>（1）概述</w:t>
      </w:r>
    </w:p>
    <w:p w14:paraId="7D477C64">
      <w:pPr>
        <w:spacing w:line="360" w:lineRule="auto"/>
        <w:ind w:firstLine="420" w:firstLineChars="200"/>
        <w:rPr>
          <w:color w:val="auto"/>
          <w:highlight w:val="none"/>
        </w:rPr>
      </w:pPr>
      <w:r>
        <w:rPr>
          <w:rFonts w:hint="eastAsia"/>
          <w:color w:val="auto"/>
          <w:highlight w:val="none"/>
        </w:rPr>
        <w:t>（2）主要施工方法；</w:t>
      </w:r>
    </w:p>
    <w:p w14:paraId="70E9271D">
      <w:pPr>
        <w:spacing w:line="360" w:lineRule="auto"/>
        <w:ind w:firstLine="420" w:firstLineChars="200"/>
        <w:rPr>
          <w:color w:val="auto"/>
          <w:highlight w:val="none"/>
        </w:rPr>
      </w:pPr>
      <w:r>
        <w:rPr>
          <w:rFonts w:hint="eastAsia"/>
          <w:color w:val="auto"/>
          <w:highlight w:val="none"/>
        </w:rPr>
        <w:t>（3）拟投入的主要物资计划</w:t>
      </w:r>
    </w:p>
    <w:p w14:paraId="6E53F4EE">
      <w:pPr>
        <w:spacing w:line="360" w:lineRule="auto"/>
        <w:ind w:firstLine="420" w:firstLineChars="200"/>
        <w:rPr>
          <w:color w:val="auto"/>
          <w:highlight w:val="none"/>
        </w:rPr>
      </w:pPr>
      <w:r>
        <w:rPr>
          <w:rFonts w:hint="eastAsia"/>
          <w:color w:val="auto"/>
          <w:highlight w:val="none"/>
        </w:rPr>
        <w:t>（</w:t>
      </w:r>
      <w:r>
        <w:rPr>
          <w:color w:val="auto"/>
          <w:highlight w:val="none"/>
        </w:rPr>
        <w:t>4</w:t>
      </w:r>
      <w:r>
        <w:rPr>
          <w:rFonts w:hint="eastAsia"/>
          <w:color w:val="auto"/>
          <w:highlight w:val="none"/>
        </w:rPr>
        <w:t>）劳动力安排计划；</w:t>
      </w:r>
    </w:p>
    <w:p w14:paraId="7A001AE7">
      <w:pPr>
        <w:spacing w:line="360" w:lineRule="auto"/>
        <w:ind w:firstLine="420" w:firstLineChars="200"/>
        <w:rPr>
          <w:color w:val="auto"/>
          <w:highlight w:val="none"/>
        </w:rPr>
      </w:pPr>
      <w:r>
        <w:rPr>
          <w:rFonts w:hint="eastAsia"/>
          <w:color w:val="auto"/>
          <w:highlight w:val="none"/>
        </w:rPr>
        <w:t>（</w:t>
      </w:r>
      <w:r>
        <w:rPr>
          <w:color w:val="auto"/>
          <w:highlight w:val="none"/>
        </w:rPr>
        <w:t>5</w:t>
      </w:r>
      <w:r>
        <w:rPr>
          <w:rFonts w:hint="eastAsia"/>
          <w:color w:val="auto"/>
          <w:highlight w:val="none"/>
        </w:rPr>
        <w:t>）确保工程质量的技术组织措施；</w:t>
      </w:r>
    </w:p>
    <w:p w14:paraId="7A1DBEDC">
      <w:pPr>
        <w:spacing w:line="360" w:lineRule="auto"/>
        <w:ind w:firstLine="420" w:firstLineChars="200"/>
        <w:rPr>
          <w:color w:val="auto"/>
          <w:highlight w:val="none"/>
        </w:rPr>
      </w:pPr>
      <w:r>
        <w:rPr>
          <w:rFonts w:hint="eastAsia"/>
          <w:color w:val="auto"/>
          <w:highlight w:val="none"/>
        </w:rPr>
        <w:t>（</w:t>
      </w:r>
      <w:r>
        <w:rPr>
          <w:color w:val="auto"/>
          <w:highlight w:val="none"/>
        </w:rPr>
        <w:t>6</w:t>
      </w:r>
      <w:r>
        <w:rPr>
          <w:rFonts w:hint="eastAsia"/>
          <w:color w:val="auto"/>
          <w:highlight w:val="none"/>
        </w:rPr>
        <w:t>）确保安全生产的技术组织措施；</w:t>
      </w:r>
    </w:p>
    <w:p w14:paraId="64C726A4">
      <w:pPr>
        <w:spacing w:line="360" w:lineRule="auto"/>
        <w:ind w:firstLine="420" w:firstLineChars="200"/>
        <w:rPr>
          <w:color w:val="auto"/>
          <w:highlight w:val="none"/>
        </w:rPr>
      </w:pPr>
      <w:r>
        <w:rPr>
          <w:rFonts w:hint="eastAsia"/>
          <w:color w:val="auto"/>
          <w:highlight w:val="none"/>
        </w:rPr>
        <w:t>（</w:t>
      </w:r>
      <w:r>
        <w:rPr>
          <w:color w:val="auto"/>
          <w:highlight w:val="none"/>
        </w:rPr>
        <w:t>7</w:t>
      </w:r>
      <w:r>
        <w:rPr>
          <w:rFonts w:hint="eastAsia"/>
          <w:color w:val="auto"/>
          <w:highlight w:val="none"/>
        </w:rPr>
        <w:t>）确保工期的技术组织措施；</w:t>
      </w:r>
    </w:p>
    <w:p w14:paraId="7ABA5C0A">
      <w:pPr>
        <w:spacing w:line="360" w:lineRule="auto"/>
        <w:ind w:firstLine="420" w:firstLineChars="200"/>
        <w:rPr>
          <w:color w:val="auto"/>
          <w:highlight w:val="none"/>
        </w:rPr>
      </w:pPr>
      <w:r>
        <w:rPr>
          <w:rFonts w:hint="eastAsia"/>
          <w:color w:val="auto"/>
          <w:highlight w:val="none"/>
        </w:rPr>
        <w:t>（</w:t>
      </w:r>
      <w:r>
        <w:rPr>
          <w:color w:val="auto"/>
          <w:highlight w:val="none"/>
        </w:rPr>
        <w:t>8</w:t>
      </w:r>
      <w:r>
        <w:rPr>
          <w:rFonts w:hint="eastAsia"/>
          <w:color w:val="auto"/>
          <w:highlight w:val="none"/>
        </w:rPr>
        <w:t>）确保文明施工的技术组织措施；</w:t>
      </w:r>
    </w:p>
    <w:p w14:paraId="5EEB3C3C">
      <w:pPr>
        <w:spacing w:line="360" w:lineRule="auto"/>
        <w:ind w:firstLine="420" w:firstLineChars="200"/>
        <w:rPr>
          <w:color w:val="auto"/>
          <w:highlight w:val="none"/>
        </w:rPr>
      </w:pPr>
      <w:r>
        <w:rPr>
          <w:rFonts w:hint="eastAsia"/>
          <w:color w:val="auto"/>
          <w:highlight w:val="none"/>
        </w:rPr>
        <w:t>（</w:t>
      </w:r>
      <w:r>
        <w:rPr>
          <w:color w:val="auto"/>
          <w:highlight w:val="none"/>
        </w:rPr>
        <w:t>9</w:t>
      </w:r>
      <w:r>
        <w:rPr>
          <w:rFonts w:hint="eastAsia"/>
          <w:color w:val="auto"/>
          <w:highlight w:val="none"/>
        </w:rPr>
        <w:t>）工程施工的重点和难点及保证措施；</w:t>
      </w:r>
    </w:p>
    <w:p w14:paraId="36B4CD39">
      <w:pPr>
        <w:spacing w:line="360" w:lineRule="auto"/>
        <w:ind w:firstLine="420" w:firstLineChars="200"/>
        <w:rPr>
          <w:color w:val="auto"/>
          <w:highlight w:val="none"/>
        </w:rPr>
      </w:pPr>
      <w:r>
        <w:rPr>
          <w:rFonts w:hint="eastAsia"/>
          <w:color w:val="auto"/>
          <w:highlight w:val="none"/>
        </w:rPr>
        <w:t>（1</w:t>
      </w:r>
      <w:r>
        <w:rPr>
          <w:color w:val="auto"/>
          <w:highlight w:val="none"/>
        </w:rPr>
        <w:t>0</w:t>
      </w:r>
      <w:r>
        <w:rPr>
          <w:rFonts w:hint="eastAsia"/>
          <w:color w:val="auto"/>
          <w:highlight w:val="none"/>
        </w:rPr>
        <w:t>）施工总平面布置图；</w:t>
      </w:r>
    </w:p>
    <w:p w14:paraId="15ABC117">
      <w:pPr>
        <w:spacing w:line="360" w:lineRule="auto"/>
        <w:ind w:firstLine="420" w:firstLineChars="200"/>
        <w:rPr>
          <w:color w:val="auto"/>
          <w:highlight w:val="none"/>
        </w:rPr>
      </w:pPr>
      <w:r>
        <w:rPr>
          <w:rFonts w:hint="eastAsia"/>
          <w:color w:val="auto"/>
          <w:highlight w:val="none"/>
        </w:rPr>
        <w:t>（1</w:t>
      </w:r>
      <w:r>
        <w:rPr>
          <w:color w:val="auto"/>
          <w:highlight w:val="none"/>
        </w:rPr>
        <w:t>1</w:t>
      </w:r>
      <w:r>
        <w:rPr>
          <w:rFonts w:hint="eastAsia"/>
          <w:color w:val="auto"/>
          <w:highlight w:val="none"/>
        </w:rPr>
        <w:t>）其他（</w:t>
      </w:r>
      <w:r>
        <w:rPr>
          <w:color w:val="auto"/>
          <w:highlight w:val="none"/>
        </w:rPr>
        <w:t>如有）</w:t>
      </w:r>
      <w:r>
        <w:rPr>
          <w:rFonts w:hint="eastAsia"/>
          <w:color w:val="auto"/>
          <w:highlight w:val="none"/>
        </w:rPr>
        <w:t>（与</w:t>
      </w:r>
      <w:r>
        <w:rPr>
          <w:rFonts w:hint="eastAsia"/>
          <w:color w:val="auto"/>
          <w:highlight w:val="none"/>
        </w:rPr>
        <w:t>第</w:t>
      </w:r>
      <w:r>
        <w:rPr>
          <w:rFonts w:hint="eastAsia"/>
          <w:color w:val="auto"/>
          <w:highlight w:val="none"/>
          <w:lang w:val="en-US" w:eastAsia="zh-CN"/>
        </w:rPr>
        <w:t>四</w:t>
      </w:r>
      <w:r>
        <w:rPr>
          <w:rFonts w:hint="eastAsia"/>
          <w:color w:val="auto"/>
          <w:highlight w:val="none"/>
        </w:rPr>
        <w:t>章“</w:t>
      </w:r>
      <w:r>
        <w:rPr>
          <w:rFonts w:hint="eastAsia"/>
          <w:color w:val="auto"/>
          <w:highlight w:val="none"/>
          <w:lang w:val="en-US" w:eastAsia="zh-CN"/>
        </w:rPr>
        <w:t>评审方法及评审标准</w:t>
      </w:r>
      <w:r>
        <w:rPr>
          <w:rFonts w:hint="eastAsia"/>
          <w:color w:val="auto"/>
          <w:highlight w:val="none"/>
        </w:rPr>
        <w:t>”中的评审</w:t>
      </w:r>
      <w:r>
        <w:rPr>
          <w:color w:val="auto"/>
          <w:highlight w:val="none"/>
        </w:rPr>
        <w:t>标准一致</w:t>
      </w:r>
      <w:r>
        <w:rPr>
          <w:rFonts w:hint="eastAsia"/>
          <w:color w:val="auto"/>
          <w:highlight w:val="none"/>
        </w:rPr>
        <w:t>）</w:t>
      </w:r>
    </w:p>
    <w:p w14:paraId="06D1C3DD">
      <w:pPr>
        <w:spacing w:line="360" w:lineRule="auto"/>
        <w:ind w:firstLine="420" w:firstLineChars="200"/>
        <w:rPr>
          <w:color w:val="auto"/>
          <w:highlight w:val="none"/>
        </w:rPr>
      </w:pPr>
      <w:r>
        <w:rPr>
          <w:rFonts w:hint="eastAsia"/>
          <w:color w:val="auto"/>
          <w:highlight w:val="none"/>
        </w:rPr>
        <w:t>2. 技术标</w:t>
      </w:r>
      <w:r>
        <w:rPr>
          <w:color w:val="auto"/>
          <w:highlight w:val="none"/>
        </w:rPr>
        <w:t>施工组织</w:t>
      </w:r>
      <w:r>
        <w:rPr>
          <w:rFonts w:hint="eastAsia"/>
          <w:color w:val="auto"/>
          <w:highlight w:val="none"/>
        </w:rPr>
        <w:t>设计除采用文字表述外可附下列图表，图表及格式要求附后。</w:t>
      </w:r>
    </w:p>
    <w:p w14:paraId="393291CA">
      <w:pPr>
        <w:spacing w:line="360" w:lineRule="auto"/>
        <w:ind w:firstLine="420" w:firstLineChars="200"/>
        <w:rPr>
          <w:color w:val="auto"/>
          <w:highlight w:val="none"/>
        </w:rPr>
      </w:pPr>
      <w:r>
        <w:rPr>
          <w:rFonts w:hint="eastAsia"/>
          <w:color w:val="auto"/>
          <w:highlight w:val="none"/>
        </w:rPr>
        <w:t>附表一劳动力计划表</w:t>
      </w:r>
    </w:p>
    <w:p w14:paraId="010576A7">
      <w:pPr>
        <w:spacing w:line="360" w:lineRule="auto"/>
        <w:ind w:firstLine="420" w:firstLineChars="200"/>
        <w:rPr>
          <w:color w:val="auto"/>
          <w:highlight w:val="none"/>
        </w:rPr>
      </w:pPr>
      <w:r>
        <w:rPr>
          <w:rFonts w:hint="eastAsia"/>
          <w:color w:val="auto"/>
          <w:highlight w:val="none"/>
        </w:rPr>
        <w:t>附表二计划开、竣工日期和施工进度计划（网络图或横道图）</w:t>
      </w:r>
    </w:p>
    <w:p w14:paraId="671C8691">
      <w:pPr>
        <w:spacing w:line="360" w:lineRule="auto"/>
        <w:ind w:firstLine="420" w:firstLineChars="200"/>
        <w:rPr>
          <w:color w:val="auto"/>
          <w:highlight w:val="none"/>
        </w:rPr>
      </w:pPr>
      <w:r>
        <w:rPr>
          <w:rFonts w:hint="eastAsia"/>
          <w:color w:val="auto"/>
          <w:highlight w:val="none"/>
        </w:rPr>
        <w:t>附表三施工总平面图</w:t>
      </w:r>
    </w:p>
    <w:p w14:paraId="64C7D4EA">
      <w:pPr>
        <w:spacing w:line="360" w:lineRule="auto"/>
        <w:ind w:firstLine="420" w:firstLineChars="200"/>
        <w:rPr>
          <w:color w:val="auto"/>
          <w:highlight w:val="none"/>
        </w:rPr>
      </w:pPr>
      <w:r>
        <w:rPr>
          <w:rFonts w:hint="eastAsia"/>
          <w:color w:val="auto"/>
          <w:highlight w:val="none"/>
        </w:rPr>
        <w:t>附表四临时用地表</w:t>
      </w:r>
    </w:p>
    <w:p w14:paraId="31F24DD7">
      <w:pPr>
        <w:spacing w:line="360" w:lineRule="auto"/>
        <w:ind w:firstLine="420" w:firstLineChars="200"/>
        <w:rPr>
          <w:color w:val="auto"/>
          <w:highlight w:val="none"/>
        </w:rPr>
      </w:pPr>
      <w:r>
        <w:rPr>
          <w:rFonts w:hint="default"/>
          <w:color w:val="auto"/>
          <w:highlight w:val="none"/>
          <w:lang w:val="en-US" w:eastAsia="zh-CN"/>
        </w:rPr>
        <w:t>3.</w:t>
      </w:r>
      <w:r>
        <w:rPr>
          <w:color w:val="auto"/>
          <w:highlight w:val="none"/>
          <w:lang w:val="en-US" w:eastAsia="zh-CN"/>
        </w:rPr>
        <w:t>本节对施工组织设计的编制要求仅供</w:t>
      </w:r>
      <w:r>
        <w:rPr>
          <w:rFonts w:hint="eastAsia"/>
          <w:color w:val="auto"/>
          <w:highlight w:val="none"/>
          <w:lang w:val="en-US" w:eastAsia="zh-CN"/>
        </w:rPr>
        <w:t>供应商</w:t>
      </w:r>
      <w:r>
        <w:rPr>
          <w:color w:val="auto"/>
          <w:highlight w:val="none"/>
          <w:lang w:val="en-US" w:eastAsia="zh-CN"/>
        </w:rPr>
        <w:t>参考，不作为评标时否决投标的直接因素。</w:t>
      </w:r>
    </w:p>
    <w:p w14:paraId="71777A38">
      <w:pPr>
        <w:spacing w:line="360" w:lineRule="auto"/>
        <w:ind w:firstLine="420" w:firstLineChars="200"/>
        <w:rPr>
          <w:color w:val="auto"/>
          <w:highlight w:val="none"/>
        </w:rPr>
      </w:pPr>
    </w:p>
    <w:p w14:paraId="58C4627F">
      <w:pPr>
        <w:rPr>
          <w:color w:val="auto"/>
          <w:highlight w:val="none"/>
        </w:rPr>
      </w:pPr>
      <w:r>
        <w:rPr>
          <w:rFonts w:hint="eastAsia" w:cs="宋体"/>
          <w:color w:val="auto"/>
          <w:highlight w:val="none"/>
        </w:rPr>
        <w:t>附表一：劳动力计划表</w:t>
      </w:r>
    </w:p>
    <w:p w14:paraId="179FDAF4">
      <w:pPr>
        <w:ind w:firstLine="7245" w:firstLineChars="3450"/>
        <w:rPr>
          <w:color w:val="auto"/>
          <w:highlight w:val="none"/>
        </w:rPr>
      </w:pPr>
      <w:r>
        <w:rPr>
          <w:rFonts w:hint="eastAsia" w:cs="宋体"/>
          <w:color w:val="auto"/>
          <w:highlight w:val="none"/>
        </w:rPr>
        <w:t>单位：人</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961"/>
        <w:gridCol w:w="1257"/>
        <w:gridCol w:w="1257"/>
        <w:gridCol w:w="1258"/>
        <w:gridCol w:w="1257"/>
        <w:gridCol w:w="1258"/>
      </w:tblGrid>
      <w:tr w14:paraId="3776B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2ED598A4">
            <w:pPr>
              <w:spacing w:line="360" w:lineRule="auto"/>
              <w:jc w:val="center"/>
              <w:rPr>
                <w:color w:val="auto"/>
                <w:highlight w:val="none"/>
              </w:rPr>
            </w:pPr>
            <w:r>
              <w:rPr>
                <w:rFonts w:hint="eastAsia" w:cs="宋体"/>
                <w:color w:val="auto"/>
                <w:highlight w:val="none"/>
              </w:rPr>
              <w:t>工种</w:t>
            </w:r>
          </w:p>
        </w:tc>
        <w:tc>
          <w:tcPr>
            <w:tcW w:w="7248" w:type="dxa"/>
            <w:gridSpan w:val="6"/>
            <w:vAlign w:val="center"/>
          </w:tcPr>
          <w:p w14:paraId="06FCF84B">
            <w:pPr>
              <w:spacing w:line="360" w:lineRule="auto"/>
              <w:jc w:val="center"/>
              <w:rPr>
                <w:color w:val="auto"/>
                <w:highlight w:val="none"/>
              </w:rPr>
            </w:pPr>
            <w:r>
              <w:rPr>
                <w:rFonts w:hint="eastAsia" w:cs="宋体"/>
                <w:color w:val="auto"/>
                <w:highlight w:val="none"/>
              </w:rPr>
              <w:t>按工程施工阶段投入劳动力情况</w:t>
            </w:r>
          </w:p>
        </w:tc>
      </w:tr>
      <w:tr w14:paraId="65B4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40FBA8A7">
            <w:pPr>
              <w:spacing w:line="360" w:lineRule="auto"/>
              <w:jc w:val="center"/>
              <w:rPr>
                <w:color w:val="auto"/>
                <w:highlight w:val="none"/>
              </w:rPr>
            </w:pPr>
          </w:p>
        </w:tc>
        <w:tc>
          <w:tcPr>
            <w:tcW w:w="961" w:type="dxa"/>
            <w:vAlign w:val="center"/>
          </w:tcPr>
          <w:p w14:paraId="7414F8D9">
            <w:pPr>
              <w:spacing w:line="360" w:lineRule="auto"/>
              <w:jc w:val="center"/>
              <w:rPr>
                <w:color w:val="auto"/>
                <w:highlight w:val="none"/>
              </w:rPr>
            </w:pPr>
          </w:p>
        </w:tc>
        <w:tc>
          <w:tcPr>
            <w:tcW w:w="1257" w:type="dxa"/>
            <w:vAlign w:val="center"/>
          </w:tcPr>
          <w:p w14:paraId="3C41FE69">
            <w:pPr>
              <w:spacing w:line="360" w:lineRule="auto"/>
              <w:jc w:val="center"/>
              <w:rPr>
                <w:color w:val="auto"/>
                <w:highlight w:val="none"/>
              </w:rPr>
            </w:pPr>
          </w:p>
        </w:tc>
        <w:tc>
          <w:tcPr>
            <w:tcW w:w="1257" w:type="dxa"/>
            <w:vAlign w:val="center"/>
          </w:tcPr>
          <w:p w14:paraId="79569EF0">
            <w:pPr>
              <w:spacing w:line="360" w:lineRule="auto"/>
              <w:jc w:val="center"/>
              <w:rPr>
                <w:color w:val="auto"/>
                <w:highlight w:val="none"/>
              </w:rPr>
            </w:pPr>
          </w:p>
        </w:tc>
        <w:tc>
          <w:tcPr>
            <w:tcW w:w="1258" w:type="dxa"/>
            <w:vAlign w:val="center"/>
          </w:tcPr>
          <w:p w14:paraId="2BD34C0A">
            <w:pPr>
              <w:spacing w:line="360" w:lineRule="auto"/>
              <w:jc w:val="center"/>
              <w:rPr>
                <w:color w:val="auto"/>
                <w:highlight w:val="none"/>
              </w:rPr>
            </w:pPr>
          </w:p>
        </w:tc>
        <w:tc>
          <w:tcPr>
            <w:tcW w:w="1257" w:type="dxa"/>
            <w:vAlign w:val="center"/>
          </w:tcPr>
          <w:p w14:paraId="04CFFDD9">
            <w:pPr>
              <w:spacing w:line="360" w:lineRule="auto"/>
              <w:jc w:val="center"/>
              <w:rPr>
                <w:color w:val="auto"/>
                <w:highlight w:val="none"/>
              </w:rPr>
            </w:pPr>
          </w:p>
        </w:tc>
        <w:tc>
          <w:tcPr>
            <w:tcW w:w="1258" w:type="dxa"/>
            <w:vAlign w:val="center"/>
          </w:tcPr>
          <w:p w14:paraId="077E083F">
            <w:pPr>
              <w:spacing w:line="360" w:lineRule="auto"/>
              <w:jc w:val="center"/>
              <w:rPr>
                <w:color w:val="auto"/>
                <w:highlight w:val="none"/>
              </w:rPr>
            </w:pPr>
          </w:p>
        </w:tc>
      </w:tr>
      <w:tr w14:paraId="039C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50A5BE53">
            <w:pPr>
              <w:spacing w:line="360" w:lineRule="auto"/>
              <w:jc w:val="center"/>
              <w:rPr>
                <w:color w:val="auto"/>
                <w:highlight w:val="none"/>
              </w:rPr>
            </w:pPr>
          </w:p>
        </w:tc>
        <w:tc>
          <w:tcPr>
            <w:tcW w:w="961" w:type="dxa"/>
            <w:vAlign w:val="center"/>
          </w:tcPr>
          <w:p w14:paraId="770B3FF3">
            <w:pPr>
              <w:spacing w:line="360" w:lineRule="auto"/>
              <w:jc w:val="center"/>
              <w:rPr>
                <w:color w:val="auto"/>
                <w:highlight w:val="none"/>
              </w:rPr>
            </w:pPr>
          </w:p>
        </w:tc>
        <w:tc>
          <w:tcPr>
            <w:tcW w:w="1257" w:type="dxa"/>
            <w:vAlign w:val="center"/>
          </w:tcPr>
          <w:p w14:paraId="3BBB8F66">
            <w:pPr>
              <w:spacing w:line="360" w:lineRule="auto"/>
              <w:jc w:val="center"/>
              <w:rPr>
                <w:color w:val="auto"/>
                <w:highlight w:val="none"/>
              </w:rPr>
            </w:pPr>
          </w:p>
        </w:tc>
        <w:tc>
          <w:tcPr>
            <w:tcW w:w="1257" w:type="dxa"/>
            <w:vAlign w:val="center"/>
          </w:tcPr>
          <w:p w14:paraId="1ED619F3">
            <w:pPr>
              <w:spacing w:line="360" w:lineRule="auto"/>
              <w:jc w:val="center"/>
              <w:rPr>
                <w:color w:val="auto"/>
                <w:highlight w:val="none"/>
              </w:rPr>
            </w:pPr>
          </w:p>
        </w:tc>
        <w:tc>
          <w:tcPr>
            <w:tcW w:w="1258" w:type="dxa"/>
            <w:vAlign w:val="center"/>
          </w:tcPr>
          <w:p w14:paraId="09AD4F09">
            <w:pPr>
              <w:spacing w:line="360" w:lineRule="auto"/>
              <w:jc w:val="center"/>
              <w:rPr>
                <w:color w:val="auto"/>
                <w:highlight w:val="none"/>
              </w:rPr>
            </w:pPr>
          </w:p>
        </w:tc>
        <w:tc>
          <w:tcPr>
            <w:tcW w:w="1257" w:type="dxa"/>
            <w:vAlign w:val="center"/>
          </w:tcPr>
          <w:p w14:paraId="50230C4E">
            <w:pPr>
              <w:spacing w:line="360" w:lineRule="auto"/>
              <w:jc w:val="center"/>
              <w:rPr>
                <w:color w:val="auto"/>
                <w:highlight w:val="none"/>
              </w:rPr>
            </w:pPr>
          </w:p>
        </w:tc>
        <w:tc>
          <w:tcPr>
            <w:tcW w:w="1258" w:type="dxa"/>
            <w:vAlign w:val="center"/>
          </w:tcPr>
          <w:p w14:paraId="1CA0A7DD">
            <w:pPr>
              <w:spacing w:line="360" w:lineRule="auto"/>
              <w:jc w:val="center"/>
              <w:rPr>
                <w:color w:val="auto"/>
                <w:highlight w:val="none"/>
              </w:rPr>
            </w:pPr>
          </w:p>
        </w:tc>
      </w:tr>
      <w:tr w14:paraId="0C6B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3A1190B2">
            <w:pPr>
              <w:spacing w:line="360" w:lineRule="auto"/>
              <w:jc w:val="center"/>
              <w:rPr>
                <w:color w:val="auto"/>
                <w:highlight w:val="none"/>
              </w:rPr>
            </w:pPr>
          </w:p>
        </w:tc>
        <w:tc>
          <w:tcPr>
            <w:tcW w:w="961" w:type="dxa"/>
            <w:vAlign w:val="center"/>
          </w:tcPr>
          <w:p w14:paraId="3A70CC84">
            <w:pPr>
              <w:spacing w:line="360" w:lineRule="auto"/>
              <w:jc w:val="center"/>
              <w:rPr>
                <w:color w:val="auto"/>
                <w:highlight w:val="none"/>
              </w:rPr>
            </w:pPr>
          </w:p>
        </w:tc>
        <w:tc>
          <w:tcPr>
            <w:tcW w:w="1257" w:type="dxa"/>
            <w:vAlign w:val="center"/>
          </w:tcPr>
          <w:p w14:paraId="215969F4">
            <w:pPr>
              <w:spacing w:line="360" w:lineRule="auto"/>
              <w:jc w:val="center"/>
              <w:rPr>
                <w:color w:val="auto"/>
                <w:highlight w:val="none"/>
              </w:rPr>
            </w:pPr>
          </w:p>
        </w:tc>
        <w:tc>
          <w:tcPr>
            <w:tcW w:w="1257" w:type="dxa"/>
            <w:vAlign w:val="center"/>
          </w:tcPr>
          <w:p w14:paraId="601D5EC8">
            <w:pPr>
              <w:spacing w:line="360" w:lineRule="auto"/>
              <w:jc w:val="center"/>
              <w:rPr>
                <w:color w:val="auto"/>
                <w:highlight w:val="none"/>
              </w:rPr>
            </w:pPr>
          </w:p>
        </w:tc>
        <w:tc>
          <w:tcPr>
            <w:tcW w:w="1258" w:type="dxa"/>
            <w:vAlign w:val="center"/>
          </w:tcPr>
          <w:p w14:paraId="738FED6B">
            <w:pPr>
              <w:spacing w:line="360" w:lineRule="auto"/>
              <w:jc w:val="center"/>
              <w:rPr>
                <w:color w:val="auto"/>
                <w:highlight w:val="none"/>
              </w:rPr>
            </w:pPr>
          </w:p>
        </w:tc>
        <w:tc>
          <w:tcPr>
            <w:tcW w:w="1257" w:type="dxa"/>
            <w:vAlign w:val="center"/>
          </w:tcPr>
          <w:p w14:paraId="01BB2823">
            <w:pPr>
              <w:spacing w:line="360" w:lineRule="auto"/>
              <w:jc w:val="center"/>
              <w:rPr>
                <w:color w:val="auto"/>
                <w:highlight w:val="none"/>
              </w:rPr>
            </w:pPr>
          </w:p>
        </w:tc>
        <w:tc>
          <w:tcPr>
            <w:tcW w:w="1258" w:type="dxa"/>
            <w:vAlign w:val="center"/>
          </w:tcPr>
          <w:p w14:paraId="37767AF7">
            <w:pPr>
              <w:spacing w:line="360" w:lineRule="auto"/>
              <w:jc w:val="center"/>
              <w:rPr>
                <w:color w:val="auto"/>
                <w:highlight w:val="none"/>
              </w:rPr>
            </w:pPr>
          </w:p>
        </w:tc>
      </w:tr>
      <w:tr w14:paraId="2B52C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7F82E8C0">
            <w:pPr>
              <w:spacing w:line="360" w:lineRule="auto"/>
              <w:jc w:val="center"/>
              <w:rPr>
                <w:color w:val="auto"/>
                <w:highlight w:val="none"/>
              </w:rPr>
            </w:pPr>
          </w:p>
        </w:tc>
        <w:tc>
          <w:tcPr>
            <w:tcW w:w="961" w:type="dxa"/>
            <w:vAlign w:val="center"/>
          </w:tcPr>
          <w:p w14:paraId="44BE1968">
            <w:pPr>
              <w:spacing w:line="360" w:lineRule="auto"/>
              <w:jc w:val="center"/>
              <w:rPr>
                <w:color w:val="auto"/>
                <w:highlight w:val="none"/>
              </w:rPr>
            </w:pPr>
          </w:p>
        </w:tc>
        <w:tc>
          <w:tcPr>
            <w:tcW w:w="1257" w:type="dxa"/>
            <w:vAlign w:val="center"/>
          </w:tcPr>
          <w:p w14:paraId="6B9B6D72">
            <w:pPr>
              <w:spacing w:line="360" w:lineRule="auto"/>
              <w:jc w:val="center"/>
              <w:rPr>
                <w:color w:val="auto"/>
                <w:highlight w:val="none"/>
              </w:rPr>
            </w:pPr>
          </w:p>
        </w:tc>
        <w:tc>
          <w:tcPr>
            <w:tcW w:w="1257" w:type="dxa"/>
            <w:vAlign w:val="center"/>
          </w:tcPr>
          <w:p w14:paraId="76A67F1E">
            <w:pPr>
              <w:spacing w:line="360" w:lineRule="auto"/>
              <w:jc w:val="center"/>
              <w:rPr>
                <w:color w:val="auto"/>
                <w:highlight w:val="none"/>
              </w:rPr>
            </w:pPr>
          </w:p>
        </w:tc>
        <w:tc>
          <w:tcPr>
            <w:tcW w:w="1258" w:type="dxa"/>
            <w:vAlign w:val="center"/>
          </w:tcPr>
          <w:p w14:paraId="6E9AC8F9">
            <w:pPr>
              <w:spacing w:line="360" w:lineRule="auto"/>
              <w:jc w:val="center"/>
              <w:rPr>
                <w:color w:val="auto"/>
                <w:highlight w:val="none"/>
              </w:rPr>
            </w:pPr>
          </w:p>
        </w:tc>
        <w:tc>
          <w:tcPr>
            <w:tcW w:w="1257" w:type="dxa"/>
            <w:vAlign w:val="center"/>
          </w:tcPr>
          <w:p w14:paraId="443CEBAB">
            <w:pPr>
              <w:spacing w:line="360" w:lineRule="auto"/>
              <w:jc w:val="center"/>
              <w:rPr>
                <w:color w:val="auto"/>
                <w:highlight w:val="none"/>
              </w:rPr>
            </w:pPr>
          </w:p>
        </w:tc>
        <w:tc>
          <w:tcPr>
            <w:tcW w:w="1258" w:type="dxa"/>
            <w:vAlign w:val="center"/>
          </w:tcPr>
          <w:p w14:paraId="45572FD4">
            <w:pPr>
              <w:spacing w:line="360" w:lineRule="auto"/>
              <w:jc w:val="center"/>
              <w:rPr>
                <w:color w:val="auto"/>
                <w:highlight w:val="none"/>
              </w:rPr>
            </w:pPr>
          </w:p>
        </w:tc>
      </w:tr>
      <w:tr w14:paraId="5D61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2E0365DD">
            <w:pPr>
              <w:spacing w:line="360" w:lineRule="auto"/>
              <w:jc w:val="center"/>
              <w:rPr>
                <w:color w:val="auto"/>
                <w:highlight w:val="none"/>
              </w:rPr>
            </w:pPr>
          </w:p>
        </w:tc>
        <w:tc>
          <w:tcPr>
            <w:tcW w:w="961" w:type="dxa"/>
            <w:vAlign w:val="center"/>
          </w:tcPr>
          <w:p w14:paraId="7DABDB52">
            <w:pPr>
              <w:spacing w:line="360" w:lineRule="auto"/>
              <w:jc w:val="center"/>
              <w:rPr>
                <w:color w:val="auto"/>
                <w:highlight w:val="none"/>
              </w:rPr>
            </w:pPr>
          </w:p>
        </w:tc>
        <w:tc>
          <w:tcPr>
            <w:tcW w:w="1257" w:type="dxa"/>
            <w:vAlign w:val="center"/>
          </w:tcPr>
          <w:p w14:paraId="0E4899B7">
            <w:pPr>
              <w:spacing w:line="360" w:lineRule="auto"/>
              <w:jc w:val="center"/>
              <w:rPr>
                <w:color w:val="auto"/>
                <w:highlight w:val="none"/>
              </w:rPr>
            </w:pPr>
          </w:p>
        </w:tc>
        <w:tc>
          <w:tcPr>
            <w:tcW w:w="1257" w:type="dxa"/>
            <w:vAlign w:val="center"/>
          </w:tcPr>
          <w:p w14:paraId="404F5C2F">
            <w:pPr>
              <w:spacing w:line="360" w:lineRule="auto"/>
              <w:jc w:val="center"/>
              <w:rPr>
                <w:color w:val="auto"/>
                <w:highlight w:val="none"/>
              </w:rPr>
            </w:pPr>
          </w:p>
        </w:tc>
        <w:tc>
          <w:tcPr>
            <w:tcW w:w="1258" w:type="dxa"/>
            <w:vAlign w:val="center"/>
          </w:tcPr>
          <w:p w14:paraId="117EC827">
            <w:pPr>
              <w:spacing w:line="360" w:lineRule="auto"/>
              <w:jc w:val="center"/>
              <w:rPr>
                <w:color w:val="auto"/>
                <w:highlight w:val="none"/>
              </w:rPr>
            </w:pPr>
          </w:p>
        </w:tc>
        <w:tc>
          <w:tcPr>
            <w:tcW w:w="1257" w:type="dxa"/>
            <w:vAlign w:val="center"/>
          </w:tcPr>
          <w:p w14:paraId="0A322138">
            <w:pPr>
              <w:spacing w:line="360" w:lineRule="auto"/>
              <w:jc w:val="center"/>
              <w:rPr>
                <w:color w:val="auto"/>
                <w:highlight w:val="none"/>
              </w:rPr>
            </w:pPr>
          </w:p>
        </w:tc>
        <w:tc>
          <w:tcPr>
            <w:tcW w:w="1258" w:type="dxa"/>
            <w:vAlign w:val="center"/>
          </w:tcPr>
          <w:p w14:paraId="349C54C3">
            <w:pPr>
              <w:spacing w:line="360" w:lineRule="auto"/>
              <w:jc w:val="center"/>
              <w:rPr>
                <w:color w:val="auto"/>
                <w:highlight w:val="none"/>
              </w:rPr>
            </w:pPr>
          </w:p>
        </w:tc>
      </w:tr>
      <w:tr w14:paraId="698C9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vAlign w:val="center"/>
          </w:tcPr>
          <w:p w14:paraId="5699835A">
            <w:pPr>
              <w:spacing w:line="360" w:lineRule="auto"/>
              <w:jc w:val="center"/>
              <w:rPr>
                <w:color w:val="auto"/>
                <w:highlight w:val="none"/>
              </w:rPr>
            </w:pPr>
          </w:p>
        </w:tc>
        <w:tc>
          <w:tcPr>
            <w:tcW w:w="961" w:type="dxa"/>
            <w:vAlign w:val="center"/>
          </w:tcPr>
          <w:p w14:paraId="25E959B8">
            <w:pPr>
              <w:spacing w:line="360" w:lineRule="auto"/>
              <w:jc w:val="center"/>
              <w:rPr>
                <w:color w:val="auto"/>
                <w:highlight w:val="none"/>
              </w:rPr>
            </w:pPr>
          </w:p>
        </w:tc>
        <w:tc>
          <w:tcPr>
            <w:tcW w:w="1257" w:type="dxa"/>
            <w:vAlign w:val="center"/>
          </w:tcPr>
          <w:p w14:paraId="11FC16B4">
            <w:pPr>
              <w:spacing w:line="360" w:lineRule="auto"/>
              <w:jc w:val="center"/>
              <w:rPr>
                <w:color w:val="auto"/>
                <w:highlight w:val="none"/>
              </w:rPr>
            </w:pPr>
          </w:p>
        </w:tc>
        <w:tc>
          <w:tcPr>
            <w:tcW w:w="1257" w:type="dxa"/>
            <w:vAlign w:val="center"/>
          </w:tcPr>
          <w:p w14:paraId="27AEC717">
            <w:pPr>
              <w:spacing w:line="360" w:lineRule="auto"/>
              <w:jc w:val="center"/>
              <w:rPr>
                <w:color w:val="auto"/>
                <w:highlight w:val="none"/>
              </w:rPr>
            </w:pPr>
          </w:p>
        </w:tc>
        <w:tc>
          <w:tcPr>
            <w:tcW w:w="1258" w:type="dxa"/>
            <w:vAlign w:val="center"/>
          </w:tcPr>
          <w:p w14:paraId="17E5934C">
            <w:pPr>
              <w:spacing w:line="360" w:lineRule="auto"/>
              <w:jc w:val="center"/>
              <w:rPr>
                <w:color w:val="auto"/>
                <w:highlight w:val="none"/>
              </w:rPr>
            </w:pPr>
          </w:p>
        </w:tc>
        <w:tc>
          <w:tcPr>
            <w:tcW w:w="1257" w:type="dxa"/>
            <w:vAlign w:val="center"/>
          </w:tcPr>
          <w:p w14:paraId="14F64E15">
            <w:pPr>
              <w:spacing w:line="360" w:lineRule="auto"/>
              <w:jc w:val="center"/>
              <w:rPr>
                <w:color w:val="auto"/>
                <w:highlight w:val="none"/>
              </w:rPr>
            </w:pPr>
          </w:p>
        </w:tc>
        <w:tc>
          <w:tcPr>
            <w:tcW w:w="1258" w:type="dxa"/>
            <w:vAlign w:val="center"/>
          </w:tcPr>
          <w:p w14:paraId="63FFBA90">
            <w:pPr>
              <w:spacing w:line="360" w:lineRule="auto"/>
              <w:jc w:val="center"/>
              <w:rPr>
                <w:color w:val="auto"/>
                <w:highlight w:val="none"/>
              </w:rPr>
            </w:pPr>
          </w:p>
        </w:tc>
      </w:tr>
    </w:tbl>
    <w:p w14:paraId="052C25D4">
      <w:pPr>
        <w:rPr>
          <w:color w:val="auto"/>
          <w:highlight w:val="none"/>
        </w:rPr>
      </w:pPr>
    </w:p>
    <w:p w14:paraId="20E5E786">
      <w:pPr>
        <w:rPr>
          <w:b/>
          <w:bCs/>
          <w:color w:val="auto"/>
          <w:highlight w:val="none"/>
        </w:rPr>
      </w:pPr>
    </w:p>
    <w:p w14:paraId="2A62B126">
      <w:pPr>
        <w:rPr>
          <w:color w:val="auto"/>
          <w:highlight w:val="none"/>
        </w:rPr>
      </w:pPr>
      <w:r>
        <w:rPr>
          <w:rFonts w:hint="eastAsia" w:cs="宋体"/>
          <w:color w:val="auto"/>
          <w:highlight w:val="none"/>
        </w:rPr>
        <w:t>附表二：计划开、竣工日期和施工进度计划（网络图或横道图）</w:t>
      </w:r>
    </w:p>
    <w:p w14:paraId="4407E0D2">
      <w:pPr>
        <w:spacing w:line="460" w:lineRule="exact"/>
        <w:ind w:left="-6" w:firstLine="420"/>
        <w:rPr>
          <w:color w:val="auto"/>
          <w:highlight w:val="none"/>
        </w:rPr>
      </w:pPr>
      <w:r>
        <w:rPr>
          <w:color w:val="auto"/>
          <w:highlight w:val="none"/>
        </w:rPr>
        <w:t xml:space="preserve">1. </w:t>
      </w:r>
      <w:r>
        <w:rPr>
          <w:rFonts w:hint="eastAsia" w:cs="宋体"/>
          <w:color w:val="auto"/>
          <w:highlight w:val="none"/>
        </w:rPr>
        <w:t>供应商应提交施工进度计划，说明按磋商文件要求的工期进行施工的各个关键日期。成交的供应商还应按合同条件有关条款的要求提交详细的施工进度计划。</w:t>
      </w:r>
    </w:p>
    <w:p w14:paraId="5819488B">
      <w:pPr>
        <w:spacing w:line="460" w:lineRule="exact"/>
        <w:ind w:left="-6" w:firstLine="420"/>
        <w:rPr>
          <w:color w:val="auto"/>
          <w:highlight w:val="none"/>
        </w:rPr>
      </w:pPr>
      <w:r>
        <w:rPr>
          <w:color w:val="auto"/>
          <w:highlight w:val="none"/>
        </w:rPr>
        <w:t xml:space="preserve">2. </w:t>
      </w:r>
      <w:r>
        <w:rPr>
          <w:rFonts w:hint="eastAsia" w:cs="宋体"/>
          <w:color w:val="auto"/>
          <w:highlight w:val="none"/>
        </w:rPr>
        <w:t>施工进度计划可采用网络图（或横道图）表示，说明计划开工日期和各分项工程各阶段的完工日期和分包合同签订的日期。</w:t>
      </w:r>
    </w:p>
    <w:p w14:paraId="5BC9B620">
      <w:pPr>
        <w:spacing w:line="460" w:lineRule="exact"/>
        <w:ind w:left="-6" w:firstLine="420"/>
        <w:rPr>
          <w:color w:val="auto"/>
          <w:highlight w:val="none"/>
        </w:rPr>
      </w:pPr>
      <w:r>
        <w:rPr>
          <w:color w:val="auto"/>
          <w:highlight w:val="none"/>
        </w:rPr>
        <w:t xml:space="preserve">3. </w:t>
      </w:r>
      <w:r>
        <w:rPr>
          <w:rFonts w:hint="eastAsia" w:cs="宋体"/>
          <w:color w:val="auto"/>
          <w:highlight w:val="none"/>
        </w:rPr>
        <w:t>施工进度计划应与施工组织设计相适应。</w:t>
      </w:r>
    </w:p>
    <w:p w14:paraId="00E4B7F3">
      <w:pPr>
        <w:spacing w:line="360" w:lineRule="auto"/>
        <w:ind w:left="-6" w:firstLine="420"/>
        <w:rPr>
          <w:color w:val="auto"/>
          <w:highlight w:val="none"/>
        </w:rPr>
      </w:pPr>
    </w:p>
    <w:p w14:paraId="4FBA77C5">
      <w:pPr>
        <w:rPr>
          <w:color w:val="auto"/>
          <w:highlight w:val="none"/>
        </w:rPr>
      </w:pPr>
    </w:p>
    <w:p w14:paraId="3A45D59D">
      <w:pPr>
        <w:rPr>
          <w:color w:val="auto"/>
          <w:highlight w:val="none"/>
        </w:rPr>
      </w:pPr>
      <w:r>
        <w:rPr>
          <w:rFonts w:hint="eastAsia" w:cs="宋体"/>
          <w:color w:val="auto"/>
          <w:highlight w:val="none"/>
        </w:rPr>
        <w:t>附表三：施工总平面图</w:t>
      </w:r>
    </w:p>
    <w:p w14:paraId="62CA935F">
      <w:pPr>
        <w:spacing w:line="460" w:lineRule="exact"/>
        <w:ind w:firstLine="420" w:firstLineChars="200"/>
        <w:rPr>
          <w:color w:val="auto"/>
          <w:highlight w:val="none"/>
        </w:rPr>
      </w:pPr>
      <w:r>
        <w:rPr>
          <w:rFonts w:hint="eastAsia" w:cs="宋体"/>
          <w:color w:val="auto"/>
          <w:highlight w:val="none"/>
        </w:rPr>
        <w:t>供应商应递交一份施工总平面图，绘出现场临时设施布置图表并附文字说明，说明临时设施、加工车间、现场办公、设备及仓储、供电、供水、卫生、生活、道路、消防等设施的情况和布置。</w:t>
      </w:r>
    </w:p>
    <w:p w14:paraId="56EC52DF">
      <w:pPr>
        <w:rPr>
          <w:color w:val="auto"/>
          <w:highlight w:val="none"/>
        </w:rPr>
      </w:pPr>
    </w:p>
    <w:p w14:paraId="20E883E6">
      <w:pPr>
        <w:rPr>
          <w:color w:val="auto"/>
          <w:highlight w:val="none"/>
        </w:rPr>
      </w:pPr>
    </w:p>
    <w:p w14:paraId="1EAA8967">
      <w:pPr>
        <w:rPr>
          <w:color w:val="auto"/>
          <w:highlight w:val="none"/>
        </w:rPr>
      </w:pPr>
      <w:r>
        <w:rPr>
          <w:rFonts w:hint="eastAsia" w:cs="宋体"/>
          <w:color w:val="auto"/>
          <w:highlight w:val="none"/>
        </w:rPr>
        <w:t>附表四：临时用地表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136"/>
      </w:tblGrid>
      <w:tr w14:paraId="3E7F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14:paraId="4E45E927">
            <w:pPr>
              <w:jc w:val="center"/>
              <w:rPr>
                <w:color w:val="auto"/>
                <w:highlight w:val="none"/>
              </w:rPr>
            </w:pPr>
            <w:r>
              <w:rPr>
                <w:rFonts w:hint="eastAsia" w:cs="宋体"/>
                <w:color w:val="auto"/>
                <w:highlight w:val="none"/>
              </w:rPr>
              <w:t>用途</w:t>
            </w:r>
          </w:p>
        </w:tc>
        <w:tc>
          <w:tcPr>
            <w:tcW w:w="2357" w:type="dxa"/>
            <w:vAlign w:val="center"/>
          </w:tcPr>
          <w:p w14:paraId="6247E811">
            <w:pPr>
              <w:jc w:val="center"/>
              <w:rPr>
                <w:color w:val="auto"/>
                <w:highlight w:val="none"/>
              </w:rPr>
            </w:pPr>
            <w:r>
              <w:rPr>
                <w:rFonts w:hint="eastAsia" w:cs="宋体"/>
                <w:color w:val="auto"/>
                <w:highlight w:val="none"/>
              </w:rPr>
              <w:t>面积（平方米）</w:t>
            </w:r>
          </w:p>
        </w:tc>
        <w:tc>
          <w:tcPr>
            <w:tcW w:w="2356" w:type="dxa"/>
            <w:vAlign w:val="center"/>
          </w:tcPr>
          <w:p w14:paraId="06659A97">
            <w:pPr>
              <w:jc w:val="center"/>
              <w:rPr>
                <w:color w:val="auto"/>
                <w:highlight w:val="none"/>
              </w:rPr>
            </w:pPr>
            <w:r>
              <w:rPr>
                <w:rFonts w:hint="eastAsia" w:cs="宋体"/>
                <w:color w:val="auto"/>
                <w:highlight w:val="none"/>
              </w:rPr>
              <w:t>位置</w:t>
            </w:r>
          </w:p>
        </w:tc>
        <w:tc>
          <w:tcPr>
            <w:tcW w:w="2136" w:type="dxa"/>
            <w:vAlign w:val="center"/>
          </w:tcPr>
          <w:p w14:paraId="486F3984">
            <w:pPr>
              <w:jc w:val="center"/>
              <w:rPr>
                <w:color w:val="auto"/>
                <w:highlight w:val="none"/>
              </w:rPr>
            </w:pPr>
            <w:r>
              <w:rPr>
                <w:rFonts w:hint="eastAsia" w:cs="宋体"/>
                <w:color w:val="auto"/>
                <w:highlight w:val="none"/>
              </w:rPr>
              <w:t>需用时间</w:t>
            </w:r>
          </w:p>
        </w:tc>
      </w:tr>
      <w:tr w14:paraId="606E7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3F3178B1">
            <w:pPr>
              <w:rPr>
                <w:color w:val="auto"/>
                <w:highlight w:val="none"/>
              </w:rPr>
            </w:pPr>
          </w:p>
        </w:tc>
        <w:tc>
          <w:tcPr>
            <w:tcW w:w="2357" w:type="dxa"/>
          </w:tcPr>
          <w:p w14:paraId="70AFA206">
            <w:pPr>
              <w:rPr>
                <w:color w:val="auto"/>
                <w:highlight w:val="none"/>
              </w:rPr>
            </w:pPr>
          </w:p>
        </w:tc>
        <w:tc>
          <w:tcPr>
            <w:tcW w:w="2356" w:type="dxa"/>
          </w:tcPr>
          <w:p w14:paraId="3BD9181F">
            <w:pPr>
              <w:rPr>
                <w:color w:val="auto"/>
                <w:highlight w:val="none"/>
              </w:rPr>
            </w:pPr>
          </w:p>
        </w:tc>
        <w:tc>
          <w:tcPr>
            <w:tcW w:w="2136" w:type="dxa"/>
          </w:tcPr>
          <w:p w14:paraId="070F7A36">
            <w:pPr>
              <w:rPr>
                <w:color w:val="auto"/>
                <w:highlight w:val="none"/>
              </w:rPr>
            </w:pPr>
          </w:p>
        </w:tc>
      </w:tr>
      <w:tr w14:paraId="3C11A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78D298AA">
            <w:pPr>
              <w:rPr>
                <w:color w:val="auto"/>
                <w:highlight w:val="none"/>
              </w:rPr>
            </w:pPr>
          </w:p>
        </w:tc>
        <w:tc>
          <w:tcPr>
            <w:tcW w:w="2357" w:type="dxa"/>
          </w:tcPr>
          <w:p w14:paraId="59F0BD4C">
            <w:pPr>
              <w:rPr>
                <w:color w:val="auto"/>
                <w:highlight w:val="none"/>
              </w:rPr>
            </w:pPr>
          </w:p>
        </w:tc>
        <w:tc>
          <w:tcPr>
            <w:tcW w:w="2356" w:type="dxa"/>
          </w:tcPr>
          <w:p w14:paraId="1FDCD9A8">
            <w:pPr>
              <w:rPr>
                <w:color w:val="auto"/>
                <w:highlight w:val="none"/>
              </w:rPr>
            </w:pPr>
          </w:p>
        </w:tc>
        <w:tc>
          <w:tcPr>
            <w:tcW w:w="2136" w:type="dxa"/>
          </w:tcPr>
          <w:p w14:paraId="2A3DC1CB">
            <w:pPr>
              <w:rPr>
                <w:color w:val="auto"/>
                <w:highlight w:val="none"/>
              </w:rPr>
            </w:pPr>
          </w:p>
        </w:tc>
      </w:tr>
      <w:tr w14:paraId="386B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14:paraId="226A2C3F">
            <w:pPr>
              <w:rPr>
                <w:color w:val="auto"/>
                <w:highlight w:val="none"/>
              </w:rPr>
            </w:pPr>
          </w:p>
        </w:tc>
        <w:tc>
          <w:tcPr>
            <w:tcW w:w="2357" w:type="dxa"/>
          </w:tcPr>
          <w:p w14:paraId="3B7B8AB6">
            <w:pPr>
              <w:rPr>
                <w:color w:val="auto"/>
                <w:highlight w:val="none"/>
              </w:rPr>
            </w:pPr>
          </w:p>
        </w:tc>
        <w:tc>
          <w:tcPr>
            <w:tcW w:w="2356" w:type="dxa"/>
          </w:tcPr>
          <w:p w14:paraId="5AD01A05">
            <w:pPr>
              <w:rPr>
                <w:color w:val="auto"/>
                <w:highlight w:val="none"/>
              </w:rPr>
            </w:pPr>
          </w:p>
        </w:tc>
        <w:tc>
          <w:tcPr>
            <w:tcW w:w="2136" w:type="dxa"/>
          </w:tcPr>
          <w:p w14:paraId="62A48339">
            <w:pPr>
              <w:rPr>
                <w:color w:val="auto"/>
                <w:highlight w:val="none"/>
              </w:rPr>
            </w:pPr>
          </w:p>
        </w:tc>
      </w:tr>
      <w:tr w14:paraId="68F34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14:paraId="26A356C5">
            <w:pPr>
              <w:rPr>
                <w:color w:val="auto"/>
                <w:highlight w:val="none"/>
              </w:rPr>
            </w:pPr>
          </w:p>
        </w:tc>
        <w:tc>
          <w:tcPr>
            <w:tcW w:w="2357" w:type="dxa"/>
          </w:tcPr>
          <w:p w14:paraId="0DC6A8ED">
            <w:pPr>
              <w:rPr>
                <w:color w:val="auto"/>
                <w:highlight w:val="none"/>
              </w:rPr>
            </w:pPr>
          </w:p>
        </w:tc>
        <w:tc>
          <w:tcPr>
            <w:tcW w:w="2356" w:type="dxa"/>
          </w:tcPr>
          <w:p w14:paraId="6393FCEB">
            <w:pPr>
              <w:rPr>
                <w:color w:val="auto"/>
                <w:highlight w:val="none"/>
              </w:rPr>
            </w:pPr>
          </w:p>
        </w:tc>
        <w:tc>
          <w:tcPr>
            <w:tcW w:w="2136" w:type="dxa"/>
          </w:tcPr>
          <w:p w14:paraId="1561A2A6">
            <w:pPr>
              <w:rPr>
                <w:color w:val="auto"/>
                <w:highlight w:val="none"/>
              </w:rPr>
            </w:pPr>
          </w:p>
        </w:tc>
      </w:tr>
    </w:tbl>
    <w:p w14:paraId="0A35B93A">
      <w:pPr>
        <w:pStyle w:val="29"/>
        <w:spacing w:line="360" w:lineRule="exact"/>
        <w:ind w:firstLine="420" w:firstLineChars="200"/>
        <w:rPr>
          <w:rFonts w:ascii="Times New Roman" w:hAnsi="Times New Roman"/>
          <w:color w:val="auto"/>
          <w:highlight w:val="none"/>
        </w:rPr>
      </w:pPr>
    </w:p>
    <w:p w14:paraId="5EBB17BA">
      <w:pPr>
        <w:snapToGrid w:val="0"/>
        <w:spacing w:before="50" w:line="340" w:lineRule="exact"/>
        <w:ind w:firstLine="6480" w:firstLineChars="2700"/>
        <w:jc w:val="left"/>
        <w:rPr>
          <w:rFonts w:ascii="仿宋_GB2312" w:eastAsia="仿宋_GB2312"/>
          <w:color w:val="auto"/>
          <w:sz w:val="24"/>
          <w:highlight w:val="none"/>
        </w:rPr>
      </w:pPr>
    </w:p>
    <w:p w14:paraId="0DEBE3DB">
      <w:pPr>
        <w:snapToGrid w:val="0"/>
        <w:spacing w:before="50" w:line="340" w:lineRule="exact"/>
        <w:ind w:firstLine="6480" w:firstLineChars="2700"/>
        <w:jc w:val="left"/>
        <w:rPr>
          <w:rFonts w:ascii="仿宋_GB2312" w:eastAsia="仿宋_GB2312"/>
          <w:color w:val="auto"/>
          <w:sz w:val="24"/>
          <w:highlight w:val="none"/>
        </w:rPr>
      </w:pPr>
    </w:p>
    <w:p w14:paraId="792E5939">
      <w:pPr>
        <w:snapToGrid w:val="0"/>
        <w:spacing w:before="50" w:line="340" w:lineRule="exact"/>
        <w:ind w:firstLine="6480" w:firstLineChars="2700"/>
        <w:jc w:val="left"/>
        <w:rPr>
          <w:rFonts w:ascii="仿宋_GB2312" w:eastAsia="仿宋_GB2312"/>
          <w:color w:val="auto"/>
          <w:sz w:val="24"/>
          <w:highlight w:val="none"/>
        </w:rPr>
      </w:pPr>
    </w:p>
    <w:p w14:paraId="308138BF">
      <w:pPr>
        <w:snapToGrid w:val="0"/>
        <w:spacing w:before="50" w:line="340" w:lineRule="exact"/>
        <w:ind w:firstLine="6480" w:firstLineChars="2700"/>
        <w:jc w:val="left"/>
        <w:rPr>
          <w:rFonts w:ascii="仿宋_GB2312" w:eastAsia="仿宋_GB2312"/>
          <w:color w:val="auto"/>
          <w:sz w:val="24"/>
          <w:highlight w:val="none"/>
        </w:rPr>
      </w:pPr>
    </w:p>
    <w:p w14:paraId="4575E1E8">
      <w:pPr>
        <w:snapToGrid w:val="0"/>
        <w:spacing w:before="50" w:line="340" w:lineRule="exact"/>
        <w:ind w:firstLine="6480" w:firstLineChars="2700"/>
        <w:jc w:val="left"/>
        <w:rPr>
          <w:rFonts w:ascii="仿宋_GB2312" w:eastAsia="仿宋_GB2312"/>
          <w:color w:val="auto"/>
          <w:sz w:val="24"/>
          <w:highlight w:val="none"/>
        </w:rPr>
      </w:pPr>
    </w:p>
    <w:p w14:paraId="530C79E8">
      <w:pPr>
        <w:snapToGrid w:val="0"/>
        <w:spacing w:before="50" w:line="340" w:lineRule="exact"/>
        <w:ind w:firstLine="6480" w:firstLineChars="2700"/>
        <w:jc w:val="left"/>
        <w:rPr>
          <w:rFonts w:ascii="仿宋_GB2312" w:eastAsia="仿宋_GB2312"/>
          <w:color w:val="auto"/>
          <w:sz w:val="24"/>
          <w:highlight w:val="none"/>
        </w:rPr>
      </w:pPr>
    </w:p>
    <w:p w14:paraId="39AAD230">
      <w:pPr>
        <w:snapToGrid w:val="0"/>
        <w:spacing w:before="50" w:line="340" w:lineRule="exact"/>
        <w:ind w:firstLine="6480" w:firstLineChars="2700"/>
        <w:jc w:val="left"/>
        <w:rPr>
          <w:rFonts w:ascii="仿宋_GB2312" w:eastAsia="仿宋_GB2312"/>
          <w:color w:val="auto"/>
          <w:sz w:val="24"/>
          <w:highlight w:val="none"/>
        </w:rPr>
      </w:pPr>
    </w:p>
    <w:p w14:paraId="476B25D5">
      <w:pPr>
        <w:snapToGrid w:val="0"/>
        <w:spacing w:before="50" w:line="340" w:lineRule="exact"/>
        <w:ind w:firstLine="6480" w:firstLineChars="2700"/>
        <w:jc w:val="left"/>
        <w:rPr>
          <w:rFonts w:ascii="仿宋_GB2312" w:eastAsia="仿宋_GB2312"/>
          <w:color w:val="auto"/>
          <w:sz w:val="24"/>
          <w:highlight w:val="none"/>
        </w:rPr>
      </w:pPr>
    </w:p>
    <w:p w14:paraId="2A5F3FB4">
      <w:pPr>
        <w:snapToGrid w:val="0"/>
        <w:spacing w:before="50" w:line="340" w:lineRule="exact"/>
        <w:jc w:val="left"/>
        <w:rPr>
          <w:rFonts w:ascii="仿宋_GB2312" w:eastAsia="仿宋_GB2312"/>
          <w:color w:val="auto"/>
          <w:sz w:val="24"/>
          <w:highlight w:val="none"/>
        </w:rPr>
      </w:pPr>
    </w:p>
    <w:p w14:paraId="17F1966B">
      <w:pPr>
        <w:tabs>
          <w:tab w:val="left" w:pos="3870"/>
          <w:tab w:val="left" w:pos="4085"/>
        </w:tabs>
        <w:snapToGrid w:val="0"/>
        <w:spacing w:line="420" w:lineRule="exact"/>
        <w:ind w:firstLine="480" w:firstLineChars="200"/>
        <w:jc w:val="left"/>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（5）农民工工资保证金承诺书（必须提供）；</w:t>
      </w:r>
    </w:p>
    <w:p w14:paraId="7D6A54A4">
      <w:pPr>
        <w:tabs>
          <w:tab w:val="left" w:pos="3870"/>
          <w:tab w:val="left" w:pos="4085"/>
        </w:tabs>
        <w:snapToGrid w:val="0"/>
        <w:spacing w:line="420" w:lineRule="exact"/>
        <w:jc w:val="left"/>
        <w:rPr>
          <w:rFonts w:hint="eastAsia" w:ascii="仿宋_GB2312" w:hAnsi="宋体" w:eastAsia="仿宋_GB2312"/>
          <w:color w:val="auto"/>
          <w:sz w:val="24"/>
          <w:highlight w:val="none"/>
        </w:rPr>
      </w:pPr>
    </w:p>
    <w:p w14:paraId="2A8E8E2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highlight w:val="none"/>
        </w:rPr>
      </w:pPr>
      <w:bookmarkStart w:id="78" w:name="_Toc509307405"/>
      <w:r>
        <w:rPr>
          <w:rFonts w:hint="eastAsia" w:ascii="宋体" w:hAnsi="宋体" w:eastAsia="宋体" w:cs="宋体"/>
          <w:b/>
          <w:color w:val="auto"/>
          <w:kern w:val="0"/>
          <w:sz w:val="24"/>
          <w:szCs w:val="24"/>
          <w:highlight w:val="none"/>
        </w:rPr>
        <w:t>农民工工资保证金承诺书</w:t>
      </w:r>
      <w:bookmarkEnd w:id="78"/>
    </w:p>
    <w:p w14:paraId="31F3E9B0">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（采购人名称）</w:t>
      </w:r>
    </w:p>
    <w:p w14:paraId="50D05F8C">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根据《</w:t>
      </w:r>
      <w:r>
        <w:rPr>
          <w:rFonts w:hint="eastAsia" w:ascii="宋体" w:hAnsi="宋体" w:eastAsia="宋体" w:cs="宋体"/>
          <w:bCs/>
          <w:color w:val="auto"/>
          <w:sz w:val="21"/>
          <w:szCs w:val="21"/>
          <w:highlight w:val="none"/>
        </w:rPr>
        <w:t>关于建立交通行业农民工工资保证金制度的通知》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桂劳社发﹝2007﹞147号</w:t>
      </w:r>
      <w:r>
        <w:rPr>
          <w:rFonts w:hint="eastAsia" w:ascii="宋体" w:hAnsi="宋体" w:eastAsia="宋体" w:cs="宋体"/>
          <w:color w:val="auto"/>
          <w:sz w:val="21"/>
          <w:szCs w:val="21"/>
          <w:highlight w:val="none"/>
        </w:rPr>
        <w:t>）、《关于明确农民工工资保证金制度有关问题的通知》（桂薪联发﹝</w:t>
      </w:r>
      <w:r>
        <w:rPr>
          <w:rFonts w:hint="eastAsia" w:ascii="宋体" w:hAnsi="宋体" w:eastAsia="宋体" w:cs="宋体"/>
          <w:bCs/>
          <w:color w:val="auto"/>
          <w:sz w:val="21"/>
          <w:szCs w:val="21"/>
          <w:highlight w:val="none"/>
        </w:rPr>
        <w:t>2016</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2号</w:t>
      </w:r>
      <w:r>
        <w:rPr>
          <w:rFonts w:hint="eastAsia" w:ascii="宋体" w:hAnsi="宋体" w:eastAsia="宋体" w:cs="宋体"/>
          <w:color w:val="auto"/>
          <w:sz w:val="21"/>
          <w:szCs w:val="21"/>
          <w:highlight w:val="none"/>
        </w:rPr>
        <w:t>）规定，在</w:t>
      </w:r>
      <w:r>
        <w:rPr>
          <w:rFonts w:hint="eastAsia" w:ascii="宋体" w:hAnsi="宋体" w:eastAsia="宋体" w:cs="宋体"/>
          <w:color w:val="auto"/>
          <w:sz w:val="21"/>
          <w:szCs w:val="21"/>
          <w:highlight w:val="none"/>
          <w:u w:val="single"/>
        </w:rPr>
        <w:t xml:space="preserve">                        </w:t>
      </w:r>
    </w:p>
    <w:p w14:paraId="2A834D15">
      <w:pPr>
        <w:keepNext w:val="0"/>
        <w:keepLines w:val="0"/>
        <w:pageBreakBefore w:val="0"/>
        <w:kinsoku/>
        <w:wordWrap/>
        <w:overflowPunct/>
        <w:topLinePunct w:val="0"/>
        <w:autoSpaceDE/>
        <w:autoSpaceDN/>
        <w:bidi w:val="0"/>
        <w:adjustRightInd/>
        <w:snapToGrid/>
        <w:spacing w:line="36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施工招标的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中，我单位对农民工工资的支付作出以下郑重承诺：</w:t>
      </w:r>
    </w:p>
    <w:p w14:paraId="39A348B4">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（一）我单位在本招标项目递交响应文件截止时间</w:t>
      </w:r>
      <w:r>
        <w:rPr>
          <w:rFonts w:hint="eastAsia" w:ascii="宋体" w:hAnsi="宋体" w:eastAsia="宋体" w:cs="宋体"/>
          <w:color w:val="auto"/>
          <w:sz w:val="21"/>
          <w:szCs w:val="21"/>
          <w:highlight w:val="none"/>
          <w:u w:val="single"/>
        </w:rPr>
        <w:t xml:space="preserve">         （开标日）</w:t>
      </w:r>
      <w:r>
        <w:rPr>
          <w:rFonts w:hint="eastAsia" w:ascii="宋体" w:hAnsi="宋体" w:eastAsia="宋体" w:cs="宋体"/>
          <w:color w:val="auto"/>
          <w:sz w:val="21"/>
          <w:szCs w:val="21"/>
          <w:highlight w:val="none"/>
        </w:rPr>
        <w:t>前所承建的工程项目，不存在拖欠或克扣农民工工资的行为。</w:t>
      </w:r>
    </w:p>
    <w:p w14:paraId="4FFD91C8">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成交后，我单位同意在签订合同后在工程项目所在地商业银行开设农民工工资保证金专用账户，并按</w:t>
      </w:r>
      <w:r>
        <w:rPr>
          <w:rFonts w:hint="eastAsia" w:ascii="宋体" w:hAnsi="宋体" w:eastAsia="宋体" w:cs="宋体"/>
          <w:color w:val="auto"/>
          <w:sz w:val="21"/>
          <w:szCs w:val="21"/>
          <w:highlight w:val="none"/>
          <w:lang w:eastAsia="zh-CN"/>
        </w:rPr>
        <w:t>磋商采购文件</w:t>
      </w:r>
      <w:r>
        <w:rPr>
          <w:rFonts w:hint="eastAsia" w:ascii="宋体" w:hAnsi="宋体" w:eastAsia="宋体" w:cs="宋体"/>
          <w:color w:val="auto"/>
          <w:sz w:val="21"/>
          <w:szCs w:val="21"/>
          <w:highlight w:val="none"/>
        </w:rPr>
        <w:t>规定的农民工工资保证金额度预存一定数额的资金作为农民工工资保证金或向发包人提供由工程项目所在地（工程项目所在省区范围内）商业银行出具同等金额农民工工资保证金银行保函，并到工程项目所在地具有管辖权的人力资源社会保障部门备案。</w:t>
      </w:r>
    </w:p>
    <w:p w14:paraId="2DA3C0E7">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（三）在项目实施过程中，若出现结算价与中标价不一致时，以实际结算金额按</w:t>
      </w:r>
      <w:r>
        <w:rPr>
          <w:rFonts w:hint="eastAsia" w:ascii="宋体" w:hAnsi="宋体" w:eastAsia="宋体" w:cs="宋体"/>
          <w:color w:val="auto"/>
          <w:sz w:val="21"/>
          <w:szCs w:val="21"/>
          <w:highlight w:val="none"/>
          <w:lang w:eastAsia="zh-CN"/>
        </w:rPr>
        <w:t>磋商采购文件</w:t>
      </w:r>
      <w:r>
        <w:rPr>
          <w:rFonts w:hint="eastAsia" w:ascii="宋体" w:hAnsi="宋体" w:eastAsia="宋体" w:cs="宋体"/>
          <w:color w:val="auto"/>
          <w:sz w:val="21"/>
          <w:szCs w:val="21"/>
          <w:highlight w:val="none"/>
        </w:rPr>
        <w:t>规定的计算额度存入农民工工资保证金。</w:t>
      </w:r>
    </w:p>
    <w:p w14:paraId="1357030D">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（四）我单位向建设单位承诺依法足额支付农民工工资，一旦我单位（包含我单位的分包商）承建的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施工招标出现拖欠农民工工资情况的，可由劳动保障、交通主管部门（或授权机构）及建设单位根据相关规定从其农民工工资保证金中先予支取。</w:t>
      </w:r>
    </w:p>
    <w:p w14:paraId="0C37D374">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（五）其它未尽事宜按《</w:t>
      </w:r>
      <w:r>
        <w:rPr>
          <w:rFonts w:hint="eastAsia" w:ascii="宋体" w:hAnsi="宋体" w:eastAsia="宋体" w:cs="宋体"/>
          <w:bCs/>
          <w:color w:val="auto"/>
          <w:sz w:val="21"/>
          <w:szCs w:val="21"/>
          <w:highlight w:val="none"/>
        </w:rPr>
        <w:t>关于建立交通行业农民工工资保证金制度的通知》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桂劳社发﹝2007﹞147号</w:t>
      </w:r>
      <w:r>
        <w:rPr>
          <w:rFonts w:hint="eastAsia" w:ascii="宋体" w:hAnsi="宋体" w:eastAsia="宋体" w:cs="宋体"/>
          <w:color w:val="auto"/>
          <w:sz w:val="21"/>
          <w:szCs w:val="21"/>
          <w:highlight w:val="none"/>
        </w:rPr>
        <w:t>）、《关于明确农民工工资保证金制度有关问题的通知》（桂薪联发﹝</w:t>
      </w:r>
      <w:r>
        <w:rPr>
          <w:rFonts w:hint="eastAsia" w:ascii="宋体" w:hAnsi="宋体" w:eastAsia="宋体" w:cs="宋体"/>
          <w:bCs/>
          <w:color w:val="auto"/>
          <w:sz w:val="21"/>
          <w:szCs w:val="21"/>
          <w:highlight w:val="none"/>
        </w:rPr>
        <w:t>2016</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2号</w:t>
      </w:r>
      <w:r>
        <w:rPr>
          <w:rFonts w:hint="eastAsia" w:ascii="宋体" w:hAnsi="宋体" w:eastAsia="宋体" w:cs="宋体"/>
          <w:color w:val="auto"/>
          <w:sz w:val="21"/>
          <w:szCs w:val="21"/>
          <w:highlight w:val="none"/>
        </w:rPr>
        <w:t>）。</w:t>
      </w:r>
    </w:p>
    <w:p w14:paraId="493F1AD6">
      <w:pPr>
        <w:keepNext w:val="0"/>
        <w:keepLines w:val="0"/>
        <w:pageBreakBefore w:val="0"/>
        <w:kinsoku/>
        <w:wordWrap/>
        <w:overflowPunct/>
        <w:topLinePunct w:val="0"/>
        <w:autoSpaceDE/>
        <w:autoSpaceDN/>
        <w:bidi w:val="0"/>
        <w:adjustRightInd/>
        <w:snapToGrid/>
        <w:spacing w:line="360" w:lineRule="exact"/>
        <w:ind w:firstLine="6090" w:firstLineChars="2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供应商名称(电子签章)：</w:t>
      </w:r>
    </w:p>
    <w:p w14:paraId="382C0890">
      <w:pPr>
        <w:keepNext w:val="0"/>
        <w:keepLines w:val="0"/>
        <w:pageBreakBefore w:val="0"/>
        <w:kinsoku/>
        <w:wordWrap/>
        <w:overflowPunct/>
        <w:topLinePunct w:val="0"/>
        <w:autoSpaceDE/>
        <w:autoSpaceDN/>
        <w:bidi w:val="0"/>
        <w:adjustRightInd/>
        <w:snapToGrid/>
        <w:spacing w:line="360" w:lineRule="exact"/>
        <w:ind w:firstLine="6300" w:firstLineChars="30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63579B52">
      <w:pPr>
        <w:keepNext w:val="0"/>
        <w:keepLines w:val="0"/>
        <w:pageBreakBefore w:val="0"/>
        <w:kinsoku/>
        <w:wordWrap/>
        <w:overflowPunct/>
        <w:topLinePunct w:val="0"/>
        <w:autoSpaceDE/>
        <w:autoSpaceDN/>
        <w:bidi w:val="0"/>
        <w:adjustRightInd/>
        <w:snapToGrid/>
        <w:spacing w:line="360" w:lineRule="exact"/>
        <w:ind w:firstLine="4200" w:firstLineChars="2000"/>
        <w:textAlignment w:val="auto"/>
        <w:rPr>
          <w:rFonts w:hint="eastAsia" w:ascii="宋体" w:hAnsi="宋体" w:eastAsia="宋体" w:cs="宋体"/>
          <w:color w:val="auto"/>
          <w:sz w:val="21"/>
          <w:szCs w:val="21"/>
          <w:highlight w:val="none"/>
        </w:rPr>
      </w:pPr>
    </w:p>
    <w:p w14:paraId="68E2459A">
      <w:pPr>
        <w:tabs>
          <w:tab w:val="left" w:pos="3870"/>
          <w:tab w:val="left" w:pos="4085"/>
        </w:tabs>
        <w:snapToGrid w:val="0"/>
        <w:spacing w:line="4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（注：农民工工资保证金额度按中标价（A）金额计算：小于5000万元（含5000万元）的，按A×2%存入；5000万元以上的，按5000×2%+（A-5000）×1.5%存入。）</w:t>
      </w:r>
    </w:p>
    <w:p w14:paraId="696C961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6C655FC5">
      <w:pPr>
        <w:tabs>
          <w:tab w:val="left" w:pos="3870"/>
          <w:tab w:val="left" w:pos="4085"/>
        </w:tabs>
        <w:snapToGrid w:val="0"/>
        <w:spacing w:line="420" w:lineRule="exact"/>
        <w:ind w:firstLine="420" w:firstLineChars="200"/>
        <w:jc w:val="left"/>
        <w:rPr>
          <w:rFonts w:hint="eastAsia" w:ascii="宋体" w:hAnsi="宋体" w:eastAsia="宋体" w:cs="宋体"/>
          <w:color w:val="auto"/>
          <w:sz w:val="21"/>
          <w:szCs w:val="21"/>
          <w:highlight w:val="none"/>
        </w:rPr>
      </w:pPr>
    </w:p>
    <w:p w14:paraId="6624751D">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r>
        <w:rPr>
          <w:rFonts w:hint="eastAsia" w:ascii="仿宋_GB2312" w:hAnsi="宋体" w:eastAsia="仿宋_GB2312"/>
          <w:color w:val="auto"/>
          <w:sz w:val="24"/>
          <w:highlight w:val="none"/>
          <w:lang w:val="en-US" w:eastAsia="zh-CN"/>
        </w:rPr>
        <w:t>6</w:t>
      </w:r>
      <w:r>
        <w:rPr>
          <w:rFonts w:hint="eastAsia" w:ascii="仿宋_GB2312" w:hAnsi="宋体" w:eastAsia="仿宋_GB2312"/>
          <w:color w:val="auto"/>
          <w:sz w:val="24"/>
          <w:highlight w:val="none"/>
        </w:rPr>
        <w:t>）供应商认为需要提供的有关资料（如有，格式自拟）。</w:t>
      </w:r>
    </w:p>
    <w:p w14:paraId="54BCEF4D">
      <w:pPr>
        <w:snapToGrid w:val="0"/>
        <w:spacing w:before="50" w:after="50"/>
        <w:jc w:val="left"/>
        <w:rPr>
          <w:rFonts w:ascii="仿宋_GB2312" w:hAnsi="宋体" w:eastAsia="仿宋_GB2312"/>
          <w:color w:val="auto"/>
          <w:sz w:val="24"/>
          <w:highlight w:val="none"/>
        </w:rPr>
      </w:pPr>
    </w:p>
    <w:p w14:paraId="69B5A277">
      <w:pPr>
        <w:snapToGrid w:val="0"/>
        <w:spacing w:before="157" w:beforeLines="50" w:after="50" w:line="400" w:lineRule="exact"/>
        <w:outlineLvl w:val="9"/>
        <w:rPr>
          <w:rFonts w:ascii="仿宋_GB2312" w:eastAsia="仿宋_GB2312"/>
          <w:b/>
          <w:bCs/>
          <w:color w:val="auto"/>
          <w:szCs w:val="21"/>
          <w:highlight w:val="none"/>
        </w:rPr>
      </w:pPr>
    </w:p>
    <w:p w14:paraId="1BB7CFF0">
      <w:pPr>
        <w:snapToGrid w:val="0"/>
        <w:spacing w:before="157" w:beforeLines="50" w:after="50" w:line="400" w:lineRule="exact"/>
        <w:ind w:firstLine="643" w:firstLineChars="200"/>
        <w:jc w:val="left"/>
        <w:outlineLvl w:val="9"/>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注：第（</w:t>
      </w:r>
      <w:r>
        <w:rPr>
          <w:rFonts w:hint="eastAsia" w:ascii="仿宋_GB2312" w:eastAsia="仿宋_GB2312"/>
          <w:b/>
          <w:bCs/>
          <w:color w:val="auto"/>
          <w:sz w:val="32"/>
          <w:szCs w:val="32"/>
          <w:highlight w:val="none"/>
          <w:lang w:val="en-US" w:eastAsia="zh-CN"/>
        </w:rPr>
        <w:t>6</w:t>
      </w:r>
      <w:r>
        <w:rPr>
          <w:rFonts w:hint="eastAsia" w:ascii="仿宋_GB2312" w:eastAsia="仿宋_GB2312"/>
          <w:b/>
          <w:bCs/>
          <w:color w:val="auto"/>
          <w:sz w:val="32"/>
          <w:szCs w:val="32"/>
          <w:highlight w:val="none"/>
        </w:rPr>
        <w:t>）项如有请以PDF格式提供，并加盖供应商CA电子签章。</w:t>
      </w:r>
    </w:p>
    <w:p w14:paraId="124520B9">
      <w:pPr>
        <w:snapToGrid w:val="0"/>
        <w:spacing w:before="50" w:line="340" w:lineRule="exact"/>
        <w:jc w:val="left"/>
        <w:rPr>
          <w:rFonts w:ascii="仿宋_GB2312" w:eastAsia="仿宋_GB2312"/>
          <w:color w:val="auto"/>
          <w:sz w:val="24"/>
          <w:highlight w:val="none"/>
        </w:rPr>
        <w:sectPr>
          <w:headerReference r:id="rId11" w:type="default"/>
          <w:footerReference r:id="rId12" w:type="default"/>
          <w:pgSz w:w="11906" w:h="16838"/>
          <w:pgMar w:top="1440" w:right="1083" w:bottom="1440" w:left="1083" w:header="851" w:footer="992" w:gutter="0"/>
          <w:cols w:space="720" w:num="1"/>
          <w:docGrid w:type="lines" w:linePitch="314" w:charSpace="0"/>
        </w:sectPr>
      </w:pPr>
    </w:p>
    <w:p w14:paraId="09C05D4A">
      <w:pPr>
        <w:spacing w:line="300" w:lineRule="auto"/>
        <w:jc w:val="center"/>
        <w:rPr>
          <w:rFonts w:hint="eastAsia" w:ascii="宋体" w:hAnsi="宋体" w:eastAsia="宋体" w:cs="宋体"/>
          <w:b/>
          <w:color w:val="auto"/>
          <w:sz w:val="32"/>
          <w:szCs w:val="32"/>
          <w:highlight w:val="none"/>
        </w:rPr>
      </w:pPr>
      <w:bookmarkStart w:id="79" w:name="_Toc497578453"/>
      <w:bookmarkStart w:id="80" w:name="_Toc27865"/>
      <w:bookmarkStart w:id="81" w:name="_Toc15526"/>
      <w:bookmarkStart w:id="82" w:name="_Toc9030"/>
      <w:bookmarkStart w:id="83" w:name="_Toc12454"/>
      <w:r>
        <w:rPr>
          <w:rFonts w:hint="eastAsia" w:ascii="宋体" w:hAnsi="宋体" w:eastAsia="宋体" w:cs="宋体"/>
          <w:b/>
          <w:color w:val="auto"/>
          <w:sz w:val="32"/>
          <w:szCs w:val="32"/>
          <w:highlight w:val="none"/>
        </w:rPr>
        <w:t>最后</w:t>
      </w:r>
      <w:r>
        <w:rPr>
          <w:rFonts w:hint="eastAsia" w:ascii="宋体" w:hAnsi="宋体" w:eastAsia="宋体" w:cs="宋体"/>
          <w:b/>
          <w:color w:val="auto"/>
          <w:sz w:val="32"/>
          <w:szCs w:val="32"/>
          <w:highlight w:val="none"/>
          <w:lang w:val="en-US" w:eastAsia="zh-CN"/>
        </w:rPr>
        <w:t>竞标</w:t>
      </w:r>
      <w:r>
        <w:rPr>
          <w:rFonts w:hint="eastAsia" w:ascii="宋体" w:hAnsi="宋体" w:eastAsia="宋体" w:cs="宋体"/>
          <w:b/>
          <w:color w:val="auto"/>
          <w:sz w:val="32"/>
          <w:szCs w:val="32"/>
          <w:highlight w:val="none"/>
        </w:rPr>
        <w:t>报价明细表</w:t>
      </w:r>
    </w:p>
    <w:tbl>
      <w:tblPr>
        <w:tblStyle w:val="52"/>
        <w:tblW w:w="9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7590"/>
      </w:tblGrid>
      <w:tr w14:paraId="32BF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jc w:val="center"/>
        </w:trPr>
        <w:tc>
          <w:tcPr>
            <w:tcW w:w="9007" w:type="dxa"/>
            <w:gridSpan w:val="2"/>
            <w:noWrap w:val="0"/>
            <w:vAlign w:val="center"/>
          </w:tcPr>
          <w:p w14:paraId="4CD9C0B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782A2BE5">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p>
        </w:tc>
      </w:tr>
      <w:tr w14:paraId="3C4B4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417" w:type="dxa"/>
            <w:vMerge w:val="restart"/>
            <w:noWrap w:val="0"/>
            <w:vAlign w:val="center"/>
          </w:tcPr>
          <w:p w14:paraId="720FDE2B">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竞标报价</w:t>
            </w:r>
          </w:p>
        </w:tc>
        <w:tc>
          <w:tcPr>
            <w:tcW w:w="7590" w:type="dxa"/>
            <w:noWrap w:val="0"/>
            <w:vAlign w:val="center"/>
          </w:tcPr>
          <w:p w14:paraId="5F151F3E">
            <w:pPr>
              <w:spacing w:line="360" w:lineRule="auto"/>
              <w:rPr>
                <w:rFonts w:hint="eastAsia" w:ascii="宋体" w:hAnsi="宋体" w:eastAsia="宋体" w:cs="宋体"/>
                <w:color w:val="auto"/>
                <w:szCs w:val="21"/>
                <w:highlight w:val="none"/>
              </w:rPr>
            </w:pPr>
          </w:p>
          <w:p w14:paraId="17CCA4AF">
            <w:p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签约合同价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大写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）（注：含暂列金额、材料和工程设备暂估价、专业工程暂估价</w:t>
            </w:r>
            <w:r>
              <w:rPr>
                <w:rFonts w:hint="eastAsia" w:ascii="宋体" w:hAnsi="宋体" w:eastAsia="宋体" w:cs="宋体"/>
                <w:color w:val="auto"/>
                <w:szCs w:val="21"/>
                <w:highlight w:val="none"/>
                <w:lang w:eastAsia="zh-CN"/>
              </w:rPr>
              <w:t>、</w:t>
            </w:r>
            <w:r>
              <w:rPr>
                <w:rFonts w:hint="eastAsia" w:ascii="宋体" w:hAnsi="宋体" w:eastAsia="宋体" w:cs="宋体"/>
                <w:b w:val="0"/>
                <w:bCs w:val="0"/>
                <w:color w:val="auto"/>
                <w:kern w:val="2"/>
                <w:sz w:val="21"/>
                <w:szCs w:val="21"/>
                <w:highlight w:val="none"/>
                <w:lang w:val="en-US" w:eastAsia="zh-CN" w:bidi="ar-SA"/>
              </w:rPr>
              <w:t>安全生产责任保险费暂估价</w:t>
            </w:r>
            <w:r>
              <w:rPr>
                <w:rFonts w:hint="eastAsia" w:ascii="宋体" w:hAnsi="宋体" w:eastAsia="宋体" w:cs="宋体"/>
                <w:color w:val="auto"/>
                <w:highlight w:val="none"/>
              </w:rPr>
              <w:t>）</w:t>
            </w:r>
          </w:p>
        </w:tc>
      </w:tr>
      <w:tr w14:paraId="32760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417" w:type="dxa"/>
            <w:vMerge w:val="continue"/>
            <w:noWrap w:val="0"/>
            <w:vAlign w:val="center"/>
          </w:tcPr>
          <w:p w14:paraId="4F7ED243">
            <w:pPr>
              <w:spacing w:line="360" w:lineRule="auto"/>
              <w:rPr>
                <w:rFonts w:hint="eastAsia" w:ascii="宋体" w:hAnsi="宋体" w:eastAsia="宋体" w:cs="宋体"/>
                <w:color w:val="auto"/>
                <w:szCs w:val="21"/>
                <w:highlight w:val="none"/>
              </w:rPr>
            </w:pPr>
          </w:p>
        </w:tc>
        <w:tc>
          <w:tcPr>
            <w:tcW w:w="7590" w:type="dxa"/>
            <w:noWrap w:val="0"/>
            <w:vAlign w:val="center"/>
          </w:tcPr>
          <w:p w14:paraId="5834BA17">
            <w:pPr>
              <w:pStyle w:val="6"/>
              <w:rPr>
                <w:rFonts w:hint="eastAsia" w:ascii="宋体" w:hAnsi="宋体" w:eastAsia="宋体" w:cs="宋体"/>
                <w:b w:val="0"/>
                <w:color w:val="auto"/>
                <w:highlight w:val="none"/>
              </w:rPr>
            </w:pPr>
            <w:r>
              <w:rPr>
                <w:rFonts w:hint="eastAsia" w:ascii="宋体" w:hAnsi="宋体" w:eastAsia="宋体" w:cs="宋体"/>
                <w:b w:val="0"/>
                <w:bCs w:val="0"/>
                <w:color w:val="auto"/>
                <w:kern w:val="2"/>
                <w:sz w:val="21"/>
                <w:szCs w:val="21"/>
                <w:highlight w:val="none"/>
                <w:lang w:val="en-US" w:eastAsia="zh-CN" w:bidi="ar-SA"/>
              </w:rPr>
              <w:t>合同价（大写）：</w:t>
            </w:r>
            <w:r>
              <w:rPr>
                <w:rFonts w:hint="eastAsia" w:ascii="宋体" w:hAnsi="宋体" w:eastAsia="宋体" w:cs="宋体"/>
                <w:b w:val="0"/>
                <w:bCs w:val="0"/>
                <w:color w:val="auto"/>
                <w:kern w:val="2"/>
                <w:sz w:val="21"/>
                <w:szCs w:val="21"/>
                <w:highlight w:val="none"/>
                <w:u w:val="single"/>
                <w:lang w:val="en-US" w:eastAsia="zh-CN" w:bidi="ar-SA"/>
              </w:rPr>
              <w:t xml:space="preserve">    人民币               </w:t>
            </w:r>
            <w:r>
              <w:rPr>
                <w:rFonts w:hint="eastAsia" w:ascii="宋体" w:hAnsi="宋体" w:eastAsia="宋体" w:cs="宋体"/>
                <w:b w:val="0"/>
                <w:bCs w:val="0"/>
                <w:color w:val="auto"/>
                <w:kern w:val="2"/>
                <w:sz w:val="21"/>
                <w:szCs w:val="21"/>
                <w:highlight w:val="none"/>
                <w:lang w:val="en-US" w:eastAsia="zh-CN" w:bidi="ar-SA"/>
              </w:rPr>
              <w:t>元（¥</w:t>
            </w:r>
            <w:r>
              <w:rPr>
                <w:rFonts w:hint="eastAsia" w:ascii="宋体" w:hAnsi="宋体" w:eastAsia="宋体" w:cs="宋体"/>
                <w:b w:val="0"/>
                <w:bCs w:val="0"/>
                <w:color w:val="auto"/>
                <w:kern w:val="2"/>
                <w:sz w:val="21"/>
                <w:szCs w:val="21"/>
                <w:highlight w:val="none"/>
                <w:u w:val="single"/>
                <w:lang w:val="en-US" w:eastAsia="zh-CN" w:bidi="ar-SA"/>
              </w:rPr>
              <w:t xml:space="preserve">        </w:t>
            </w:r>
            <w:r>
              <w:rPr>
                <w:rFonts w:hint="eastAsia" w:ascii="宋体" w:hAnsi="宋体" w:eastAsia="宋体" w:cs="宋体"/>
                <w:b w:val="0"/>
                <w:bCs w:val="0"/>
                <w:color w:val="auto"/>
                <w:kern w:val="2"/>
                <w:sz w:val="21"/>
                <w:szCs w:val="21"/>
                <w:highlight w:val="none"/>
                <w:lang w:val="en-US" w:eastAsia="zh-CN" w:bidi="ar-SA"/>
              </w:rPr>
              <w:t>）（注：不含暂列金额、材料和工程设备暂估价、专业工程暂估价、安全生产责任保险费暂估价）</w:t>
            </w:r>
          </w:p>
        </w:tc>
      </w:tr>
    </w:tbl>
    <w:p w14:paraId="55CBB62C">
      <w:pPr>
        <w:spacing w:line="500" w:lineRule="exact"/>
        <w:rPr>
          <w:rFonts w:hint="eastAsia" w:ascii="宋体" w:hAnsi="宋体" w:eastAsia="宋体" w:cs="宋体"/>
          <w:color w:val="auto"/>
          <w:szCs w:val="21"/>
          <w:highlight w:val="none"/>
        </w:rPr>
      </w:pPr>
    </w:p>
    <w:p w14:paraId="1744226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5944E478">
      <w:pPr>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、参加磋商的供应商在规定时间内提交最后报价时，须附相应的</w:t>
      </w:r>
      <w:r>
        <w:rPr>
          <w:rFonts w:hint="eastAsia" w:ascii="宋体" w:hAnsi="宋体" w:eastAsia="宋体" w:cs="宋体"/>
          <w:b/>
          <w:bCs/>
          <w:color w:val="auto"/>
          <w:szCs w:val="21"/>
          <w:highlight w:val="none"/>
          <w:lang w:val="en-US" w:eastAsia="zh-CN"/>
        </w:rPr>
        <w:t>最后竞标</w:t>
      </w:r>
      <w:r>
        <w:rPr>
          <w:rFonts w:hint="eastAsia" w:ascii="宋体" w:hAnsi="宋体" w:eastAsia="宋体" w:cs="宋体"/>
          <w:b/>
          <w:bCs/>
          <w:color w:val="auto"/>
          <w:szCs w:val="21"/>
          <w:highlight w:val="none"/>
        </w:rPr>
        <w:t>报价明细表（最后</w:t>
      </w:r>
      <w:r>
        <w:rPr>
          <w:rFonts w:hint="eastAsia" w:ascii="宋体" w:hAnsi="宋体" w:eastAsia="宋体" w:cs="宋体"/>
          <w:b/>
          <w:bCs/>
          <w:color w:val="auto"/>
          <w:szCs w:val="21"/>
          <w:highlight w:val="none"/>
          <w:lang w:val="en-US" w:eastAsia="zh-CN"/>
        </w:rPr>
        <w:t>竞标</w:t>
      </w:r>
      <w:r>
        <w:rPr>
          <w:rFonts w:hint="eastAsia" w:ascii="宋体" w:hAnsi="宋体" w:eastAsia="宋体" w:cs="宋体"/>
          <w:b/>
          <w:bCs/>
          <w:color w:val="auto"/>
          <w:szCs w:val="21"/>
          <w:highlight w:val="none"/>
        </w:rPr>
        <w:t>报价明细表应按以上格式要求提供</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并附</w:t>
      </w:r>
      <w:r>
        <w:rPr>
          <w:rFonts w:hint="eastAsia" w:ascii="宋体" w:hAnsi="宋体" w:eastAsia="宋体" w:cs="宋体"/>
          <w:b/>
          <w:bCs/>
          <w:color w:val="auto"/>
          <w:szCs w:val="21"/>
          <w:highlight w:val="none"/>
        </w:rPr>
        <w:t>最后</w:t>
      </w:r>
      <w:r>
        <w:rPr>
          <w:rFonts w:hint="eastAsia" w:ascii="宋体" w:hAnsi="宋体" w:eastAsia="宋体" w:cs="宋体"/>
          <w:b/>
          <w:bCs/>
          <w:color w:val="auto"/>
          <w:szCs w:val="21"/>
          <w:highlight w:val="none"/>
          <w:lang w:val="en-US" w:eastAsia="zh-CN"/>
        </w:rPr>
        <w:t>竞标</w:t>
      </w:r>
      <w:r>
        <w:rPr>
          <w:rFonts w:hint="eastAsia" w:ascii="宋体" w:hAnsi="宋体" w:eastAsia="宋体" w:cs="宋体"/>
          <w:b/>
          <w:bCs/>
          <w:color w:val="auto"/>
          <w:szCs w:val="21"/>
          <w:highlight w:val="none"/>
        </w:rPr>
        <w:t>报价</w:t>
      </w:r>
      <w:r>
        <w:rPr>
          <w:rFonts w:hint="eastAsia" w:ascii="宋体" w:hAnsi="宋体" w:eastAsia="宋体" w:cs="宋体"/>
          <w:b/>
          <w:bCs/>
          <w:color w:val="auto"/>
          <w:szCs w:val="21"/>
          <w:highlight w:val="none"/>
          <w:lang w:eastAsia="zh-CN"/>
        </w:rPr>
        <w:t>的</w:t>
      </w:r>
      <w:r>
        <w:rPr>
          <w:rFonts w:hint="eastAsia" w:ascii="宋体" w:hAnsi="宋体" w:eastAsia="宋体" w:cs="宋体"/>
          <w:b/>
          <w:bCs/>
          <w:color w:val="auto"/>
          <w:szCs w:val="21"/>
          <w:highlight w:val="none"/>
        </w:rPr>
        <w:t>已标价工程量清单），并且最后报价</w:t>
      </w:r>
      <w:r>
        <w:rPr>
          <w:rFonts w:hint="eastAsia" w:ascii="宋体" w:hAnsi="宋体" w:eastAsia="宋体" w:cs="宋体"/>
          <w:b/>
          <w:bCs/>
          <w:color w:val="auto"/>
          <w:szCs w:val="21"/>
          <w:highlight w:val="none"/>
          <w:lang w:eastAsia="zh-CN"/>
        </w:rPr>
        <w:t>的</w:t>
      </w:r>
      <w:r>
        <w:rPr>
          <w:rFonts w:hint="eastAsia" w:ascii="宋体" w:hAnsi="宋体" w:eastAsia="宋体" w:cs="宋体"/>
          <w:b/>
          <w:bCs/>
          <w:color w:val="auto"/>
          <w:szCs w:val="21"/>
          <w:highlight w:val="none"/>
        </w:rPr>
        <w:t>已标价工程量清单金额须与最后</w:t>
      </w:r>
      <w:r>
        <w:rPr>
          <w:rFonts w:hint="eastAsia" w:ascii="宋体" w:hAnsi="宋体" w:eastAsia="宋体" w:cs="宋体"/>
          <w:b/>
          <w:bCs/>
          <w:color w:val="auto"/>
          <w:szCs w:val="21"/>
          <w:highlight w:val="none"/>
          <w:lang w:val="en-US" w:eastAsia="zh-CN"/>
        </w:rPr>
        <w:t>竞标</w:t>
      </w:r>
      <w:r>
        <w:rPr>
          <w:rFonts w:hint="eastAsia" w:ascii="宋体" w:hAnsi="宋体" w:eastAsia="宋体" w:cs="宋体"/>
          <w:b/>
          <w:bCs/>
          <w:color w:val="auto"/>
          <w:szCs w:val="21"/>
          <w:highlight w:val="none"/>
        </w:rPr>
        <w:t>报价明细表的金额</w:t>
      </w:r>
      <w:r>
        <w:rPr>
          <w:rFonts w:hint="eastAsia" w:ascii="宋体" w:hAnsi="宋体" w:eastAsia="宋体" w:cs="宋体"/>
          <w:b/>
          <w:bCs/>
          <w:color w:val="auto"/>
          <w:szCs w:val="21"/>
          <w:highlight w:val="none"/>
          <w:lang w:val="en-US" w:eastAsia="zh-CN"/>
        </w:rPr>
        <w:t>相同</w:t>
      </w:r>
      <w:r>
        <w:rPr>
          <w:rFonts w:hint="eastAsia" w:ascii="宋体" w:hAnsi="宋体" w:eastAsia="宋体" w:cs="宋体"/>
          <w:b/>
          <w:bCs/>
          <w:color w:val="auto"/>
          <w:szCs w:val="21"/>
          <w:highlight w:val="none"/>
        </w:rPr>
        <w:t>，否则须在规定时间内按最后</w:t>
      </w:r>
      <w:r>
        <w:rPr>
          <w:rFonts w:hint="eastAsia" w:ascii="宋体" w:hAnsi="宋体" w:eastAsia="宋体" w:cs="宋体"/>
          <w:b/>
          <w:bCs/>
          <w:color w:val="auto"/>
          <w:szCs w:val="21"/>
          <w:highlight w:val="none"/>
          <w:lang w:val="en-US" w:eastAsia="zh-CN"/>
        </w:rPr>
        <w:t>竞标</w:t>
      </w:r>
      <w:r>
        <w:rPr>
          <w:rFonts w:hint="eastAsia" w:ascii="宋体" w:hAnsi="宋体" w:eastAsia="宋体" w:cs="宋体"/>
          <w:b/>
          <w:bCs/>
          <w:color w:val="auto"/>
          <w:szCs w:val="21"/>
          <w:highlight w:val="none"/>
        </w:rPr>
        <w:t>报价金额调整最后</w:t>
      </w:r>
      <w:r>
        <w:rPr>
          <w:rFonts w:hint="eastAsia" w:ascii="宋体" w:hAnsi="宋体" w:eastAsia="宋体" w:cs="宋体"/>
          <w:b/>
          <w:bCs/>
          <w:color w:val="auto"/>
          <w:szCs w:val="21"/>
          <w:highlight w:val="none"/>
          <w:lang w:val="en-US" w:eastAsia="zh-CN"/>
        </w:rPr>
        <w:t>竞标</w:t>
      </w:r>
      <w:r>
        <w:rPr>
          <w:rFonts w:hint="eastAsia" w:ascii="宋体" w:hAnsi="宋体" w:eastAsia="宋体" w:cs="宋体"/>
          <w:b/>
          <w:bCs/>
          <w:color w:val="auto"/>
          <w:szCs w:val="21"/>
          <w:highlight w:val="none"/>
        </w:rPr>
        <w:t>报价明细表的金额。</w:t>
      </w:r>
    </w:p>
    <w:p w14:paraId="78754363">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、所有价格均用人民币表示，单位为元，精确到百分位。</w:t>
      </w:r>
    </w:p>
    <w:p w14:paraId="66B69AC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、报价一经涂改，应在涂改处加盖单位公章或者由法定代表人或授权委托人签字，否则其报价无效。</w:t>
      </w:r>
    </w:p>
    <w:p w14:paraId="523020EE">
      <w:pPr>
        <w:spacing w:line="3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本表为最后报价时作为最后报价格式提供，无须在首次响应文件中体现。</w:t>
      </w:r>
    </w:p>
    <w:p w14:paraId="3ADD26DA">
      <w:pPr>
        <w:ind w:firstLine="420" w:firstLineChars="200"/>
        <w:rPr>
          <w:rFonts w:hint="eastAsia" w:ascii="宋体" w:hAnsi="宋体" w:eastAsia="宋体" w:cs="宋体"/>
          <w:color w:val="auto"/>
          <w:szCs w:val="21"/>
          <w:highlight w:val="none"/>
          <w:lang w:val="en-US" w:eastAsia="zh-CN"/>
        </w:rPr>
      </w:pPr>
    </w:p>
    <w:p w14:paraId="5C7FEDEB">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供应商名称(电子签章)：</w:t>
      </w:r>
    </w:p>
    <w:p w14:paraId="20419818">
      <w:pPr>
        <w:spacing w:line="400" w:lineRule="exact"/>
        <w:ind w:firstLine="210" w:firstLineChars="100"/>
        <w:jc w:val="center"/>
        <w:outlineLvl w:val="9"/>
        <w:rPr>
          <w:rFonts w:ascii="宋体" w:hAnsi="宋体"/>
          <w:color w:val="auto"/>
          <w:sz w:val="30"/>
          <w:szCs w:val="30"/>
          <w:highlight w:val="none"/>
        </w:rPr>
      </w:pPr>
      <w:r>
        <w:rPr>
          <w:rFonts w:hint="eastAsia" w:ascii="宋体" w:hAnsi="宋体" w:eastAsia="宋体" w:cs="宋体"/>
          <w:color w:val="auto"/>
          <w:szCs w:val="21"/>
          <w:highlight w:val="none"/>
        </w:rPr>
        <w:t>日期： 年 月 日</w:t>
      </w:r>
    </w:p>
    <w:p w14:paraId="4F0D103C">
      <w:pPr>
        <w:rPr>
          <w:rFonts w:ascii="宋体" w:hAnsi="宋体"/>
          <w:color w:val="auto"/>
          <w:sz w:val="30"/>
          <w:szCs w:val="30"/>
          <w:highlight w:val="none"/>
        </w:rPr>
      </w:pPr>
      <w:r>
        <w:rPr>
          <w:rFonts w:ascii="宋体" w:hAnsi="宋体"/>
          <w:color w:val="auto"/>
          <w:sz w:val="30"/>
          <w:szCs w:val="30"/>
          <w:highlight w:val="none"/>
        </w:rPr>
        <w:br w:type="page"/>
      </w:r>
    </w:p>
    <w:p w14:paraId="6422BD92">
      <w:pPr>
        <w:spacing w:line="400" w:lineRule="exact"/>
        <w:ind w:firstLine="300" w:firstLineChars="100"/>
        <w:outlineLvl w:val="9"/>
        <w:rPr>
          <w:rFonts w:ascii="宋体" w:hAnsi="宋体"/>
          <w:color w:val="auto"/>
          <w:sz w:val="30"/>
          <w:szCs w:val="30"/>
          <w:highlight w:val="none"/>
        </w:rPr>
      </w:pPr>
    </w:p>
    <w:p w14:paraId="599B3CB4">
      <w:pPr>
        <w:spacing w:line="400" w:lineRule="exact"/>
        <w:ind w:firstLine="300" w:firstLineChars="100"/>
        <w:outlineLvl w:val="9"/>
        <w:rPr>
          <w:rFonts w:ascii="宋体" w:hAnsi="宋体"/>
          <w:color w:val="auto"/>
          <w:sz w:val="30"/>
          <w:szCs w:val="30"/>
          <w:highlight w:val="none"/>
        </w:rPr>
      </w:pPr>
    </w:p>
    <w:p w14:paraId="1493F44E">
      <w:pPr>
        <w:rPr>
          <w:rFonts w:ascii="宋体" w:hAnsi="宋体"/>
          <w:color w:val="auto"/>
          <w:sz w:val="30"/>
          <w:szCs w:val="30"/>
          <w:highlight w:val="none"/>
        </w:rPr>
      </w:pPr>
    </w:p>
    <w:p w14:paraId="6A35D72C">
      <w:pPr>
        <w:pStyle w:val="50"/>
        <w:ind w:firstLine="300"/>
        <w:rPr>
          <w:rFonts w:ascii="宋体" w:hAnsi="宋体"/>
          <w:color w:val="auto"/>
          <w:sz w:val="30"/>
          <w:szCs w:val="30"/>
          <w:highlight w:val="none"/>
        </w:rPr>
      </w:pPr>
    </w:p>
    <w:p w14:paraId="31CA58EB">
      <w:pPr>
        <w:pStyle w:val="50"/>
        <w:ind w:firstLine="300"/>
        <w:rPr>
          <w:rFonts w:ascii="宋体" w:hAnsi="宋体"/>
          <w:color w:val="auto"/>
          <w:sz w:val="30"/>
          <w:szCs w:val="30"/>
          <w:highlight w:val="none"/>
        </w:rPr>
      </w:pPr>
    </w:p>
    <w:p w14:paraId="2C88E220">
      <w:pPr>
        <w:spacing w:line="400" w:lineRule="exact"/>
        <w:ind w:firstLine="300" w:firstLineChars="100"/>
        <w:outlineLvl w:val="9"/>
        <w:rPr>
          <w:rFonts w:ascii="宋体" w:hAnsi="宋体"/>
          <w:color w:val="auto"/>
          <w:sz w:val="30"/>
          <w:szCs w:val="30"/>
          <w:highlight w:val="none"/>
        </w:rPr>
      </w:pPr>
    </w:p>
    <w:p w14:paraId="416E42CE">
      <w:pPr>
        <w:spacing w:line="400" w:lineRule="exact"/>
        <w:ind w:firstLine="300" w:firstLineChars="100"/>
        <w:outlineLvl w:val="9"/>
        <w:rPr>
          <w:rFonts w:ascii="宋体" w:hAnsi="宋体"/>
          <w:color w:val="auto"/>
          <w:sz w:val="30"/>
          <w:szCs w:val="30"/>
          <w:highlight w:val="none"/>
        </w:rPr>
      </w:pPr>
    </w:p>
    <w:p w14:paraId="413FE46A">
      <w:pPr>
        <w:pStyle w:val="41"/>
        <w:rPr>
          <w:rFonts w:ascii="宋体" w:hAnsi="宋体"/>
          <w:color w:val="auto"/>
          <w:sz w:val="30"/>
          <w:szCs w:val="30"/>
          <w:highlight w:val="none"/>
        </w:rPr>
      </w:pPr>
    </w:p>
    <w:p w14:paraId="15D549F6">
      <w:pPr>
        <w:pStyle w:val="41"/>
        <w:rPr>
          <w:rFonts w:ascii="宋体" w:hAnsi="宋体"/>
          <w:color w:val="auto"/>
          <w:sz w:val="30"/>
          <w:szCs w:val="30"/>
          <w:highlight w:val="none"/>
        </w:rPr>
      </w:pPr>
    </w:p>
    <w:p w14:paraId="61BB26C4">
      <w:pPr>
        <w:pStyle w:val="41"/>
        <w:rPr>
          <w:rFonts w:ascii="宋体" w:hAnsi="宋体"/>
          <w:color w:val="auto"/>
          <w:sz w:val="30"/>
          <w:szCs w:val="30"/>
          <w:highlight w:val="none"/>
        </w:rPr>
      </w:pPr>
    </w:p>
    <w:p w14:paraId="68FDD69F">
      <w:pPr>
        <w:pStyle w:val="3"/>
        <w:spacing w:line="400" w:lineRule="exact"/>
        <w:ind w:left="0" w:leftChars="0" w:firstLine="0" w:firstLineChars="0"/>
        <w:jc w:val="center"/>
        <w:rPr>
          <w:rFonts w:ascii="仿宋_GB2312" w:hAnsi="宋体" w:eastAsia="仿宋_GB2312"/>
          <w:b w:val="0"/>
          <w:bCs w:val="0"/>
          <w:color w:val="auto"/>
          <w:sz w:val="32"/>
          <w:szCs w:val="32"/>
          <w:highlight w:val="none"/>
        </w:rPr>
      </w:pPr>
      <w:bookmarkStart w:id="84" w:name="_Toc6198"/>
      <w:r>
        <w:rPr>
          <w:rFonts w:hint="eastAsia" w:ascii="宋体" w:hAnsi="宋体"/>
          <w:color w:val="auto"/>
          <w:sz w:val="30"/>
          <w:szCs w:val="30"/>
          <w:highlight w:val="none"/>
        </w:rPr>
        <w:t>第</w:t>
      </w:r>
      <w:r>
        <w:rPr>
          <w:rFonts w:hint="eastAsia" w:ascii="宋体" w:hAnsi="宋体"/>
          <w:color w:val="auto"/>
          <w:sz w:val="30"/>
          <w:szCs w:val="30"/>
          <w:highlight w:val="none"/>
          <w:lang w:val="en-US" w:eastAsia="zh-CN"/>
        </w:rPr>
        <w:t>七</w:t>
      </w:r>
      <w:r>
        <w:rPr>
          <w:rFonts w:hint="eastAsia" w:ascii="宋体" w:hAnsi="宋体"/>
          <w:color w:val="auto"/>
          <w:sz w:val="30"/>
          <w:szCs w:val="30"/>
          <w:highlight w:val="none"/>
        </w:rPr>
        <w:t xml:space="preserve">章 </w:t>
      </w:r>
      <w:r>
        <w:rPr>
          <w:rFonts w:hint="eastAsia" w:ascii="宋体" w:hAnsi="宋体"/>
          <w:color w:val="auto"/>
          <w:sz w:val="30"/>
          <w:szCs w:val="30"/>
          <w:highlight w:val="none"/>
          <w:lang w:val="en-US" w:eastAsia="zh-CN"/>
        </w:rPr>
        <w:t xml:space="preserve"> </w:t>
      </w:r>
      <w:r>
        <w:rPr>
          <w:rFonts w:hint="eastAsia" w:ascii="宋体" w:hAnsi="宋体"/>
          <w:color w:val="auto"/>
          <w:sz w:val="30"/>
          <w:szCs w:val="30"/>
          <w:highlight w:val="none"/>
        </w:rPr>
        <w:t>合同主要条款</w:t>
      </w:r>
      <w:bookmarkEnd w:id="79"/>
      <w:r>
        <w:rPr>
          <w:rStyle w:val="59"/>
          <w:rFonts w:hint="eastAsia" w:ascii="宋体" w:hAnsi="宋体"/>
          <w:color w:val="auto"/>
          <w:sz w:val="30"/>
          <w:szCs w:val="30"/>
          <w:highlight w:val="none"/>
        </w:rPr>
        <w:t>及格式</w:t>
      </w:r>
      <w:bookmarkEnd w:id="80"/>
      <w:bookmarkEnd w:id="81"/>
      <w:bookmarkEnd w:id="82"/>
      <w:bookmarkEnd w:id="83"/>
      <w:bookmarkEnd w:id="84"/>
    </w:p>
    <w:p w14:paraId="0BE3ACD5">
      <w:pPr>
        <w:snapToGrid w:val="0"/>
        <w:jc w:val="center"/>
        <w:rPr>
          <w:rFonts w:ascii="仿宋_GB2312" w:hAnsi="华文中宋" w:eastAsia="仿宋_GB2312"/>
          <w:bCs/>
          <w:color w:val="auto"/>
          <w:sz w:val="32"/>
          <w:szCs w:val="32"/>
          <w:highlight w:val="none"/>
        </w:rPr>
      </w:pPr>
    </w:p>
    <w:p w14:paraId="18FDCC72">
      <w:pPr>
        <w:snapToGrid w:val="0"/>
        <w:jc w:val="center"/>
        <w:rPr>
          <w:rFonts w:ascii="仿宋_GB2312" w:hAnsi="华文中宋" w:eastAsia="仿宋_GB2312"/>
          <w:bCs/>
          <w:color w:val="auto"/>
          <w:sz w:val="32"/>
          <w:szCs w:val="32"/>
          <w:highlight w:val="none"/>
        </w:rPr>
      </w:pPr>
    </w:p>
    <w:p w14:paraId="744A7858">
      <w:pPr>
        <w:snapToGrid w:val="0"/>
        <w:jc w:val="center"/>
        <w:rPr>
          <w:rFonts w:ascii="仿宋_GB2312" w:hAnsi="华文中宋" w:eastAsia="仿宋_GB2312"/>
          <w:bCs/>
          <w:color w:val="auto"/>
          <w:sz w:val="32"/>
          <w:szCs w:val="32"/>
          <w:highlight w:val="none"/>
        </w:rPr>
      </w:pPr>
    </w:p>
    <w:p w14:paraId="00060D6C">
      <w:pPr>
        <w:snapToGrid w:val="0"/>
        <w:jc w:val="center"/>
        <w:rPr>
          <w:rFonts w:ascii="仿宋_GB2312" w:hAnsi="华文中宋" w:eastAsia="仿宋_GB2312"/>
          <w:bCs/>
          <w:color w:val="auto"/>
          <w:sz w:val="32"/>
          <w:szCs w:val="32"/>
          <w:highlight w:val="none"/>
        </w:rPr>
      </w:pPr>
    </w:p>
    <w:p w14:paraId="1B2F8F60">
      <w:pPr>
        <w:snapToGrid w:val="0"/>
        <w:jc w:val="center"/>
        <w:rPr>
          <w:rFonts w:ascii="仿宋_GB2312" w:hAnsi="华文中宋" w:eastAsia="仿宋_GB2312"/>
          <w:bCs/>
          <w:color w:val="auto"/>
          <w:sz w:val="32"/>
          <w:szCs w:val="32"/>
          <w:highlight w:val="none"/>
        </w:rPr>
      </w:pPr>
    </w:p>
    <w:p w14:paraId="65DB851D">
      <w:pPr>
        <w:snapToGrid w:val="0"/>
        <w:jc w:val="center"/>
        <w:rPr>
          <w:rFonts w:ascii="仿宋_GB2312" w:hAnsi="华文中宋" w:eastAsia="仿宋_GB2312"/>
          <w:bCs/>
          <w:color w:val="auto"/>
          <w:sz w:val="32"/>
          <w:szCs w:val="32"/>
          <w:highlight w:val="none"/>
        </w:rPr>
      </w:pPr>
    </w:p>
    <w:p w14:paraId="7CF3BA2E">
      <w:pPr>
        <w:snapToGrid w:val="0"/>
        <w:jc w:val="center"/>
        <w:rPr>
          <w:rFonts w:ascii="仿宋_GB2312" w:hAnsi="华文中宋" w:eastAsia="仿宋_GB2312"/>
          <w:bCs/>
          <w:color w:val="auto"/>
          <w:sz w:val="32"/>
          <w:szCs w:val="32"/>
          <w:highlight w:val="none"/>
        </w:rPr>
      </w:pPr>
    </w:p>
    <w:p w14:paraId="32F9B15D">
      <w:pPr>
        <w:snapToGrid w:val="0"/>
        <w:jc w:val="center"/>
        <w:rPr>
          <w:rFonts w:ascii="仿宋_GB2312" w:hAnsi="华文中宋" w:eastAsia="仿宋_GB2312"/>
          <w:bCs/>
          <w:color w:val="auto"/>
          <w:sz w:val="32"/>
          <w:szCs w:val="32"/>
          <w:highlight w:val="none"/>
        </w:rPr>
      </w:pPr>
    </w:p>
    <w:p w14:paraId="05ECBC76">
      <w:pPr>
        <w:snapToGrid w:val="0"/>
        <w:jc w:val="center"/>
        <w:rPr>
          <w:rFonts w:ascii="仿宋_GB2312" w:hAnsi="华文中宋" w:eastAsia="仿宋_GB2312"/>
          <w:bCs/>
          <w:color w:val="auto"/>
          <w:sz w:val="32"/>
          <w:szCs w:val="32"/>
          <w:highlight w:val="none"/>
        </w:rPr>
      </w:pPr>
    </w:p>
    <w:p w14:paraId="4704AE97">
      <w:pPr>
        <w:snapToGrid w:val="0"/>
        <w:jc w:val="center"/>
        <w:rPr>
          <w:rFonts w:ascii="仿宋_GB2312" w:hAnsi="华文中宋" w:eastAsia="仿宋_GB2312"/>
          <w:bCs/>
          <w:color w:val="auto"/>
          <w:sz w:val="32"/>
          <w:szCs w:val="32"/>
          <w:highlight w:val="none"/>
        </w:rPr>
      </w:pPr>
    </w:p>
    <w:p w14:paraId="08B2E1C7">
      <w:pPr>
        <w:snapToGrid w:val="0"/>
        <w:jc w:val="center"/>
        <w:rPr>
          <w:rFonts w:ascii="仿宋_GB2312" w:hAnsi="华文中宋" w:eastAsia="仿宋_GB2312"/>
          <w:bCs/>
          <w:color w:val="auto"/>
          <w:sz w:val="32"/>
          <w:szCs w:val="32"/>
          <w:highlight w:val="none"/>
        </w:rPr>
      </w:pPr>
    </w:p>
    <w:p w14:paraId="3C3B8EC0">
      <w:pPr>
        <w:snapToGrid w:val="0"/>
        <w:jc w:val="center"/>
        <w:rPr>
          <w:rFonts w:ascii="仿宋_GB2312" w:hAnsi="华文中宋" w:eastAsia="仿宋_GB2312"/>
          <w:bCs/>
          <w:color w:val="auto"/>
          <w:sz w:val="32"/>
          <w:szCs w:val="32"/>
          <w:highlight w:val="none"/>
        </w:rPr>
      </w:pPr>
    </w:p>
    <w:p w14:paraId="3B11A1D3">
      <w:pPr>
        <w:snapToGrid w:val="0"/>
        <w:jc w:val="center"/>
        <w:rPr>
          <w:rFonts w:ascii="仿宋_GB2312" w:hAnsi="华文中宋" w:eastAsia="仿宋_GB2312"/>
          <w:bCs/>
          <w:color w:val="auto"/>
          <w:sz w:val="32"/>
          <w:szCs w:val="32"/>
          <w:highlight w:val="none"/>
        </w:rPr>
      </w:pPr>
    </w:p>
    <w:p w14:paraId="030AAB56">
      <w:pPr>
        <w:snapToGrid w:val="0"/>
        <w:jc w:val="center"/>
        <w:rPr>
          <w:rFonts w:ascii="仿宋_GB2312" w:hAnsi="华文中宋" w:eastAsia="仿宋_GB2312"/>
          <w:bCs/>
          <w:color w:val="auto"/>
          <w:sz w:val="32"/>
          <w:szCs w:val="32"/>
          <w:highlight w:val="none"/>
        </w:rPr>
      </w:pPr>
    </w:p>
    <w:p w14:paraId="0B50414A">
      <w:pPr>
        <w:snapToGrid w:val="0"/>
        <w:jc w:val="center"/>
        <w:rPr>
          <w:rFonts w:ascii="仿宋_GB2312" w:hAnsi="华文中宋" w:eastAsia="仿宋_GB2312"/>
          <w:bCs/>
          <w:color w:val="auto"/>
          <w:sz w:val="32"/>
          <w:szCs w:val="32"/>
          <w:highlight w:val="none"/>
        </w:rPr>
      </w:pPr>
    </w:p>
    <w:p w14:paraId="1F613270">
      <w:pPr>
        <w:snapToGrid w:val="0"/>
        <w:jc w:val="center"/>
        <w:rPr>
          <w:rFonts w:ascii="仿宋_GB2312" w:hAnsi="宋体" w:eastAsia="仿宋_GB2312"/>
          <w:b/>
          <w:bCs/>
          <w:color w:val="auto"/>
          <w:sz w:val="44"/>
          <w:szCs w:val="44"/>
          <w:highlight w:val="none"/>
        </w:rPr>
      </w:pPr>
      <w:r>
        <w:rPr>
          <w:rFonts w:hAnsi="宋体"/>
          <w:b/>
          <w:bCs/>
          <w:color w:val="auto"/>
          <w:sz w:val="32"/>
          <w:szCs w:val="32"/>
          <w:highlight w:val="none"/>
        </w:rPr>
        <w:br w:type="page"/>
      </w:r>
    </w:p>
    <w:p w14:paraId="1113C343">
      <w:pPr>
        <w:spacing w:line="340" w:lineRule="exact"/>
        <w:ind w:right="480"/>
        <w:jc w:val="right"/>
        <w:rPr>
          <w:rFonts w:hint="eastAsia" w:ascii="仿宋_GB2312" w:hAnsi="宋体" w:eastAsia="仿宋_GB2312"/>
          <w:color w:val="auto"/>
          <w:sz w:val="24"/>
          <w:highlight w:val="none"/>
        </w:rPr>
      </w:pPr>
    </w:p>
    <w:p w14:paraId="1673BB5D">
      <w:pPr>
        <w:keepNext w:val="0"/>
        <w:keepLines w:val="0"/>
        <w:pageBreakBefore w:val="0"/>
        <w:widowControl w:val="0"/>
        <w:kinsoku/>
        <w:wordWrap/>
        <w:overflowPunct/>
        <w:topLinePunct w:val="0"/>
        <w:autoSpaceDE/>
        <w:autoSpaceDN/>
        <w:bidi w:val="0"/>
        <w:adjustRightInd/>
        <w:snapToGrid/>
        <w:spacing w:line="340" w:lineRule="exact"/>
        <w:ind w:right="482" w:firstLine="1920" w:firstLineChars="800"/>
        <w:jc w:val="center"/>
        <w:textAlignment w:val="auto"/>
        <w:rPr>
          <w:rFonts w:hint="default"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合同编号：</w:t>
      </w:r>
    </w:p>
    <w:p w14:paraId="5F620751">
      <w:pPr>
        <w:spacing w:line="340" w:lineRule="exact"/>
        <w:ind w:right="480"/>
        <w:jc w:val="right"/>
        <w:rPr>
          <w:rFonts w:hint="eastAsia" w:ascii="仿宋_GB2312" w:hAnsi="宋体" w:eastAsia="仿宋_GB2312"/>
          <w:color w:val="auto"/>
          <w:sz w:val="24"/>
          <w:highlight w:val="none"/>
        </w:rPr>
      </w:pPr>
    </w:p>
    <w:p w14:paraId="3F0E4909">
      <w:pPr>
        <w:pStyle w:val="41"/>
        <w:rPr>
          <w:rFonts w:hint="eastAsia" w:ascii="仿宋_GB2312" w:hAnsi="宋体" w:eastAsia="仿宋_GB2312"/>
          <w:color w:val="auto"/>
          <w:sz w:val="24"/>
          <w:highlight w:val="none"/>
        </w:rPr>
      </w:pPr>
    </w:p>
    <w:p w14:paraId="0978CBFE">
      <w:pPr>
        <w:pStyle w:val="41"/>
        <w:rPr>
          <w:rFonts w:hint="eastAsia" w:ascii="仿宋_GB2312" w:hAnsi="宋体" w:eastAsia="仿宋_GB2312"/>
          <w:color w:val="auto"/>
          <w:sz w:val="24"/>
          <w:highlight w:val="none"/>
        </w:rPr>
      </w:pPr>
    </w:p>
    <w:p w14:paraId="34202237">
      <w:pPr>
        <w:pStyle w:val="41"/>
        <w:rPr>
          <w:rFonts w:hint="eastAsia" w:ascii="仿宋_GB2312" w:hAnsi="宋体" w:eastAsia="仿宋_GB2312"/>
          <w:color w:val="auto"/>
          <w:sz w:val="24"/>
          <w:highlight w:val="none"/>
        </w:rPr>
      </w:pPr>
    </w:p>
    <w:p w14:paraId="54D39884">
      <w:pPr>
        <w:pStyle w:val="41"/>
        <w:rPr>
          <w:rFonts w:hint="eastAsia" w:ascii="仿宋_GB2312" w:hAnsi="宋体" w:eastAsia="仿宋_GB2312"/>
          <w:color w:val="auto"/>
          <w:sz w:val="24"/>
          <w:highlight w:val="none"/>
        </w:rPr>
      </w:pPr>
    </w:p>
    <w:p w14:paraId="452F33E3">
      <w:pPr>
        <w:pStyle w:val="41"/>
        <w:rPr>
          <w:rFonts w:hint="eastAsia" w:ascii="仿宋_GB2312" w:hAnsi="宋体" w:eastAsia="仿宋_GB2312"/>
          <w:color w:val="auto"/>
          <w:sz w:val="24"/>
          <w:highlight w:val="none"/>
        </w:rPr>
      </w:pPr>
    </w:p>
    <w:p w14:paraId="1BC76D18">
      <w:pPr>
        <w:pStyle w:val="41"/>
        <w:rPr>
          <w:rFonts w:hint="eastAsia" w:ascii="仿宋_GB2312" w:hAnsi="宋体" w:eastAsia="仿宋_GB2312"/>
          <w:color w:val="auto"/>
          <w:sz w:val="24"/>
          <w:highlight w:val="none"/>
        </w:rPr>
      </w:pPr>
    </w:p>
    <w:p w14:paraId="55E2864B">
      <w:pPr>
        <w:pStyle w:val="41"/>
        <w:rPr>
          <w:rFonts w:hint="eastAsia" w:ascii="仿宋_GB2312" w:hAnsi="宋体" w:eastAsia="仿宋_GB2312"/>
          <w:color w:val="auto"/>
          <w:sz w:val="24"/>
          <w:highlight w:val="none"/>
        </w:rPr>
      </w:pPr>
    </w:p>
    <w:p w14:paraId="14F7DA22">
      <w:pPr>
        <w:pStyle w:val="41"/>
        <w:rPr>
          <w:rFonts w:hint="eastAsia" w:ascii="仿宋_GB2312" w:hAnsi="宋体" w:eastAsia="仿宋_GB2312"/>
          <w:color w:val="auto"/>
          <w:sz w:val="24"/>
          <w:highlight w:val="none"/>
        </w:rPr>
      </w:pPr>
    </w:p>
    <w:p w14:paraId="44DE4ED6">
      <w:pPr>
        <w:pStyle w:val="41"/>
        <w:rPr>
          <w:rFonts w:hint="eastAsia" w:ascii="仿宋_GB2312" w:hAnsi="宋体" w:eastAsia="仿宋_GB2312"/>
          <w:color w:val="auto"/>
          <w:sz w:val="24"/>
          <w:highlight w:val="none"/>
        </w:rPr>
      </w:pPr>
    </w:p>
    <w:p w14:paraId="1EFC1384">
      <w:pPr>
        <w:pStyle w:val="41"/>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宋体" w:eastAsia="仿宋_GB2312"/>
          <w:b/>
          <w:bCs/>
          <w:color w:val="auto"/>
          <w:sz w:val="52"/>
          <w:szCs w:val="52"/>
          <w:highlight w:val="none"/>
          <w:lang w:val="en-US" w:eastAsia="zh-CN"/>
        </w:rPr>
      </w:pPr>
      <w:r>
        <w:rPr>
          <w:rFonts w:hint="eastAsia" w:ascii="仿宋_GB2312" w:hAnsi="宋体" w:eastAsia="仿宋_GB2312"/>
          <w:b/>
          <w:bCs/>
          <w:color w:val="auto"/>
          <w:sz w:val="52"/>
          <w:szCs w:val="52"/>
          <w:highlight w:val="none"/>
          <w:u w:val="single"/>
          <w:lang w:val="en-US" w:eastAsia="zh-CN"/>
        </w:rPr>
        <w:t>***********工程</w:t>
      </w:r>
    </w:p>
    <w:p w14:paraId="512EBFE9">
      <w:pPr>
        <w:pStyle w:val="41"/>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仿宋_GB2312" w:hAnsi="宋体" w:eastAsia="仿宋_GB2312"/>
          <w:b/>
          <w:bCs/>
          <w:color w:val="auto"/>
          <w:sz w:val="24"/>
          <w:highlight w:val="none"/>
          <w:lang w:val="en-US" w:eastAsia="zh-CN"/>
        </w:rPr>
      </w:pPr>
      <w:r>
        <w:rPr>
          <w:rFonts w:hint="eastAsia" w:ascii="黑体" w:hAnsi="黑体" w:eastAsia="黑体" w:cs="黑体"/>
          <w:b w:val="0"/>
          <w:bCs w:val="0"/>
          <w:color w:val="auto"/>
          <w:sz w:val="52"/>
          <w:szCs w:val="52"/>
          <w:highlight w:val="none"/>
          <w:lang w:val="en-US" w:eastAsia="zh-CN"/>
        </w:rPr>
        <w:t>施工合同</w:t>
      </w:r>
    </w:p>
    <w:p w14:paraId="640DE5E6">
      <w:pPr>
        <w:spacing w:line="340" w:lineRule="exact"/>
        <w:ind w:right="480"/>
        <w:jc w:val="right"/>
        <w:rPr>
          <w:rFonts w:hint="eastAsia" w:ascii="仿宋_GB2312" w:hAnsi="宋体" w:eastAsia="仿宋_GB2312"/>
          <w:color w:val="auto"/>
          <w:sz w:val="24"/>
          <w:highlight w:val="none"/>
        </w:rPr>
      </w:pPr>
    </w:p>
    <w:p w14:paraId="1E3C0668">
      <w:pPr>
        <w:spacing w:line="340" w:lineRule="exact"/>
        <w:ind w:right="480"/>
        <w:jc w:val="right"/>
        <w:rPr>
          <w:rFonts w:hint="eastAsia" w:ascii="仿宋_GB2312" w:hAnsi="宋体" w:eastAsia="仿宋_GB2312"/>
          <w:color w:val="auto"/>
          <w:sz w:val="24"/>
          <w:highlight w:val="none"/>
        </w:rPr>
      </w:pPr>
    </w:p>
    <w:p w14:paraId="44EA07B2">
      <w:pPr>
        <w:spacing w:line="340" w:lineRule="exact"/>
        <w:ind w:right="480"/>
        <w:jc w:val="right"/>
        <w:rPr>
          <w:rFonts w:hint="eastAsia" w:ascii="仿宋_GB2312" w:hAnsi="宋体" w:eastAsia="仿宋_GB2312"/>
          <w:color w:val="auto"/>
          <w:sz w:val="24"/>
          <w:highlight w:val="none"/>
        </w:rPr>
      </w:pPr>
    </w:p>
    <w:p w14:paraId="7156C068">
      <w:pPr>
        <w:spacing w:line="340" w:lineRule="exact"/>
        <w:ind w:right="480"/>
        <w:jc w:val="right"/>
        <w:rPr>
          <w:rFonts w:hint="eastAsia" w:ascii="仿宋_GB2312" w:hAnsi="宋体" w:eastAsia="仿宋_GB2312"/>
          <w:color w:val="auto"/>
          <w:sz w:val="24"/>
          <w:highlight w:val="none"/>
        </w:rPr>
      </w:pPr>
    </w:p>
    <w:p w14:paraId="12B1AF08">
      <w:pPr>
        <w:spacing w:line="340" w:lineRule="exact"/>
        <w:ind w:right="480"/>
        <w:jc w:val="right"/>
        <w:rPr>
          <w:rFonts w:hint="eastAsia" w:ascii="仿宋_GB2312" w:hAnsi="宋体" w:eastAsia="仿宋_GB2312"/>
          <w:color w:val="auto"/>
          <w:sz w:val="24"/>
          <w:highlight w:val="none"/>
        </w:rPr>
      </w:pPr>
    </w:p>
    <w:p w14:paraId="7EE42773">
      <w:pPr>
        <w:spacing w:line="340" w:lineRule="exact"/>
        <w:ind w:right="480"/>
        <w:jc w:val="right"/>
        <w:rPr>
          <w:rFonts w:hint="eastAsia" w:ascii="仿宋_GB2312" w:hAnsi="宋体" w:eastAsia="仿宋_GB2312"/>
          <w:color w:val="auto"/>
          <w:sz w:val="24"/>
          <w:highlight w:val="none"/>
        </w:rPr>
      </w:pPr>
    </w:p>
    <w:p w14:paraId="23A51906">
      <w:pPr>
        <w:spacing w:line="340" w:lineRule="exact"/>
        <w:ind w:right="480"/>
        <w:jc w:val="right"/>
        <w:rPr>
          <w:rFonts w:hint="eastAsia" w:ascii="仿宋_GB2312" w:hAnsi="宋体" w:eastAsia="仿宋_GB2312"/>
          <w:color w:val="auto"/>
          <w:sz w:val="24"/>
          <w:highlight w:val="none"/>
        </w:rPr>
      </w:pPr>
    </w:p>
    <w:p w14:paraId="2D0BA230">
      <w:pPr>
        <w:spacing w:line="340" w:lineRule="exact"/>
        <w:ind w:right="480"/>
        <w:jc w:val="right"/>
        <w:rPr>
          <w:rFonts w:hint="eastAsia" w:ascii="仿宋_GB2312" w:hAnsi="宋体" w:eastAsia="仿宋_GB2312"/>
          <w:color w:val="auto"/>
          <w:sz w:val="24"/>
          <w:highlight w:val="none"/>
        </w:rPr>
      </w:pPr>
    </w:p>
    <w:p w14:paraId="3BE898E8">
      <w:pPr>
        <w:spacing w:line="276" w:lineRule="auto"/>
        <w:jc w:val="left"/>
        <w:rPr>
          <w:rFonts w:ascii="仿宋_GB2312" w:hAnsi="仿宋_GB2312" w:eastAsia="仿宋_GB2312" w:cs="仿宋_GB2312"/>
          <w:b/>
          <w:color w:val="auto"/>
          <w:szCs w:val="21"/>
          <w:highlight w:val="none"/>
        </w:rPr>
      </w:pPr>
    </w:p>
    <w:p w14:paraId="0C5203E7">
      <w:pPr>
        <w:keepNext w:val="0"/>
        <w:keepLines w:val="0"/>
        <w:pageBreakBefore w:val="0"/>
        <w:widowControl w:val="0"/>
        <w:kinsoku/>
        <w:wordWrap/>
        <w:overflowPunct/>
        <w:topLinePunct w:val="0"/>
        <w:autoSpaceDE/>
        <w:autoSpaceDN/>
        <w:bidi w:val="0"/>
        <w:adjustRightInd/>
        <w:snapToGrid/>
        <w:spacing w:line="276" w:lineRule="auto"/>
        <w:ind w:firstLine="2108" w:firstLineChars="1000"/>
        <w:jc w:val="left"/>
        <w:textAlignment w:val="auto"/>
        <w:rPr>
          <w:rFonts w:ascii="仿宋_GB2312" w:hAnsi="仿宋_GB2312" w:eastAsia="仿宋_GB2312" w:cs="仿宋_GB2312"/>
          <w:b/>
          <w:color w:val="auto"/>
          <w:szCs w:val="21"/>
          <w:highlight w:val="none"/>
        </w:rPr>
      </w:pPr>
    </w:p>
    <w:p w14:paraId="6B473742">
      <w:pPr>
        <w:keepNext w:val="0"/>
        <w:keepLines w:val="0"/>
        <w:pageBreakBefore w:val="0"/>
        <w:widowControl w:val="0"/>
        <w:kinsoku/>
        <w:wordWrap/>
        <w:overflowPunct/>
        <w:topLinePunct w:val="0"/>
        <w:autoSpaceDE/>
        <w:autoSpaceDN/>
        <w:bidi w:val="0"/>
        <w:adjustRightInd/>
        <w:snapToGrid/>
        <w:spacing w:line="276" w:lineRule="auto"/>
        <w:ind w:firstLine="2108" w:firstLineChars="1000"/>
        <w:jc w:val="left"/>
        <w:textAlignment w:val="auto"/>
        <w:rPr>
          <w:rFonts w:ascii="仿宋_GB2312" w:hAnsi="仿宋_GB2312" w:eastAsia="仿宋_GB2312" w:cs="仿宋_GB2312"/>
          <w:b/>
          <w:color w:val="auto"/>
          <w:szCs w:val="21"/>
          <w:highlight w:val="none"/>
        </w:rPr>
      </w:pPr>
    </w:p>
    <w:p w14:paraId="68A78682">
      <w:pPr>
        <w:keepNext w:val="0"/>
        <w:keepLines w:val="0"/>
        <w:pageBreakBefore w:val="0"/>
        <w:widowControl w:val="0"/>
        <w:kinsoku/>
        <w:wordWrap/>
        <w:overflowPunct/>
        <w:topLinePunct w:val="0"/>
        <w:autoSpaceDE/>
        <w:autoSpaceDN/>
        <w:bidi w:val="0"/>
        <w:adjustRightInd/>
        <w:snapToGrid/>
        <w:spacing w:line="276" w:lineRule="auto"/>
        <w:ind w:firstLine="2108" w:firstLineChars="1000"/>
        <w:jc w:val="left"/>
        <w:textAlignment w:val="auto"/>
        <w:rPr>
          <w:rFonts w:hint="default" w:ascii="仿宋_GB2312" w:hAnsi="仿宋_GB2312" w:eastAsia="仿宋_GB2312" w:cs="仿宋_GB2312"/>
          <w:b/>
          <w:color w:val="auto"/>
          <w:szCs w:val="21"/>
          <w:highlight w:val="none"/>
          <w:lang w:val="en-US" w:eastAsia="zh-CN"/>
        </w:rPr>
      </w:pPr>
      <w:r>
        <w:rPr>
          <w:rFonts w:hint="eastAsia" w:ascii="仿宋_GB2312" w:hAnsi="仿宋_GB2312" w:eastAsia="仿宋_GB2312" w:cs="仿宋_GB2312"/>
          <w:b/>
          <w:color w:val="auto"/>
          <w:szCs w:val="21"/>
          <w:highlight w:val="none"/>
          <w:lang w:val="en-US" w:eastAsia="zh-CN"/>
        </w:rPr>
        <w:t>发包人（甲方）：</w:t>
      </w:r>
      <w:r>
        <w:rPr>
          <w:rFonts w:hint="eastAsia" w:ascii="仿宋_GB2312" w:hAnsi="仿宋_GB2312" w:eastAsia="仿宋_GB2312" w:cs="仿宋_GB2312"/>
          <w:b/>
          <w:color w:val="auto"/>
          <w:szCs w:val="21"/>
          <w:highlight w:val="none"/>
          <w:u w:val="single"/>
          <w:lang w:val="en-US" w:eastAsia="zh-CN"/>
        </w:rPr>
        <w:t xml:space="preserve">                          </w:t>
      </w:r>
    </w:p>
    <w:p w14:paraId="03C19D79">
      <w:pPr>
        <w:keepNext w:val="0"/>
        <w:keepLines w:val="0"/>
        <w:pageBreakBefore w:val="0"/>
        <w:widowControl w:val="0"/>
        <w:kinsoku/>
        <w:wordWrap/>
        <w:overflowPunct/>
        <w:topLinePunct w:val="0"/>
        <w:autoSpaceDE/>
        <w:autoSpaceDN/>
        <w:bidi w:val="0"/>
        <w:adjustRightInd/>
        <w:snapToGrid/>
        <w:spacing w:line="276" w:lineRule="auto"/>
        <w:ind w:firstLine="2108" w:firstLineChars="1000"/>
        <w:jc w:val="left"/>
        <w:textAlignment w:val="auto"/>
        <w:rPr>
          <w:rFonts w:ascii="仿宋_GB2312" w:hAnsi="仿宋_GB2312" w:eastAsia="仿宋_GB2312" w:cs="仿宋_GB2312"/>
          <w:b/>
          <w:color w:val="auto"/>
          <w:szCs w:val="21"/>
          <w:highlight w:val="none"/>
        </w:rPr>
      </w:pPr>
    </w:p>
    <w:p w14:paraId="00762922">
      <w:pPr>
        <w:keepNext w:val="0"/>
        <w:keepLines w:val="0"/>
        <w:pageBreakBefore w:val="0"/>
        <w:widowControl w:val="0"/>
        <w:kinsoku/>
        <w:wordWrap/>
        <w:overflowPunct/>
        <w:topLinePunct w:val="0"/>
        <w:autoSpaceDE/>
        <w:autoSpaceDN/>
        <w:bidi w:val="0"/>
        <w:adjustRightInd/>
        <w:snapToGrid/>
        <w:spacing w:line="276" w:lineRule="auto"/>
        <w:ind w:firstLine="2108" w:firstLineChars="1000"/>
        <w:jc w:val="left"/>
        <w:textAlignment w:val="auto"/>
        <w:rPr>
          <w:rFonts w:hint="default" w:ascii="仿宋_GB2312" w:hAnsi="仿宋_GB2312" w:eastAsia="仿宋_GB2312" w:cs="仿宋_GB2312"/>
          <w:b/>
          <w:color w:val="auto"/>
          <w:szCs w:val="21"/>
          <w:highlight w:val="none"/>
          <w:lang w:val="en-US" w:eastAsia="zh-CN"/>
        </w:rPr>
      </w:pPr>
      <w:r>
        <w:rPr>
          <w:rFonts w:hint="eastAsia" w:ascii="仿宋_GB2312" w:hAnsi="仿宋_GB2312" w:eastAsia="仿宋_GB2312" w:cs="仿宋_GB2312"/>
          <w:b/>
          <w:color w:val="auto"/>
          <w:szCs w:val="21"/>
          <w:highlight w:val="none"/>
          <w:lang w:val="en-US" w:eastAsia="zh-CN"/>
        </w:rPr>
        <w:t>承包人（乙方）：</w:t>
      </w:r>
      <w:r>
        <w:rPr>
          <w:rFonts w:hint="eastAsia" w:ascii="仿宋_GB2312" w:hAnsi="仿宋_GB2312" w:eastAsia="仿宋_GB2312" w:cs="仿宋_GB2312"/>
          <w:b/>
          <w:color w:val="auto"/>
          <w:szCs w:val="21"/>
          <w:highlight w:val="none"/>
          <w:u w:val="single"/>
          <w:lang w:val="en-US" w:eastAsia="zh-CN"/>
        </w:rPr>
        <w:t xml:space="preserve">                          </w:t>
      </w:r>
    </w:p>
    <w:p w14:paraId="08F208D4">
      <w:pPr>
        <w:rPr>
          <w:color w:val="auto"/>
          <w:highlight w:val="none"/>
        </w:rPr>
      </w:pPr>
    </w:p>
    <w:p w14:paraId="7E61CF09">
      <w:pPr>
        <w:rPr>
          <w:color w:val="auto"/>
          <w:highlight w:val="none"/>
        </w:rPr>
      </w:pPr>
    </w:p>
    <w:p w14:paraId="58152FE7">
      <w:pPr>
        <w:keepNext w:val="0"/>
        <w:keepLines w:val="0"/>
        <w:pageBreakBefore w:val="0"/>
        <w:widowControl w:val="0"/>
        <w:kinsoku/>
        <w:wordWrap/>
        <w:overflowPunct/>
        <w:topLinePunct w:val="0"/>
        <w:autoSpaceDE/>
        <w:autoSpaceDN/>
        <w:bidi w:val="0"/>
        <w:adjustRightInd/>
        <w:snapToGrid/>
        <w:spacing w:line="276" w:lineRule="auto"/>
        <w:ind w:firstLine="2108" w:firstLineChars="1000"/>
        <w:jc w:val="left"/>
        <w:textAlignment w:val="auto"/>
        <w:rPr>
          <w:rFonts w:hint="default" w:ascii="仿宋_GB2312" w:hAnsi="仿宋_GB2312" w:eastAsia="仿宋_GB2312" w:cs="仿宋_GB2312"/>
          <w:b/>
          <w:color w:val="auto"/>
          <w:szCs w:val="21"/>
          <w:highlight w:val="none"/>
          <w:lang w:val="en-US" w:eastAsia="zh-CN"/>
        </w:rPr>
      </w:pPr>
      <w:r>
        <w:rPr>
          <w:rFonts w:hint="eastAsia" w:ascii="仿宋_GB2312" w:hAnsi="仿宋_GB2312" w:eastAsia="仿宋_GB2312" w:cs="仿宋_GB2312"/>
          <w:b/>
          <w:color w:val="auto"/>
          <w:szCs w:val="21"/>
          <w:highlight w:val="none"/>
          <w:lang w:val="en-US" w:eastAsia="zh-CN"/>
        </w:rPr>
        <w:t>签订日期：</w:t>
      </w:r>
      <w:r>
        <w:rPr>
          <w:rFonts w:hint="eastAsia" w:ascii="仿宋_GB2312" w:hAnsi="仿宋_GB2312" w:eastAsia="仿宋_GB2312" w:cs="仿宋_GB2312"/>
          <w:b/>
          <w:color w:val="auto"/>
          <w:szCs w:val="21"/>
          <w:highlight w:val="none"/>
          <w:u w:val="single"/>
          <w:lang w:val="en-US" w:eastAsia="zh-CN"/>
        </w:rPr>
        <w:t xml:space="preserve">    </w:t>
      </w:r>
      <w:r>
        <w:rPr>
          <w:rFonts w:hint="eastAsia" w:ascii="仿宋_GB2312" w:hAnsi="仿宋_GB2312" w:eastAsia="仿宋_GB2312" w:cs="仿宋_GB2312"/>
          <w:b/>
          <w:color w:val="auto"/>
          <w:szCs w:val="21"/>
          <w:highlight w:val="none"/>
          <w:lang w:val="en-US" w:eastAsia="zh-CN"/>
        </w:rPr>
        <w:t>年</w:t>
      </w:r>
      <w:r>
        <w:rPr>
          <w:rFonts w:hint="eastAsia" w:ascii="仿宋_GB2312" w:hAnsi="仿宋_GB2312" w:eastAsia="仿宋_GB2312" w:cs="仿宋_GB2312"/>
          <w:b/>
          <w:color w:val="auto"/>
          <w:szCs w:val="21"/>
          <w:highlight w:val="none"/>
          <w:u w:val="single"/>
          <w:lang w:val="en-US" w:eastAsia="zh-CN"/>
        </w:rPr>
        <w:t xml:space="preserve">   </w:t>
      </w:r>
      <w:r>
        <w:rPr>
          <w:rFonts w:hint="eastAsia" w:ascii="仿宋_GB2312" w:hAnsi="仿宋_GB2312" w:eastAsia="仿宋_GB2312" w:cs="仿宋_GB2312"/>
          <w:b/>
          <w:color w:val="auto"/>
          <w:szCs w:val="21"/>
          <w:highlight w:val="none"/>
          <w:lang w:val="en-US" w:eastAsia="zh-CN"/>
        </w:rPr>
        <w:t>月</w:t>
      </w:r>
      <w:r>
        <w:rPr>
          <w:rFonts w:hint="eastAsia" w:ascii="仿宋_GB2312" w:hAnsi="仿宋_GB2312" w:eastAsia="仿宋_GB2312" w:cs="仿宋_GB2312"/>
          <w:b/>
          <w:color w:val="auto"/>
          <w:szCs w:val="21"/>
          <w:highlight w:val="none"/>
          <w:u w:val="single"/>
          <w:lang w:val="en-US" w:eastAsia="zh-CN"/>
        </w:rPr>
        <w:t xml:space="preserve">   </w:t>
      </w:r>
      <w:r>
        <w:rPr>
          <w:rFonts w:hint="eastAsia" w:ascii="仿宋_GB2312" w:hAnsi="仿宋_GB2312" w:eastAsia="仿宋_GB2312" w:cs="仿宋_GB2312"/>
          <w:b/>
          <w:color w:val="auto"/>
          <w:szCs w:val="21"/>
          <w:highlight w:val="none"/>
          <w:lang w:val="en-US" w:eastAsia="zh-CN"/>
        </w:rPr>
        <w:t>日</w:t>
      </w:r>
    </w:p>
    <w:p w14:paraId="063D6E64">
      <w:pPr>
        <w:jc w:val="center"/>
        <w:outlineLvl w:val="9"/>
        <w:rPr>
          <w:color w:val="auto"/>
          <w:sz w:val="32"/>
          <w:szCs w:val="32"/>
          <w:highlight w:val="none"/>
        </w:rPr>
      </w:pPr>
      <w:r>
        <w:rPr>
          <w:color w:val="auto"/>
          <w:sz w:val="32"/>
          <w:szCs w:val="32"/>
          <w:highlight w:val="none"/>
        </w:rPr>
        <w:br w:type="page"/>
      </w:r>
    </w:p>
    <w:p w14:paraId="6D29AA2F">
      <w:pPr>
        <w:jc w:val="center"/>
        <w:outlineLvl w:val="9"/>
        <w:rPr>
          <w:rFonts w:ascii="宋体" w:hAnsi="宋体" w:eastAsia="宋体" w:cs="宋体"/>
          <w:b/>
          <w:bCs/>
          <w:color w:val="auto"/>
          <w:sz w:val="28"/>
          <w:szCs w:val="28"/>
          <w:highlight w:val="none"/>
        </w:rPr>
      </w:pPr>
      <w:bookmarkStart w:id="85" w:name="_Toc511574708"/>
      <w:bookmarkStart w:id="86" w:name="_Toc475545909"/>
      <w:r>
        <w:rPr>
          <w:rFonts w:hint="eastAsia" w:ascii="宋体" w:hAnsi="宋体" w:eastAsia="宋体" w:cs="宋体"/>
          <w:b/>
          <w:bCs/>
          <w:color w:val="auto"/>
          <w:sz w:val="28"/>
          <w:szCs w:val="28"/>
          <w:highlight w:val="none"/>
        </w:rPr>
        <w:t>第一部分 施工合同协议书</w:t>
      </w:r>
      <w:bookmarkEnd w:id="85"/>
      <w:bookmarkEnd w:id="86"/>
    </w:p>
    <w:p w14:paraId="250CF934">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rPr>
        <w:t>发包人（全称）：</w:t>
      </w:r>
      <w:r>
        <w:rPr>
          <w:rFonts w:hint="eastAsia" w:ascii="宋体" w:hAnsi="宋体" w:cs="宋体"/>
          <w:b/>
          <w:color w:val="auto"/>
          <w:szCs w:val="21"/>
          <w:highlight w:val="none"/>
          <w:u w:val="single"/>
        </w:rPr>
        <w:t xml:space="preserve">                                     </w:t>
      </w:r>
    </w:p>
    <w:p w14:paraId="021C09BF">
      <w:pPr>
        <w:spacing w:line="360" w:lineRule="auto"/>
        <w:rPr>
          <w:rFonts w:ascii="宋体" w:hAnsi="宋体" w:cs="宋体"/>
          <w:bCs/>
          <w:color w:val="auto"/>
          <w:szCs w:val="21"/>
          <w:highlight w:val="none"/>
          <w:u w:val="single"/>
        </w:rPr>
      </w:pPr>
      <w:r>
        <w:rPr>
          <w:rFonts w:hint="eastAsia" w:ascii="宋体" w:hAnsi="宋体" w:cs="宋体"/>
          <w:bCs/>
          <w:color w:val="auto"/>
          <w:szCs w:val="21"/>
          <w:highlight w:val="none"/>
        </w:rPr>
        <w:t>统一社会信用代码：</w:t>
      </w:r>
      <w:r>
        <w:rPr>
          <w:rFonts w:hint="eastAsia" w:ascii="宋体" w:hAnsi="宋体" w:cs="宋体"/>
          <w:bCs/>
          <w:color w:val="auto"/>
          <w:szCs w:val="21"/>
          <w:highlight w:val="none"/>
          <w:u w:val="single"/>
        </w:rPr>
        <w:t xml:space="preserve">                                       </w:t>
      </w:r>
    </w:p>
    <w:p w14:paraId="498DC4AE">
      <w:pPr>
        <w:spacing w:line="360" w:lineRule="auto"/>
        <w:rPr>
          <w:rFonts w:ascii="宋体" w:hAnsi="宋体" w:cs="宋体"/>
          <w:bCs/>
          <w:color w:val="auto"/>
          <w:szCs w:val="21"/>
          <w:highlight w:val="none"/>
          <w:u w:val="single"/>
        </w:rPr>
      </w:pPr>
    </w:p>
    <w:p w14:paraId="6F55FFD6">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rPr>
        <w:t>承包人（全称）：</w:t>
      </w:r>
      <w:r>
        <w:rPr>
          <w:rFonts w:hint="eastAsia" w:ascii="宋体" w:hAnsi="宋体" w:cs="宋体"/>
          <w:b/>
          <w:color w:val="auto"/>
          <w:szCs w:val="21"/>
          <w:highlight w:val="none"/>
          <w:u w:val="single"/>
        </w:rPr>
        <w:t xml:space="preserve">                                      </w:t>
      </w:r>
    </w:p>
    <w:p w14:paraId="3E26DF47">
      <w:pPr>
        <w:spacing w:line="360" w:lineRule="auto"/>
        <w:rPr>
          <w:rFonts w:ascii="宋体" w:hAnsi="宋体" w:cs="宋体"/>
          <w:bCs/>
          <w:color w:val="auto"/>
          <w:szCs w:val="21"/>
          <w:highlight w:val="none"/>
          <w:u w:val="single"/>
        </w:rPr>
      </w:pPr>
      <w:r>
        <w:rPr>
          <w:rFonts w:hint="eastAsia" w:ascii="宋体" w:hAnsi="宋体" w:cs="宋体"/>
          <w:bCs/>
          <w:color w:val="auto"/>
          <w:szCs w:val="21"/>
          <w:highlight w:val="none"/>
        </w:rPr>
        <w:t>统一社会信用代码：：</w:t>
      </w:r>
      <w:r>
        <w:rPr>
          <w:rFonts w:hint="eastAsia" w:ascii="宋体" w:hAnsi="宋体" w:cs="宋体"/>
          <w:bCs/>
          <w:color w:val="auto"/>
          <w:szCs w:val="21"/>
          <w:highlight w:val="none"/>
          <w:u w:val="single"/>
        </w:rPr>
        <w:t xml:space="preserve">                                       </w:t>
      </w:r>
    </w:p>
    <w:p w14:paraId="3569D8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根据《中华人民共和国合同法》、《中华人民共和国建筑法》及有关法律规定，遵循平等、自愿、公平和诚实信用的原则，双方就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工程施工及有关事项协商一致，共同达成如下协议：</w:t>
      </w:r>
    </w:p>
    <w:p w14:paraId="5F67FCD8">
      <w:pPr>
        <w:keepNext w:val="0"/>
        <w:keepLines w:val="0"/>
        <w:pageBreakBefore w:val="0"/>
        <w:widowControl w:val="0"/>
        <w:kinsoku/>
        <w:wordWrap/>
        <w:overflowPunct/>
        <w:topLinePunct w:val="0"/>
        <w:autoSpaceDE/>
        <w:autoSpaceDN/>
        <w:bidi w:val="0"/>
        <w:adjustRightInd/>
        <w:snapToGrid/>
        <w:spacing w:before="120" w:after="120"/>
        <w:ind w:firstLine="422" w:firstLineChars="200"/>
        <w:textAlignment w:val="auto"/>
        <w:outlineLvl w:val="9"/>
        <w:rPr>
          <w:rFonts w:ascii="宋体" w:hAnsi="宋体" w:cs="宋体"/>
          <w:b/>
          <w:bCs/>
          <w:color w:val="auto"/>
          <w:szCs w:val="21"/>
          <w:highlight w:val="none"/>
        </w:rPr>
      </w:pPr>
      <w:bookmarkStart w:id="87" w:name="_Toc351203481"/>
      <w:r>
        <w:rPr>
          <w:rFonts w:hint="eastAsia" w:ascii="宋体" w:hAnsi="宋体" w:cs="宋体"/>
          <w:b/>
          <w:bCs/>
          <w:color w:val="auto"/>
          <w:szCs w:val="21"/>
          <w:highlight w:val="none"/>
        </w:rPr>
        <w:t>一、工程概况</w:t>
      </w:r>
      <w:bookmarkEnd w:id="87"/>
    </w:p>
    <w:p w14:paraId="4338568F">
      <w:pPr>
        <w:numPr>
          <w:ilvl w:val="0"/>
          <w:numId w:val="9"/>
        </w:numPr>
        <w:spacing w:line="360" w:lineRule="auto"/>
        <w:ind w:firstLine="411" w:firstLineChars="196"/>
        <w:rPr>
          <w:rFonts w:ascii="宋体" w:hAnsi="宋体" w:cs="宋体"/>
          <w:color w:val="auto"/>
          <w:szCs w:val="21"/>
          <w:highlight w:val="none"/>
        </w:rPr>
      </w:pPr>
      <w:r>
        <w:rPr>
          <w:rFonts w:hint="eastAsia" w:ascii="宋体" w:hAnsi="宋体" w:cs="宋体"/>
          <w:bCs/>
          <w:color w:val="auto"/>
          <w:szCs w:val="21"/>
          <w:highlight w:val="none"/>
        </w:rPr>
        <w:t>工程名称</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62DD067">
      <w:pPr>
        <w:numPr>
          <w:ilvl w:val="0"/>
          <w:numId w:val="10"/>
        </w:numPr>
        <w:spacing w:line="360" w:lineRule="auto"/>
        <w:ind w:firstLine="411" w:firstLineChars="196"/>
        <w:rPr>
          <w:rFonts w:ascii="宋体" w:hAnsi="宋体" w:cs="宋体"/>
          <w:color w:val="auto"/>
          <w:szCs w:val="21"/>
          <w:highlight w:val="none"/>
        </w:rPr>
      </w:pPr>
      <w:r>
        <w:rPr>
          <w:rFonts w:hint="eastAsia" w:ascii="宋体" w:hAnsi="宋体" w:cs="宋体"/>
          <w:bCs/>
          <w:color w:val="auto"/>
          <w:szCs w:val="21"/>
          <w:highlight w:val="none"/>
        </w:rPr>
        <w:t>工程地点：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777132B">
      <w:pPr>
        <w:spacing w:line="360" w:lineRule="auto"/>
        <w:ind w:firstLine="411" w:firstLineChars="196"/>
        <w:rPr>
          <w:rFonts w:ascii="宋体" w:hAnsi="宋体" w:cs="宋体"/>
          <w:bCs/>
          <w:color w:val="auto"/>
          <w:szCs w:val="21"/>
          <w:highlight w:val="none"/>
        </w:rPr>
      </w:pPr>
      <w:r>
        <w:rPr>
          <w:rFonts w:hint="eastAsia" w:ascii="宋体" w:hAnsi="宋体" w:cs="宋体"/>
          <w:bCs/>
          <w:color w:val="auto"/>
          <w:szCs w:val="21"/>
          <w:highlight w:val="none"/>
        </w:rPr>
        <w:t>3.工程立项批准文号：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B1313DC">
      <w:pPr>
        <w:spacing w:line="360" w:lineRule="auto"/>
        <w:ind w:firstLine="411" w:firstLineChars="196"/>
        <w:rPr>
          <w:rFonts w:ascii="宋体" w:hAnsi="宋体" w:cs="宋体"/>
          <w:bCs/>
          <w:color w:val="auto"/>
          <w:szCs w:val="21"/>
          <w:highlight w:val="none"/>
        </w:rPr>
      </w:pPr>
      <w:r>
        <w:rPr>
          <w:rFonts w:hint="eastAsia" w:ascii="宋体" w:hAnsi="宋体" w:cs="宋体"/>
          <w:bCs/>
          <w:color w:val="auto"/>
          <w:szCs w:val="21"/>
          <w:highlight w:val="none"/>
        </w:rPr>
        <w:t>4.资金来源：</w:t>
      </w:r>
      <w:r>
        <w:rPr>
          <w:rFonts w:hint="eastAsia" w:ascii="宋体" w:hAnsi="宋体" w:cs="宋体"/>
          <w:bCs/>
          <w:color w:val="auto"/>
          <w:szCs w:val="21"/>
          <w:highlight w:val="none"/>
          <w:lang w:val="en-US" w:eastAsia="zh-CN"/>
        </w:rPr>
        <w:t>财政资金</w:t>
      </w:r>
      <w:r>
        <w:rPr>
          <w:rFonts w:hint="eastAsia" w:ascii="宋体" w:hAnsi="宋体" w:cs="宋体"/>
          <w:bCs/>
          <w:color w:val="auto"/>
          <w:szCs w:val="21"/>
          <w:highlight w:val="none"/>
        </w:rPr>
        <w:t>。</w:t>
      </w:r>
    </w:p>
    <w:p w14:paraId="493E46FA">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5.工程内容：</w:t>
      </w:r>
      <w:r>
        <w:rPr>
          <w:rFonts w:hint="eastAsia" w:ascii="宋体" w:hAnsi="宋体" w:cs="宋体"/>
          <w:bCs/>
          <w:color w:val="auto"/>
          <w:szCs w:val="21"/>
          <w:highlight w:val="none"/>
          <w:u w:val="single"/>
          <w:lang w:val="en-US" w:eastAsia="zh-CN"/>
        </w:rPr>
        <w:t xml:space="preserve">                </w:t>
      </w:r>
      <w:r>
        <w:rPr>
          <w:rFonts w:hint="eastAsia" w:ascii="宋体" w:hAnsi="宋体" w:cs="宋体"/>
          <w:color w:val="auto"/>
          <w:szCs w:val="21"/>
          <w:highlight w:val="none"/>
          <w:u w:val="single"/>
        </w:rPr>
        <w:t>。</w:t>
      </w:r>
    </w:p>
    <w:p w14:paraId="31117C02">
      <w:pPr>
        <w:spacing w:line="360" w:lineRule="auto"/>
        <w:ind w:firstLine="411" w:firstLineChars="196"/>
        <w:rPr>
          <w:rFonts w:ascii="宋体" w:hAnsi="宋体" w:cs="宋体"/>
          <w:bCs/>
          <w:color w:val="auto"/>
          <w:szCs w:val="21"/>
          <w:highlight w:val="none"/>
        </w:rPr>
      </w:pPr>
      <w:r>
        <w:rPr>
          <w:rFonts w:hint="eastAsia" w:ascii="宋体" w:hAnsi="宋体" w:cs="宋体"/>
          <w:bCs/>
          <w:color w:val="auto"/>
          <w:szCs w:val="21"/>
          <w:highlight w:val="none"/>
        </w:rPr>
        <w:t>6.工程承包范围：</w:t>
      </w:r>
      <w:r>
        <w:rPr>
          <w:rFonts w:hint="eastAsia" w:ascii="宋体" w:hAnsi="宋体" w:cs="宋体"/>
          <w:bCs/>
          <w:color w:val="auto"/>
          <w:szCs w:val="21"/>
          <w:highlight w:val="none"/>
          <w:u w:val="single"/>
          <w:lang w:val="en-US" w:eastAsia="zh-CN"/>
        </w:rPr>
        <w:t xml:space="preserve"> 施工图范围包含的施工内容，详见工程量清单 </w:t>
      </w:r>
      <w:r>
        <w:rPr>
          <w:rFonts w:hint="eastAsia" w:ascii="宋体" w:hAnsi="宋体" w:cs="宋体"/>
          <w:color w:val="auto"/>
          <w:szCs w:val="21"/>
          <w:highlight w:val="none"/>
          <w:u w:val="single"/>
        </w:rPr>
        <w:t>。</w:t>
      </w:r>
    </w:p>
    <w:p w14:paraId="0FFA9E14">
      <w:pPr>
        <w:keepNext w:val="0"/>
        <w:keepLines w:val="0"/>
        <w:pageBreakBefore w:val="0"/>
        <w:widowControl w:val="0"/>
        <w:kinsoku/>
        <w:wordWrap/>
        <w:overflowPunct/>
        <w:topLinePunct w:val="0"/>
        <w:autoSpaceDE/>
        <w:autoSpaceDN/>
        <w:bidi w:val="0"/>
        <w:adjustRightInd/>
        <w:snapToGrid/>
        <w:spacing w:before="120" w:after="120"/>
        <w:ind w:firstLine="422" w:firstLineChars="200"/>
        <w:textAlignment w:val="auto"/>
        <w:outlineLvl w:val="9"/>
        <w:rPr>
          <w:rFonts w:ascii="宋体" w:hAnsi="宋体" w:cs="宋体"/>
          <w:b/>
          <w:bCs/>
          <w:color w:val="auto"/>
          <w:szCs w:val="21"/>
          <w:highlight w:val="none"/>
        </w:rPr>
      </w:pPr>
      <w:bookmarkStart w:id="88" w:name="_Toc351203482"/>
      <w:r>
        <w:rPr>
          <w:rFonts w:hint="eastAsia" w:ascii="宋体" w:hAnsi="宋体" w:cs="宋体"/>
          <w:b/>
          <w:bCs/>
          <w:color w:val="auto"/>
          <w:szCs w:val="21"/>
          <w:highlight w:val="none"/>
        </w:rPr>
        <w:t>二、合同工期</w:t>
      </w:r>
      <w:bookmarkEnd w:id="88"/>
    </w:p>
    <w:p w14:paraId="0B37452E">
      <w:pPr>
        <w:spacing w:line="360" w:lineRule="auto"/>
        <w:ind w:firstLine="459"/>
        <w:rPr>
          <w:rFonts w:ascii="宋体" w:hAnsi="宋体" w:cs="宋体"/>
          <w:color w:val="auto"/>
          <w:szCs w:val="21"/>
          <w:highlight w:val="none"/>
        </w:rPr>
      </w:pPr>
      <w:r>
        <w:rPr>
          <w:rFonts w:hint="eastAsia" w:ascii="宋体" w:hAnsi="宋体" w:cs="宋体"/>
          <w:color w:val="auto"/>
          <w:szCs w:val="21"/>
          <w:highlight w:val="none"/>
        </w:rPr>
        <w:t>计划开工日期：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D5108B5">
      <w:pPr>
        <w:spacing w:line="360" w:lineRule="auto"/>
        <w:ind w:firstLine="459"/>
        <w:rPr>
          <w:rFonts w:ascii="宋体" w:hAnsi="宋体" w:cs="宋体"/>
          <w:color w:val="auto"/>
          <w:szCs w:val="21"/>
          <w:highlight w:val="none"/>
        </w:rPr>
      </w:pPr>
      <w:r>
        <w:rPr>
          <w:rFonts w:hint="eastAsia" w:ascii="宋体" w:hAnsi="宋体" w:cs="宋体"/>
          <w:color w:val="auto"/>
          <w:szCs w:val="21"/>
          <w:highlight w:val="none"/>
        </w:rPr>
        <w:t>计划竣工日期：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34A63BA">
      <w:pPr>
        <w:spacing w:line="360" w:lineRule="auto"/>
        <w:ind w:firstLine="459"/>
        <w:rPr>
          <w:rFonts w:ascii="宋体" w:hAnsi="宋体" w:cs="宋体"/>
          <w:color w:val="auto"/>
          <w:szCs w:val="21"/>
          <w:highlight w:val="none"/>
        </w:rPr>
      </w:pPr>
      <w:r>
        <w:rPr>
          <w:rFonts w:hint="eastAsia" w:ascii="宋体" w:hAnsi="宋体" w:cs="宋体"/>
          <w:color w:val="auto"/>
          <w:szCs w:val="21"/>
          <w:highlight w:val="none"/>
        </w:rPr>
        <w:t>工期总日历天数：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none"/>
          <w:lang w:val="en-US" w:eastAsia="zh-CN"/>
        </w:rPr>
        <w:t>日历</w:t>
      </w:r>
      <w:r>
        <w:rPr>
          <w:rFonts w:hint="eastAsia" w:ascii="宋体" w:hAnsi="宋体" w:cs="宋体"/>
          <w:color w:val="auto"/>
          <w:szCs w:val="21"/>
          <w:highlight w:val="none"/>
          <w:u w:val="none"/>
        </w:rPr>
        <w:t>天。</w:t>
      </w:r>
      <w:r>
        <w:rPr>
          <w:rFonts w:hint="eastAsia" w:ascii="宋体" w:hAnsi="宋体" w:cs="宋体"/>
          <w:color w:val="auto"/>
          <w:szCs w:val="21"/>
          <w:highlight w:val="none"/>
        </w:rPr>
        <w:t>工期总日历天数与根据前述计划开竣工日期计算的工期天数不一致的，以工期总日历天数为准。</w:t>
      </w:r>
    </w:p>
    <w:p w14:paraId="2FADABA5">
      <w:pPr>
        <w:keepNext w:val="0"/>
        <w:keepLines w:val="0"/>
        <w:pageBreakBefore w:val="0"/>
        <w:widowControl w:val="0"/>
        <w:kinsoku/>
        <w:wordWrap/>
        <w:overflowPunct/>
        <w:topLinePunct w:val="0"/>
        <w:autoSpaceDE/>
        <w:autoSpaceDN/>
        <w:bidi w:val="0"/>
        <w:adjustRightInd/>
        <w:snapToGrid/>
        <w:spacing w:before="120" w:after="120"/>
        <w:ind w:firstLine="422" w:firstLineChars="200"/>
        <w:textAlignment w:val="auto"/>
        <w:outlineLvl w:val="9"/>
        <w:rPr>
          <w:rFonts w:hint="eastAsia" w:ascii="宋体" w:hAnsi="宋体" w:cs="宋体"/>
          <w:b/>
          <w:bCs/>
          <w:color w:val="auto"/>
          <w:szCs w:val="21"/>
          <w:highlight w:val="none"/>
        </w:rPr>
      </w:pPr>
      <w:bookmarkStart w:id="89" w:name="_Toc351203483"/>
      <w:r>
        <w:rPr>
          <w:rFonts w:hint="eastAsia" w:ascii="宋体" w:hAnsi="宋体" w:cs="宋体"/>
          <w:b/>
          <w:bCs/>
          <w:color w:val="auto"/>
          <w:szCs w:val="21"/>
          <w:highlight w:val="none"/>
        </w:rPr>
        <w:t>三、质量标准</w:t>
      </w:r>
      <w:bookmarkEnd w:id="89"/>
    </w:p>
    <w:p w14:paraId="14A86195">
      <w:pPr>
        <w:spacing w:line="360" w:lineRule="auto"/>
        <w:ind w:firstLine="459"/>
        <w:rPr>
          <w:rFonts w:ascii="宋体" w:hAnsi="宋体" w:cs="宋体"/>
          <w:color w:val="auto"/>
          <w:szCs w:val="21"/>
          <w:highlight w:val="none"/>
        </w:rPr>
      </w:pPr>
      <w:r>
        <w:rPr>
          <w:rFonts w:hint="eastAsia" w:ascii="宋体" w:hAnsi="宋体" w:cs="宋体"/>
          <w:color w:val="auto"/>
          <w:szCs w:val="21"/>
          <w:highlight w:val="none"/>
        </w:rPr>
        <w:t>工程质量符合</w:t>
      </w:r>
      <w:r>
        <w:rPr>
          <w:rFonts w:hint="eastAsia" w:ascii="宋体" w:hAnsi="宋体" w:cs="宋体"/>
          <w:color w:val="auto"/>
          <w:szCs w:val="21"/>
          <w:highlight w:val="none"/>
          <w:u w:val="single"/>
        </w:rPr>
        <w:t xml:space="preserve"> 合格 </w:t>
      </w:r>
      <w:r>
        <w:rPr>
          <w:rFonts w:hint="eastAsia" w:ascii="宋体" w:hAnsi="宋体" w:cs="宋体"/>
          <w:color w:val="auto"/>
          <w:szCs w:val="21"/>
          <w:highlight w:val="none"/>
        </w:rPr>
        <w:t>标准。</w:t>
      </w:r>
    </w:p>
    <w:p w14:paraId="788D121A">
      <w:pPr>
        <w:keepNext w:val="0"/>
        <w:keepLines w:val="0"/>
        <w:pageBreakBefore w:val="0"/>
        <w:widowControl w:val="0"/>
        <w:kinsoku/>
        <w:wordWrap/>
        <w:overflowPunct/>
        <w:topLinePunct w:val="0"/>
        <w:autoSpaceDE/>
        <w:autoSpaceDN/>
        <w:bidi w:val="0"/>
        <w:adjustRightInd/>
        <w:snapToGrid/>
        <w:spacing w:before="120" w:after="120"/>
        <w:ind w:firstLine="422" w:firstLineChars="200"/>
        <w:textAlignment w:val="auto"/>
        <w:outlineLvl w:val="9"/>
        <w:rPr>
          <w:rFonts w:hint="eastAsia" w:ascii="宋体" w:hAnsi="宋体" w:cs="宋体"/>
          <w:b/>
          <w:bCs/>
          <w:color w:val="auto"/>
          <w:szCs w:val="21"/>
          <w:highlight w:val="none"/>
        </w:rPr>
      </w:pPr>
      <w:bookmarkStart w:id="90" w:name="_Toc351203484"/>
      <w:r>
        <w:rPr>
          <w:rFonts w:hint="eastAsia" w:ascii="宋体" w:hAnsi="宋体" w:cs="宋体"/>
          <w:b/>
          <w:bCs/>
          <w:color w:val="auto"/>
          <w:szCs w:val="21"/>
          <w:highlight w:val="none"/>
        </w:rPr>
        <w:t>四、签约合同价与合同价格形式</w:t>
      </w:r>
      <w:bookmarkEnd w:id="90"/>
    </w:p>
    <w:p w14:paraId="634A91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1.签约合同价为：</w:t>
      </w:r>
    </w:p>
    <w:p w14:paraId="076948AE">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327E87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其中：</w:t>
      </w:r>
    </w:p>
    <w:p w14:paraId="358AA8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（1）安全文明施工费：</w:t>
      </w:r>
    </w:p>
    <w:p w14:paraId="7BF5A6CF">
      <w:pPr>
        <w:spacing w:line="360" w:lineRule="auto"/>
        <w:ind w:firstLine="945" w:firstLineChars="450"/>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738558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（2）材料和工程设备暂估价金额：</w:t>
      </w:r>
    </w:p>
    <w:p w14:paraId="28D73FEB">
      <w:pPr>
        <w:spacing w:line="360" w:lineRule="auto"/>
        <w:ind w:firstLine="945" w:firstLineChars="450"/>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0DA3C4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（3）专业工程暂估价金额：</w:t>
      </w:r>
    </w:p>
    <w:p w14:paraId="580F4EA2">
      <w:pPr>
        <w:spacing w:line="360" w:lineRule="auto"/>
        <w:ind w:firstLine="945" w:firstLineChars="450"/>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650E5C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（4）暂列金额：</w:t>
      </w:r>
    </w:p>
    <w:p w14:paraId="1B920785">
      <w:pPr>
        <w:spacing w:line="360" w:lineRule="auto"/>
        <w:ind w:firstLine="945" w:firstLineChars="450"/>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55726A1B">
      <w:pPr>
        <w:pStyle w:val="289"/>
        <w:ind w:firstLine="420"/>
        <w:rPr>
          <w:rFonts w:ascii="宋体" w:hAnsi="宋体" w:cs="宋体"/>
          <w:color w:val="auto"/>
          <w:szCs w:val="21"/>
          <w:highlight w:val="none"/>
        </w:rPr>
      </w:pPr>
    </w:p>
    <w:p w14:paraId="2A315669">
      <w:pPr>
        <w:numPr>
          <w:ilvl w:val="0"/>
          <w:numId w:val="11"/>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合同价格形式：</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u w:val="single"/>
          <w:lang w:val="en-US" w:eastAsia="zh-CN"/>
        </w:rPr>
        <w:t xml:space="preserve"> 固定综合单价合同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E879C95">
      <w:pPr>
        <w:keepNext w:val="0"/>
        <w:keepLines w:val="0"/>
        <w:pageBreakBefore w:val="0"/>
        <w:widowControl w:val="0"/>
        <w:kinsoku/>
        <w:wordWrap/>
        <w:overflowPunct/>
        <w:topLinePunct w:val="0"/>
        <w:autoSpaceDE/>
        <w:autoSpaceDN/>
        <w:bidi w:val="0"/>
        <w:adjustRightInd/>
        <w:snapToGrid/>
        <w:spacing w:before="120" w:after="120"/>
        <w:ind w:firstLine="422" w:firstLineChars="200"/>
        <w:textAlignment w:val="auto"/>
        <w:outlineLvl w:val="9"/>
        <w:rPr>
          <w:rFonts w:hint="eastAsia" w:ascii="宋体" w:hAnsi="宋体" w:cs="宋体"/>
          <w:b/>
          <w:bCs/>
          <w:color w:val="auto"/>
          <w:szCs w:val="21"/>
          <w:highlight w:val="none"/>
        </w:rPr>
      </w:pPr>
      <w:bookmarkStart w:id="91" w:name="_Toc351203485"/>
      <w:r>
        <w:rPr>
          <w:rFonts w:hint="eastAsia" w:ascii="宋体" w:hAnsi="宋体" w:cs="宋体"/>
          <w:b/>
          <w:bCs/>
          <w:color w:val="auto"/>
          <w:szCs w:val="21"/>
          <w:highlight w:val="none"/>
        </w:rPr>
        <w:t>五、</w:t>
      </w:r>
      <w:bookmarkEnd w:id="91"/>
      <w:r>
        <w:rPr>
          <w:rFonts w:hint="eastAsia" w:ascii="宋体" w:hAnsi="宋体" w:cs="宋体"/>
          <w:b/>
          <w:bCs/>
          <w:color w:val="auto"/>
          <w:szCs w:val="21"/>
          <w:highlight w:val="none"/>
        </w:rPr>
        <w:t>项目经理</w:t>
      </w:r>
    </w:p>
    <w:p w14:paraId="09638E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承包人项目经理：          建造师注册编号：         ，安全生产考核合格证（B证）编号：      。</w:t>
      </w:r>
    </w:p>
    <w:p w14:paraId="276BEE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专职安全员：             ，安全生产考核合格证（C证）编号：     </w:t>
      </w:r>
    </w:p>
    <w:p w14:paraId="18DE76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技术负责人：             职称证编号：</w:t>
      </w:r>
    </w:p>
    <w:p w14:paraId="3C43210B">
      <w:pPr>
        <w:keepNext w:val="0"/>
        <w:keepLines w:val="0"/>
        <w:pageBreakBefore w:val="0"/>
        <w:widowControl w:val="0"/>
        <w:kinsoku/>
        <w:wordWrap/>
        <w:overflowPunct/>
        <w:topLinePunct w:val="0"/>
        <w:autoSpaceDE/>
        <w:autoSpaceDN/>
        <w:bidi w:val="0"/>
        <w:adjustRightInd/>
        <w:snapToGrid/>
        <w:spacing w:before="120" w:after="120"/>
        <w:ind w:firstLine="422" w:firstLineChars="200"/>
        <w:textAlignment w:val="auto"/>
        <w:outlineLvl w:val="9"/>
        <w:rPr>
          <w:rFonts w:hint="eastAsia" w:ascii="宋体" w:hAnsi="宋体" w:cs="宋体"/>
          <w:b/>
          <w:bCs/>
          <w:color w:val="auto"/>
          <w:szCs w:val="21"/>
          <w:highlight w:val="none"/>
        </w:rPr>
      </w:pPr>
      <w:bookmarkStart w:id="92" w:name="_Toc351203486"/>
      <w:r>
        <w:rPr>
          <w:rFonts w:hint="eastAsia" w:ascii="宋体" w:hAnsi="宋体" w:cs="宋体"/>
          <w:b/>
          <w:bCs/>
          <w:color w:val="auto"/>
          <w:szCs w:val="21"/>
          <w:highlight w:val="none"/>
        </w:rPr>
        <w:t>六、合同文件构成</w:t>
      </w:r>
      <w:bookmarkEnd w:id="92"/>
    </w:p>
    <w:p w14:paraId="43671DC7">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1、本协议书与下列文件一起构成合同文件：</w:t>
      </w:r>
    </w:p>
    <w:p w14:paraId="5F62571F">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（1）中标通知书（如果有）；</w:t>
      </w:r>
    </w:p>
    <w:p w14:paraId="05AD507B">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（2）磋商函及其附录（如果有）； </w:t>
      </w:r>
    </w:p>
    <w:p w14:paraId="7347A879">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（3）专用合同条款及其附件；</w:t>
      </w:r>
    </w:p>
    <w:p w14:paraId="5F3AFCBC">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（4）通用合同条款；</w:t>
      </w:r>
    </w:p>
    <w:p w14:paraId="39B598A5">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（5）技术标准和要求；</w:t>
      </w:r>
    </w:p>
    <w:p w14:paraId="2097D4EA">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（6）图纸；</w:t>
      </w:r>
    </w:p>
    <w:p w14:paraId="3B05423C">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（7）已标价工程量清单</w:t>
      </w:r>
      <w:r>
        <w:rPr>
          <w:rFonts w:hint="eastAsia" w:ascii="宋体" w:hAnsi="宋体" w:cs="宋体"/>
          <w:color w:val="auto"/>
          <w:szCs w:val="21"/>
          <w:highlight w:val="none"/>
          <w:lang w:val="en-US" w:eastAsia="zh-CN"/>
        </w:rPr>
        <w:t>或预算书</w:t>
      </w:r>
      <w:r>
        <w:rPr>
          <w:rFonts w:hint="eastAsia" w:ascii="宋体" w:hAnsi="宋体" w:cs="宋体"/>
          <w:color w:val="auto"/>
          <w:szCs w:val="21"/>
          <w:highlight w:val="none"/>
        </w:rPr>
        <w:t>；</w:t>
      </w:r>
    </w:p>
    <w:p w14:paraId="25D3354D">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（8）其他合同文件。</w:t>
      </w:r>
    </w:p>
    <w:p w14:paraId="0CDF24B7">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w:t>
      </w:r>
    </w:p>
    <w:p w14:paraId="1ACB65CF">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4EB329BA">
      <w:pPr>
        <w:keepNext w:val="0"/>
        <w:keepLines w:val="0"/>
        <w:pageBreakBefore w:val="0"/>
        <w:widowControl w:val="0"/>
        <w:kinsoku/>
        <w:wordWrap/>
        <w:overflowPunct/>
        <w:topLinePunct w:val="0"/>
        <w:autoSpaceDE/>
        <w:autoSpaceDN/>
        <w:bidi w:val="0"/>
        <w:adjustRightInd/>
        <w:snapToGrid/>
        <w:spacing w:before="120" w:after="120"/>
        <w:ind w:firstLine="422" w:firstLineChars="200"/>
        <w:textAlignment w:val="auto"/>
        <w:outlineLvl w:val="9"/>
        <w:rPr>
          <w:rFonts w:hint="eastAsia" w:ascii="宋体" w:hAnsi="宋体" w:cs="宋体"/>
          <w:b/>
          <w:bCs/>
          <w:color w:val="auto"/>
          <w:szCs w:val="21"/>
          <w:highlight w:val="none"/>
        </w:rPr>
      </w:pPr>
      <w:bookmarkStart w:id="93" w:name="_Toc351203487"/>
      <w:r>
        <w:rPr>
          <w:rFonts w:hint="eastAsia" w:ascii="宋体" w:hAnsi="宋体" w:cs="宋体"/>
          <w:b/>
          <w:bCs/>
          <w:color w:val="auto"/>
          <w:szCs w:val="21"/>
          <w:highlight w:val="none"/>
        </w:rPr>
        <w:t>七、承诺</w:t>
      </w:r>
      <w:bookmarkEnd w:id="93"/>
    </w:p>
    <w:p w14:paraId="0269B68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1.发包人承诺按照法律规定履行项目审批手续、筹集工程建设资金并按照合同约定的期限和方式支付合同价款。</w:t>
      </w:r>
    </w:p>
    <w:p w14:paraId="64A5918D">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2.承包人承诺按照法律规定及合同约定组织完成工程施工，确保工程质量和安全，不进行转包及违法分包，并在缺陷责任期及保修期内承担相应的工程维修责任。</w:t>
      </w:r>
    </w:p>
    <w:p w14:paraId="3E2A7C97">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3.发包人和承包人通过招磋商形式签订合同的，双方理解并承诺不再就同一工程另行签订与合同实质性内容相背离的协议。</w:t>
      </w:r>
    </w:p>
    <w:p w14:paraId="1F86098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Cs/>
          <w:color w:val="auto"/>
          <w:szCs w:val="21"/>
          <w:highlight w:val="none"/>
        </w:rPr>
      </w:pPr>
      <w:bookmarkStart w:id="94" w:name="_Toc351203488"/>
      <w:r>
        <w:rPr>
          <w:rFonts w:hint="eastAsia" w:ascii="宋体" w:hAnsi="宋体" w:cs="宋体"/>
          <w:b/>
          <w:color w:val="auto"/>
          <w:szCs w:val="21"/>
          <w:highlight w:val="none"/>
        </w:rPr>
        <w:t>八、词语含义</w:t>
      </w:r>
      <w:bookmarkEnd w:id="94"/>
    </w:p>
    <w:p w14:paraId="4ED2A876">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本协议书中词语含义与第二部分通用合同条款中赋予的含义相同。</w:t>
      </w:r>
    </w:p>
    <w:p w14:paraId="5B358EF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bookmarkStart w:id="95" w:name="_Toc351203489"/>
      <w:r>
        <w:rPr>
          <w:rFonts w:hint="eastAsia" w:ascii="宋体" w:hAnsi="宋体" w:cs="宋体"/>
          <w:b/>
          <w:color w:val="auto"/>
          <w:szCs w:val="21"/>
          <w:highlight w:val="none"/>
        </w:rPr>
        <w:t>九、签订时间</w:t>
      </w:r>
      <w:bookmarkEnd w:id="95"/>
    </w:p>
    <w:p w14:paraId="4BC3935D">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本合同于</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日签订。</w:t>
      </w:r>
    </w:p>
    <w:p w14:paraId="5673E4E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bookmarkStart w:id="96" w:name="_Toc351203490"/>
      <w:r>
        <w:rPr>
          <w:rFonts w:hint="eastAsia" w:ascii="宋体" w:hAnsi="宋体" w:cs="宋体"/>
          <w:b/>
          <w:color w:val="auto"/>
          <w:szCs w:val="21"/>
          <w:highlight w:val="none"/>
        </w:rPr>
        <w:t>十、签订地点</w:t>
      </w:r>
      <w:bookmarkEnd w:id="96"/>
    </w:p>
    <w:p w14:paraId="30D95CE3">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本合同在</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签订。</w:t>
      </w:r>
    </w:p>
    <w:p w14:paraId="1B224CD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bookmarkStart w:id="97" w:name="_Toc351203491"/>
      <w:r>
        <w:rPr>
          <w:rFonts w:hint="eastAsia" w:ascii="宋体" w:hAnsi="宋体" w:cs="宋体"/>
          <w:b/>
          <w:color w:val="auto"/>
          <w:szCs w:val="21"/>
          <w:highlight w:val="none"/>
        </w:rPr>
        <w:t>十一、补充协议</w:t>
      </w:r>
      <w:bookmarkEnd w:id="97"/>
    </w:p>
    <w:p w14:paraId="741A4ECC">
      <w:pPr>
        <w:spacing w:line="360" w:lineRule="auto"/>
        <w:ind w:firstLine="420" w:firstLineChars="200"/>
        <w:rPr>
          <w:rFonts w:ascii="宋体" w:hAnsi="宋体" w:cs="宋体"/>
          <w:b/>
          <w:bCs/>
          <w:color w:val="auto"/>
          <w:szCs w:val="21"/>
          <w:highlight w:val="none"/>
        </w:rPr>
      </w:pPr>
      <w:r>
        <w:rPr>
          <w:rFonts w:hint="eastAsia" w:ascii="宋体" w:hAnsi="宋体" w:cs="宋体"/>
          <w:bCs/>
          <w:color w:val="auto"/>
          <w:szCs w:val="21"/>
          <w:highlight w:val="none"/>
        </w:rPr>
        <w:t>合同未尽事宜，合同当事人另行签订补充协议，补充协议是合同的组成部分。</w:t>
      </w:r>
    </w:p>
    <w:p w14:paraId="126D5DD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bookmarkStart w:id="98" w:name="_Toc351203492"/>
      <w:r>
        <w:rPr>
          <w:rFonts w:hint="eastAsia" w:ascii="宋体" w:hAnsi="宋体" w:cs="宋体"/>
          <w:b/>
          <w:color w:val="auto"/>
          <w:szCs w:val="21"/>
          <w:highlight w:val="none"/>
        </w:rPr>
        <w:t>十二、合同生效</w:t>
      </w:r>
      <w:bookmarkEnd w:id="98"/>
    </w:p>
    <w:p w14:paraId="646F3EE1">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本合同自</w:t>
      </w:r>
      <w:r>
        <w:rPr>
          <w:rFonts w:hint="eastAsia" w:ascii="宋体" w:hAnsi="宋体" w:cs="宋体"/>
          <w:color w:val="auto"/>
          <w:szCs w:val="21"/>
          <w:highlight w:val="none"/>
          <w:u w:val="single"/>
          <w:lang w:val="en-US" w:eastAsia="zh-CN"/>
        </w:rPr>
        <w:t xml:space="preserve">  双方签字盖章  </w:t>
      </w:r>
      <w:r>
        <w:rPr>
          <w:rFonts w:hint="eastAsia" w:ascii="宋体" w:hAnsi="宋体" w:cs="宋体"/>
          <w:color w:val="auto"/>
          <w:szCs w:val="21"/>
          <w:highlight w:val="none"/>
        </w:rPr>
        <w:t>生效</w:t>
      </w:r>
      <w:r>
        <w:rPr>
          <w:rFonts w:hint="eastAsia" w:ascii="宋体" w:hAnsi="宋体" w:cs="宋体"/>
          <w:color w:val="auto"/>
          <w:szCs w:val="21"/>
          <w:highlight w:val="none"/>
          <w:lang w:eastAsia="zh-CN"/>
        </w:rPr>
        <w:t>。</w:t>
      </w:r>
    </w:p>
    <w:p w14:paraId="53FD145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bookmarkStart w:id="99" w:name="_Toc351203493"/>
      <w:r>
        <w:rPr>
          <w:rFonts w:hint="eastAsia" w:ascii="宋体" w:hAnsi="宋体" w:cs="宋体"/>
          <w:b/>
          <w:color w:val="auto"/>
          <w:szCs w:val="21"/>
          <w:highlight w:val="none"/>
        </w:rPr>
        <w:t>十三、合同份数</w:t>
      </w:r>
      <w:bookmarkEnd w:id="99"/>
    </w:p>
    <w:p w14:paraId="3F93461D">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本合同一式</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份，均具有同等法律效力，发包人执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rPr>
        <w:t>份，承包人执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w:t>
      </w:r>
    </w:p>
    <w:p w14:paraId="7D9751CA">
      <w:pPr>
        <w:spacing w:line="360" w:lineRule="auto"/>
        <w:rPr>
          <w:rFonts w:ascii="宋体" w:hAnsi="宋体" w:cs="宋体"/>
          <w:color w:val="auto"/>
          <w:szCs w:val="21"/>
          <w:highlight w:val="none"/>
        </w:rPr>
      </w:pPr>
    </w:p>
    <w:p w14:paraId="52C69DAF">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发包人：  (公章)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承包人：  (公章)</w:t>
      </w:r>
    </w:p>
    <w:p w14:paraId="5F9A64AD">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                                 </w:t>
      </w:r>
    </w:p>
    <w:p w14:paraId="040B61DB">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法定代表人或其委托代理人：</w:t>
      </w:r>
    </w:p>
    <w:p w14:paraId="5BF646AE">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（签字）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（签字）</w:t>
      </w:r>
    </w:p>
    <w:p w14:paraId="6C33F905">
      <w:pPr>
        <w:tabs>
          <w:tab w:val="left" w:pos="4410"/>
        </w:tabs>
        <w:spacing w:line="360" w:lineRule="auto"/>
        <w:rPr>
          <w:rFonts w:ascii="宋体" w:hAnsi="宋体" w:cs="宋体"/>
          <w:color w:val="auto"/>
          <w:szCs w:val="21"/>
          <w:highlight w:val="none"/>
          <w:u w:val="single"/>
        </w:rPr>
      </w:pPr>
      <w:r>
        <w:rPr>
          <w:rFonts w:hint="eastAsia" w:ascii="宋体" w:hAnsi="宋体" w:cs="宋体"/>
          <w:color w:val="auto"/>
          <w:szCs w:val="21"/>
          <w:highlight w:val="none"/>
        </w:rPr>
        <w:t>组织机构代码：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组织机构代码：</w:t>
      </w:r>
      <w:r>
        <w:rPr>
          <w:rFonts w:hint="eastAsia" w:ascii="宋体" w:hAnsi="宋体" w:cs="宋体"/>
          <w:color w:val="auto"/>
          <w:szCs w:val="21"/>
          <w:highlight w:val="none"/>
          <w:u w:val="single"/>
        </w:rPr>
        <w:t xml:space="preserve">                    </w:t>
      </w:r>
    </w:p>
    <w:p w14:paraId="24CE9180">
      <w:pPr>
        <w:tabs>
          <w:tab w:val="left" w:pos="4410"/>
        </w:tabs>
        <w:spacing w:line="360" w:lineRule="auto"/>
        <w:rPr>
          <w:rFonts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w:t>
      </w:r>
    </w:p>
    <w:p w14:paraId="0D2300C3">
      <w:pPr>
        <w:tabs>
          <w:tab w:val="left" w:pos="4410"/>
        </w:tabs>
        <w:spacing w:line="360" w:lineRule="auto"/>
        <w:rPr>
          <w:rFonts w:ascii="宋体" w:hAnsi="宋体" w:cs="宋体"/>
          <w:color w:val="auto"/>
          <w:szCs w:val="21"/>
          <w:highlight w:val="none"/>
          <w:u w:val="singl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14:paraId="74AF94A9">
      <w:pPr>
        <w:tabs>
          <w:tab w:val="left" w:pos="4410"/>
        </w:tabs>
        <w:spacing w:line="360" w:lineRule="auto"/>
        <w:rPr>
          <w:rFonts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w:t>
      </w:r>
    </w:p>
    <w:p w14:paraId="2FF230DF">
      <w:pPr>
        <w:tabs>
          <w:tab w:val="left" w:pos="4410"/>
        </w:tabs>
        <w:spacing w:line="360" w:lineRule="auto"/>
        <w:rPr>
          <w:rFonts w:ascii="宋体" w:hAnsi="宋体" w:cs="宋体"/>
          <w:color w:val="auto"/>
          <w:szCs w:val="21"/>
          <w:highlight w:val="none"/>
          <w:u w:val="singl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委托代理人：</w:t>
      </w:r>
      <w:r>
        <w:rPr>
          <w:rFonts w:hint="eastAsia" w:ascii="宋体" w:hAnsi="宋体" w:cs="宋体"/>
          <w:color w:val="auto"/>
          <w:szCs w:val="21"/>
          <w:highlight w:val="none"/>
          <w:u w:val="single"/>
        </w:rPr>
        <w:t xml:space="preserve">                      </w:t>
      </w:r>
    </w:p>
    <w:p w14:paraId="2916584D">
      <w:pPr>
        <w:tabs>
          <w:tab w:val="left" w:pos="4410"/>
        </w:tabs>
        <w:spacing w:line="360" w:lineRule="auto"/>
        <w:rPr>
          <w:rFonts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14:paraId="0BCAA7FD">
      <w:pPr>
        <w:tabs>
          <w:tab w:val="left" w:pos="4410"/>
        </w:tabs>
        <w:spacing w:line="360" w:lineRule="auto"/>
        <w:rPr>
          <w:rFonts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w:t>
      </w:r>
    </w:p>
    <w:p w14:paraId="71C2DD4A">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电子信箱：</w:t>
      </w:r>
      <w:r>
        <w:rPr>
          <w:rFonts w:hint="eastAsia" w:ascii="宋体" w:hAnsi="宋体" w:cs="宋体"/>
          <w:color w:val="auto"/>
          <w:szCs w:val="21"/>
          <w:highlight w:val="none"/>
          <w:u w:val="single"/>
        </w:rPr>
        <w:t xml:space="preserve">                  </w:t>
      </w:r>
    </w:p>
    <w:p w14:paraId="514DF2A0">
      <w:pPr>
        <w:spacing w:line="360" w:lineRule="auto"/>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14:paraId="09DF5608">
      <w:pPr>
        <w:spacing w:line="360" w:lineRule="auto"/>
        <w:rPr>
          <w:rFonts w:ascii="宋体" w:hAnsi="宋体" w:cs="宋体"/>
          <w:color w:val="auto"/>
          <w:szCs w:val="21"/>
          <w:highlight w:val="non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14:paraId="06FB7C53">
      <w:pPr>
        <w:jc w:val="center"/>
        <w:outlineLvl w:val="9"/>
        <w:rPr>
          <w:rFonts w:ascii="宋体" w:hAnsi="宋体" w:eastAsia="宋体" w:cs="宋体"/>
          <w:b/>
          <w:bCs/>
          <w:color w:val="auto"/>
          <w:sz w:val="32"/>
          <w:highlight w:val="none"/>
        </w:rPr>
      </w:pPr>
      <w:r>
        <w:rPr>
          <w:rFonts w:hint="eastAsia" w:ascii="宋体" w:hAnsi="宋体" w:eastAsia="宋体" w:cs="宋体"/>
          <w:color w:val="auto"/>
          <w:highlight w:val="none"/>
        </w:rPr>
        <w:br w:type="page"/>
      </w:r>
      <w:bookmarkStart w:id="100" w:name="_Toc475545910"/>
      <w:bookmarkStart w:id="101" w:name="_Toc351203494"/>
      <w:bookmarkStart w:id="102" w:name="_Toc511574709"/>
      <w:r>
        <w:rPr>
          <w:rFonts w:hint="eastAsia" w:ascii="宋体" w:hAnsi="宋体" w:eastAsia="宋体" w:cs="宋体"/>
          <w:b/>
          <w:bCs/>
          <w:color w:val="auto"/>
          <w:sz w:val="32"/>
          <w:highlight w:val="none"/>
        </w:rPr>
        <w:t>第二部分 通用合同条款</w:t>
      </w:r>
      <w:bookmarkEnd w:id="100"/>
      <w:bookmarkEnd w:id="101"/>
      <w:bookmarkEnd w:id="102"/>
      <w:bookmarkStart w:id="103" w:name="_Toc337558727"/>
    </w:p>
    <w:bookmarkEnd w:id="103"/>
    <w:p w14:paraId="685D274E">
      <w:pPr>
        <w:jc w:val="center"/>
        <w:outlineLvl w:val="9"/>
        <w:rPr>
          <w:rFonts w:ascii="宋体" w:hAnsi="宋体" w:eastAsia="宋体" w:cs="宋体"/>
          <w:color w:val="auto"/>
          <w:sz w:val="32"/>
          <w:highlight w:val="none"/>
        </w:rPr>
      </w:pPr>
      <w:bookmarkStart w:id="104" w:name="_Toc511544917"/>
      <w:bookmarkStart w:id="105" w:name="_Toc351203632"/>
      <w:bookmarkStart w:id="106" w:name="_Toc511544765"/>
      <w:bookmarkStart w:id="107" w:name="_Toc475545911"/>
      <w:bookmarkStart w:id="108" w:name="_Toc511574710"/>
      <w:r>
        <w:rPr>
          <w:rFonts w:hint="eastAsia" w:ascii="宋体" w:hAnsi="宋体" w:eastAsia="宋体" w:cs="宋体"/>
          <w:b w:val="0"/>
          <w:bCs w:val="0"/>
          <w:color w:val="auto"/>
          <w:kern w:val="0"/>
          <w:szCs w:val="21"/>
          <w:highlight w:val="none"/>
        </w:rPr>
        <w:t>【</w:t>
      </w:r>
      <w:r>
        <w:rPr>
          <w:rFonts w:hint="eastAsia" w:ascii="宋体" w:hAnsi="宋体" w:eastAsia="宋体" w:cs="宋体"/>
          <w:b w:val="0"/>
          <w:bCs w:val="0"/>
          <w:color w:val="auto"/>
          <w:kern w:val="0"/>
          <w:szCs w:val="21"/>
          <w:highlight w:val="none"/>
          <w:lang w:val="en-US" w:eastAsia="zh-CN"/>
        </w:rPr>
        <w:t>采用</w:t>
      </w:r>
      <w:r>
        <w:rPr>
          <w:rFonts w:hint="eastAsia" w:ascii="宋体" w:hAnsi="宋体" w:eastAsia="宋体" w:cs="宋体"/>
          <w:b w:val="0"/>
          <w:bCs w:val="0"/>
          <w:color w:val="auto"/>
          <w:kern w:val="0"/>
          <w:szCs w:val="21"/>
          <w:highlight w:val="none"/>
        </w:rPr>
        <w:t>《建设工程施工合同》（示范文本），GF-201</w:t>
      </w:r>
      <w:r>
        <w:rPr>
          <w:rFonts w:hint="eastAsia" w:ascii="宋体" w:hAnsi="宋体" w:eastAsia="宋体" w:cs="宋体"/>
          <w:b w:val="0"/>
          <w:bCs w:val="0"/>
          <w:color w:val="auto"/>
          <w:kern w:val="0"/>
          <w:szCs w:val="21"/>
          <w:highlight w:val="none"/>
          <w:lang w:val="en-US" w:eastAsia="zh-CN"/>
        </w:rPr>
        <w:t>7</w:t>
      </w:r>
      <w:r>
        <w:rPr>
          <w:rFonts w:hint="eastAsia" w:ascii="宋体" w:hAnsi="宋体" w:eastAsia="宋体" w:cs="宋体"/>
          <w:b w:val="0"/>
          <w:bCs w:val="0"/>
          <w:color w:val="auto"/>
          <w:kern w:val="0"/>
          <w:szCs w:val="21"/>
          <w:highlight w:val="none"/>
        </w:rPr>
        <w:t>-0201】</w:t>
      </w:r>
      <w:r>
        <w:rPr>
          <w:rFonts w:hint="eastAsia" w:ascii="宋体" w:hAnsi="宋体" w:eastAsia="宋体" w:cs="宋体"/>
          <w:b w:val="0"/>
          <w:bCs w:val="0"/>
          <w:color w:val="auto"/>
          <w:kern w:val="0"/>
          <w:szCs w:val="21"/>
          <w:highlight w:val="none"/>
        </w:rPr>
        <w:br w:type="page"/>
      </w:r>
      <w:bookmarkStart w:id="109" w:name="_Toc475545912"/>
      <w:bookmarkStart w:id="110" w:name="_Toc511574711"/>
      <w:r>
        <w:rPr>
          <w:rFonts w:hint="eastAsia" w:ascii="宋体" w:hAnsi="宋体" w:eastAsia="宋体" w:cs="宋体"/>
          <w:color w:val="auto"/>
          <w:sz w:val="32"/>
          <w:highlight w:val="none"/>
        </w:rPr>
        <w:t>第三部分 专用合同条款</w:t>
      </w:r>
      <w:bookmarkEnd w:id="104"/>
      <w:bookmarkEnd w:id="105"/>
      <w:bookmarkEnd w:id="106"/>
      <w:bookmarkEnd w:id="107"/>
      <w:bookmarkEnd w:id="108"/>
      <w:bookmarkEnd w:id="109"/>
      <w:bookmarkEnd w:id="110"/>
    </w:p>
    <w:p w14:paraId="3FC446C2">
      <w:pPr>
        <w:autoSpaceDE w:val="0"/>
        <w:autoSpaceDN w:val="0"/>
        <w:adjustRightInd w:val="0"/>
        <w:spacing w:line="360" w:lineRule="auto"/>
        <w:jc w:val="center"/>
        <w:rPr>
          <w:rFonts w:ascii="宋体" w:hAnsi="宋体" w:cs="宋体"/>
          <w:color w:val="auto"/>
          <w:sz w:val="32"/>
          <w:szCs w:val="32"/>
          <w:highlight w:val="none"/>
        </w:rPr>
      </w:pPr>
    </w:p>
    <w:p w14:paraId="587F5140">
      <w:pPr>
        <w:keepNext w:val="0"/>
        <w:keepLines w:val="0"/>
        <w:pageBreakBefore w:val="0"/>
        <w:widowControl w:val="0"/>
        <w:kinsoku/>
        <w:wordWrap/>
        <w:overflowPunct/>
        <w:topLinePunct w:val="0"/>
        <w:autoSpaceDE/>
        <w:autoSpaceDN/>
        <w:bidi w:val="0"/>
        <w:adjustRightInd/>
        <w:snapToGrid/>
        <w:spacing w:before="120" w:after="120"/>
        <w:ind w:firstLine="422" w:firstLineChars="200"/>
        <w:textAlignment w:val="auto"/>
        <w:outlineLvl w:val="9"/>
        <w:rPr>
          <w:rFonts w:ascii="宋体" w:hAnsi="宋体" w:cs="宋体"/>
          <w:bCs w:val="0"/>
          <w:color w:val="auto"/>
          <w:szCs w:val="21"/>
          <w:highlight w:val="none"/>
        </w:rPr>
      </w:pPr>
      <w:bookmarkStart w:id="111" w:name="_Toc351203633"/>
      <w:r>
        <w:rPr>
          <w:rFonts w:hint="eastAsia" w:ascii="宋体" w:hAnsi="宋体" w:cs="宋体"/>
          <w:b/>
          <w:bCs/>
          <w:color w:val="auto"/>
          <w:szCs w:val="21"/>
          <w:highlight w:val="none"/>
        </w:rPr>
        <w:t>1</w:t>
      </w:r>
      <w:bookmarkStart w:id="112" w:name="_Toc296944495"/>
      <w:bookmarkStart w:id="113" w:name="_Toc297048342"/>
      <w:bookmarkStart w:id="114" w:name="_Toc296891196"/>
      <w:bookmarkStart w:id="115" w:name="_Toc296890984"/>
      <w:bookmarkStart w:id="116" w:name="_Toc292559866"/>
      <w:bookmarkStart w:id="117" w:name="_Toc296503156"/>
      <w:bookmarkStart w:id="118" w:name="_Toc297120456"/>
      <w:bookmarkStart w:id="119" w:name="_Toc296347155"/>
      <w:bookmarkStart w:id="120" w:name="_Toc292559361"/>
      <w:bookmarkStart w:id="121" w:name="_Toc296346657"/>
      <w:r>
        <w:rPr>
          <w:rFonts w:hint="eastAsia" w:ascii="宋体" w:hAnsi="宋体" w:cs="宋体"/>
          <w:b/>
          <w:bCs/>
          <w:color w:val="auto"/>
          <w:szCs w:val="21"/>
          <w:highlight w:val="none"/>
        </w:rPr>
        <w:t>.一般约定</w:t>
      </w:r>
      <w:bookmarkEnd w:id="111"/>
    </w:p>
    <w:bookmarkEnd w:id="112"/>
    <w:bookmarkEnd w:id="113"/>
    <w:bookmarkEnd w:id="114"/>
    <w:bookmarkEnd w:id="115"/>
    <w:bookmarkEnd w:id="116"/>
    <w:bookmarkEnd w:id="117"/>
    <w:bookmarkEnd w:id="118"/>
    <w:bookmarkEnd w:id="119"/>
    <w:bookmarkEnd w:id="120"/>
    <w:bookmarkEnd w:id="121"/>
    <w:p w14:paraId="408DA85C">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1.1 词语定义</w:t>
      </w:r>
    </w:p>
    <w:p w14:paraId="7D765FF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1.1.1合同</w:t>
      </w:r>
    </w:p>
    <w:p w14:paraId="4F0E272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1.1.1.10其他合同文件包括：</w:t>
      </w:r>
      <w:r>
        <w:rPr>
          <w:rFonts w:hint="eastAsia" w:ascii="宋体" w:hAnsi="宋体" w:cs="宋体"/>
          <w:color w:val="auto"/>
          <w:kern w:val="0"/>
          <w:szCs w:val="21"/>
          <w:highlight w:val="none"/>
          <w:u w:val="single"/>
        </w:rPr>
        <w:t>双方有关工程的洽商、变更等书面协议或文件等，经双方授权代表签字确认后均视为本合同的组成部分，具有同等的法律效力</w:t>
      </w:r>
      <w:r>
        <w:rPr>
          <w:rFonts w:hint="eastAsia" w:ascii="宋体" w:hAnsi="宋体" w:cs="宋体"/>
          <w:color w:val="auto"/>
          <w:szCs w:val="21"/>
          <w:highlight w:val="none"/>
          <w:u w:val="single"/>
        </w:rPr>
        <w:t>。</w:t>
      </w:r>
    </w:p>
    <w:p w14:paraId="1A7148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 合同当事人及其他相关方</w:t>
      </w:r>
    </w:p>
    <w:p w14:paraId="70D471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1.1.2.4监理人：</w:t>
      </w:r>
    </w:p>
    <w:p w14:paraId="56F442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D761F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B167C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8DC11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399DA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A386C50">
      <w:pPr>
        <w:spacing w:line="360" w:lineRule="auto"/>
        <w:ind w:firstLine="420" w:firstLineChars="200"/>
        <w:rPr>
          <w:rFonts w:ascii="宋体" w:hAnsi="宋体" w:cs="宋体"/>
          <w:color w:val="auto"/>
          <w:szCs w:val="21"/>
          <w:highlight w:val="none"/>
        </w:rPr>
      </w:pPr>
    </w:p>
    <w:p w14:paraId="4C40D4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1.1.2.5 设计人：</w:t>
      </w:r>
    </w:p>
    <w:p w14:paraId="63D007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3336D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E1384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7452C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13717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2B47E16">
      <w:pPr>
        <w:spacing w:line="360" w:lineRule="auto"/>
        <w:ind w:firstLine="420" w:firstLineChars="200"/>
        <w:rPr>
          <w:rFonts w:ascii="宋体" w:hAnsi="宋体" w:cs="宋体"/>
          <w:color w:val="auto"/>
          <w:szCs w:val="21"/>
          <w:highlight w:val="none"/>
        </w:rPr>
      </w:pPr>
    </w:p>
    <w:p w14:paraId="53741746">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1.1.3 工程和设备</w:t>
      </w:r>
    </w:p>
    <w:p w14:paraId="35D1D5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1.1.3.7 作为施工现场组成部分的其他场所包括：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符合通用条款规定的发包方提供的施工场地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0261A4D">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1.1.3.9 永久占地包括：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依据设计图纸确定 </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535F3C39">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1.1.3.10 临时占地包括：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双方在合同履行过程中确定 </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2CFE40AD">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1.3法律</w:t>
      </w:r>
    </w:p>
    <w:p w14:paraId="3FCC089A">
      <w:pPr>
        <w:autoSpaceDE w:val="0"/>
        <w:autoSpaceDN w:val="0"/>
        <w:adjustRightInd w:val="0"/>
        <w:spacing w:line="360" w:lineRule="auto"/>
        <w:ind w:left="596" w:leftChars="284"/>
        <w:jc w:val="left"/>
        <w:rPr>
          <w:rFonts w:ascii="宋体" w:hAnsi="宋体" w:cs="宋体"/>
          <w:color w:val="auto"/>
          <w:szCs w:val="21"/>
          <w:highlight w:val="none"/>
          <w:u w:val="single"/>
          <w:shd w:val="pct10" w:color="auto" w:fill="FFFFFF"/>
        </w:rPr>
      </w:pPr>
      <w:r>
        <w:rPr>
          <w:rFonts w:hint="eastAsia" w:ascii="宋体" w:hAnsi="宋体" w:cs="宋体"/>
          <w:color w:val="auto"/>
          <w:szCs w:val="21"/>
          <w:highlight w:val="none"/>
        </w:rPr>
        <w:t>适用于合同的其他规范性文件：</w:t>
      </w:r>
      <w:r>
        <w:rPr>
          <w:rFonts w:hint="eastAsia" w:ascii="宋体" w:hAnsi="宋体" w:cs="宋体"/>
          <w:color w:val="auto"/>
          <w:szCs w:val="21"/>
          <w:highlight w:val="none"/>
          <w:u w:val="single"/>
        </w:rPr>
        <w:t>我国的法律、行政法规、地方性法规、国务院部门规章、地方政府规章，但本合同就某些事项另有约定的除外。</w:t>
      </w:r>
    </w:p>
    <w:p w14:paraId="3C5DA6D9">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1.4 标准和规范</w:t>
      </w:r>
    </w:p>
    <w:p w14:paraId="2C6AEB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1.4.1适用于工程的标准规范包括：</w:t>
      </w:r>
      <w:r>
        <w:rPr>
          <w:rFonts w:hint="eastAsia" w:ascii="宋体" w:hAnsi="宋体" w:cs="宋体"/>
          <w:color w:val="auto"/>
          <w:szCs w:val="21"/>
          <w:highlight w:val="none"/>
          <w:u w:val="single"/>
          <w:lang w:val="en-US" w:eastAsia="zh-CN"/>
        </w:rPr>
        <w:t>按通用条款</w:t>
      </w:r>
      <w:r>
        <w:rPr>
          <w:rFonts w:hint="eastAsia" w:ascii="宋体" w:hAnsi="宋体" w:cs="宋体"/>
          <w:color w:val="auto"/>
          <w:szCs w:val="21"/>
          <w:highlight w:val="none"/>
        </w:rPr>
        <w:t>。</w:t>
      </w:r>
    </w:p>
    <w:p w14:paraId="580E2BC3">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1.4.2 发包人提供国外标准、规范的名称：</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w:t>
      </w:r>
    </w:p>
    <w:p w14:paraId="5C2315F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发包人提供国外标准、规范的份数：</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w:t>
      </w:r>
    </w:p>
    <w:p w14:paraId="4C21C4A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发包人提供国外标准、规范的名称：</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w:t>
      </w:r>
    </w:p>
    <w:p w14:paraId="6887A3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1.4.3发包人对工程的技术标准和功能要求的特殊要求：</w:t>
      </w:r>
      <w:r>
        <w:rPr>
          <w:rFonts w:hint="eastAsia" w:ascii="宋体" w:hAnsi="宋体" w:cs="宋体"/>
          <w:color w:val="auto"/>
          <w:kern w:val="0"/>
          <w:szCs w:val="21"/>
          <w:highlight w:val="none"/>
          <w:u w:val="single"/>
          <w:lang w:val="en-US" w:eastAsia="zh-CN"/>
        </w:rPr>
        <w:t>按通用条款</w:t>
      </w:r>
      <w:r>
        <w:rPr>
          <w:rFonts w:hint="eastAsia" w:ascii="宋体" w:hAnsi="宋体" w:cs="宋体"/>
          <w:color w:val="auto"/>
          <w:szCs w:val="21"/>
          <w:highlight w:val="none"/>
        </w:rPr>
        <w:t>。</w:t>
      </w:r>
    </w:p>
    <w:p w14:paraId="7EAA1090">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1.5 合同文件的优先顺序</w:t>
      </w:r>
    </w:p>
    <w:p w14:paraId="7866AC76">
      <w:pPr>
        <w:autoSpaceDE w:val="0"/>
        <w:autoSpaceDN w:val="0"/>
        <w:adjustRightInd w:val="0"/>
        <w:spacing w:line="360" w:lineRule="auto"/>
        <w:ind w:left="596" w:leftChars="284"/>
        <w:jc w:val="left"/>
        <w:rPr>
          <w:rFonts w:ascii="宋体" w:hAnsi="宋体" w:cs="宋体"/>
          <w:color w:val="auto"/>
          <w:szCs w:val="21"/>
          <w:highlight w:val="none"/>
        </w:rPr>
      </w:pPr>
      <w:r>
        <w:rPr>
          <w:rFonts w:hint="eastAsia" w:ascii="宋体" w:hAnsi="宋体" w:cs="宋体"/>
          <w:color w:val="auto"/>
          <w:szCs w:val="21"/>
          <w:highlight w:val="none"/>
        </w:rPr>
        <w:t xml:space="preserve">合同文件组成及优先顺序为： </w:t>
      </w:r>
    </w:p>
    <w:p w14:paraId="68B1DEB6">
      <w:pPr>
        <w:autoSpaceDE w:val="0"/>
        <w:autoSpaceDN w:val="0"/>
        <w:adjustRightInd w:val="0"/>
        <w:spacing w:line="360" w:lineRule="auto"/>
        <w:ind w:left="596" w:leftChars="284"/>
        <w:jc w:val="left"/>
        <w:rPr>
          <w:rFonts w:ascii="宋体" w:hAnsi="宋体" w:cs="宋体"/>
          <w:color w:val="auto"/>
          <w:szCs w:val="21"/>
          <w:highlight w:val="none"/>
        </w:rPr>
      </w:pPr>
      <w:r>
        <w:rPr>
          <w:rFonts w:hint="eastAsia" w:ascii="宋体" w:hAnsi="宋体" w:cs="宋体"/>
          <w:color w:val="auto"/>
          <w:szCs w:val="21"/>
          <w:highlight w:val="none"/>
        </w:rPr>
        <w:t>（1）补充协议（如有）；</w:t>
      </w:r>
    </w:p>
    <w:p w14:paraId="2C297394">
      <w:pPr>
        <w:autoSpaceDE w:val="0"/>
        <w:autoSpaceDN w:val="0"/>
        <w:adjustRightInd w:val="0"/>
        <w:spacing w:line="360" w:lineRule="auto"/>
        <w:ind w:left="596" w:leftChars="284"/>
        <w:jc w:val="left"/>
        <w:rPr>
          <w:rFonts w:ascii="宋体" w:hAnsi="宋体" w:cs="宋体"/>
          <w:color w:val="auto"/>
          <w:szCs w:val="21"/>
          <w:highlight w:val="none"/>
        </w:rPr>
      </w:pPr>
      <w:r>
        <w:rPr>
          <w:rFonts w:hint="eastAsia" w:ascii="宋体" w:hAnsi="宋体" w:cs="宋体"/>
          <w:color w:val="auto"/>
          <w:szCs w:val="21"/>
          <w:highlight w:val="none"/>
        </w:rPr>
        <w:t>（2）合同协议书；</w:t>
      </w:r>
    </w:p>
    <w:p w14:paraId="491D5CDF">
      <w:pPr>
        <w:autoSpaceDE w:val="0"/>
        <w:autoSpaceDN w:val="0"/>
        <w:adjustRightInd w:val="0"/>
        <w:spacing w:line="360" w:lineRule="auto"/>
        <w:ind w:left="596" w:leftChars="284"/>
        <w:jc w:val="left"/>
        <w:rPr>
          <w:rFonts w:ascii="宋体" w:hAnsi="宋体" w:cs="宋体"/>
          <w:color w:val="auto"/>
          <w:szCs w:val="21"/>
          <w:highlight w:val="none"/>
        </w:rPr>
      </w:pPr>
      <w:r>
        <w:rPr>
          <w:rFonts w:hint="eastAsia" w:ascii="宋体" w:hAnsi="宋体" w:cs="宋体"/>
          <w:color w:val="auto"/>
          <w:szCs w:val="21"/>
          <w:highlight w:val="none"/>
        </w:rPr>
        <w:t>（3）中标通知书（如有）；</w:t>
      </w:r>
    </w:p>
    <w:p w14:paraId="2FB95BBF">
      <w:pPr>
        <w:autoSpaceDE w:val="0"/>
        <w:autoSpaceDN w:val="0"/>
        <w:adjustRightInd w:val="0"/>
        <w:spacing w:line="360" w:lineRule="auto"/>
        <w:ind w:left="596" w:leftChars="284"/>
        <w:jc w:val="left"/>
        <w:rPr>
          <w:rFonts w:ascii="宋体" w:hAnsi="宋体" w:cs="宋体"/>
          <w:color w:val="auto"/>
          <w:szCs w:val="21"/>
          <w:highlight w:val="none"/>
        </w:rPr>
      </w:pPr>
      <w:r>
        <w:rPr>
          <w:rFonts w:hint="eastAsia" w:ascii="宋体" w:hAnsi="宋体" w:cs="宋体"/>
          <w:color w:val="auto"/>
          <w:szCs w:val="21"/>
          <w:highlight w:val="none"/>
        </w:rPr>
        <w:t>（4）磋商函及其附录（如有）；</w:t>
      </w:r>
    </w:p>
    <w:p w14:paraId="47874A77">
      <w:pPr>
        <w:autoSpaceDE w:val="0"/>
        <w:autoSpaceDN w:val="0"/>
        <w:adjustRightInd w:val="0"/>
        <w:spacing w:line="360" w:lineRule="auto"/>
        <w:ind w:left="596" w:leftChars="284"/>
        <w:jc w:val="left"/>
        <w:rPr>
          <w:rFonts w:ascii="宋体" w:hAnsi="宋体" w:cs="宋体"/>
          <w:color w:val="auto"/>
          <w:szCs w:val="21"/>
          <w:highlight w:val="none"/>
        </w:rPr>
      </w:pPr>
      <w:r>
        <w:rPr>
          <w:rFonts w:hint="eastAsia" w:ascii="宋体" w:hAnsi="宋体" w:cs="宋体"/>
          <w:color w:val="auto"/>
          <w:szCs w:val="21"/>
          <w:highlight w:val="none"/>
        </w:rPr>
        <w:t>（5）专用合同条款及其附件；</w:t>
      </w:r>
    </w:p>
    <w:p w14:paraId="1BEC96FA">
      <w:pPr>
        <w:autoSpaceDE w:val="0"/>
        <w:autoSpaceDN w:val="0"/>
        <w:adjustRightInd w:val="0"/>
        <w:spacing w:line="360" w:lineRule="auto"/>
        <w:ind w:left="596" w:leftChars="284"/>
        <w:jc w:val="left"/>
        <w:rPr>
          <w:rFonts w:ascii="宋体" w:hAnsi="宋体" w:cs="宋体"/>
          <w:color w:val="auto"/>
          <w:szCs w:val="21"/>
          <w:highlight w:val="none"/>
        </w:rPr>
      </w:pPr>
      <w:r>
        <w:rPr>
          <w:rFonts w:hint="eastAsia" w:ascii="宋体" w:hAnsi="宋体" w:cs="宋体"/>
          <w:color w:val="auto"/>
          <w:szCs w:val="21"/>
          <w:highlight w:val="none"/>
        </w:rPr>
        <w:t>（6）通用合同条款；</w:t>
      </w:r>
    </w:p>
    <w:p w14:paraId="33D61032">
      <w:pPr>
        <w:autoSpaceDE w:val="0"/>
        <w:autoSpaceDN w:val="0"/>
        <w:adjustRightInd w:val="0"/>
        <w:spacing w:line="360" w:lineRule="auto"/>
        <w:ind w:left="596" w:leftChars="284"/>
        <w:jc w:val="left"/>
        <w:rPr>
          <w:rFonts w:ascii="宋体" w:hAnsi="宋体" w:cs="宋体"/>
          <w:color w:val="auto"/>
          <w:szCs w:val="21"/>
          <w:highlight w:val="none"/>
        </w:rPr>
      </w:pPr>
      <w:r>
        <w:rPr>
          <w:rFonts w:hint="eastAsia" w:ascii="宋体" w:hAnsi="宋体" w:cs="宋体"/>
          <w:color w:val="auto"/>
          <w:szCs w:val="21"/>
          <w:highlight w:val="none"/>
        </w:rPr>
        <w:t>（7）技术标准和要求；</w:t>
      </w:r>
    </w:p>
    <w:p w14:paraId="08E536D6">
      <w:pPr>
        <w:autoSpaceDE w:val="0"/>
        <w:autoSpaceDN w:val="0"/>
        <w:adjustRightInd w:val="0"/>
        <w:spacing w:line="360" w:lineRule="auto"/>
        <w:ind w:left="596" w:leftChars="284"/>
        <w:jc w:val="left"/>
        <w:rPr>
          <w:rFonts w:ascii="宋体" w:hAnsi="宋体" w:cs="宋体"/>
          <w:color w:val="auto"/>
          <w:szCs w:val="21"/>
          <w:highlight w:val="none"/>
        </w:rPr>
      </w:pPr>
      <w:r>
        <w:rPr>
          <w:rFonts w:hint="eastAsia" w:ascii="宋体" w:hAnsi="宋体" w:cs="宋体"/>
          <w:color w:val="auto"/>
          <w:szCs w:val="21"/>
          <w:highlight w:val="none"/>
        </w:rPr>
        <w:t>（8）图纸；</w:t>
      </w:r>
    </w:p>
    <w:p w14:paraId="772719BE">
      <w:pPr>
        <w:autoSpaceDE w:val="0"/>
        <w:autoSpaceDN w:val="0"/>
        <w:adjustRightInd w:val="0"/>
        <w:spacing w:line="360" w:lineRule="auto"/>
        <w:ind w:left="596" w:leftChars="284"/>
        <w:jc w:val="left"/>
        <w:rPr>
          <w:rFonts w:ascii="宋体" w:hAnsi="宋体" w:cs="宋体"/>
          <w:color w:val="auto"/>
          <w:szCs w:val="21"/>
          <w:highlight w:val="none"/>
        </w:rPr>
      </w:pPr>
      <w:r>
        <w:rPr>
          <w:rFonts w:hint="eastAsia" w:ascii="宋体" w:hAnsi="宋体" w:cs="宋体"/>
          <w:color w:val="auto"/>
          <w:szCs w:val="21"/>
          <w:highlight w:val="none"/>
        </w:rPr>
        <w:t>（9）已标价工程量清单；</w:t>
      </w:r>
    </w:p>
    <w:p w14:paraId="4F99A7F2">
      <w:pPr>
        <w:autoSpaceDE w:val="0"/>
        <w:autoSpaceDN w:val="0"/>
        <w:adjustRightInd w:val="0"/>
        <w:spacing w:line="360" w:lineRule="auto"/>
        <w:ind w:left="596" w:leftChars="284"/>
        <w:jc w:val="left"/>
        <w:rPr>
          <w:rFonts w:hint="eastAsia" w:ascii="宋体" w:hAnsi="宋体" w:cs="宋体"/>
          <w:color w:val="auto"/>
          <w:szCs w:val="21"/>
          <w:highlight w:val="none"/>
        </w:rPr>
      </w:pPr>
      <w:r>
        <w:rPr>
          <w:rFonts w:hint="eastAsia" w:ascii="宋体" w:hAnsi="宋体" w:cs="宋体"/>
          <w:color w:val="auto"/>
          <w:szCs w:val="21"/>
          <w:highlight w:val="none"/>
        </w:rPr>
        <w:t>（10）其他合同文件。</w:t>
      </w:r>
    </w:p>
    <w:p w14:paraId="646688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ascii="宋体" w:hAnsi="宋体" w:cs="宋体"/>
          <w:color w:val="auto"/>
          <w:szCs w:val="21"/>
          <w:highlight w:val="none"/>
        </w:rPr>
        <w:t>上述各项合同文件包括合同当事人就该项合同文件所作出的补充和修改，属于同一类内容的文件，应以最新签署的为准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违反磋商文件实质性内容的约定除外</w:t>
      </w:r>
      <w:r>
        <w:rPr>
          <w:rFonts w:hint="eastAsia" w:ascii="宋体" w:hAnsi="宋体" w:cs="宋体"/>
          <w:color w:val="auto"/>
          <w:szCs w:val="21"/>
          <w:highlight w:val="none"/>
          <w:lang w:eastAsia="zh-CN"/>
        </w:rPr>
        <w:t>）</w:t>
      </w:r>
      <w:r>
        <w:rPr>
          <w:rFonts w:hint="eastAsia" w:ascii="宋体" w:hAnsi="宋体" w:cs="宋体"/>
          <w:color w:val="auto"/>
          <w:szCs w:val="21"/>
          <w:highlight w:val="none"/>
        </w:rPr>
        <w:t>。专用合同条款及其附件须经合同当事人签字或盖章。</w:t>
      </w:r>
    </w:p>
    <w:p w14:paraId="5F074081">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1.6 图纸和承包人文件</w:t>
      </w:r>
      <w:r>
        <w:rPr>
          <w:rFonts w:hint="eastAsia" w:ascii="宋体" w:hAnsi="宋体" w:cs="宋体"/>
          <w:b/>
          <w:color w:val="auto"/>
          <w:szCs w:val="21"/>
          <w:highlight w:val="none"/>
        </w:rPr>
        <w:tab/>
      </w:r>
    </w:p>
    <w:p w14:paraId="0CD86F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 图纸的提供</w:t>
      </w:r>
    </w:p>
    <w:p w14:paraId="2A2B9E6D">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发包人向承包人提供图纸的期限：</w:t>
      </w:r>
      <w:r>
        <w:rPr>
          <w:rFonts w:hint="eastAsia" w:ascii="宋体" w:hAnsi="宋体" w:cs="宋体"/>
          <w:color w:val="auto"/>
          <w:szCs w:val="21"/>
          <w:highlight w:val="none"/>
          <w:u w:val="single"/>
          <w:lang w:val="en-US" w:eastAsia="zh-CN"/>
        </w:rPr>
        <w:t>开标前14日</w:t>
      </w:r>
      <w:r>
        <w:rPr>
          <w:rFonts w:hint="eastAsia" w:ascii="宋体" w:hAnsi="宋体" w:cs="宋体"/>
          <w:color w:val="auto"/>
          <w:szCs w:val="21"/>
          <w:highlight w:val="none"/>
          <w:u w:val="single"/>
        </w:rPr>
        <w:t>。</w:t>
      </w:r>
    </w:p>
    <w:p w14:paraId="1B41CE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发包人向承包人提供图纸的数量：</w:t>
      </w:r>
      <w:r>
        <w:rPr>
          <w:rFonts w:hint="eastAsia" w:ascii="宋体" w:hAnsi="宋体" w:cs="宋体"/>
          <w:color w:val="auto"/>
          <w:szCs w:val="21"/>
          <w:highlight w:val="none"/>
          <w:u w:val="single"/>
          <w:lang w:val="en-US" w:eastAsia="zh-CN"/>
        </w:rPr>
        <w:t>一式四套（其中一套为工程结算专用），承包人需要增加图纸套数的，发包人应代为复制，复制费用由承包人承担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744B1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发包人向承包人提供图纸的内容：</w:t>
      </w:r>
      <w:r>
        <w:rPr>
          <w:rFonts w:hint="eastAsia" w:ascii="宋体" w:hAnsi="宋体" w:cs="宋体"/>
          <w:color w:val="auto"/>
          <w:szCs w:val="21"/>
          <w:highlight w:val="none"/>
          <w:u w:val="single"/>
          <w:lang w:val="en-US" w:eastAsia="zh-CN"/>
        </w:rPr>
        <w:t>整套施工图</w:t>
      </w:r>
      <w:r>
        <w:rPr>
          <w:rFonts w:hint="eastAsia" w:ascii="宋体" w:hAnsi="宋体" w:cs="宋体"/>
          <w:color w:val="auto"/>
          <w:szCs w:val="21"/>
          <w:highlight w:val="none"/>
          <w:u w:val="single"/>
        </w:rPr>
        <w:t>。</w:t>
      </w:r>
    </w:p>
    <w:p w14:paraId="683B54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 承包人文件</w:t>
      </w:r>
    </w:p>
    <w:p w14:paraId="356CA0A0">
      <w:pPr>
        <w:spacing w:line="360" w:lineRule="auto"/>
        <w:ind w:left="596" w:leftChars="284"/>
        <w:jc w:val="left"/>
        <w:rPr>
          <w:rFonts w:ascii="宋体" w:hAnsi="宋体" w:cs="宋体"/>
          <w:color w:val="auto"/>
          <w:szCs w:val="21"/>
          <w:highlight w:val="none"/>
        </w:rPr>
      </w:pPr>
      <w:r>
        <w:rPr>
          <w:rFonts w:hint="eastAsia" w:ascii="宋体" w:hAnsi="宋体" w:cs="宋体"/>
          <w:color w:val="auto"/>
          <w:szCs w:val="21"/>
          <w:highlight w:val="none"/>
        </w:rPr>
        <w:t>需要由承包人提供的文件，包括：</w:t>
      </w:r>
      <w:r>
        <w:rPr>
          <w:rFonts w:hint="eastAsia" w:ascii="宋体" w:hAnsi="宋体" w:cs="宋体"/>
          <w:color w:val="auto"/>
          <w:szCs w:val="21"/>
          <w:highlight w:val="none"/>
          <w:u w:val="single"/>
        </w:rPr>
        <w:t>施工组织设计、施工进度计划、专项施工方案、工程结算书，以及监理人认为需要由承包人提供的其他文件</w:t>
      </w:r>
      <w:r>
        <w:rPr>
          <w:rFonts w:hint="eastAsia" w:ascii="宋体" w:hAnsi="宋体" w:cs="宋体"/>
          <w:color w:val="auto"/>
          <w:szCs w:val="21"/>
          <w:highlight w:val="none"/>
        </w:rPr>
        <w:t>；</w:t>
      </w:r>
    </w:p>
    <w:p w14:paraId="1AFBE25F">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承包人提供的文件的期限为：</w:t>
      </w:r>
      <w:r>
        <w:rPr>
          <w:rFonts w:hint="eastAsia" w:ascii="宋体" w:hAnsi="宋体" w:cs="宋体"/>
          <w:color w:val="auto"/>
          <w:szCs w:val="21"/>
          <w:highlight w:val="none"/>
          <w:u w:val="single"/>
          <w:lang w:val="en-US" w:eastAsia="zh-CN"/>
        </w:rPr>
        <w:t>开工前14天内</w:t>
      </w:r>
      <w:r>
        <w:rPr>
          <w:rFonts w:hint="eastAsia" w:ascii="宋体" w:hAnsi="宋体" w:cs="宋体"/>
          <w:color w:val="auto"/>
          <w:szCs w:val="21"/>
          <w:highlight w:val="none"/>
          <w:u w:val="single"/>
        </w:rPr>
        <w:t xml:space="preserve">  ；</w:t>
      </w:r>
    </w:p>
    <w:p w14:paraId="63E70A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承包人提供的文件的数量为：</w:t>
      </w:r>
      <w:r>
        <w:rPr>
          <w:rFonts w:hint="eastAsia" w:ascii="宋体" w:hAnsi="宋体" w:cs="宋体"/>
          <w:color w:val="auto"/>
          <w:szCs w:val="21"/>
          <w:highlight w:val="none"/>
          <w:u w:val="single"/>
        </w:rPr>
        <w:t xml:space="preserve">按发包人或监理的要求提供，根据工程施工需要 </w:t>
      </w:r>
      <w:r>
        <w:rPr>
          <w:rFonts w:hint="eastAsia" w:ascii="宋体" w:hAnsi="宋体" w:cs="宋体"/>
          <w:color w:val="auto"/>
          <w:szCs w:val="21"/>
          <w:highlight w:val="none"/>
        </w:rPr>
        <w:t>；</w:t>
      </w:r>
    </w:p>
    <w:p w14:paraId="0E389A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承包人提供的文件的形式为：</w:t>
      </w:r>
      <w:r>
        <w:rPr>
          <w:rFonts w:hint="eastAsia" w:ascii="宋体" w:hAnsi="宋体" w:cs="宋体"/>
          <w:color w:val="auto"/>
          <w:szCs w:val="21"/>
          <w:highlight w:val="none"/>
          <w:u w:val="single"/>
        </w:rPr>
        <w:t>纸质文档及对应电子文档</w:t>
      </w:r>
      <w:r>
        <w:rPr>
          <w:rFonts w:hint="eastAsia" w:ascii="宋体" w:hAnsi="宋体" w:cs="宋体"/>
          <w:color w:val="auto"/>
          <w:szCs w:val="21"/>
          <w:highlight w:val="none"/>
        </w:rPr>
        <w:t>；</w:t>
      </w:r>
    </w:p>
    <w:p w14:paraId="24C0ED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发包人审批承包人文件的期限：</w:t>
      </w:r>
      <w:r>
        <w:rPr>
          <w:rFonts w:hint="eastAsia" w:ascii="宋体" w:hAnsi="宋体" w:cs="宋体"/>
          <w:color w:val="auto"/>
          <w:szCs w:val="21"/>
          <w:highlight w:val="none"/>
          <w:u w:val="single"/>
          <w:lang w:val="en-US" w:eastAsia="zh-CN"/>
        </w:rPr>
        <w:t>在承包人提交文件后7天内审定完毕</w:t>
      </w:r>
      <w:r>
        <w:rPr>
          <w:rFonts w:hint="eastAsia" w:ascii="宋体" w:hAnsi="宋体" w:cs="宋体"/>
          <w:color w:val="auto"/>
          <w:szCs w:val="21"/>
          <w:highlight w:val="none"/>
        </w:rPr>
        <w:t>。</w:t>
      </w:r>
    </w:p>
    <w:p w14:paraId="706793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 现场图纸准备</w:t>
      </w:r>
    </w:p>
    <w:p w14:paraId="42F409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关于现场图纸准备的约定：</w:t>
      </w:r>
      <w:r>
        <w:rPr>
          <w:rFonts w:hint="eastAsia" w:ascii="宋体" w:hAnsi="宋体" w:cs="宋体"/>
          <w:color w:val="auto"/>
          <w:szCs w:val="21"/>
          <w:highlight w:val="none"/>
          <w:u w:val="single"/>
        </w:rPr>
        <w:t>按照通用合同条款中相对应的条款执行</w:t>
      </w:r>
      <w:r>
        <w:rPr>
          <w:rFonts w:hint="eastAsia" w:ascii="宋体" w:hAnsi="宋体" w:cs="宋体"/>
          <w:color w:val="auto"/>
          <w:szCs w:val="21"/>
          <w:highlight w:val="none"/>
        </w:rPr>
        <w:t>。</w:t>
      </w:r>
    </w:p>
    <w:p w14:paraId="6E119BFB">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1.7 联络</w:t>
      </w:r>
    </w:p>
    <w:p w14:paraId="7EE7B75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1.7.1发包人和承包人应当在</w:t>
      </w:r>
      <w:r>
        <w:rPr>
          <w:rFonts w:hint="eastAsia" w:ascii="宋体" w:hAnsi="宋体" w:cs="宋体"/>
          <w:color w:val="auto"/>
          <w:kern w:val="0"/>
          <w:szCs w:val="21"/>
          <w:highlight w:val="none"/>
          <w:u w:val="single"/>
          <w:lang w:val="en-US" w:eastAsia="zh-CN"/>
        </w:rPr>
        <w:t>3</w:t>
      </w:r>
      <w:r>
        <w:rPr>
          <w:rFonts w:hint="eastAsia" w:ascii="宋体" w:hAnsi="宋体" w:cs="宋体"/>
          <w:color w:val="auto"/>
          <w:kern w:val="0"/>
          <w:szCs w:val="21"/>
          <w:highlight w:val="none"/>
        </w:rPr>
        <w:t>日内将与合同有关的通知、批准、证明、证书、指示、指令、要求、请求、同意、意见、确定和决定等书面函件送达对方当事人。</w:t>
      </w:r>
    </w:p>
    <w:p w14:paraId="0B14DFEA">
      <w:pPr>
        <w:ind w:firstLine="420" w:firstLineChars="200"/>
        <w:rPr>
          <w:rFonts w:ascii="宋体" w:hAnsi="宋体" w:cs="宋体"/>
          <w:color w:val="auto"/>
          <w:szCs w:val="21"/>
          <w:highlight w:val="none"/>
          <w:shd w:val="pct10" w:color="auto" w:fill="FFFFFF"/>
        </w:rPr>
      </w:pPr>
      <w:r>
        <w:rPr>
          <w:rFonts w:hint="eastAsia" w:ascii="宋体" w:hAnsi="宋体" w:cs="宋体"/>
          <w:color w:val="auto"/>
          <w:kern w:val="0"/>
          <w:szCs w:val="21"/>
          <w:highlight w:val="none"/>
        </w:rPr>
        <w:t>1.7.2 发包人接收文件的地点：</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7A78743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发包人指定的接收人为：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2ABF308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承包人接收文件的地点：</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1AB9202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承包人指定的接收人为：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79FE2D3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监理人接收文件的地点：</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3F810FF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监理人指定的接收人为：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3FF7ED41">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1.10 交通运输</w:t>
      </w:r>
    </w:p>
    <w:p w14:paraId="5A4D7E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bookmarkStart w:id="122" w:name="_Toc303539100"/>
      <w:bookmarkStart w:id="123" w:name="_Toc300934943"/>
      <w:bookmarkStart w:id="124" w:name="_Toc318581155"/>
      <w:bookmarkStart w:id="125" w:name="_Toc304295521"/>
      <w:bookmarkStart w:id="126" w:name="_Toc312677986"/>
      <w:r>
        <w:rPr>
          <w:rFonts w:hint="eastAsia" w:ascii="宋体" w:hAnsi="宋体" w:cs="宋体"/>
          <w:color w:val="auto"/>
          <w:szCs w:val="21"/>
          <w:highlight w:val="none"/>
        </w:rPr>
        <w:t>.10.1 出入现场的权利</w:t>
      </w:r>
    </w:p>
    <w:p w14:paraId="617255E6">
      <w:pPr>
        <w:spacing w:line="360" w:lineRule="auto"/>
        <w:rPr>
          <w:rFonts w:ascii="宋体" w:hAnsi="宋体" w:cs="宋体"/>
          <w:color w:val="auto"/>
          <w:szCs w:val="21"/>
          <w:highlight w:val="none"/>
        </w:rPr>
      </w:pPr>
      <w:r>
        <w:rPr>
          <w:rFonts w:hint="eastAsia" w:ascii="宋体" w:hAnsi="宋体" w:cs="宋体"/>
          <w:color w:val="auto"/>
          <w:szCs w:val="21"/>
          <w:highlight w:val="none"/>
        </w:rPr>
        <w:t>关于出入现场的权利的约定：</w:t>
      </w:r>
      <w:r>
        <w:rPr>
          <w:rFonts w:hint="eastAsia" w:ascii="宋体" w:hAnsi="宋体" w:cs="宋体"/>
          <w:color w:val="auto"/>
          <w:szCs w:val="21"/>
          <w:highlight w:val="none"/>
          <w:u w:val="single"/>
        </w:rPr>
        <w:t>除通用条款约定处，承包人尚应遵守发包人关于工程现场有关管理规定</w:t>
      </w:r>
      <w:r>
        <w:rPr>
          <w:rFonts w:hint="eastAsia" w:ascii="宋体" w:hAnsi="宋体" w:cs="宋体"/>
          <w:color w:val="auto"/>
          <w:szCs w:val="21"/>
          <w:highlight w:val="none"/>
        </w:rPr>
        <w:t>。</w:t>
      </w:r>
    </w:p>
    <w:bookmarkEnd w:id="122"/>
    <w:bookmarkEnd w:id="123"/>
    <w:bookmarkEnd w:id="124"/>
    <w:bookmarkEnd w:id="125"/>
    <w:bookmarkEnd w:id="126"/>
    <w:p w14:paraId="3D11AAB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bookmarkStart w:id="127" w:name="_Toc300934944"/>
      <w:bookmarkStart w:id="128" w:name="_Toc312677987"/>
      <w:bookmarkStart w:id="129" w:name="_Toc318581156"/>
      <w:bookmarkStart w:id="130" w:name="_Toc304295522"/>
      <w:bookmarkStart w:id="131" w:name="_Toc303539101"/>
      <w:r>
        <w:rPr>
          <w:rFonts w:hint="eastAsia" w:ascii="宋体" w:hAnsi="宋体" w:cs="宋体"/>
          <w:color w:val="auto"/>
          <w:szCs w:val="21"/>
          <w:highlight w:val="none"/>
        </w:rPr>
        <w:t>.10.3 场内交通</w:t>
      </w:r>
    </w:p>
    <w:p w14:paraId="1DEF1F3B">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关于场外交通和场内交通的边界的约定：</w:t>
      </w:r>
      <w:r>
        <w:rPr>
          <w:rFonts w:hint="eastAsia" w:ascii="宋体" w:hAnsi="宋体" w:cs="宋体"/>
          <w:color w:val="auto"/>
          <w:szCs w:val="21"/>
          <w:highlight w:val="none"/>
          <w:u w:val="single"/>
          <w:lang w:val="en-US" w:eastAsia="zh-CN"/>
        </w:rPr>
        <w:t>以规划用地红线为边界</w:t>
      </w:r>
      <w:r>
        <w:rPr>
          <w:rFonts w:hint="eastAsia" w:ascii="宋体" w:hAnsi="宋体" w:cs="宋体"/>
          <w:color w:val="auto"/>
          <w:szCs w:val="21"/>
          <w:highlight w:val="none"/>
        </w:rPr>
        <w:t>。</w:t>
      </w:r>
    </w:p>
    <w:p w14:paraId="7A1E1E9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关于发包人向承包人免费提供满足工程施工需要的场内道路和交通设施的约定：</w:t>
      </w:r>
      <w:r>
        <w:rPr>
          <w:rFonts w:hint="eastAsia" w:ascii="宋体" w:hAnsi="宋体" w:cs="宋体"/>
          <w:i w:val="0"/>
          <w:iCs w:val="0"/>
          <w:color w:val="auto"/>
          <w:szCs w:val="21"/>
          <w:highlight w:val="none"/>
          <w:u w:val="single"/>
          <w:lang w:val="en-US" w:eastAsia="zh-CN"/>
        </w:rPr>
        <w:t>无</w:t>
      </w:r>
      <w:r>
        <w:rPr>
          <w:rFonts w:hint="eastAsia" w:ascii="宋体" w:hAnsi="宋体" w:cs="宋体"/>
          <w:color w:val="auto"/>
          <w:szCs w:val="21"/>
          <w:highlight w:val="none"/>
        </w:rPr>
        <w:t>。</w:t>
      </w:r>
      <w:bookmarkEnd w:id="127"/>
      <w:bookmarkEnd w:id="128"/>
      <w:bookmarkEnd w:id="129"/>
      <w:bookmarkEnd w:id="130"/>
      <w:bookmarkEnd w:id="131"/>
      <w:r>
        <w:rPr>
          <w:rFonts w:hint="eastAsia" w:ascii="宋体" w:hAnsi="宋体" w:cs="宋体"/>
          <w:color w:val="auto"/>
          <w:szCs w:val="21"/>
          <w:highlight w:val="none"/>
        </w:rPr>
        <w:t xml:space="preserve">  </w:t>
      </w:r>
      <w:bookmarkStart w:id="132" w:name="_Toc318581157"/>
    </w:p>
    <w:p w14:paraId="290A59B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1.10.4超大件和超重件的运输</w:t>
      </w:r>
    </w:p>
    <w:p w14:paraId="023067D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运输超大件或超重件所需的道路和桥梁临时加固改造费用和其他有关费用</w:t>
      </w:r>
      <w:r>
        <w:rPr>
          <w:rFonts w:hint="eastAsia" w:ascii="宋体" w:hAnsi="宋体" w:cs="宋体"/>
          <w:color w:val="auto"/>
          <w:szCs w:val="21"/>
          <w:highlight w:val="none"/>
          <w:u w:val="single"/>
          <w:lang w:val="en-US" w:eastAsia="zh-CN"/>
        </w:rPr>
        <w:t>发生后，另行约定</w:t>
      </w:r>
      <w:r>
        <w:rPr>
          <w:rFonts w:hint="eastAsia" w:ascii="宋体" w:hAnsi="宋体" w:cs="宋体"/>
          <w:color w:val="auto"/>
          <w:szCs w:val="21"/>
          <w:highlight w:val="none"/>
        </w:rPr>
        <w:t>。</w:t>
      </w:r>
    </w:p>
    <w:bookmarkEnd w:id="132"/>
    <w:p w14:paraId="40E72052">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1.11 知识产权</w:t>
      </w:r>
    </w:p>
    <w:p w14:paraId="2F027B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highlight w:val="none"/>
          <w:u w:val="single"/>
          <w:lang w:val="en-US" w:eastAsia="zh-CN"/>
        </w:rPr>
        <w:t>按通用条款</w:t>
      </w:r>
      <w:r>
        <w:rPr>
          <w:rFonts w:hint="eastAsia" w:ascii="宋体" w:hAnsi="宋体" w:cs="宋体"/>
          <w:color w:val="auto"/>
          <w:szCs w:val="21"/>
          <w:highlight w:val="none"/>
        </w:rPr>
        <w:t>。</w:t>
      </w:r>
    </w:p>
    <w:p w14:paraId="63516A90">
      <w:pPr>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关于发包人提供的上述文件的使用限制的要求：</w:t>
      </w:r>
      <w:r>
        <w:rPr>
          <w:rFonts w:hint="eastAsia" w:ascii="宋体" w:hAnsi="宋体" w:cs="宋体"/>
          <w:color w:val="auto"/>
          <w:szCs w:val="21"/>
          <w:highlight w:val="none"/>
          <w:u w:val="single"/>
          <w:lang w:val="en-US" w:eastAsia="zh-CN"/>
        </w:rPr>
        <w:t>仅用于本工程</w:t>
      </w:r>
      <w:r>
        <w:rPr>
          <w:rFonts w:hint="eastAsia" w:ascii="宋体" w:hAnsi="宋体" w:cs="宋体"/>
          <w:color w:val="auto"/>
          <w:szCs w:val="21"/>
          <w:highlight w:val="none"/>
          <w:u w:val="single"/>
        </w:rPr>
        <w:t>。</w:t>
      </w:r>
    </w:p>
    <w:p w14:paraId="1AD39B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1.11.2 关于承包人为实施工程所编制文件的著作权的归属：</w:t>
      </w:r>
      <w:r>
        <w:rPr>
          <w:rFonts w:hint="eastAsia" w:ascii="宋体" w:hAnsi="宋体" w:cs="宋体"/>
          <w:color w:val="auto"/>
          <w:szCs w:val="21"/>
          <w:highlight w:val="none"/>
          <w:u w:val="single"/>
          <w:lang w:val="en-US" w:eastAsia="zh-CN"/>
        </w:rPr>
        <w:t>按通用条款</w:t>
      </w:r>
      <w:r>
        <w:rPr>
          <w:rFonts w:hint="eastAsia" w:ascii="宋体" w:hAnsi="宋体" w:cs="宋体"/>
          <w:color w:val="auto"/>
          <w:szCs w:val="21"/>
          <w:highlight w:val="none"/>
          <w:u w:val="single"/>
        </w:rPr>
        <w:t>。</w:t>
      </w:r>
    </w:p>
    <w:p w14:paraId="3A41B423">
      <w:pPr>
        <w:ind w:firstLine="420" w:firstLineChars="200"/>
        <w:rPr>
          <w:rFonts w:ascii="宋体" w:hAnsi="宋体" w:cs="宋体"/>
          <w:color w:val="auto"/>
          <w:szCs w:val="21"/>
          <w:highlight w:val="none"/>
          <w:shd w:val="pct10" w:color="auto" w:fill="FFFFFF"/>
        </w:rPr>
      </w:pPr>
      <w:r>
        <w:rPr>
          <w:rFonts w:hint="eastAsia" w:ascii="宋体" w:hAnsi="宋体" w:cs="宋体"/>
          <w:color w:val="auto"/>
          <w:szCs w:val="21"/>
          <w:highlight w:val="none"/>
        </w:rPr>
        <w:t>关于承包人提供的上述文件的使用限制的要求：</w:t>
      </w:r>
      <w:r>
        <w:rPr>
          <w:rFonts w:hint="eastAsia" w:ascii="宋体" w:hAnsi="宋体" w:cs="宋体"/>
          <w:color w:val="auto"/>
          <w:szCs w:val="21"/>
          <w:highlight w:val="none"/>
          <w:u w:val="single"/>
          <w:lang w:val="en-US" w:eastAsia="zh-CN"/>
        </w:rPr>
        <w:t>按通用条款</w:t>
      </w:r>
      <w:r>
        <w:rPr>
          <w:rFonts w:hint="eastAsia" w:ascii="宋体" w:hAnsi="宋体" w:cs="宋体"/>
          <w:color w:val="auto"/>
          <w:szCs w:val="21"/>
          <w:highlight w:val="none"/>
          <w:u w:val="single"/>
        </w:rPr>
        <w:t>。</w:t>
      </w:r>
    </w:p>
    <w:p w14:paraId="6B0F4AE6">
      <w:pPr>
        <w:spacing w:line="360" w:lineRule="auto"/>
        <w:ind w:firstLine="420" w:firstLineChars="200"/>
        <w:rPr>
          <w:rFonts w:ascii="宋体" w:hAnsi="宋体" w:cs="宋体"/>
          <w:color w:val="auto"/>
          <w:szCs w:val="21"/>
          <w:highlight w:val="none"/>
          <w:shd w:val="pct10" w:color="auto" w:fill="FFFFFF"/>
        </w:rPr>
      </w:pPr>
      <w:r>
        <w:rPr>
          <w:rFonts w:hint="eastAsia" w:ascii="宋体" w:hAnsi="宋体" w:cs="宋体"/>
          <w:color w:val="auto"/>
          <w:szCs w:val="21"/>
          <w:highlight w:val="none"/>
        </w:rPr>
        <w:t>1.11.4 承包人在施工过程中所采用的专利、专有技术、技术秘密的使用费的承担方式：</w:t>
      </w:r>
      <w:r>
        <w:rPr>
          <w:rFonts w:hint="eastAsia" w:ascii="宋体" w:hAnsi="宋体" w:cs="宋体"/>
          <w:color w:val="auto"/>
          <w:szCs w:val="21"/>
          <w:highlight w:val="none"/>
          <w:u w:val="single"/>
        </w:rPr>
        <w:t>由承包人承担（或包含在合同价款当中，发包人不应另行付费）。</w:t>
      </w:r>
    </w:p>
    <w:p w14:paraId="72201E3B">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1.13工程量清单错误的修正</w:t>
      </w:r>
    </w:p>
    <w:p w14:paraId="6279CE9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出现工程量清单错误时，是否调整合同价格，</w:t>
      </w:r>
      <w:r>
        <w:rPr>
          <w:rFonts w:hint="eastAsia" w:ascii="宋体" w:hAnsi="宋体" w:cs="宋体"/>
          <w:color w:val="auto"/>
          <w:szCs w:val="21"/>
          <w:highlight w:val="none"/>
          <w:lang w:val="en-US" w:eastAsia="zh-CN"/>
        </w:rPr>
        <w:t>☑是 □否。</w:t>
      </w:r>
    </w:p>
    <w:p w14:paraId="733CE578">
      <w:pPr>
        <w:spacing w:line="360" w:lineRule="auto"/>
        <w:ind w:firstLine="420" w:firstLineChars="200"/>
        <w:rPr>
          <w:rFonts w:ascii="宋体" w:hAnsi="宋体" w:cs="宋体"/>
          <w:color w:val="auto"/>
          <w:szCs w:val="21"/>
          <w:highlight w:val="none"/>
          <w:u w:val="single"/>
        </w:rPr>
      </w:pPr>
      <w:r>
        <w:rPr>
          <w:rFonts w:ascii="宋体" w:hAnsi="宋体" w:cs="宋体"/>
          <w:color w:val="auto"/>
          <w:szCs w:val="21"/>
          <w:highlight w:val="none"/>
          <w:u w:val="none"/>
          <w:lang w:val="en-US" w:eastAsia="zh-CN"/>
        </w:rPr>
        <w:t xml:space="preserve">允许调整合同价格的工程量偏差范围及其调整办法： </w:t>
      </w:r>
    </w:p>
    <w:p w14:paraId="56062FD0">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lang w:val="en-US" w:eastAsia="zh-CN"/>
        </w:rPr>
        <w:t>□除严重不平衡报价外，无论分部分项工程量清单项目中的工程量变化多少均不调整。</w:t>
      </w:r>
    </w:p>
    <w:p w14:paraId="2BB750F7">
      <w:pPr>
        <w:spacing w:line="360" w:lineRule="auto"/>
        <w:ind w:firstLine="420" w:firstLineChars="200"/>
        <w:rPr>
          <w:rFonts w:ascii="宋体" w:hAnsi="宋体" w:cs="宋体"/>
          <w:color w:val="auto"/>
          <w:szCs w:val="21"/>
          <w:highlight w:val="none"/>
          <w:u w:val="single"/>
        </w:rPr>
      </w:pPr>
      <w:r>
        <w:rPr>
          <w:rFonts w:ascii="宋体" w:hAnsi="宋体" w:cs="宋体"/>
          <w:color w:val="auto"/>
          <w:szCs w:val="21"/>
          <w:highlight w:val="none"/>
          <w:u w:val="single"/>
          <w:lang w:val="en-US" w:eastAsia="zh-CN"/>
        </w:rPr>
        <w:t>☑</w:t>
      </w:r>
      <w:r>
        <w:rPr>
          <w:rFonts w:hint="eastAsia" w:ascii="宋体" w:hAnsi="宋体" w:cs="宋体"/>
          <w:color w:val="auto"/>
          <w:szCs w:val="21"/>
          <w:highlight w:val="none"/>
          <w:u w:val="single"/>
          <w:lang w:val="en-US" w:eastAsia="zh-CN"/>
        </w:rPr>
        <w:t>承包人实际完成的某单项清单项目工程量与招标工程量清单工程量偏差超过±15%且该单项清单造价超过合同总价±5%以上的，超过后增加部分工程量或减少后剩余部分工程量的综合单价按以下方法调整：有定额的套定额计算，执行本磋商文件工程计价参考依据，并乘以（1-下浮系数），下浮系数=（1-中标价/招标控制价）结算，其中材料价格有信息价的按施工期间信息价的平均价计取，无信息价的由发包人、监理单位及承包人根据市场价格协商议定。</w:t>
      </w:r>
    </w:p>
    <w:p w14:paraId="541FE857">
      <w:pPr>
        <w:spacing w:line="360" w:lineRule="auto"/>
        <w:ind w:firstLine="420" w:firstLineChars="200"/>
        <w:rPr>
          <w:rFonts w:ascii="宋体" w:hAnsi="宋体" w:cs="宋体"/>
          <w:color w:val="auto"/>
          <w:szCs w:val="21"/>
          <w:highlight w:val="none"/>
          <w:u w:val="single"/>
        </w:rPr>
      </w:pPr>
    </w:p>
    <w:p w14:paraId="41EA6162">
      <w:pPr>
        <w:keepNext w:val="0"/>
        <w:keepLines w:val="0"/>
        <w:pageBreakBefore w:val="0"/>
        <w:widowControl w:val="0"/>
        <w:kinsoku/>
        <w:wordWrap/>
        <w:overflowPunct/>
        <w:topLinePunct w:val="0"/>
        <w:autoSpaceDE/>
        <w:autoSpaceDN/>
        <w:bidi w:val="0"/>
        <w:adjustRightInd/>
        <w:snapToGrid/>
        <w:spacing w:before="120" w:after="120"/>
        <w:ind w:firstLine="422" w:firstLineChars="200"/>
        <w:textAlignment w:val="auto"/>
        <w:outlineLvl w:val="9"/>
        <w:rPr>
          <w:rFonts w:ascii="宋体" w:hAnsi="宋体" w:cs="宋体"/>
          <w:b/>
          <w:bCs/>
          <w:color w:val="auto"/>
          <w:szCs w:val="21"/>
          <w:highlight w:val="none"/>
        </w:rPr>
      </w:pPr>
      <w:bookmarkStart w:id="133" w:name="_Toc351203634"/>
      <w:r>
        <w:rPr>
          <w:rFonts w:hint="eastAsia" w:ascii="宋体" w:hAnsi="宋体" w:cs="宋体"/>
          <w:b/>
          <w:bCs/>
          <w:color w:val="auto"/>
          <w:szCs w:val="21"/>
          <w:highlight w:val="none"/>
        </w:rPr>
        <w:t>2</w:t>
      </w:r>
      <w:bookmarkStart w:id="134" w:name="_Toc292559867"/>
      <w:bookmarkStart w:id="135" w:name="_Toc296890985"/>
      <w:bookmarkStart w:id="136" w:name="_Toc297120457"/>
      <w:bookmarkStart w:id="137" w:name="_Toc296347156"/>
      <w:bookmarkStart w:id="138" w:name="_Toc296944496"/>
      <w:bookmarkStart w:id="139" w:name="_Toc296503157"/>
      <w:bookmarkStart w:id="140" w:name="_Toc296891197"/>
      <w:bookmarkStart w:id="141" w:name="_Toc292559362"/>
      <w:bookmarkStart w:id="142" w:name="_Toc297048343"/>
      <w:bookmarkStart w:id="143" w:name="_Toc296346658"/>
      <w:r>
        <w:rPr>
          <w:rFonts w:hint="eastAsia" w:ascii="宋体" w:hAnsi="宋体" w:cs="宋体"/>
          <w:b/>
          <w:bCs/>
          <w:color w:val="auto"/>
          <w:szCs w:val="21"/>
          <w:highlight w:val="none"/>
        </w:rPr>
        <w:t>.发包人</w:t>
      </w:r>
      <w:bookmarkEnd w:id="133"/>
    </w:p>
    <w:bookmarkEnd w:id="134"/>
    <w:bookmarkEnd w:id="135"/>
    <w:bookmarkEnd w:id="136"/>
    <w:bookmarkEnd w:id="137"/>
    <w:bookmarkEnd w:id="138"/>
    <w:bookmarkEnd w:id="139"/>
    <w:bookmarkEnd w:id="140"/>
    <w:bookmarkEnd w:id="141"/>
    <w:bookmarkEnd w:id="142"/>
    <w:bookmarkEnd w:id="143"/>
    <w:p w14:paraId="108147E3">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2.2 发包人代表</w:t>
      </w:r>
    </w:p>
    <w:p w14:paraId="3A7B7E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发包人代表：</w:t>
      </w:r>
    </w:p>
    <w:p w14:paraId="37CAE6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DCBCA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602DE8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ADBAA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C8A62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835D8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40A1D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发包人对发包人代表的授权范围如下： </w:t>
      </w:r>
    </w:p>
    <w:p w14:paraId="61B4FD40">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代表发包人与监理工程师协调与本工程有关事宜，并行使合同约定的发包人权利，履行合同约定发包人的职责。</w:t>
      </w:r>
    </w:p>
    <w:p w14:paraId="7988F35A">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2.4 施工现场、施工条件和基础资料的提供</w:t>
      </w:r>
    </w:p>
    <w:p w14:paraId="2D4A7B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 提供施工现场</w:t>
      </w:r>
    </w:p>
    <w:p w14:paraId="3E1DC334">
      <w:pPr>
        <w:spacing w:line="360" w:lineRule="auto"/>
        <w:ind w:firstLine="420" w:firstLineChars="200"/>
        <w:jc w:val="left"/>
        <w:rPr>
          <w:rFonts w:ascii="宋体" w:hAnsi="宋体" w:cs="宋体"/>
          <w:color w:val="auto"/>
          <w:szCs w:val="21"/>
          <w:highlight w:val="none"/>
          <w:shd w:val="pct10" w:color="auto" w:fill="FFFFFF"/>
        </w:rPr>
      </w:pPr>
      <w:r>
        <w:rPr>
          <w:rFonts w:hint="eastAsia" w:ascii="宋体" w:hAnsi="宋体" w:cs="宋体"/>
          <w:color w:val="auto"/>
          <w:szCs w:val="21"/>
          <w:highlight w:val="none"/>
        </w:rPr>
        <w:t>关于发包人移交施工现场的期限要求</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lang w:eastAsia="zh-CN"/>
        </w:rPr>
        <w:t>以发包人下发进场通知 7 天内前向承包人移交施工现场。</w:t>
      </w:r>
    </w:p>
    <w:p w14:paraId="28DD5E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 提供施工条件</w:t>
      </w:r>
    </w:p>
    <w:p w14:paraId="05FC73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关于发包人应负责提供施工所需要的条件，包括：</w:t>
      </w:r>
      <w:r>
        <w:rPr>
          <w:rFonts w:hint="eastAsia" w:ascii="宋体" w:hAnsi="宋体" w:cs="宋体"/>
          <w:color w:val="auto"/>
          <w:szCs w:val="21"/>
          <w:highlight w:val="none"/>
          <w:u w:val="single"/>
          <w:lang w:val="en-US" w:eastAsia="zh-CN"/>
        </w:rPr>
        <w:t>除地下管线外按通用条款</w:t>
      </w:r>
      <w:r>
        <w:rPr>
          <w:rFonts w:hint="eastAsia" w:ascii="宋体" w:hAnsi="宋体" w:cs="宋体"/>
          <w:color w:val="auto"/>
          <w:szCs w:val="21"/>
          <w:highlight w:val="none"/>
        </w:rPr>
        <w:t>。</w:t>
      </w:r>
    </w:p>
    <w:p w14:paraId="74DF9BF9">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2.5 资金来源证明及支付担保</w:t>
      </w:r>
    </w:p>
    <w:p w14:paraId="146326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发包人提供资金来源证明的期限要求：</w:t>
      </w:r>
      <w:r>
        <w:rPr>
          <w:rFonts w:hint="eastAsia" w:ascii="宋体" w:hAnsi="宋体" w:cs="宋体"/>
          <w:color w:val="auto"/>
          <w:szCs w:val="21"/>
          <w:highlight w:val="none"/>
          <w:lang w:val="en-US" w:eastAsia="zh-CN"/>
        </w:rPr>
        <w:t>无</w:t>
      </w:r>
      <w:r>
        <w:rPr>
          <w:rFonts w:hint="eastAsia" w:ascii="宋体" w:hAnsi="宋体" w:cs="宋体"/>
          <w:color w:val="auto"/>
          <w:szCs w:val="21"/>
          <w:highlight w:val="none"/>
        </w:rPr>
        <w:t>。</w:t>
      </w:r>
    </w:p>
    <w:p w14:paraId="385A19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发包人是否提供支付担保：</w:t>
      </w:r>
      <w:r>
        <w:rPr>
          <w:rFonts w:hint="eastAsia" w:ascii="宋体" w:hAnsi="宋体" w:cs="宋体"/>
          <w:color w:val="auto"/>
          <w:szCs w:val="21"/>
          <w:highlight w:val="none"/>
          <w:u w:val="single"/>
        </w:rPr>
        <w:t>不提供</w:t>
      </w:r>
      <w:r>
        <w:rPr>
          <w:rFonts w:hint="eastAsia" w:ascii="宋体" w:hAnsi="宋体" w:cs="宋体"/>
          <w:color w:val="auto"/>
          <w:szCs w:val="21"/>
          <w:highlight w:val="none"/>
        </w:rPr>
        <w:t>。【发包人要求承包人提供履约担保的，应当同时向承包人提供工程款支付担保。工程款支付担保可以全额担保，也可以分阶段担保。分阶段担保的，除保修金以外的全部款项，完成一个阶段清算后再进入下一阶段，有效期截至工程竣工结算款支付完毕。发包人未按合同约定及时支付工程款的，工程担保保证人需承担担保责任。对政府投资项目，由建设单位提供落实财政资金来源的证明文件。】</w:t>
      </w:r>
    </w:p>
    <w:p w14:paraId="06D2BF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发包人提供支付担保的形式：</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2D3415DC">
      <w:pPr>
        <w:keepNext w:val="0"/>
        <w:keepLines w:val="0"/>
        <w:pageBreakBefore w:val="0"/>
        <w:widowControl w:val="0"/>
        <w:kinsoku/>
        <w:wordWrap/>
        <w:overflowPunct/>
        <w:topLinePunct w:val="0"/>
        <w:autoSpaceDE/>
        <w:autoSpaceDN/>
        <w:bidi w:val="0"/>
        <w:adjustRightInd/>
        <w:snapToGrid/>
        <w:spacing w:before="120" w:after="120"/>
        <w:ind w:firstLine="422" w:firstLineChars="200"/>
        <w:textAlignment w:val="auto"/>
        <w:outlineLvl w:val="9"/>
        <w:rPr>
          <w:rFonts w:ascii="宋体" w:hAnsi="宋体" w:cs="宋体"/>
          <w:b/>
          <w:bCs/>
          <w:color w:val="auto"/>
          <w:szCs w:val="21"/>
          <w:highlight w:val="none"/>
        </w:rPr>
      </w:pPr>
      <w:bookmarkStart w:id="144" w:name="_Toc351203635"/>
      <w:r>
        <w:rPr>
          <w:rFonts w:hint="eastAsia" w:ascii="宋体" w:hAnsi="宋体" w:cs="宋体"/>
          <w:b/>
          <w:bCs/>
          <w:color w:val="auto"/>
          <w:szCs w:val="21"/>
          <w:highlight w:val="none"/>
        </w:rPr>
        <w:t>3</w:t>
      </w:r>
      <w:bookmarkStart w:id="145" w:name="_Toc296346659"/>
      <w:bookmarkStart w:id="146" w:name="_Toc296890986"/>
      <w:bookmarkStart w:id="147" w:name="_Toc296503158"/>
      <w:bookmarkStart w:id="148" w:name="_Toc292559868"/>
      <w:bookmarkStart w:id="149" w:name="_Toc292559363"/>
      <w:bookmarkStart w:id="150" w:name="_Toc297048344"/>
      <w:bookmarkStart w:id="151" w:name="_Toc296944497"/>
      <w:bookmarkStart w:id="152" w:name="_Toc297120458"/>
      <w:bookmarkStart w:id="153" w:name="_Toc296891198"/>
      <w:bookmarkStart w:id="154" w:name="_Toc296347157"/>
      <w:r>
        <w:rPr>
          <w:rFonts w:hint="eastAsia" w:ascii="宋体" w:hAnsi="宋体" w:cs="宋体"/>
          <w:b/>
          <w:bCs/>
          <w:color w:val="auto"/>
          <w:szCs w:val="21"/>
          <w:highlight w:val="none"/>
        </w:rPr>
        <w:t>.承包人</w:t>
      </w:r>
      <w:bookmarkEnd w:id="144"/>
    </w:p>
    <w:bookmarkEnd w:id="145"/>
    <w:bookmarkEnd w:id="146"/>
    <w:bookmarkEnd w:id="147"/>
    <w:bookmarkEnd w:id="148"/>
    <w:bookmarkEnd w:id="149"/>
    <w:bookmarkEnd w:id="150"/>
    <w:bookmarkEnd w:id="151"/>
    <w:bookmarkEnd w:id="152"/>
    <w:bookmarkEnd w:id="153"/>
    <w:bookmarkEnd w:id="154"/>
    <w:p w14:paraId="53BC1ABA">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3.1 承包人的一般义务</w:t>
      </w:r>
    </w:p>
    <w:p w14:paraId="5C1D4F0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（9）</w:t>
      </w:r>
      <w:r>
        <w:rPr>
          <w:rFonts w:hint="eastAsia" w:ascii="宋体" w:hAnsi="宋体" w:cs="宋体"/>
          <w:color w:val="auto"/>
          <w:szCs w:val="21"/>
          <w:highlight w:val="none"/>
        </w:rPr>
        <w:t>承包人提交的竣工资料的内容包括但不仅限于：</w:t>
      </w:r>
    </w:p>
    <w:p w14:paraId="059FDAA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a、工程项目结算书（附工程量计算式、工料分析等）；</w:t>
      </w:r>
    </w:p>
    <w:p w14:paraId="0957645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b、工程项目建设的合同、协议、招磋商文件、答疑文件、中标通知书、竣工图纸、施工组织设计；</w:t>
      </w:r>
    </w:p>
    <w:p w14:paraId="777A53C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c、工程项目竣工验收资料、工程的实际开工日期、竣工日期、图纸会审纪要，有关会议记录；</w:t>
      </w:r>
    </w:p>
    <w:p w14:paraId="1A8A94F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d、施工中有关的增、减工程内容；</w:t>
      </w:r>
    </w:p>
    <w:p w14:paraId="0C308D0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e、施工期间有关政策性调整文件、监理记录等；</w:t>
      </w:r>
    </w:p>
    <w:p w14:paraId="48DB984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f、审计工作需要及竣工验收提供的其他资料；</w:t>
      </w:r>
    </w:p>
    <w:p w14:paraId="25EA58A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g、工程施工技术资料；</w:t>
      </w:r>
    </w:p>
    <w:p w14:paraId="3AAB184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h、工程检验评定资料。</w:t>
      </w:r>
    </w:p>
    <w:p w14:paraId="28AC8D4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承包人需要提交的竣工资料套数：</w:t>
      </w:r>
      <w:r>
        <w:rPr>
          <w:rFonts w:hint="eastAsia" w:ascii="宋体" w:hAnsi="宋体" w:cs="宋体"/>
          <w:color w:val="auto"/>
          <w:szCs w:val="21"/>
          <w:highlight w:val="none"/>
          <w:u w:val="single"/>
        </w:rPr>
        <w:t xml:space="preserve">肆套  </w:t>
      </w:r>
      <w:r>
        <w:rPr>
          <w:rFonts w:hint="eastAsia" w:ascii="宋体" w:hAnsi="宋体" w:cs="宋体"/>
          <w:color w:val="auto"/>
          <w:szCs w:val="21"/>
          <w:highlight w:val="none"/>
        </w:rPr>
        <w:t>。</w:t>
      </w:r>
    </w:p>
    <w:p w14:paraId="638505C7">
      <w:pPr>
        <w:spacing w:line="360" w:lineRule="auto"/>
        <w:ind w:left="638" w:leftChars="304"/>
        <w:jc w:val="left"/>
        <w:rPr>
          <w:rFonts w:ascii="宋体" w:hAnsi="宋体" w:cs="宋体"/>
          <w:color w:val="auto"/>
          <w:szCs w:val="21"/>
          <w:highlight w:val="none"/>
        </w:rPr>
      </w:pPr>
      <w:r>
        <w:rPr>
          <w:rFonts w:hint="eastAsia" w:ascii="宋体" w:hAnsi="宋体" w:cs="宋体"/>
          <w:color w:val="auto"/>
          <w:szCs w:val="21"/>
          <w:highlight w:val="none"/>
        </w:rPr>
        <w:t>承包人提交的竣工资料的费用承担：</w:t>
      </w:r>
      <w:r>
        <w:rPr>
          <w:rFonts w:hint="eastAsia" w:ascii="宋体" w:hAnsi="宋体" w:cs="宋体"/>
          <w:color w:val="auto"/>
          <w:szCs w:val="21"/>
          <w:highlight w:val="none"/>
          <w:u w:val="single"/>
        </w:rPr>
        <w:t>由承包人承担。</w:t>
      </w:r>
    </w:p>
    <w:p w14:paraId="0AF05B2D">
      <w:pPr>
        <w:spacing w:line="360" w:lineRule="auto"/>
        <w:ind w:left="638" w:leftChars="304"/>
        <w:jc w:val="left"/>
        <w:rPr>
          <w:rFonts w:ascii="宋体" w:hAnsi="宋体" w:cs="宋体"/>
          <w:color w:val="auto"/>
          <w:szCs w:val="21"/>
          <w:highlight w:val="none"/>
        </w:rPr>
      </w:pPr>
      <w:r>
        <w:rPr>
          <w:rFonts w:hint="eastAsia" w:ascii="宋体" w:hAnsi="宋体" w:cs="宋体"/>
          <w:color w:val="auto"/>
          <w:szCs w:val="21"/>
          <w:highlight w:val="none"/>
        </w:rPr>
        <w:t>承包人提交的竣工资料移交时间：</w:t>
      </w:r>
      <w:r>
        <w:rPr>
          <w:rFonts w:hint="eastAsia" w:ascii="宋体" w:hAnsi="宋体" w:cs="宋体"/>
          <w:color w:val="auto"/>
          <w:szCs w:val="21"/>
          <w:highlight w:val="none"/>
          <w:u w:val="single"/>
        </w:rPr>
        <w:t>竣工验收通过之日起</w:t>
      </w:r>
      <w:r>
        <w:rPr>
          <w:rFonts w:hint="eastAsia" w:ascii="宋体" w:hAnsi="宋体" w:cs="宋体"/>
          <w:color w:val="auto"/>
          <w:szCs w:val="21"/>
          <w:highlight w:val="none"/>
          <w:u w:val="single"/>
          <w:lang w:val="en-US" w:eastAsia="zh-CN"/>
        </w:rPr>
        <w:t>28个工作日</w:t>
      </w:r>
      <w:r>
        <w:rPr>
          <w:rFonts w:hint="eastAsia" w:ascii="宋体" w:hAnsi="宋体" w:cs="宋体"/>
          <w:color w:val="auto"/>
          <w:szCs w:val="21"/>
          <w:highlight w:val="none"/>
          <w:u w:val="single"/>
        </w:rPr>
        <w:t>内</w:t>
      </w:r>
      <w:r>
        <w:rPr>
          <w:rFonts w:hint="eastAsia" w:ascii="宋体" w:hAnsi="宋体" w:cs="宋体"/>
          <w:color w:val="auto"/>
          <w:szCs w:val="21"/>
          <w:highlight w:val="none"/>
        </w:rPr>
        <w:t>。</w:t>
      </w:r>
    </w:p>
    <w:p w14:paraId="7727971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承包人提交的竣工资料形式要求：</w:t>
      </w:r>
      <w:r>
        <w:rPr>
          <w:rFonts w:hint="eastAsia" w:ascii="宋体" w:hAnsi="宋体" w:cs="宋体"/>
          <w:color w:val="auto"/>
          <w:szCs w:val="21"/>
          <w:highlight w:val="none"/>
          <w:u w:val="single"/>
        </w:rPr>
        <w:t>以各相关单位、部门签字盖章后装订成册的纸质文件及电子文档来提交</w:t>
      </w:r>
      <w:r>
        <w:rPr>
          <w:rFonts w:hint="eastAsia" w:ascii="宋体" w:hAnsi="宋体" w:cs="宋体"/>
          <w:color w:val="auto"/>
          <w:szCs w:val="21"/>
          <w:highlight w:val="none"/>
        </w:rPr>
        <w:t>。</w:t>
      </w:r>
    </w:p>
    <w:p w14:paraId="044A86F4">
      <w:pPr>
        <w:spacing w:line="520" w:lineRule="exact"/>
        <w:ind w:firstLine="660"/>
        <w:rPr>
          <w:rFonts w:hint="eastAsia" w:ascii="宋体" w:hAnsi="宋体" w:cs="宋体"/>
          <w:b/>
          <w:color w:val="auto"/>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）承包人应履行的其他义务：对开工的项目，须组建项目工会。</w:t>
      </w:r>
    </w:p>
    <w:p w14:paraId="067D92D5">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 项目经理</w:t>
      </w:r>
    </w:p>
    <w:p w14:paraId="5F781DAD">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 xml:space="preserve">3.2.1 </w:t>
      </w:r>
      <w:r>
        <w:rPr>
          <w:rFonts w:hint="eastAsia" w:ascii="宋体" w:hAnsi="宋体" w:cs="宋体"/>
          <w:color w:val="auto"/>
          <w:szCs w:val="21"/>
          <w:highlight w:val="none"/>
        </w:rPr>
        <w:t>项目经理：</w:t>
      </w:r>
    </w:p>
    <w:p w14:paraId="4DE87F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AA346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C8480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建造师执业资格等级：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3D029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建造师注册证书号：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3722A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4FE69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0EC2E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EE616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8CAAB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68067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承包人对项目经理的授权范围如下：</w:t>
      </w:r>
    </w:p>
    <w:p w14:paraId="73B2BA1C">
      <w:pPr>
        <w:spacing w:line="360" w:lineRule="auto"/>
        <w:ind w:firstLine="420" w:firstLineChars="200"/>
        <w:jc w:val="left"/>
        <w:rPr>
          <w:rFonts w:ascii="宋体" w:hAnsi="宋体" w:cs="宋体"/>
          <w:color w:val="auto"/>
          <w:szCs w:val="21"/>
          <w:highlight w:val="none"/>
          <w:u w:val="single"/>
        </w:rPr>
      </w:pPr>
      <w:r>
        <w:rPr>
          <w:rFonts w:ascii="宋体" w:hAnsi="宋体" w:cs="宋体"/>
          <w:color w:val="auto"/>
          <w:szCs w:val="21"/>
          <w:highlight w:val="none"/>
          <w:u w:val="single"/>
          <w:lang w:val="en-US" w:eastAsia="zh-CN"/>
        </w:rPr>
        <w:t>（1）对本工程的建设进行全面管理，行使合同约定的权利，履行合同约定的义务；</w:t>
      </w:r>
    </w:p>
    <w:p w14:paraId="7BBB0479">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lang w:val="en-US" w:eastAsia="zh-CN"/>
        </w:rPr>
        <w:t>（2）负责本工程的施工组织方案制定和施工组织设计；</w:t>
      </w:r>
    </w:p>
    <w:p w14:paraId="17510BDE">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lang w:val="en-US" w:eastAsia="zh-CN"/>
        </w:rPr>
        <w:t>（3）负责本工程的劳动力组织和机械设备组织；</w:t>
      </w:r>
    </w:p>
    <w:p w14:paraId="318CA11C">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lang w:val="en-US" w:eastAsia="zh-CN"/>
        </w:rPr>
        <w:t>（4）参与选择并使用具有相应资质的分包人；</w:t>
      </w:r>
    </w:p>
    <w:p w14:paraId="2792FB32">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lang w:val="en-US" w:eastAsia="zh-CN"/>
        </w:rPr>
        <w:t>（5）参与选择物资供应单位；</w:t>
      </w:r>
    </w:p>
    <w:p w14:paraId="11BEDE92">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lang w:val="en-US" w:eastAsia="zh-CN"/>
        </w:rPr>
        <w:t>（6）在授权范围内协调与项目有关的内、外部关系；</w:t>
      </w:r>
    </w:p>
    <w:p w14:paraId="2FA80D96">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lang w:val="en-US" w:eastAsia="zh-CN"/>
        </w:rPr>
        <w:t>（7）负责与发包人、监理人办理设计变更、现场签证等手续，及时办理本工程相关索赔；</w:t>
      </w:r>
    </w:p>
    <w:p w14:paraId="55C73DAB">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lang w:val="en-US" w:eastAsia="zh-CN"/>
        </w:rPr>
        <w:t>（8）负责签收发包人、监理人往来函件，承包人的要求、通知均应以书面形式由承包人项目经理签字并加盖承包人公司公章后递交发包人；</w:t>
      </w:r>
    </w:p>
    <w:p w14:paraId="54652201">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lang w:val="en-US" w:eastAsia="zh-CN"/>
        </w:rPr>
        <w:t>（9）代表承包人接受监理工程师或发包人现场代表发出的指示和指令；</w:t>
      </w:r>
    </w:p>
    <w:p w14:paraId="7E02292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u w:val="single"/>
          <w:lang w:val="en-US" w:eastAsia="zh-CN"/>
        </w:rPr>
        <w:t>（10）负责办理本工程竣工结算。</w:t>
      </w:r>
    </w:p>
    <w:p w14:paraId="6418D05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u w:val="single"/>
          <w:lang w:val="en-US" w:eastAsia="zh-CN"/>
        </w:rPr>
        <w:t>但未经承包人盖章同意不得以承包人和（或本工程项目部）名义向外融资、采购材料设备、租用建筑周转材料、雇佣劳动力、签订分包合同等从事一切为承包人设立义务或责任的行为。</w:t>
      </w:r>
    </w:p>
    <w:p w14:paraId="11070A2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关于项目经理每月在施工现场的时间要求：</w:t>
      </w:r>
      <w:r>
        <w:rPr>
          <w:rFonts w:hint="eastAsia" w:ascii="宋体" w:hAnsi="宋体" w:cs="宋体"/>
          <w:color w:val="auto"/>
          <w:szCs w:val="21"/>
          <w:highlight w:val="none"/>
          <w:u w:val="single"/>
          <w:lang w:val="en-US" w:eastAsia="zh-CN"/>
        </w:rPr>
        <w:t>工程开工至竣工验收合同之日之间的施工作业时间均必须在现场(特殊原因请假除外)</w:t>
      </w:r>
      <w:r>
        <w:rPr>
          <w:rFonts w:hint="eastAsia" w:ascii="宋体" w:hAnsi="宋体" w:cs="宋体"/>
          <w:color w:val="auto"/>
          <w:szCs w:val="21"/>
          <w:highlight w:val="none"/>
          <w:lang w:val="en-US" w:eastAsia="zh-CN"/>
        </w:rPr>
        <w:t>。</w:t>
      </w:r>
    </w:p>
    <w:p w14:paraId="76F168F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承包人未提交劳动合同，以及没有为项目经理缴纳社会保险证明的违约责任：</w:t>
      </w:r>
      <w:r>
        <w:rPr>
          <w:rFonts w:hint="eastAsia" w:ascii="宋体" w:hAnsi="宋体" w:cs="宋体"/>
          <w:color w:val="auto"/>
          <w:szCs w:val="21"/>
          <w:highlight w:val="none"/>
          <w:u w:val="single"/>
          <w:lang w:val="en-US" w:eastAsia="zh-CN"/>
        </w:rPr>
        <w:t>承担3万元的违约金，发包人有权直接从应付工程款中扣除；限期提交劳动合同并补缴社会保险</w:t>
      </w:r>
      <w:r>
        <w:rPr>
          <w:rFonts w:hint="eastAsia" w:ascii="宋体" w:hAnsi="宋体" w:cs="宋体"/>
          <w:color w:val="auto"/>
          <w:szCs w:val="21"/>
          <w:highlight w:val="none"/>
          <w:lang w:val="en-US" w:eastAsia="zh-CN"/>
        </w:rPr>
        <w:t>。</w:t>
      </w:r>
    </w:p>
    <w:p w14:paraId="7D3703D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项目经理未经批准，擅自离开施工现场的违约责任：</w:t>
      </w:r>
      <w:r>
        <w:rPr>
          <w:rFonts w:hint="eastAsia" w:ascii="宋体" w:hAnsi="宋体" w:cs="宋体"/>
          <w:color w:val="auto"/>
          <w:szCs w:val="21"/>
          <w:highlight w:val="none"/>
          <w:u w:val="single"/>
          <w:lang w:val="en-US" w:eastAsia="zh-CN"/>
        </w:rPr>
        <w:t>项目经理每月在岗带班时间不得少于当月施工时间的80%。未经发包人同意或正当理由，项目经理每月在岗带班时间少于当月施工时间80%的，少在岗带班一天，发包人有权处违约金1000元/日（人民币）。</w:t>
      </w:r>
    </w:p>
    <w:p w14:paraId="0E37C9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承包人擅自更换项目经理的违约责任：</w:t>
      </w:r>
    </w:p>
    <w:p w14:paraId="2C472C7E">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lang w:val="en-US" w:eastAsia="zh-CN"/>
        </w:rPr>
        <w:t>承包人擅自更换项目经理的违约责任：</w:t>
      </w:r>
      <w:r>
        <w:rPr>
          <w:rFonts w:ascii="宋体" w:hAnsi="宋体" w:cs="宋体"/>
          <w:color w:val="auto"/>
          <w:szCs w:val="21"/>
          <w:highlight w:val="none"/>
          <w:u w:val="single"/>
          <w:lang w:val="en-US" w:eastAsia="zh-CN"/>
        </w:rPr>
        <w:t>承包人项目经理</w:t>
      </w:r>
      <w:r>
        <w:rPr>
          <w:rFonts w:hint="eastAsia" w:ascii="宋体" w:hAnsi="宋体" w:cs="宋体"/>
          <w:color w:val="auto"/>
          <w:szCs w:val="21"/>
          <w:highlight w:val="none"/>
          <w:u w:val="single"/>
          <w:lang w:val="en-US" w:eastAsia="zh-CN"/>
        </w:rPr>
        <w:t>必须与承包人投标时所承诺的人员一致，并在（开工日期）前到任。在监理人向承包人颁发（竣工证明材料名称）前，项目经理不得同时兼任其他任何项目的项目经理（符合《广西壮族自治区建筑市场诚信卡管理暂行办法》第十六条第一款及桂建管﹝2016﹞70号、桂建管〔2020〕11号文除外）。未经发包人书面同意，承包人擅自更换项目经理的视为违约，承包人须承担50000元/人</w:t>
      </w:r>
      <w:r>
        <w:rPr>
          <w:rFonts w:ascii="宋体" w:hAnsi="宋体" w:cs="宋体"/>
          <w:color w:val="auto"/>
          <w:szCs w:val="21"/>
          <w:highlight w:val="none"/>
          <w:u w:val="single"/>
          <w:lang w:val="en-US" w:eastAsia="zh-CN"/>
        </w:rPr>
        <w:t>•</w:t>
      </w:r>
      <w:r>
        <w:rPr>
          <w:rFonts w:hint="eastAsia" w:ascii="宋体" w:hAnsi="宋体" w:cs="宋体"/>
          <w:color w:val="auto"/>
          <w:szCs w:val="21"/>
          <w:highlight w:val="none"/>
          <w:u w:val="single"/>
          <w:lang w:val="en-US" w:eastAsia="zh-CN"/>
        </w:rPr>
        <w:t>次(人民币)违约金。</w:t>
      </w:r>
    </w:p>
    <w:p w14:paraId="03856D45">
      <w:pPr>
        <w:spacing w:line="360" w:lineRule="auto"/>
        <w:ind w:firstLine="600"/>
        <w:rPr>
          <w:rFonts w:ascii="宋体" w:hAnsi="宋体" w:cs="宋体"/>
          <w:color w:val="auto"/>
          <w:szCs w:val="21"/>
          <w:highlight w:val="none"/>
          <w:u w:val="single"/>
        </w:rPr>
      </w:pPr>
      <w:r>
        <w:rPr>
          <w:rFonts w:hint="eastAsia" w:ascii="宋体" w:hAnsi="宋体" w:cs="宋体"/>
          <w:color w:val="auto"/>
          <w:szCs w:val="21"/>
          <w:highlight w:val="none"/>
        </w:rPr>
        <w:t>3.2.4 承包人无正当理由拒绝更换项目经理的违约责任：</w:t>
      </w:r>
      <w:r>
        <w:rPr>
          <w:rFonts w:ascii="宋体" w:hAnsi="宋体" w:cs="宋体"/>
          <w:color w:val="auto"/>
          <w:szCs w:val="21"/>
          <w:highlight w:val="none"/>
          <w:u w:val="single"/>
          <w:lang w:val="en-US" w:eastAsia="zh-CN"/>
        </w:rPr>
        <w:t>因承包人项目经理不称职，发包人要求调换</w:t>
      </w:r>
      <w:r>
        <w:rPr>
          <w:rFonts w:hint="eastAsia" w:ascii="宋体" w:hAnsi="宋体" w:cs="宋体"/>
          <w:color w:val="auto"/>
          <w:szCs w:val="21"/>
          <w:highlight w:val="none"/>
          <w:u w:val="single"/>
          <w:lang w:val="en-US" w:eastAsia="zh-CN"/>
        </w:rPr>
        <w:t>而未及时调换的，视为承包人违约，必须向发包人交纳处罚金10000元/人</w:t>
      </w:r>
      <w:r>
        <w:rPr>
          <w:rFonts w:ascii="宋体" w:hAnsi="宋体" w:cs="宋体"/>
          <w:color w:val="auto"/>
          <w:szCs w:val="21"/>
          <w:highlight w:val="none"/>
          <w:u w:val="single"/>
          <w:lang w:val="en-US" w:eastAsia="zh-CN"/>
        </w:rPr>
        <w:t>•</w:t>
      </w:r>
      <w:r>
        <w:rPr>
          <w:rFonts w:hint="eastAsia" w:ascii="宋体" w:hAnsi="宋体" w:cs="宋体"/>
          <w:color w:val="auto"/>
          <w:szCs w:val="21"/>
          <w:highlight w:val="none"/>
          <w:u w:val="single"/>
          <w:lang w:val="en-US" w:eastAsia="zh-CN"/>
        </w:rPr>
        <w:t>次（人民币）。</w:t>
      </w:r>
    </w:p>
    <w:p w14:paraId="78ACD869">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3.3 承包人人员</w:t>
      </w:r>
    </w:p>
    <w:p w14:paraId="49025E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 承包人提交项目管理机构及施工现场管理人员安排报告的期限：</w:t>
      </w:r>
      <w:r>
        <w:rPr>
          <w:rFonts w:hint="eastAsia" w:ascii="宋体" w:hAnsi="宋体" w:cs="宋体"/>
          <w:color w:val="auto"/>
          <w:szCs w:val="21"/>
          <w:highlight w:val="none"/>
          <w:u w:val="single"/>
        </w:rPr>
        <w:t>从合同签订之日起7天内</w:t>
      </w:r>
      <w:r>
        <w:rPr>
          <w:rFonts w:hint="eastAsia" w:ascii="宋体" w:hAnsi="宋体" w:cs="宋体"/>
          <w:color w:val="auto"/>
          <w:szCs w:val="21"/>
          <w:highlight w:val="none"/>
        </w:rPr>
        <w:t>。</w:t>
      </w:r>
    </w:p>
    <w:p w14:paraId="17094D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 承包人无正当理由拒绝撤换主要施工管理人员的违约责任：</w:t>
      </w:r>
      <w:r>
        <w:rPr>
          <w:rFonts w:ascii="宋体" w:hAnsi="宋体" w:cs="宋体"/>
          <w:color w:val="auto"/>
          <w:szCs w:val="21"/>
          <w:highlight w:val="none"/>
          <w:u w:val="single"/>
          <w:lang w:val="en-US" w:eastAsia="zh-CN"/>
        </w:rPr>
        <w:t>因承包人主要施工管理人员不称职，</w:t>
      </w:r>
      <w:r>
        <w:rPr>
          <w:rFonts w:hint="eastAsia" w:ascii="宋体" w:hAnsi="宋体" w:cs="宋体"/>
          <w:color w:val="auto"/>
          <w:szCs w:val="21"/>
          <w:highlight w:val="none"/>
          <w:u w:val="single"/>
          <w:lang w:val="en-US" w:eastAsia="zh-CN"/>
        </w:rPr>
        <w:t>发包人要求调换而无正当理由拒绝撤换或未及时调换的，视为承包人违约，必须向发包人交纳处罚金，处罚标准：技术负责人2000 元/人</w:t>
      </w:r>
      <w:r>
        <w:rPr>
          <w:rFonts w:ascii="宋体" w:hAnsi="宋体" w:cs="宋体"/>
          <w:color w:val="auto"/>
          <w:szCs w:val="21"/>
          <w:highlight w:val="none"/>
          <w:u w:val="single"/>
          <w:lang w:val="en-US" w:eastAsia="zh-CN"/>
        </w:rPr>
        <w:t>•</w:t>
      </w:r>
      <w:r>
        <w:rPr>
          <w:rFonts w:hint="eastAsia" w:ascii="宋体" w:hAnsi="宋体" w:cs="宋体"/>
          <w:color w:val="auto"/>
          <w:szCs w:val="21"/>
          <w:highlight w:val="none"/>
          <w:u w:val="single"/>
          <w:lang w:val="en-US" w:eastAsia="zh-CN"/>
        </w:rPr>
        <w:t>次（人民币）；专业工程师1000 元/人</w:t>
      </w:r>
      <w:r>
        <w:rPr>
          <w:rFonts w:hint="default" w:ascii="宋体" w:hAnsi="宋体" w:cs="宋体"/>
          <w:color w:val="auto"/>
          <w:szCs w:val="21"/>
          <w:highlight w:val="none"/>
          <w:u w:val="single"/>
          <w:lang w:val="en-US" w:eastAsia="zh-CN"/>
        </w:rPr>
        <w:t>•</w:t>
      </w:r>
      <w:r>
        <w:rPr>
          <w:rFonts w:hint="eastAsia" w:ascii="宋体" w:hAnsi="宋体" w:cs="宋体"/>
          <w:color w:val="auto"/>
          <w:szCs w:val="21"/>
          <w:highlight w:val="none"/>
          <w:u w:val="single"/>
          <w:lang w:val="en-US" w:eastAsia="zh-CN"/>
        </w:rPr>
        <w:t>次（人民币）。</w:t>
      </w:r>
    </w:p>
    <w:p w14:paraId="30E4E1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3.3.4 承包人主要施工管理人员离开施工现场的批准要求：</w:t>
      </w:r>
      <w:r>
        <w:rPr>
          <w:rFonts w:hint="eastAsia" w:ascii="宋体" w:hAnsi="宋体" w:cs="宋体"/>
          <w:color w:val="auto"/>
          <w:szCs w:val="21"/>
          <w:highlight w:val="none"/>
          <w:u w:val="single"/>
        </w:rPr>
        <w:t>由总监理工程师批准，发包人认可后方可离开</w:t>
      </w:r>
      <w:r>
        <w:rPr>
          <w:rFonts w:hint="eastAsia" w:ascii="宋体" w:hAnsi="宋体" w:cs="宋体"/>
          <w:color w:val="auto"/>
          <w:szCs w:val="21"/>
          <w:highlight w:val="none"/>
        </w:rPr>
        <w:t>。</w:t>
      </w:r>
    </w:p>
    <w:p w14:paraId="030ECE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3.3.5承包人擅自更换主要施工管理人员的违约责任：</w:t>
      </w:r>
    </w:p>
    <w:p w14:paraId="7FD58D7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lang w:val="en-US" w:eastAsia="zh-CN"/>
        </w:rPr>
        <w:t>承包人擅自更换主要施工管理人员的违约责任：</w:t>
      </w:r>
      <w:r>
        <w:rPr>
          <w:rFonts w:ascii="宋体" w:hAnsi="宋体" w:cs="宋体"/>
          <w:color w:val="auto"/>
          <w:szCs w:val="21"/>
          <w:highlight w:val="none"/>
          <w:u w:val="single"/>
          <w:lang w:val="en-US" w:eastAsia="zh-CN"/>
        </w:rPr>
        <w:t>项目技术负责人、专职安全生产管理人员及其承诺的</w:t>
      </w:r>
      <w:r>
        <w:rPr>
          <w:rFonts w:hint="eastAsia" w:ascii="宋体" w:hAnsi="宋体" w:cs="宋体"/>
          <w:color w:val="auto"/>
          <w:szCs w:val="21"/>
          <w:highlight w:val="none"/>
          <w:u w:val="single"/>
          <w:lang w:val="en-US" w:eastAsia="zh-CN"/>
        </w:rPr>
        <w:t>其它在场管理人员未经发包人书面同意不准擅自更换，擅自更换项目技术负责人处2000元/人</w:t>
      </w:r>
      <w:r>
        <w:rPr>
          <w:rFonts w:ascii="宋体" w:hAnsi="宋体" w:cs="宋体"/>
          <w:color w:val="auto"/>
          <w:szCs w:val="21"/>
          <w:highlight w:val="none"/>
          <w:u w:val="single"/>
          <w:lang w:val="en-US" w:eastAsia="zh-CN"/>
        </w:rPr>
        <w:t>•</w:t>
      </w:r>
      <w:r>
        <w:rPr>
          <w:rFonts w:hint="eastAsia" w:ascii="宋体" w:hAnsi="宋体" w:cs="宋体"/>
          <w:color w:val="auto"/>
          <w:szCs w:val="21"/>
          <w:highlight w:val="none"/>
          <w:u w:val="single"/>
          <w:lang w:val="en-US" w:eastAsia="zh-CN"/>
        </w:rPr>
        <w:t>次（人民币）违约金；擅自更换专职安全生产管理人员处2000元/人</w:t>
      </w:r>
      <w:r>
        <w:rPr>
          <w:rFonts w:hint="default" w:ascii="宋体" w:hAnsi="宋体" w:cs="宋体"/>
          <w:color w:val="auto"/>
          <w:szCs w:val="21"/>
          <w:highlight w:val="none"/>
          <w:u w:val="single"/>
          <w:lang w:val="en-US" w:eastAsia="zh-CN"/>
        </w:rPr>
        <w:t>•</w:t>
      </w:r>
      <w:r>
        <w:rPr>
          <w:rFonts w:hint="eastAsia" w:ascii="宋体" w:hAnsi="宋体" w:cs="宋体"/>
          <w:color w:val="auto"/>
          <w:szCs w:val="21"/>
          <w:highlight w:val="none"/>
          <w:u w:val="single"/>
          <w:lang w:val="en-US" w:eastAsia="zh-CN"/>
        </w:rPr>
        <w:t>次（人民币）违约金；擅自更换其它在场管理人员处1000元/人</w:t>
      </w:r>
      <w:r>
        <w:rPr>
          <w:rFonts w:hint="default" w:ascii="宋体" w:hAnsi="宋体" w:cs="宋体"/>
          <w:color w:val="auto"/>
          <w:szCs w:val="21"/>
          <w:highlight w:val="none"/>
          <w:u w:val="single"/>
          <w:lang w:val="en-US" w:eastAsia="zh-CN"/>
        </w:rPr>
        <w:t>•</w:t>
      </w:r>
      <w:r>
        <w:rPr>
          <w:rFonts w:hint="eastAsia" w:ascii="宋体" w:hAnsi="宋体" w:cs="宋体"/>
          <w:color w:val="auto"/>
          <w:szCs w:val="21"/>
          <w:highlight w:val="none"/>
          <w:u w:val="single"/>
          <w:lang w:val="en-US" w:eastAsia="zh-CN"/>
        </w:rPr>
        <w:t>次（人民币）违约金。</w:t>
      </w:r>
    </w:p>
    <w:p w14:paraId="74D4BF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承包人主要施工管理人员擅自离开施工现场的违约责任：</w:t>
      </w:r>
      <w:r>
        <w:rPr>
          <w:rFonts w:hint="eastAsia" w:ascii="宋体" w:hAnsi="宋体" w:cs="宋体"/>
          <w:color w:val="auto"/>
          <w:szCs w:val="21"/>
          <w:highlight w:val="none"/>
          <w:u w:val="single"/>
          <w:lang w:val="en-US" w:eastAsia="zh-CN"/>
        </w:rPr>
        <w:t>未经发包人同意，项目技术负责人擅自离岗的，视为承包人违约，发包人有权处违约金1000元/人</w:t>
      </w:r>
      <w:r>
        <w:rPr>
          <w:rFonts w:hint="default" w:ascii="宋体" w:hAnsi="宋体" w:cs="宋体"/>
          <w:color w:val="auto"/>
          <w:szCs w:val="21"/>
          <w:highlight w:val="none"/>
          <w:u w:val="single"/>
          <w:lang w:val="en-US" w:eastAsia="zh-CN"/>
        </w:rPr>
        <w:t>•</w:t>
      </w:r>
      <w:r>
        <w:rPr>
          <w:rFonts w:hint="eastAsia" w:ascii="宋体" w:hAnsi="宋体" w:cs="宋体"/>
          <w:color w:val="auto"/>
          <w:szCs w:val="21"/>
          <w:highlight w:val="none"/>
          <w:u w:val="single"/>
          <w:lang w:val="en-US" w:eastAsia="zh-CN"/>
        </w:rPr>
        <w:t>次（人民币）；未经发包人同意，专职安全生产管理人员擅自离岗的，视为承包人违约，发包人有权处违约金 1000 元/人</w:t>
      </w:r>
      <w:r>
        <w:rPr>
          <w:rFonts w:hint="default" w:ascii="宋体" w:hAnsi="宋体" w:cs="宋体"/>
          <w:color w:val="auto"/>
          <w:szCs w:val="21"/>
          <w:highlight w:val="none"/>
          <w:u w:val="single"/>
          <w:lang w:val="en-US" w:eastAsia="zh-CN"/>
        </w:rPr>
        <w:t>•</w:t>
      </w:r>
      <w:r>
        <w:rPr>
          <w:rFonts w:hint="eastAsia" w:ascii="宋体" w:hAnsi="宋体" w:cs="宋体"/>
          <w:color w:val="auto"/>
          <w:szCs w:val="21"/>
          <w:highlight w:val="none"/>
          <w:u w:val="single"/>
          <w:lang w:val="en-US" w:eastAsia="zh-CN"/>
        </w:rPr>
        <w:t>次（人民币）；其它在场管理人员擅自离岗的，视为承包人违约，发包人有权处违约金500元/人</w:t>
      </w:r>
      <w:r>
        <w:rPr>
          <w:rFonts w:hint="default" w:ascii="宋体" w:hAnsi="宋体" w:cs="宋体"/>
          <w:color w:val="auto"/>
          <w:szCs w:val="21"/>
          <w:highlight w:val="none"/>
          <w:u w:val="single"/>
          <w:lang w:val="en-US" w:eastAsia="zh-CN"/>
        </w:rPr>
        <w:t>•</w:t>
      </w:r>
      <w:r>
        <w:rPr>
          <w:rFonts w:hint="eastAsia" w:ascii="宋体" w:hAnsi="宋体" w:cs="宋体"/>
          <w:color w:val="auto"/>
          <w:szCs w:val="21"/>
          <w:highlight w:val="none"/>
          <w:u w:val="single"/>
          <w:lang w:val="en-US" w:eastAsia="zh-CN"/>
        </w:rPr>
        <w:t>次（人民币）。</w:t>
      </w:r>
    </w:p>
    <w:p w14:paraId="6C5FEB91">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w:t>
      </w:r>
      <w:bookmarkStart w:id="155" w:name="_Toc303539102"/>
      <w:bookmarkStart w:id="156" w:name="_Toc300934945"/>
      <w:bookmarkStart w:id="157" w:name="_Toc296346660"/>
      <w:bookmarkStart w:id="158" w:name="_Toc292559364"/>
      <w:bookmarkStart w:id="159" w:name="_Toc296944498"/>
      <w:bookmarkStart w:id="160" w:name="_Toc296503159"/>
      <w:bookmarkStart w:id="161" w:name="_Toc296891199"/>
      <w:bookmarkStart w:id="162" w:name="_Toc297123492"/>
      <w:bookmarkStart w:id="163" w:name="_Toc297120459"/>
      <w:bookmarkStart w:id="164" w:name="_Toc297048345"/>
      <w:bookmarkStart w:id="165" w:name="_Toc292559869"/>
      <w:bookmarkStart w:id="166" w:name="_Toc296890987"/>
      <w:bookmarkStart w:id="167" w:name="_Toc296347158"/>
      <w:bookmarkStart w:id="168" w:name="_Toc304295523"/>
      <w:bookmarkStart w:id="169" w:name="_Toc297216151"/>
      <w:bookmarkStart w:id="170" w:name="_Toc312677988"/>
      <w:r>
        <w:rPr>
          <w:rFonts w:hint="eastAsia" w:ascii="宋体" w:hAnsi="宋体" w:cs="宋体"/>
          <w:b/>
          <w:color w:val="auto"/>
          <w:szCs w:val="21"/>
          <w:highlight w:val="none"/>
        </w:rPr>
        <w:t>.5 分包</w:t>
      </w:r>
    </w:p>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14:paraId="3F0FA1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3.5.1 分包的一般约定</w:t>
      </w:r>
    </w:p>
    <w:p w14:paraId="21106E65">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禁止分包的工程包括：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主体结构、关键性工作  </w:t>
      </w:r>
      <w:r>
        <w:rPr>
          <w:rFonts w:hint="eastAsia" w:ascii="宋体" w:hAnsi="宋体" w:cs="宋体"/>
          <w:color w:val="auto"/>
          <w:szCs w:val="21"/>
          <w:highlight w:val="none"/>
        </w:rPr>
        <w:t>。</w:t>
      </w:r>
    </w:p>
    <w:p w14:paraId="14B916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主体结构、关键性工作的范围：</w:t>
      </w:r>
      <w:r>
        <w:rPr>
          <w:rFonts w:hint="eastAsia"/>
          <w:color w:val="auto"/>
          <w:highlight w:val="none"/>
          <w:u w:val="single"/>
        </w:rPr>
        <w:t>以国家规范约定为准</w:t>
      </w:r>
      <w:r>
        <w:rPr>
          <w:rFonts w:hint="eastAsia"/>
          <w:color w:val="auto"/>
          <w:highlight w:val="none"/>
        </w:rPr>
        <w:t>。</w:t>
      </w:r>
    </w:p>
    <w:p w14:paraId="04C1DA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3.5.2分包的确定</w:t>
      </w:r>
    </w:p>
    <w:p w14:paraId="72F7715F">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允许分包的专业工程包括：</w:t>
      </w:r>
      <w:r>
        <w:rPr>
          <w:rFonts w:hint="eastAsia" w:ascii="宋体" w:hAnsi="宋体" w:cs="宋体"/>
          <w:color w:val="auto"/>
          <w:szCs w:val="21"/>
          <w:highlight w:val="none"/>
          <w:u w:val="single"/>
        </w:rPr>
        <w:t xml:space="preserve">  双方另行协商    </w:t>
      </w:r>
      <w:r>
        <w:rPr>
          <w:rFonts w:hint="eastAsia" w:ascii="宋体" w:hAnsi="宋体" w:cs="宋体"/>
          <w:color w:val="auto"/>
          <w:szCs w:val="21"/>
          <w:highlight w:val="none"/>
        </w:rPr>
        <w:t>。</w:t>
      </w:r>
    </w:p>
    <w:p w14:paraId="3F92CB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3.5.3其他关于分包的约定：</w:t>
      </w:r>
    </w:p>
    <w:p w14:paraId="293174DD">
      <w:pPr>
        <w:pStyle w:val="29"/>
        <w:spacing w:line="360" w:lineRule="auto"/>
        <w:ind w:firstLine="441" w:firstLineChars="210"/>
        <w:rPr>
          <w:rFonts w:hAnsi="宋体" w:cs="宋体"/>
          <w:color w:val="auto"/>
          <w:szCs w:val="21"/>
          <w:highlight w:val="none"/>
        </w:rPr>
      </w:pPr>
      <w:r>
        <w:rPr>
          <w:rFonts w:hAnsi="宋体" w:cs="宋体"/>
          <w:color w:val="auto"/>
          <w:szCs w:val="21"/>
          <w:highlight w:val="none"/>
          <w:lang w:val="en-US" w:eastAsia="zh-CN"/>
        </w:rPr>
        <w:t>（1）除前款约定的分包内容外，经过发包人和监理人同意，承包人可以将其他非主体、非关键性工作</w:t>
      </w:r>
      <w:r>
        <w:rPr>
          <w:rFonts w:hint="eastAsia" w:hAnsi="宋体" w:cs="宋体"/>
          <w:color w:val="auto"/>
          <w:szCs w:val="21"/>
          <w:highlight w:val="none"/>
          <w:lang w:val="en-US" w:eastAsia="zh-CN"/>
        </w:rPr>
        <w:t>分包给第三人，但分包人应当经过发包人和监理人审批。发包人和监理人有权拒绝承包人的分包请求和承包人选择的分包人。本项目分包人主要施工管理人员名单详见合同附件6。</w:t>
      </w:r>
    </w:p>
    <w:p w14:paraId="01B6C385">
      <w:pPr>
        <w:pStyle w:val="29"/>
        <w:spacing w:line="360" w:lineRule="auto"/>
        <w:ind w:firstLine="441" w:firstLineChars="210"/>
        <w:rPr>
          <w:rFonts w:hAnsi="宋体" w:cs="宋体"/>
          <w:color w:val="auto"/>
          <w:szCs w:val="21"/>
          <w:highlight w:val="none"/>
        </w:rPr>
      </w:pPr>
      <w:r>
        <w:rPr>
          <w:rFonts w:hint="eastAsia" w:hAnsi="宋体" w:cs="宋体"/>
          <w:color w:val="auto"/>
          <w:szCs w:val="21"/>
          <w:highlight w:val="none"/>
          <w:lang w:val="en-US" w:eastAsia="zh-CN"/>
        </w:rPr>
        <w:t>（2）在相关分包合同签订并报送有关建设行政主管部门备案后7天内，承包人应当将一份副本提交给监理人，承包人应保障分包工作不得再次分包。</w:t>
      </w:r>
    </w:p>
    <w:p w14:paraId="3B71E817">
      <w:pPr>
        <w:pStyle w:val="29"/>
        <w:spacing w:line="360" w:lineRule="auto"/>
        <w:ind w:firstLine="441" w:firstLineChars="210"/>
        <w:rPr>
          <w:rFonts w:hAnsi="宋体" w:cs="宋体"/>
          <w:color w:val="auto"/>
          <w:szCs w:val="21"/>
          <w:highlight w:val="none"/>
        </w:rPr>
      </w:pPr>
      <w:r>
        <w:rPr>
          <w:rFonts w:hint="eastAsia" w:hAnsi="宋体" w:cs="宋体"/>
          <w:color w:val="auto"/>
          <w:szCs w:val="21"/>
          <w:highlight w:val="none"/>
          <w:lang w:val="en-US" w:eastAsia="zh-CN"/>
        </w:rPr>
        <w:t>（3）未经承包人和监理人审批同意的分包工程和分包人，承包人有权拒绝验收分包工程和支付相应款项，由此引起的发包人费用增加和(或)延误的工期由发包人承担。</w:t>
      </w:r>
    </w:p>
    <w:p w14:paraId="722F0813">
      <w:pPr>
        <w:pStyle w:val="29"/>
        <w:spacing w:line="360" w:lineRule="auto"/>
        <w:ind w:firstLine="441" w:firstLineChars="210"/>
        <w:rPr>
          <w:rFonts w:hAnsi="宋体" w:cs="宋体"/>
          <w:color w:val="auto"/>
          <w:szCs w:val="21"/>
          <w:highlight w:val="none"/>
        </w:rPr>
      </w:pPr>
      <w:r>
        <w:rPr>
          <w:rFonts w:hint="eastAsia" w:hAnsi="宋体" w:cs="宋体"/>
          <w:color w:val="auto"/>
          <w:szCs w:val="21"/>
          <w:highlight w:val="none"/>
          <w:lang w:val="en-US" w:eastAsia="zh-CN"/>
        </w:rPr>
        <w:t>（4）承包人有以下情况之一者，发包人有权解除合同，并视情况扣除其履约保证金：</w:t>
      </w:r>
    </w:p>
    <w:p w14:paraId="47A3832D">
      <w:pPr>
        <w:pStyle w:val="29"/>
        <w:spacing w:line="360" w:lineRule="auto"/>
        <w:ind w:firstLine="441" w:firstLineChars="210"/>
        <w:rPr>
          <w:rFonts w:hAnsi="宋体" w:cs="宋体"/>
          <w:color w:val="auto"/>
          <w:szCs w:val="21"/>
          <w:highlight w:val="none"/>
        </w:rPr>
      </w:pPr>
      <w:r>
        <w:rPr>
          <w:rFonts w:hint="eastAsia" w:hAnsi="宋体" w:cs="宋体"/>
          <w:color w:val="auto"/>
          <w:szCs w:val="21"/>
          <w:highlight w:val="none"/>
          <w:lang w:val="en-US" w:eastAsia="zh-CN"/>
        </w:rPr>
        <w:t>①个人承包工程，包括本人单位及外单位人员承包，发包人不承认其个人拥有任何资质等级及营业许可资格。没收全部履约保证金。</w:t>
      </w:r>
    </w:p>
    <w:p w14:paraId="3FABA7F8">
      <w:pPr>
        <w:pStyle w:val="29"/>
        <w:spacing w:line="360" w:lineRule="auto"/>
        <w:ind w:firstLine="441" w:firstLineChars="210"/>
        <w:rPr>
          <w:rFonts w:hAnsi="宋体" w:cs="宋体"/>
          <w:color w:val="auto"/>
          <w:szCs w:val="21"/>
          <w:highlight w:val="none"/>
        </w:rPr>
      </w:pPr>
      <w:r>
        <w:rPr>
          <w:rFonts w:hint="eastAsia" w:hAnsi="宋体" w:cs="宋体"/>
          <w:color w:val="auto"/>
          <w:szCs w:val="21"/>
          <w:highlight w:val="none"/>
          <w:lang w:val="en-US" w:eastAsia="zh-CN"/>
        </w:rPr>
        <w:t>②几个人联合承包工程，就地组织暗分包队伍，不具备完成本工程的技术、机械能力，被发包人判定为没有能力履行的承包人。没收全部履约保证金。</w:t>
      </w:r>
    </w:p>
    <w:p w14:paraId="4BCFADC1">
      <w:pPr>
        <w:pStyle w:val="29"/>
        <w:spacing w:line="360" w:lineRule="auto"/>
        <w:ind w:firstLine="441" w:firstLineChars="210"/>
        <w:rPr>
          <w:rFonts w:hAnsi="宋体" w:cs="宋体"/>
          <w:color w:val="auto"/>
          <w:szCs w:val="21"/>
          <w:highlight w:val="none"/>
        </w:rPr>
      </w:pPr>
      <w:r>
        <w:rPr>
          <w:rFonts w:hint="eastAsia" w:hAnsi="宋体" w:cs="宋体"/>
          <w:color w:val="auto"/>
          <w:szCs w:val="21"/>
          <w:highlight w:val="none"/>
          <w:lang w:val="en-US" w:eastAsia="zh-CN"/>
        </w:rPr>
        <w:t>③就地转包全部的工程，以谋取高额转让费、管理费的承包人。没收全部履约保证金。</w:t>
      </w:r>
    </w:p>
    <w:p w14:paraId="761432FF">
      <w:pPr>
        <w:pStyle w:val="29"/>
        <w:spacing w:line="360" w:lineRule="auto"/>
        <w:ind w:firstLine="441" w:firstLineChars="210"/>
        <w:rPr>
          <w:rFonts w:hAnsi="宋体" w:cs="宋体"/>
          <w:color w:val="auto"/>
          <w:szCs w:val="21"/>
          <w:highlight w:val="none"/>
        </w:rPr>
      </w:pPr>
      <w:r>
        <w:rPr>
          <w:rFonts w:hint="eastAsia" w:hAnsi="宋体" w:cs="宋体"/>
          <w:color w:val="auto"/>
          <w:szCs w:val="21"/>
          <w:highlight w:val="none"/>
          <w:lang w:val="en-US" w:eastAsia="zh-CN"/>
        </w:rPr>
        <w:t>④承包人有部分分包现象（其中包括冒充承包人下属单位的挂勾单位，凭口头协议参与施工的分包人及其他暗分包个体户），一经发现核实，发包人将采取驱逐该暗分包人措施。没收全部履约保证金。</w:t>
      </w:r>
    </w:p>
    <w:p w14:paraId="2C01CDA3">
      <w:pPr>
        <w:spacing w:line="360" w:lineRule="auto"/>
        <w:ind w:firstLine="420" w:firstLineChars="200"/>
        <w:rPr>
          <w:rFonts w:ascii="宋体" w:hAnsi="宋体" w:cs="宋体"/>
          <w:color w:val="auto"/>
          <w:szCs w:val="21"/>
          <w:highlight w:val="none"/>
        </w:rPr>
      </w:pPr>
      <w:bookmarkStart w:id="171" w:name="_Toc318581159"/>
      <w:bookmarkStart w:id="172" w:name="_Toc312677990"/>
      <w:r>
        <w:rPr>
          <w:rFonts w:hint="eastAsia" w:ascii="宋体" w:hAnsi="宋体" w:cs="宋体"/>
          <w:color w:val="auto"/>
          <w:szCs w:val="21"/>
          <w:highlight w:val="none"/>
        </w:rPr>
        <w:t>3.5.4 分包合同价款</w:t>
      </w:r>
    </w:p>
    <w:p w14:paraId="0E0EFD5F">
      <w:pPr>
        <w:spacing w:line="360" w:lineRule="auto"/>
        <w:ind w:firstLine="420" w:firstLineChars="200"/>
        <w:rPr>
          <w:rFonts w:ascii="宋体" w:hAnsi="宋体" w:cs="宋体"/>
          <w:color w:val="auto"/>
          <w:szCs w:val="21"/>
          <w:highlight w:val="none"/>
          <w:shd w:val="pct10" w:color="auto" w:fill="FFFFFF"/>
        </w:rPr>
      </w:pPr>
      <w:r>
        <w:rPr>
          <w:rFonts w:hint="eastAsia" w:ascii="宋体" w:hAnsi="宋体" w:cs="宋体"/>
          <w:color w:val="auto"/>
          <w:szCs w:val="21"/>
          <w:highlight w:val="none"/>
        </w:rPr>
        <w:t>关于分包合同价款支付的约定：</w:t>
      </w:r>
      <w:r>
        <w:rPr>
          <w:rFonts w:hint="eastAsia" w:ascii="宋体" w:hAnsi="宋体" w:cs="宋体"/>
          <w:color w:val="auto"/>
          <w:szCs w:val="21"/>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bookmarkEnd w:id="171"/>
    <w:bookmarkEnd w:id="172"/>
    <w:p w14:paraId="37AE60EE">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3.6 工程照管与成品、半成品保护</w:t>
      </w:r>
    </w:p>
    <w:p w14:paraId="79116063">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承包人负责照管工程及工程相关的材料、工程设备的起始时间：</w:t>
      </w:r>
      <w:r>
        <w:rPr>
          <w:rFonts w:hint="eastAsia" w:ascii="宋体" w:hAnsi="宋体" w:cs="宋体"/>
          <w:color w:val="auto"/>
          <w:kern w:val="0"/>
          <w:szCs w:val="21"/>
          <w:highlight w:val="none"/>
          <w:u w:val="single"/>
        </w:rPr>
        <w:t>开工之日起，竣工验收、业主接收手续办齐后。</w:t>
      </w:r>
    </w:p>
    <w:p w14:paraId="4968E71B">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3.7 履约担保</w:t>
      </w:r>
    </w:p>
    <w:p w14:paraId="78E66E7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承包人是否</w:t>
      </w:r>
      <w:r>
        <w:rPr>
          <w:rFonts w:hint="eastAsia" w:ascii="宋体" w:hAnsi="宋体" w:cs="宋体"/>
          <w:color w:val="auto"/>
          <w:szCs w:val="21"/>
          <w:highlight w:val="none"/>
        </w:rPr>
        <w:t>提供履约担保：</w:t>
      </w:r>
      <w:r>
        <w:rPr>
          <w:rFonts w:hint="eastAsia" w:ascii="宋体" w:hAnsi="宋体" w:cs="宋体"/>
          <w:color w:val="auto"/>
          <w:szCs w:val="21"/>
          <w:highlight w:val="none"/>
          <w:lang w:val="en-US" w:eastAsia="zh-CN"/>
        </w:rPr>
        <w:t>否</w:t>
      </w:r>
      <w:r>
        <w:rPr>
          <w:rFonts w:hint="eastAsia" w:ascii="宋体" w:hAnsi="宋体" w:cs="宋体"/>
          <w:color w:val="auto"/>
          <w:szCs w:val="21"/>
          <w:highlight w:val="none"/>
        </w:rPr>
        <w:t>。</w:t>
      </w:r>
    </w:p>
    <w:p w14:paraId="0943BE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承包人提供履约担保的形式、金额及期限的：</w:t>
      </w:r>
      <w:r>
        <w:rPr>
          <w:rFonts w:hint="eastAsia" w:ascii="宋体" w:hAnsi="宋体" w:cs="宋体"/>
          <w:color w:val="auto"/>
          <w:szCs w:val="21"/>
          <w:highlight w:val="none"/>
          <w:u w:val="single"/>
          <w:lang w:val="en-US" w:eastAsia="zh-CN"/>
        </w:rPr>
        <w:t xml:space="preserve">              </w:t>
      </w:r>
    </w:p>
    <w:p w14:paraId="2A2AE286">
      <w:pPr>
        <w:keepNext w:val="0"/>
        <w:keepLines w:val="0"/>
        <w:pageBreakBefore w:val="0"/>
        <w:widowControl w:val="0"/>
        <w:kinsoku/>
        <w:wordWrap/>
        <w:overflowPunct/>
        <w:topLinePunct w:val="0"/>
        <w:autoSpaceDE/>
        <w:autoSpaceDN/>
        <w:bidi w:val="0"/>
        <w:adjustRightInd/>
        <w:snapToGrid/>
        <w:spacing w:before="120" w:after="120"/>
        <w:ind w:firstLine="422" w:firstLineChars="200"/>
        <w:textAlignment w:val="auto"/>
        <w:outlineLvl w:val="9"/>
        <w:rPr>
          <w:rFonts w:ascii="宋体" w:hAnsi="宋体" w:cs="宋体"/>
          <w:b/>
          <w:bCs/>
          <w:color w:val="auto"/>
          <w:szCs w:val="21"/>
          <w:highlight w:val="none"/>
        </w:rPr>
      </w:pPr>
      <w:bookmarkStart w:id="173" w:name="_Toc351203636"/>
      <w:r>
        <w:rPr>
          <w:rFonts w:hint="eastAsia" w:ascii="宋体" w:hAnsi="宋体" w:cs="宋体"/>
          <w:b/>
          <w:bCs/>
          <w:color w:val="auto"/>
          <w:szCs w:val="21"/>
          <w:highlight w:val="none"/>
        </w:rPr>
        <w:t>4</w:t>
      </w:r>
      <w:bookmarkStart w:id="174" w:name="_Toc296503162"/>
      <w:bookmarkStart w:id="175" w:name="_Toc296347161"/>
      <w:bookmarkStart w:id="176" w:name="_Toc267251413"/>
      <w:bookmarkStart w:id="177" w:name="_Toc296944501"/>
      <w:bookmarkStart w:id="178" w:name="_Toc292559366"/>
      <w:bookmarkStart w:id="179" w:name="_Toc296891202"/>
      <w:bookmarkStart w:id="180" w:name="_Toc297048348"/>
      <w:bookmarkStart w:id="181" w:name="_Toc296346663"/>
      <w:bookmarkStart w:id="182" w:name="_Toc296890990"/>
      <w:bookmarkStart w:id="183" w:name="_Toc297120462"/>
      <w:bookmarkStart w:id="184" w:name="_Toc292559871"/>
      <w:r>
        <w:rPr>
          <w:rFonts w:hint="eastAsia" w:ascii="宋体" w:hAnsi="宋体" w:cs="宋体"/>
          <w:b/>
          <w:bCs/>
          <w:color w:val="auto"/>
          <w:szCs w:val="21"/>
          <w:highlight w:val="none"/>
        </w:rPr>
        <w:t>.监</w:t>
      </w:r>
      <w:bookmarkEnd w:id="174"/>
      <w:bookmarkEnd w:id="175"/>
      <w:bookmarkEnd w:id="176"/>
      <w:bookmarkEnd w:id="177"/>
      <w:bookmarkEnd w:id="178"/>
      <w:bookmarkEnd w:id="179"/>
      <w:bookmarkEnd w:id="180"/>
      <w:bookmarkEnd w:id="181"/>
      <w:bookmarkEnd w:id="182"/>
      <w:bookmarkEnd w:id="183"/>
      <w:bookmarkEnd w:id="184"/>
      <w:r>
        <w:rPr>
          <w:rFonts w:hint="eastAsia" w:ascii="宋体" w:hAnsi="宋体" w:cs="宋体"/>
          <w:b/>
          <w:bCs/>
          <w:color w:val="auto"/>
          <w:szCs w:val="21"/>
          <w:highlight w:val="none"/>
        </w:rPr>
        <w:t>理人</w:t>
      </w:r>
      <w:bookmarkEnd w:id="173"/>
    </w:p>
    <w:p w14:paraId="0E471E01">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4.1监理人的一般规定</w:t>
      </w:r>
    </w:p>
    <w:p w14:paraId="75BB34C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关于监理人的监理内容：</w:t>
      </w:r>
      <w:r>
        <w:rPr>
          <w:rFonts w:hint="eastAsia" w:ascii="宋体" w:hAnsi="宋体" w:cs="宋体"/>
          <w:color w:val="auto"/>
          <w:szCs w:val="21"/>
          <w:highlight w:val="none"/>
          <w:u w:val="single"/>
        </w:rPr>
        <w:t xml:space="preserve">  按本工程的监理合同中的有关条款</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1F57A8D1">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关于监理人的监理权限：</w:t>
      </w:r>
      <w:r>
        <w:rPr>
          <w:rFonts w:hint="eastAsia" w:ascii="宋体" w:hAnsi="宋体" w:cs="宋体"/>
          <w:color w:val="auto"/>
          <w:szCs w:val="21"/>
          <w:highlight w:val="none"/>
          <w:u w:val="single"/>
        </w:rPr>
        <w:t xml:space="preserve"> 按本工程的监理合同中的有关条款</w:t>
      </w:r>
      <w:r>
        <w:rPr>
          <w:rFonts w:hint="eastAsia" w:ascii="宋体" w:hAnsi="宋体" w:cs="宋体"/>
          <w:color w:val="auto"/>
          <w:szCs w:val="21"/>
          <w:highlight w:val="none"/>
          <w:u w:val="single"/>
          <w:lang w:val="en-US" w:eastAsia="zh-CN"/>
        </w:rPr>
        <w:t xml:space="preserve">  </w:t>
      </w:r>
    </w:p>
    <w:p w14:paraId="156BB0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关于监理人在施工现场的办公场所、生活场所的提供和费用承担的约定：</w:t>
      </w:r>
      <w:r>
        <w:rPr>
          <w:rFonts w:hint="eastAsia" w:ascii="宋体" w:hAnsi="宋体" w:cs="宋体"/>
          <w:color w:val="auto"/>
          <w:szCs w:val="21"/>
          <w:highlight w:val="none"/>
          <w:u w:val="single"/>
        </w:rPr>
        <w:t>由监理单位自行解决监理人在施工现场的办公场所、生活场所，费用由监理单位承担</w:t>
      </w:r>
      <w:r>
        <w:rPr>
          <w:rFonts w:hint="eastAsia" w:ascii="宋体" w:hAnsi="宋体" w:cs="宋体"/>
          <w:color w:val="auto"/>
          <w:szCs w:val="21"/>
          <w:highlight w:val="none"/>
        </w:rPr>
        <w:t>。</w:t>
      </w:r>
    </w:p>
    <w:p w14:paraId="176196E5">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4.2 监理人员</w:t>
      </w:r>
    </w:p>
    <w:p w14:paraId="2587AE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总监理工程师：</w:t>
      </w:r>
    </w:p>
    <w:p w14:paraId="7C2263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92AE5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0F3F2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监理工程师执业资格证书号：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06AA4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8F3CD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6E655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0E802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详见监理合同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7E768C8">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4.4商定或确定</w:t>
      </w:r>
    </w:p>
    <w:p w14:paraId="08965F4E">
      <w:pPr>
        <w:spacing w:line="360" w:lineRule="auto"/>
        <w:ind w:firstLine="420" w:firstLineChars="200"/>
        <w:rPr>
          <w:rFonts w:ascii="宋体" w:hAnsi="宋体" w:cs="宋体"/>
          <w:color w:val="auto"/>
          <w:szCs w:val="21"/>
          <w:highlight w:val="none"/>
        </w:rPr>
      </w:pPr>
      <w:bookmarkStart w:id="185" w:name="_Toc267251418"/>
      <w:r>
        <w:rPr>
          <w:rFonts w:hint="eastAsia" w:ascii="宋体" w:hAnsi="宋体" w:cs="宋体"/>
          <w:color w:val="auto"/>
          <w:szCs w:val="21"/>
          <w:highlight w:val="none"/>
        </w:rPr>
        <w:t>在发包人和承包人不能通过协商达成一致意见时，发包人授权监理人对以下事项进行确定：</w:t>
      </w:r>
      <w:r>
        <w:rPr>
          <w:rFonts w:hint="eastAsia" w:ascii="宋体" w:hAnsi="宋体" w:cs="宋体"/>
          <w:color w:val="auto"/>
          <w:szCs w:val="21"/>
          <w:highlight w:val="none"/>
          <w:u w:val="single"/>
        </w:rPr>
        <w:t>按本工程的监理合同相关条款执行。</w:t>
      </w:r>
    </w:p>
    <w:p w14:paraId="008C1817">
      <w:pPr>
        <w:spacing w:before="120" w:after="120"/>
        <w:ind w:firstLine="422" w:firstLineChars="200"/>
        <w:outlineLvl w:val="9"/>
        <w:rPr>
          <w:rFonts w:ascii="宋体" w:hAnsi="宋体" w:cs="宋体"/>
          <w:b/>
          <w:bCs/>
          <w:color w:val="auto"/>
          <w:szCs w:val="21"/>
          <w:highlight w:val="none"/>
        </w:rPr>
      </w:pPr>
      <w:bookmarkStart w:id="186" w:name="_Toc351203637"/>
      <w:r>
        <w:rPr>
          <w:rFonts w:hint="eastAsia" w:ascii="宋体" w:hAnsi="宋体" w:cs="宋体"/>
          <w:b/>
          <w:bCs/>
          <w:color w:val="auto"/>
          <w:szCs w:val="21"/>
          <w:highlight w:val="none"/>
        </w:rPr>
        <w:t>5</w:t>
      </w:r>
      <w:bookmarkEnd w:id="185"/>
      <w:bookmarkStart w:id="187" w:name="_Toc292559367"/>
      <w:bookmarkStart w:id="188" w:name="_Toc296944502"/>
      <w:bookmarkStart w:id="189" w:name="_Toc296891203"/>
      <w:bookmarkStart w:id="190" w:name="_Toc296346664"/>
      <w:bookmarkStart w:id="191" w:name="_Toc296347162"/>
      <w:bookmarkStart w:id="192" w:name="_Toc296503163"/>
      <w:bookmarkStart w:id="193" w:name="_Toc296890991"/>
      <w:bookmarkStart w:id="194" w:name="_Toc292559872"/>
      <w:bookmarkStart w:id="195" w:name="_Toc297048349"/>
      <w:bookmarkStart w:id="196" w:name="_Toc297120463"/>
      <w:r>
        <w:rPr>
          <w:rFonts w:hint="eastAsia" w:ascii="宋体" w:hAnsi="宋体" w:cs="宋体"/>
          <w:b/>
          <w:bCs/>
          <w:color w:val="auto"/>
          <w:szCs w:val="21"/>
          <w:highlight w:val="none"/>
        </w:rPr>
        <w:t>.工程质量</w:t>
      </w:r>
      <w:bookmarkEnd w:id="186"/>
    </w:p>
    <w:p w14:paraId="6BFB2881">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5.1 质量要求</w:t>
      </w:r>
    </w:p>
    <w:p w14:paraId="7999D1C3">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5</w:t>
      </w:r>
      <w:bookmarkStart w:id="197" w:name="_Toc304295527"/>
      <w:bookmarkStart w:id="198" w:name="_Toc303539106"/>
      <w:bookmarkStart w:id="199" w:name="_Toc312677997"/>
      <w:bookmarkStart w:id="200" w:name="_Toc318581164"/>
      <w:bookmarkStart w:id="201" w:name="_Toc297216155"/>
      <w:bookmarkStart w:id="202" w:name="_Toc297123496"/>
      <w:bookmarkStart w:id="203" w:name="_Toc300934949"/>
      <w:r>
        <w:rPr>
          <w:rFonts w:hint="eastAsia" w:ascii="宋体" w:hAnsi="宋体" w:cs="宋体"/>
          <w:color w:val="auto"/>
          <w:szCs w:val="21"/>
          <w:highlight w:val="none"/>
        </w:rPr>
        <w:t>.1.1 特殊质量标准和要求：</w:t>
      </w:r>
      <w:r>
        <w:rPr>
          <w:rFonts w:hint="eastAsia" w:ascii="宋体" w:hAnsi="宋体" w:cs="宋体"/>
          <w:color w:val="auto"/>
          <w:szCs w:val="21"/>
          <w:highlight w:val="none"/>
          <w:u w:val="single"/>
        </w:rPr>
        <w:t>工程质量符合国家或专业的质量检验评定合格标准。乙方应按现行的国家施工验收规范和质量评定合格标准施工</w:t>
      </w:r>
    </w:p>
    <w:p w14:paraId="3EE6111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关于工程奖项的约定：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2EB37C10">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5.3 隐蔽工程检查</w:t>
      </w:r>
    </w:p>
    <w:p w14:paraId="1C79F3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5.3.2承包人提前通知监理人隐蔽工程检查的期限的约定：</w:t>
      </w:r>
      <w:r>
        <w:rPr>
          <w:rFonts w:hint="eastAsia" w:ascii="宋体" w:hAnsi="宋体" w:cs="宋体"/>
          <w:color w:val="auto"/>
          <w:szCs w:val="21"/>
          <w:highlight w:val="none"/>
          <w:u w:val="single"/>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347282A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监理人不能按时进行检查时，应提前</w:t>
      </w:r>
      <w:r>
        <w:rPr>
          <w:rFonts w:hint="eastAsia" w:ascii="宋体" w:hAnsi="宋体" w:cs="宋体"/>
          <w:color w:val="auto"/>
          <w:szCs w:val="21"/>
          <w:highlight w:val="none"/>
          <w:u w:val="single"/>
        </w:rPr>
        <w:t xml:space="preserve"> 12 </w:t>
      </w:r>
      <w:r>
        <w:rPr>
          <w:rFonts w:hint="eastAsia" w:ascii="宋体" w:hAnsi="宋体" w:cs="宋体"/>
          <w:color w:val="auto"/>
          <w:szCs w:val="21"/>
          <w:highlight w:val="none"/>
        </w:rPr>
        <w:t>小时提交书面延期要求。</w:t>
      </w:r>
    </w:p>
    <w:p w14:paraId="1D23925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w:t>
      </w:r>
    </w:p>
    <w:p w14:paraId="34B1BDCC">
      <w:pPr>
        <w:spacing w:before="120" w:after="120"/>
        <w:ind w:firstLine="422" w:firstLineChars="200"/>
        <w:outlineLvl w:val="9"/>
        <w:rPr>
          <w:rFonts w:ascii="宋体" w:hAnsi="宋体" w:cs="宋体"/>
          <w:b/>
          <w:bCs/>
          <w:color w:val="auto"/>
          <w:szCs w:val="21"/>
          <w:highlight w:val="none"/>
        </w:rPr>
      </w:pPr>
      <w:bookmarkStart w:id="204" w:name="_Toc351203638"/>
      <w:r>
        <w:rPr>
          <w:rFonts w:hint="eastAsia" w:ascii="宋体" w:hAnsi="宋体" w:cs="宋体"/>
          <w:b/>
          <w:bCs/>
          <w:color w:val="auto"/>
          <w:szCs w:val="21"/>
          <w:highlight w:val="none"/>
        </w:rPr>
        <w:t>6.安全文明施工与环境保护</w:t>
      </w:r>
      <w:bookmarkEnd w:id="204"/>
    </w:p>
    <w:p w14:paraId="368F675D">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6.1安全文明施工</w:t>
      </w:r>
    </w:p>
    <w:p w14:paraId="6894267F">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6.1.1 项目安全生产的达标目标及相应事项的约定：</w:t>
      </w:r>
      <w:r>
        <w:rPr>
          <w:rFonts w:hint="eastAsia" w:ascii="宋体" w:hAnsi="宋体" w:cs="宋体"/>
          <w:color w:val="auto"/>
          <w:szCs w:val="21"/>
          <w:highlight w:val="none"/>
          <w:u w:val="single"/>
        </w:rPr>
        <w:t>合同履行期间，合同当事人均应当遵守国家和工程所在地有关安全生产的要求</w:t>
      </w:r>
      <w:r>
        <w:rPr>
          <w:rFonts w:hint="eastAsia" w:ascii="宋体" w:hAnsi="宋体" w:cs="宋体"/>
          <w:color w:val="auto"/>
          <w:szCs w:val="21"/>
          <w:highlight w:val="none"/>
        </w:rPr>
        <w:t>。</w:t>
      </w:r>
    </w:p>
    <w:p w14:paraId="1846AA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关于安全文明施工奖项的约定：</w:t>
      </w:r>
      <w:r>
        <w:rPr>
          <w:rFonts w:hint="eastAsia"/>
          <w:color w:val="auto"/>
          <w:highlight w:val="none"/>
          <w:u w:val="single"/>
        </w:rPr>
        <w:t xml:space="preserve"> / </w:t>
      </w:r>
      <w:r>
        <w:rPr>
          <w:rFonts w:hint="eastAsia"/>
          <w:color w:val="auto"/>
          <w:highlight w:val="none"/>
        </w:rPr>
        <w:t>。</w:t>
      </w:r>
    </w:p>
    <w:p w14:paraId="5BFD5E2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6.1.4 关于治安保卫的特别约定：</w:t>
      </w:r>
      <w:r>
        <w:rPr>
          <w:rFonts w:hint="eastAsia" w:ascii="宋体" w:hAnsi="宋体" w:cs="宋体"/>
          <w:color w:val="auto"/>
          <w:szCs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0792203F">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关于编制施工场地治安管理计划的约定：</w:t>
      </w:r>
      <w:r>
        <w:rPr>
          <w:rFonts w:hint="eastAsia" w:ascii="宋体" w:hAnsi="宋体" w:cs="宋体"/>
          <w:color w:val="auto"/>
          <w:szCs w:val="21"/>
          <w:highlight w:val="none"/>
          <w:u w:val="single"/>
        </w:rPr>
        <w:t>承包人应在工程开工后7天内编制施工场地治安管理计划，并制定应对突发治安事件的紧急预案。报发包人审批后，共同执行 。</w:t>
      </w:r>
    </w:p>
    <w:p w14:paraId="190D6A5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6.1.5文明施工</w:t>
      </w:r>
    </w:p>
    <w:p w14:paraId="03EE9C86">
      <w:pPr>
        <w:spacing w:line="360" w:lineRule="auto"/>
        <w:ind w:firstLine="420" w:firstLineChars="200"/>
        <w:jc w:val="left"/>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合同当事人对文明施工的要求：</w:t>
      </w:r>
      <w:r>
        <w:rPr>
          <w:rFonts w:hint="eastAsia" w:ascii="宋体" w:hAnsi="宋体" w:cs="宋体"/>
          <w:color w:val="auto"/>
          <w:szCs w:val="21"/>
          <w:highlight w:val="none"/>
          <w:u w:val="single"/>
        </w:rPr>
        <w:t>达到《建筑施工现场环境与卫生标准》（JGJ146-2004）和柳州市政府部门相关文件要求</w:t>
      </w:r>
      <w:r>
        <w:rPr>
          <w:rFonts w:hint="eastAsia" w:ascii="宋体" w:hAnsi="宋体" w:cs="宋体"/>
          <w:color w:val="auto"/>
          <w:szCs w:val="21"/>
          <w:highlight w:val="none"/>
          <w:u w:val="single"/>
          <w:lang w:eastAsia="zh-CN"/>
        </w:rPr>
        <w:t>。</w:t>
      </w:r>
    </w:p>
    <w:p w14:paraId="231FE446">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6.1.6 关于安全文明施工费支付比例和支付期限的约定：</w:t>
      </w:r>
    </w:p>
    <w:p w14:paraId="7E88A70F">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（1）本合同价款已包含安全文明施工费</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14:paraId="6998FCB7">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（2）使用要求：专款专用。具体按</w:t>
      </w:r>
      <w:r>
        <w:rPr>
          <w:rFonts w:hint="eastAsia" w:ascii="宋体" w:hAnsi="宋体" w:cs="宋体"/>
          <w:color w:val="auto"/>
          <w:kern w:val="0"/>
          <w:szCs w:val="21"/>
          <w:highlight w:val="none"/>
          <w:u w:val="single"/>
        </w:rPr>
        <w:t>《广西壮族自治区建设工程安全文明施工费使用管理细则》（桂建质〔2015〕16号）</w:t>
      </w:r>
      <w:r>
        <w:rPr>
          <w:rFonts w:hint="eastAsia" w:ascii="宋体" w:hAnsi="宋体" w:cs="宋体"/>
          <w:color w:val="auto"/>
          <w:kern w:val="0"/>
          <w:szCs w:val="21"/>
          <w:highlight w:val="none"/>
        </w:rPr>
        <w:t>和</w:t>
      </w:r>
      <w:r>
        <w:rPr>
          <w:rFonts w:hint="eastAsia" w:ascii="宋体" w:hAnsi="宋体" w:cs="宋体"/>
          <w:color w:val="auto"/>
          <w:kern w:val="0"/>
          <w:szCs w:val="21"/>
          <w:highlight w:val="none"/>
          <w:u w:val="single"/>
        </w:rPr>
        <w:t>柳州市</w:t>
      </w:r>
      <w:r>
        <w:rPr>
          <w:rFonts w:hint="eastAsia" w:ascii="宋体" w:hAnsi="宋体" w:cs="宋体"/>
          <w:color w:val="auto"/>
          <w:kern w:val="0"/>
          <w:szCs w:val="21"/>
          <w:highlight w:val="none"/>
        </w:rPr>
        <w:t>相关规定执行。</w:t>
      </w:r>
    </w:p>
    <w:p w14:paraId="0D8E7651">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支付约定：在本合同签订后15个工作日内，预付安全文明施工费总额的50%，其余部分与进度款同期支付，安全文明施工费预付款在工程进度款累计金额超过合同价的50%时开始起扣，每月从支付给承包商的工程款内按安全文明预付款占合同总价的同一百分比扣回。</w:t>
      </w:r>
    </w:p>
    <w:p w14:paraId="681562AF">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（4）建设单位按规定将安全生产费用转入施工单位设立的安全生产费用专户。</w:t>
      </w:r>
    </w:p>
    <w:p w14:paraId="546ECC99">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（5）工程施工完成后安全生产费用尚有结余的，结余部分由建设单位收回。</w:t>
      </w:r>
    </w:p>
    <w:p w14:paraId="020A65F5">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（6）施工单位将安全生产费用使用情况定期报告建设单位和监理单位，并提供相应的材料接受建设行政主管部门对此事项监管。</w:t>
      </w:r>
    </w:p>
    <w:p w14:paraId="016D3666">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（7）安全生产费用专户：××××公司安全生产费用专户。账号：</w:t>
      </w:r>
    </w:p>
    <w:p w14:paraId="23C8145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lang w:val="en-US" w:eastAsia="zh-CN"/>
        </w:rPr>
      </w:pPr>
      <w:r>
        <w:rPr>
          <w:rFonts w:hint="eastAsia" w:ascii="宋体" w:hAnsi="宋体" w:cs="宋体"/>
          <w:b/>
          <w:color w:val="auto"/>
          <w:szCs w:val="21"/>
          <w:highlight w:val="none"/>
        </w:rPr>
        <w:t>6.</w:t>
      </w:r>
      <w:r>
        <w:rPr>
          <w:rFonts w:hint="eastAsia" w:ascii="宋体" w:hAnsi="宋体" w:cs="宋体"/>
          <w:b/>
          <w:color w:val="auto"/>
          <w:szCs w:val="21"/>
          <w:highlight w:val="none"/>
          <w:lang w:val="en-US" w:eastAsia="zh-CN"/>
        </w:rPr>
        <w:t>3环境保护</w:t>
      </w:r>
    </w:p>
    <w:p w14:paraId="349890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u w:val="single"/>
          <w:lang w:val="en-US" w:eastAsia="zh-CN"/>
        </w:rPr>
      </w:pPr>
      <w:r>
        <w:rPr>
          <w:rFonts w:hint="default"/>
          <w:color w:val="auto"/>
          <w:highlight w:val="none"/>
          <w:u w:val="single"/>
          <w:lang w:val="en-US" w:eastAsia="zh-CN"/>
        </w:rPr>
        <w:t>因施工需要，经发包人批准，由承包人办理有关施工场地交通、环卫和施工噪音管理等手续，费用由承包人负责。</w:t>
      </w:r>
    </w:p>
    <w:p w14:paraId="6CB909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u w:val="single"/>
          <w:lang w:val="en-US" w:eastAsia="zh-CN"/>
        </w:rPr>
      </w:pPr>
      <w:r>
        <w:rPr>
          <w:rFonts w:hint="default"/>
          <w:color w:val="auto"/>
          <w:highlight w:val="none"/>
          <w:u w:val="single"/>
          <w:lang w:val="en-US" w:eastAsia="zh-CN"/>
        </w:rPr>
        <w:t>经过城市道路的施工车辆，必须按交警、城管、运输等部门相关规定执行。由于施工车辆造成的道路、环境等污染，其责任和费用均由承包人承担。</w:t>
      </w:r>
    </w:p>
    <w:bookmarkEnd w:id="197"/>
    <w:bookmarkEnd w:id="198"/>
    <w:bookmarkEnd w:id="199"/>
    <w:bookmarkEnd w:id="200"/>
    <w:bookmarkEnd w:id="201"/>
    <w:bookmarkEnd w:id="202"/>
    <w:bookmarkEnd w:id="203"/>
    <w:p w14:paraId="055EF959">
      <w:pPr>
        <w:spacing w:before="120" w:after="120"/>
        <w:ind w:firstLine="422" w:firstLineChars="200"/>
        <w:outlineLvl w:val="9"/>
        <w:rPr>
          <w:rFonts w:ascii="宋体" w:hAnsi="宋体" w:cs="宋体"/>
          <w:b/>
          <w:bCs/>
          <w:color w:val="auto"/>
          <w:szCs w:val="21"/>
          <w:highlight w:val="none"/>
        </w:rPr>
      </w:pPr>
      <w:bookmarkStart w:id="205" w:name="_Toc351203639"/>
      <w:r>
        <w:rPr>
          <w:rFonts w:hint="eastAsia" w:ascii="宋体" w:hAnsi="宋体" w:cs="宋体"/>
          <w:b/>
          <w:bCs/>
          <w:color w:val="auto"/>
          <w:szCs w:val="21"/>
          <w:highlight w:val="none"/>
        </w:rPr>
        <w:t>7.工期和进度</w:t>
      </w:r>
      <w:bookmarkEnd w:id="205"/>
    </w:p>
    <w:p w14:paraId="08B4603F">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7.1 施工组织设计</w:t>
      </w:r>
    </w:p>
    <w:p w14:paraId="40B6101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7.1.1 合</w:t>
      </w:r>
      <w:r>
        <w:rPr>
          <w:rFonts w:hint="eastAsia" w:ascii="宋体" w:hAnsi="宋体" w:cs="宋体"/>
          <w:color w:val="auto"/>
          <w:kern w:val="0"/>
          <w:szCs w:val="21"/>
          <w:highlight w:val="none"/>
        </w:rPr>
        <w:t>同当事人约定的施工组织设计应包括的其他内容：</w:t>
      </w:r>
      <w:r>
        <w:rPr>
          <w:rFonts w:hint="eastAsia" w:ascii="宋体" w:hAnsi="宋体" w:cs="宋体"/>
          <w:color w:val="auto"/>
          <w:szCs w:val="21"/>
          <w:highlight w:val="none"/>
          <w:u w:val="single"/>
        </w:rPr>
        <w:t>按</w:t>
      </w:r>
      <w:r>
        <w:rPr>
          <w:rFonts w:hint="eastAsia" w:ascii="宋体" w:hAnsi="宋体" w:cs="宋体"/>
          <w:color w:val="auto"/>
          <w:szCs w:val="21"/>
          <w:highlight w:val="none"/>
          <w:u w:val="single"/>
          <w:lang w:val="en-US" w:eastAsia="zh-CN"/>
        </w:rPr>
        <w:t>磋商</w:t>
      </w:r>
      <w:r>
        <w:rPr>
          <w:rFonts w:hint="eastAsia" w:ascii="宋体" w:hAnsi="宋体" w:cs="宋体"/>
          <w:color w:val="auto"/>
          <w:szCs w:val="21"/>
          <w:highlight w:val="none"/>
          <w:u w:val="single"/>
        </w:rPr>
        <w:t>文件约定，</w:t>
      </w:r>
      <w:r>
        <w:rPr>
          <w:rFonts w:hint="eastAsia" w:ascii="宋体" w:hAnsi="宋体" w:cs="宋体"/>
          <w:color w:val="auto"/>
          <w:szCs w:val="21"/>
          <w:highlight w:val="none"/>
          <w:u w:val="single"/>
          <w:lang w:val="en-US" w:eastAsia="zh-CN"/>
        </w:rPr>
        <w:t>磋商</w:t>
      </w:r>
      <w:r>
        <w:rPr>
          <w:rFonts w:hint="eastAsia" w:ascii="宋体" w:hAnsi="宋体" w:cs="宋体"/>
          <w:color w:val="auto"/>
          <w:szCs w:val="21"/>
          <w:highlight w:val="none"/>
          <w:u w:val="single"/>
        </w:rPr>
        <w:t>文件无约定的按通用条款或双方另行约定。</w:t>
      </w:r>
    </w:p>
    <w:p w14:paraId="68357DD2">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7.1.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施工组织设计的提交和修改</w:t>
      </w:r>
    </w:p>
    <w:p w14:paraId="5317D2EF">
      <w:pPr>
        <w:autoSpaceDE w:val="0"/>
        <w:autoSpaceDN w:val="0"/>
        <w:adjustRightInd w:val="0"/>
        <w:spacing w:line="360" w:lineRule="auto"/>
        <w:ind w:firstLine="420" w:firstLineChars="200"/>
        <w:jc w:val="left"/>
        <w:rPr>
          <w:rFonts w:ascii="宋体" w:hAnsi="宋体" w:cs="宋体"/>
          <w:color w:val="auto"/>
          <w:szCs w:val="21"/>
          <w:highlight w:val="none"/>
          <w:shd w:val="pct10" w:color="auto" w:fill="FFFFFF"/>
        </w:rPr>
      </w:pPr>
      <w:r>
        <w:rPr>
          <w:rFonts w:hint="eastAsia" w:ascii="宋体" w:hAnsi="宋体" w:cs="宋体"/>
          <w:color w:val="auto"/>
          <w:kern w:val="0"/>
          <w:szCs w:val="21"/>
          <w:highlight w:val="none"/>
        </w:rPr>
        <w:t>承包人提交详细施工组织设计的期限的约定：</w:t>
      </w:r>
      <w:r>
        <w:rPr>
          <w:rFonts w:hint="eastAsia" w:ascii="宋体" w:hAnsi="宋体" w:cs="宋体"/>
          <w:color w:val="auto"/>
          <w:kern w:val="0"/>
          <w:szCs w:val="21"/>
          <w:highlight w:val="none"/>
          <w:u w:val="single"/>
        </w:rPr>
        <w:t>合同签订之日起14天内</w:t>
      </w:r>
      <w:r>
        <w:rPr>
          <w:rFonts w:hint="eastAsia" w:ascii="宋体" w:hAnsi="宋体" w:cs="宋体"/>
          <w:color w:val="auto"/>
          <w:kern w:val="0"/>
          <w:szCs w:val="21"/>
          <w:highlight w:val="none"/>
        </w:rPr>
        <w:t>。</w:t>
      </w:r>
    </w:p>
    <w:p w14:paraId="0EAED9D9">
      <w:pPr>
        <w:spacing w:line="360" w:lineRule="auto"/>
        <w:ind w:firstLine="420" w:firstLineChars="200"/>
        <w:jc w:val="left"/>
        <w:rPr>
          <w:rFonts w:ascii="宋体" w:hAnsi="宋体" w:cs="宋体"/>
          <w:color w:val="auto"/>
          <w:szCs w:val="21"/>
          <w:highlight w:val="none"/>
          <w:shd w:val="pct10" w:color="auto" w:fill="FFFFFF"/>
        </w:rPr>
      </w:pPr>
      <w:r>
        <w:rPr>
          <w:rFonts w:hint="eastAsia" w:ascii="宋体" w:hAnsi="宋体" w:cs="宋体"/>
          <w:color w:val="auto"/>
          <w:szCs w:val="21"/>
          <w:highlight w:val="none"/>
        </w:rPr>
        <w:t>发包人和监理人在收到详细的施工组织设计后确认或提出修改意见的期限：</w:t>
      </w:r>
      <w:r>
        <w:rPr>
          <w:rFonts w:hint="eastAsia" w:ascii="宋体" w:hAnsi="宋体" w:cs="宋体"/>
          <w:color w:val="auto"/>
          <w:szCs w:val="21"/>
          <w:highlight w:val="none"/>
          <w:u w:val="single"/>
        </w:rPr>
        <w:t>收到详细的施工组织设计之日起7天内</w:t>
      </w:r>
      <w:r>
        <w:rPr>
          <w:rFonts w:hint="eastAsia" w:ascii="宋体" w:hAnsi="宋体" w:cs="宋体"/>
          <w:color w:val="auto"/>
          <w:szCs w:val="21"/>
          <w:highlight w:val="none"/>
        </w:rPr>
        <w:t>。</w:t>
      </w:r>
    </w:p>
    <w:p w14:paraId="41D4A485">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w:t>
      </w:r>
      <w:bookmarkStart w:id="206" w:name="_Toc297216173"/>
      <w:bookmarkStart w:id="207" w:name="_Toc303539123"/>
      <w:bookmarkStart w:id="208" w:name="_Toc312677479"/>
      <w:bookmarkStart w:id="209" w:name="_Toc312678005"/>
      <w:bookmarkStart w:id="210" w:name="_Toc300934966"/>
      <w:bookmarkStart w:id="211" w:name="_Toc297123514"/>
      <w:bookmarkStart w:id="212" w:name="_Toc304295541"/>
      <w:r>
        <w:rPr>
          <w:rFonts w:hint="eastAsia" w:ascii="宋体" w:hAnsi="宋体" w:cs="宋体"/>
          <w:b/>
          <w:color w:val="auto"/>
          <w:szCs w:val="21"/>
          <w:highlight w:val="none"/>
        </w:rPr>
        <w:t>.2 施工进度计划</w:t>
      </w:r>
    </w:p>
    <w:p w14:paraId="2099BC1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7.2.2 施工进度计划的修订</w:t>
      </w:r>
    </w:p>
    <w:p w14:paraId="10D3FC9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发包人和监理人在收到修订的施工进度计划后确认或提出修改意见的期限：</w:t>
      </w:r>
      <w:r>
        <w:rPr>
          <w:rFonts w:hint="eastAsia" w:ascii="宋体" w:hAnsi="宋体" w:cs="宋体"/>
          <w:color w:val="auto"/>
          <w:szCs w:val="21"/>
          <w:highlight w:val="none"/>
          <w:u w:val="single"/>
        </w:rPr>
        <w:t>在收到修订的施工进度计划之日起7天内</w:t>
      </w:r>
      <w:r>
        <w:rPr>
          <w:rFonts w:hint="eastAsia" w:ascii="宋体" w:hAnsi="宋体" w:cs="宋体"/>
          <w:color w:val="auto"/>
          <w:szCs w:val="21"/>
          <w:highlight w:val="none"/>
        </w:rPr>
        <w:t>。</w:t>
      </w:r>
    </w:p>
    <w:p w14:paraId="4EC8C62B">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7.3 开工</w:t>
      </w:r>
    </w:p>
    <w:p w14:paraId="5B32F1E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7.3.1 开工准备</w:t>
      </w:r>
    </w:p>
    <w:p w14:paraId="2E9F1D9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cs="宋体"/>
          <w:color w:val="auto"/>
          <w:szCs w:val="21"/>
          <w:highlight w:val="none"/>
          <w:u w:val="single"/>
        </w:rPr>
      </w:pPr>
      <w:r>
        <w:rPr>
          <w:rFonts w:hint="eastAsia" w:ascii="宋体" w:hAnsi="宋体" w:cs="宋体"/>
          <w:color w:val="auto"/>
          <w:szCs w:val="21"/>
          <w:highlight w:val="none"/>
        </w:rPr>
        <w:t>关于承包人提交</w:t>
      </w:r>
      <w:r>
        <w:rPr>
          <w:rFonts w:hint="eastAsia" w:ascii="宋体" w:hAnsi="宋体" w:cs="宋体"/>
          <w:color w:val="auto"/>
          <w:kern w:val="0"/>
          <w:szCs w:val="21"/>
          <w:highlight w:val="none"/>
        </w:rPr>
        <w:t>工程开工报审表的期限：</w:t>
      </w:r>
      <w:r>
        <w:rPr>
          <w:rFonts w:hint="eastAsia" w:ascii="宋体" w:hAnsi="宋体" w:cs="宋体"/>
          <w:color w:val="auto"/>
          <w:kern w:val="0"/>
          <w:szCs w:val="21"/>
          <w:highlight w:val="none"/>
          <w:u w:val="single"/>
        </w:rPr>
        <w:t>按审批的施工组织设计约定的期限</w:t>
      </w:r>
      <w:r>
        <w:rPr>
          <w:rFonts w:hint="eastAsia" w:ascii="宋体" w:hAnsi="宋体" w:cs="宋体"/>
          <w:color w:val="auto"/>
          <w:szCs w:val="21"/>
          <w:highlight w:val="none"/>
        </w:rPr>
        <w:t>。</w:t>
      </w:r>
    </w:p>
    <w:p w14:paraId="3319A75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关于发包人应完成的其他开工准备工作及期限：</w:t>
      </w:r>
      <w:r>
        <w:rPr>
          <w:rFonts w:hint="eastAsia" w:ascii="宋体" w:hAnsi="宋体" w:cs="宋体"/>
          <w:color w:val="auto"/>
          <w:szCs w:val="21"/>
          <w:highlight w:val="none"/>
          <w:u w:val="single"/>
        </w:rPr>
        <w:t>开工令签发之日前7天</w:t>
      </w:r>
      <w:r>
        <w:rPr>
          <w:rFonts w:hint="eastAsia" w:ascii="宋体" w:hAnsi="宋体" w:cs="宋体"/>
          <w:color w:val="auto"/>
          <w:szCs w:val="21"/>
          <w:highlight w:val="none"/>
        </w:rPr>
        <w:t>。</w:t>
      </w:r>
    </w:p>
    <w:p w14:paraId="77D21A4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关于承包人应完成的其他开工准备工作及期限：</w:t>
      </w:r>
      <w:r>
        <w:rPr>
          <w:rFonts w:hint="eastAsia" w:ascii="宋体" w:hAnsi="宋体" w:cs="宋体"/>
          <w:color w:val="auto"/>
          <w:szCs w:val="21"/>
          <w:highlight w:val="none"/>
          <w:u w:val="single"/>
        </w:rPr>
        <w:t>开工令签发之日前7天</w:t>
      </w:r>
      <w:r>
        <w:rPr>
          <w:rFonts w:hint="eastAsia" w:ascii="宋体" w:hAnsi="宋体" w:cs="宋体"/>
          <w:color w:val="auto"/>
          <w:szCs w:val="21"/>
          <w:highlight w:val="none"/>
        </w:rPr>
        <w:t>。</w:t>
      </w:r>
    </w:p>
    <w:p w14:paraId="65F5ADC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7.3.2开工通知</w:t>
      </w:r>
    </w:p>
    <w:p w14:paraId="52D564C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因发包人原因造成监理人未能在计划开工日期之日起</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0</w:t>
      </w:r>
      <w:r>
        <w:rPr>
          <w:rFonts w:hint="eastAsia" w:ascii="宋体" w:hAnsi="宋体" w:cs="宋体"/>
          <w:color w:val="auto"/>
          <w:szCs w:val="21"/>
          <w:highlight w:val="none"/>
        </w:rPr>
        <w:t>天内发出开工通知的，承包人有权提出价格调整要求，或者解除合同。</w:t>
      </w:r>
    </w:p>
    <w:bookmarkEnd w:id="206"/>
    <w:bookmarkEnd w:id="207"/>
    <w:bookmarkEnd w:id="208"/>
    <w:bookmarkEnd w:id="209"/>
    <w:bookmarkEnd w:id="210"/>
    <w:bookmarkEnd w:id="211"/>
    <w:bookmarkEnd w:id="212"/>
    <w:p w14:paraId="63D601C2">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7.4 测量放线</w:t>
      </w:r>
    </w:p>
    <w:p w14:paraId="7AB70CFE">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7.4.1发包人通过监理人向承包人提供测量基准点、基准线和水准点及其书面资料的期限：</w:t>
      </w:r>
      <w:r>
        <w:rPr>
          <w:rFonts w:hint="eastAsia" w:ascii="宋体" w:hAnsi="宋体" w:cs="宋体"/>
          <w:color w:val="auto"/>
          <w:szCs w:val="21"/>
          <w:highlight w:val="none"/>
          <w:u w:val="single"/>
        </w:rPr>
        <w:t>开工令签发之日前7天</w:t>
      </w:r>
      <w:r>
        <w:rPr>
          <w:rFonts w:hint="eastAsia" w:ascii="宋体" w:hAnsi="宋体" w:cs="宋体"/>
          <w:color w:val="auto"/>
          <w:szCs w:val="21"/>
          <w:highlight w:val="none"/>
        </w:rPr>
        <w:t>。</w:t>
      </w:r>
    </w:p>
    <w:p w14:paraId="488263FF">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w:t>
      </w:r>
      <w:bookmarkStart w:id="213" w:name="_Toc297123516"/>
      <w:bookmarkStart w:id="214" w:name="_Toc304295546"/>
      <w:bookmarkStart w:id="215" w:name="_Toc297216175"/>
      <w:bookmarkStart w:id="216" w:name="_Toc300934968"/>
      <w:bookmarkStart w:id="217" w:name="_Toc303539125"/>
      <w:bookmarkStart w:id="218" w:name="_Toc312678010"/>
      <w:bookmarkStart w:id="219" w:name="_Toc312677484"/>
      <w:r>
        <w:rPr>
          <w:rFonts w:hint="eastAsia" w:ascii="宋体" w:hAnsi="宋体" w:cs="宋体"/>
          <w:b/>
          <w:color w:val="auto"/>
          <w:szCs w:val="21"/>
          <w:highlight w:val="none"/>
        </w:rPr>
        <w:t>.5 工期延误</w:t>
      </w:r>
    </w:p>
    <w:bookmarkEnd w:id="213"/>
    <w:bookmarkEnd w:id="214"/>
    <w:bookmarkEnd w:id="215"/>
    <w:bookmarkEnd w:id="216"/>
    <w:bookmarkEnd w:id="217"/>
    <w:bookmarkEnd w:id="218"/>
    <w:bookmarkEnd w:id="219"/>
    <w:p w14:paraId="5C8D22C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7.5.1 因发包人原因导致工期延误</w:t>
      </w:r>
    </w:p>
    <w:p w14:paraId="611F401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（7）因发包人原因导致工期延误的其他情形：</w:t>
      </w:r>
      <w:r>
        <w:rPr>
          <w:rFonts w:hint="eastAsia" w:ascii="宋体" w:hAnsi="宋体" w:cs="宋体"/>
          <w:color w:val="auto"/>
          <w:szCs w:val="21"/>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p>
    <w:p w14:paraId="4394479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w:t>
      </w:r>
      <w:bookmarkStart w:id="220" w:name="_Toc297123518"/>
      <w:bookmarkStart w:id="221" w:name="_Toc303539127"/>
      <w:bookmarkStart w:id="222" w:name="_Toc297216177"/>
      <w:bookmarkStart w:id="223" w:name="_Toc304295548"/>
      <w:bookmarkStart w:id="224" w:name="_Toc318581169"/>
      <w:bookmarkStart w:id="225" w:name="_Toc300934970"/>
      <w:bookmarkStart w:id="226" w:name="_Toc312677486"/>
      <w:bookmarkStart w:id="227" w:name="_Toc312678012"/>
      <w:r>
        <w:rPr>
          <w:rFonts w:hint="eastAsia" w:ascii="宋体" w:hAnsi="宋体" w:cs="宋体"/>
          <w:color w:val="auto"/>
          <w:szCs w:val="21"/>
          <w:highlight w:val="none"/>
        </w:rPr>
        <w:t>.5.2 因承包人原因导致工期延误</w:t>
      </w:r>
    </w:p>
    <w:bookmarkEnd w:id="220"/>
    <w:bookmarkEnd w:id="221"/>
    <w:bookmarkEnd w:id="222"/>
    <w:bookmarkEnd w:id="223"/>
    <w:bookmarkEnd w:id="224"/>
    <w:bookmarkEnd w:id="225"/>
    <w:bookmarkEnd w:id="226"/>
    <w:bookmarkEnd w:id="227"/>
    <w:p w14:paraId="014909C1">
      <w:pPr>
        <w:spacing w:line="360" w:lineRule="auto"/>
        <w:ind w:firstLine="420" w:firstLineChars="200"/>
        <w:jc w:val="left"/>
        <w:rPr>
          <w:rFonts w:hint="eastAsia" w:ascii="宋体" w:hAnsi="宋体" w:cs="宋体"/>
          <w:color w:val="auto"/>
          <w:szCs w:val="21"/>
          <w:highlight w:val="none"/>
          <w:u w:val="single"/>
        </w:rPr>
      </w:pPr>
      <w:bookmarkStart w:id="228" w:name="_Toc318581171"/>
      <w:bookmarkStart w:id="229" w:name="_Toc312678014"/>
      <w:r>
        <w:rPr>
          <w:rFonts w:hint="eastAsia" w:ascii="宋体" w:hAnsi="宋体" w:cs="宋体"/>
          <w:color w:val="auto"/>
          <w:szCs w:val="21"/>
          <w:highlight w:val="none"/>
          <w:u w:val="none"/>
        </w:rPr>
        <w:t>双方约定经监理工程师确认，工期相应顺延的情况：</w:t>
      </w:r>
      <w:r>
        <w:rPr>
          <w:rFonts w:hint="eastAsia" w:ascii="宋体" w:hAnsi="宋体" w:cs="宋体"/>
          <w:color w:val="auto"/>
          <w:szCs w:val="21"/>
          <w:highlight w:val="none"/>
          <w:u w:val="single"/>
        </w:rPr>
        <w:t>非承包人原因导致工期延误。</w:t>
      </w:r>
    </w:p>
    <w:p w14:paraId="127FA9B7">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none"/>
        </w:rPr>
        <w:t>因承包人原因造成工期延误，逾期竣工违约金的计算方法为：</w:t>
      </w:r>
      <w:r>
        <w:rPr>
          <w:rFonts w:hint="eastAsia" w:ascii="宋体" w:hAnsi="宋体" w:cs="宋体"/>
          <w:color w:val="auto"/>
          <w:szCs w:val="21"/>
          <w:highlight w:val="none"/>
          <w:u w:val="single"/>
        </w:rPr>
        <w:t>按逾期竣工的单项工程罚款，每延误一天,按单项工程应支付给承包人的结算造价的万分之四处罚,罚款直接从结算款中扣除。误期时间从规定竣工日期起直到实际竣工日期的天数（扣除发包人批准顺延的工期）。因承包人原因造成工期延误，逾期竣工违约金的上限：逾期竣工的单项工程结算造价的5%。</w:t>
      </w:r>
    </w:p>
    <w:bookmarkEnd w:id="228"/>
    <w:bookmarkEnd w:id="229"/>
    <w:p w14:paraId="22ED9386">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w:t>
      </w:r>
      <w:bookmarkStart w:id="230" w:name="_Toc303539128"/>
      <w:bookmarkStart w:id="231" w:name="_Toc297123519"/>
      <w:bookmarkStart w:id="232" w:name="_Toc297216178"/>
      <w:bookmarkStart w:id="233" w:name="_Toc312678015"/>
      <w:bookmarkStart w:id="234" w:name="_Toc304295549"/>
      <w:bookmarkStart w:id="235" w:name="_Toc300934971"/>
      <w:r>
        <w:rPr>
          <w:rFonts w:hint="eastAsia" w:ascii="宋体" w:hAnsi="宋体" w:cs="宋体"/>
          <w:b/>
          <w:color w:val="auto"/>
          <w:szCs w:val="21"/>
          <w:highlight w:val="none"/>
        </w:rPr>
        <w:t>.6 不</w:t>
      </w:r>
      <w:bookmarkEnd w:id="230"/>
      <w:bookmarkEnd w:id="231"/>
      <w:bookmarkEnd w:id="232"/>
      <w:bookmarkEnd w:id="233"/>
      <w:bookmarkEnd w:id="234"/>
      <w:bookmarkEnd w:id="235"/>
      <w:r>
        <w:rPr>
          <w:rFonts w:hint="eastAsia" w:ascii="宋体" w:hAnsi="宋体" w:cs="宋体"/>
          <w:b/>
          <w:color w:val="auto"/>
          <w:szCs w:val="21"/>
          <w:highlight w:val="none"/>
        </w:rPr>
        <w:t>利物质条件</w:t>
      </w:r>
    </w:p>
    <w:p w14:paraId="2BF00C37">
      <w:pPr>
        <w:spacing w:line="360" w:lineRule="auto"/>
        <w:ind w:firstLine="420" w:firstLineChars="200"/>
        <w:jc w:val="left"/>
        <w:rPr>
          <w:rFonts w:hint="eastAsia" w:ascii="宋体" w:hAnsi="宋体" w:cs="宋体"/>
          <w:color w:val="auto"/>
          <w:szCs w:val="21"/>
          <w:highlight w:val="none"/>
          <w:u w:val="single"/>
        </w:rPr>
      </w:pPr>
      <w:bookmarkStart w:id="236" w:name="_Toc318581172"/>
      <w:bookmarkStart w:id="237" w:name="_Toc297123520"/>
      <w:bookmarkStart w:id="238" w:name="_Toc300934972"/>
      <w:bookmarkStart w:id="239" w:name="_Toc297216179"/>
      <w:bookmarkStart w:id="240" w:name="_Toc304295550"/>
      <w:bookmarkStart w:id="241" w:name="_Toc312678016"/>
      <w:bookmarkStart w:id="242" w:name="_Toc303539129"/>
      <w:r>
        <w:rPr>
          <w:rFonts w:hint="eastAsia" w:ascii="宋体" w:hAnsi="宋体" w:cs="宋体"/>
          <w:color w:val="auto"/>
          <w:szCs w:val="21"/>
          <w:highlight w:val="none"/>
        </w:rPr>
        <w:t>不利物质条件的其他情形和有关约定</w:t>
      </w:r>
      <w:r>
        <w:rPr>
          <w:rFonts w:hint="eastAsia" w:ascii="宋体" w:hAnsi="宋体" w:cs="宋体"/>
          <w:color w:val="auto"/>
          <w:szCs w:val="21"/>
          <w:highlight w:val="none"/>
          <w:u w:val="single"/>
        </w:rPr>
        <w:t>：1、非探明的地质条件；2、未标明的市政道路、电力电缆、通信管道；3、一周内非承包人原因，停水、停电、停气造成停工连续超过 8 小时；4、重大设计变更和工程量增加；5、发包人手续不全致使施工不能正常进行；6、发包人未能按约定时间支付工程款致使施工不能正常进行的；7、非承包人原因的政府及发包人有关的停工通知。</w:t>
      </w:r>
    </w:p>
    <w:p w14:paraId="1AD3BB7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u w:val="single"/>
        </w:rPr>
        <w:t>以上不利物质条件导致的停工，工期相应顺延。</w:t>
      </w:r>
    </w:p>
    <w:bookmarkEnd w:id="236"/>
    <w:bookmarkEnd w:id="237"/>
    <w:bookmarkEnd w:id="238"/>
    <w:bookmarkEnd w:id="239"/>
    <w:bookmarkEnd w:id="240"/>
    <w:bookmarkEnd w:id="241"/>
    <w:bookmarkEnd w:id="242"/>
    <w:p w14:paraId="5721681F">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w:t>
      </w:r>
      <w:bookmarkStart w:id="243" w:name="_Toc303539130"/>
      <w:bookmarkStart w:id="244" w:name="_Toc312678017"/>
      <w:bookmarkStart w:id="245" w:name="_Toc304295551"/>
      <w:bookmarkStart w:id="246" w:name="_Toc297123521"/>
      <w:bookmarkStart w:id="247" w:name="_Toc297216180"/>
      <w:bookmarkStart w:id="248" w:name="_Toc300934973"/>
      <w:r>
        <w:rPr>
          <w:rFonts w:hint="eastAsia" w:ascii="宋体" w:hAnsi="宋体" w:cs="宋体"/>
          <w:b/>
          <w:color w:val="auto"/>
          <w:szCs w:val="21"/>
          <w:highlight w:val="none"/>
        </w:rPr>
        <w:t>.7异常恶劣的气候条件</w:t>
      </w:r>
    </w:p>
    <w:bookmarkEnd w:id="243"/>
    <w:bookmarkEnd w:id="244"/>
    <w:bookmarkEnd w:id="245"/>
    <w:bookmarkEnd w:id="246"/>
    <w:bookmarkEnd w:id="247"/>
    <w:bookmarkEnd w:id="248"/>
    <w:p w14:paraId="20EA750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发包人和承包人同意以下情形视为异常恶劣的气候条件： </w:t>
      </w:r>
    </w:p>
    <w:p w14:paraId="6DEF065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大风(指风力大于八级以上</w:t>
      </w:r>
      <w:r>
        <w:rPr>
          <w:rFonts w:hint="eastAsia" w:ascii="宋体" w:hAnsi="宋体" w:cs="宋体"/>
          <w:color w:val="auto"/>
          <w:szCs w:val="21"/>
          <w:highlight w:val="none"/>
        </w:rPr>
        <w:t>；</w:t>
      </w:r>
    </w:p>
    <w:p w14:paraId="09930091">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大雨(指日降水量超过175MM)</w:t>
      </w:r>
      <w:r>
        <w:rPr>
          <w:rFonts w:hint="eastAsia" w:ascii="宋体" w:hAnsi="宋体" w:cs="宋体"/>
          <w:color w:val="auto"/>
          <w:szCs w:val="21"/>
          <w:highlight w:val="none"/>
        </w:rPr>
        <w:t>；</w:t>
      </w:r>
    </w:p>
    <w:p w14:paraId="0A0EA14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u w:val="single"/>
        </w:rPr>
        <w:t>一周内非承包人原因，停水、停电、停气造成停工连续超过8小时</w:t>
      </w:r>
      <w:r>
        <w:rPr>
          <w:rFonts w:hint="eastAsia" w:ascii="宋体" w:hAnsi="宋体" w:cs="宋体"/>
          <w:color w:val="auto"/>
          <w:szCs w:val="21"/>
          <w:highlight w:val="none"/>
        </w:rPr>
        <w:t>；</w:t>
      </w:r>
    </w:p>
    <w:p w14:paraId="3F81B82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u w:val="single"/>
        </w:rPr>
        <w:t>由于政府指令性行为引起停工(如中考、高考期间及其它活动要求停工)</w:t>
      </w:r>
      <w:r>
        <w:rPr>
          <w:rFonts w:hint="eastAsia" w:ascii="宋体" w:hAnsi="宋体" w:cs="宋体"/>
          <w:color w:val="auto"/>
          <w:szCs w:val="21"/>
          <w:highlight w:val="none"/>
        </w:rPr>
        <w:t>。</w:t>
      </w:r>
    </w:p>
    <w:p w14:paraId="041E818F">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7.9 提前竣工的奖励</w:t>
      </w:r>
    </w:p>
    <w:p w14:paraId="359DEFCD">
      <w:pPr>
        <w:spacing w:line="360" w:lineRule="auto"/>
        <w:ind w:firstLine="420" w:firstLineChars="200"/>
        <w:jc w:val="left"/>
        <w:rPr>
          <w:rFonts w:ascii="宋体" w:hAnsi="宋体" w:cs="宋体"/>
          <w:color w:val="auto"/>
          <w:szCs w:val="21"/>
          <w:highlight w:val="none"/>
          <w:shd w:val="pct10" w:color="auto" w:fill="FFFFFF"/>
        </w:rPr>
      </w:pPr>
      <w:r>
        <w:rPr>
          <w:rFonts w:hint="eastAsia" w:ascii="宋体" w:hAnsi="宋体" w:cs="宋体"/>
          <w:color w:val="auto"/>
          <w:szCs w:val="21"/>
          <w:highlight w:val="none"/>
        </w:rPr>
        <w:t>7.9.2提前竣工的奖励：</w:t>
      </w:r>
      <w:r>
        <w:rPr>
          <w:rFonts w:hint="eastAsia" w:ascii="宋体" w:hAnsi="宋体" w:cs="宋体"/>
          <w:color w:val="auto"/>
          <w:szCs w:val="21"/>
          <w:highlight w:val="none"/>
          <w:u w:val="single"/>
        </w:rPr>
        <w:t>无。</w:t>
      </w:r>
    </w:p>
    <w:p w14:paraId="6F447142">
      <w:pPr>
        <w:keepNext w:val="0"/>
        <w:keepLines w:val="0"/>
        <w:pageBreakBefore w:val="0"/>
        <w:widowControl w:val="0"/>
        <w:kinsoku/>
        <w:wordWrap/>
        <w:overflowPunct/>
        <w:topLinePunct w:val="0"/>
        <w:autoSpaceDE/>
        <w:autoSpaceDN/>
        <w:bidi w:val="0"/>
        <w:adjustRightInd/>
        <w:snapToGrid/>
        <w:spacing w:before="120" w:after="120"/>
        <w:ind w:firstLine="422" w:firstLineChars="200"/>
        <w:textAlignment w:val="auto"/>
        <w:outlineLvl w:val="9"/>
        <w:rPr>
          <w:rFonts w:ascii="宋体" w:hAnsi="宋体" w:cs="宋体"/>
          <w:b/>
          <w:bCs/>
          <w:color w:val="auto"/>
          <w:szCs w:val="21"/>
          <w:highlight w:val="none"/>
        </w:rPr>
      </w:pPr>
      <w:bookmarkStart w:id="249" w:name="_Toc351203640"/>
      <w:r>
        <w:rPr>
          <w:rFonts w:hint="eastAsia" w:ascii="宋体" w:hAnsi="宋体" w:cs="宋体"/>
          <w:b/>
          <w:bCs/>
          <w:color w:val="auto"/>
          <w:szCs w:val="21"/>
          <w:highlight w:val="none"/>
        </w:rPr>
        <w:t>8.材料与设备</w:t>
      </w:r>
      <w:bookmarkEnd w:id="249"/>
    </w:p>
    <w:bookmarkEnd w:id="187"/>
    <w:bookmarkEnd w:id="188"/>
    <w:bookmarkEnd w:id="189"/>
    <w:bookmarkEnd w:id="190"/>
    <w:bookmarkEnd w:id="191"/>
    <w:bookmarkEnd w:id="192"/>
    <w:bookmarkEnd w:id="193"/>
    <w:bookmarkEnd w:id="194"/>
    <w:bookmarkEnd w:id="195"/>
    <w:bookmarkEnd w:id="196"/>
    <w:p w14:paraId="573489EB">
      <w:pPr>
        <w:spacing w:line="360" w:lineRule="auto"/>
        <w:ind w:firstLine="420" w:firstLineChars="200"/>
        <w:jc w:val="left"/>
        <w:rPr>
          <w:rFonts w:ascii="宋体" w:hAnsi="宋体" w:cs="宋体"/>
          <w:color w:val="auto"/>
          <w:szCs w:val="21"/>
          <w:highlight w:val="none"/>
        </w:rPr>
      </w:pPr>
      <w:bookmarkStart w:id="250" w:name="_Toc296347166"/>
      <w:bookmarkStart w:id="251" w:name="_Toc297216186"/>
      <w:bookmarkStart w:id="252" w:name="_Toc292559877"/>
      <w:bookmarkStart w:id="253" w:name="_Toc296346668"/>
      <w:bookmarkStart w:id="254" w:name="_Toc303539136"/>
      <w:bookmarkStart w:id="255" w:name="_Toc297120467"/>
      <w:bookmarkStart w:id="256" w:name="_Toc296944506"/>
      <w:bookmarkStart w:id="257" w:name="_Toc304295556"/>
      <w:bookmarkStart w:id="258" w:name="_Toc312678019"/>
      <w:bookmarkStart w:id="259" w:name="_Toc296891207"/>
      <w:bookmarkStart w:id="260" w:name="_Toc297123527"/>
      <w:bookmarkStart w:id="261" w:name="_Toc292559372"/>
      <w:bookmarkStart w:id="262" w:name="_Toc296503167"/>
      <w:bookmarkStart w:id="263" w:name="_Toc297048353"/>
      <w:bookmarkStart w:id="264" w:name="_Toc312677493"/>
      <w:bookmarkStart w:id="265" w:name="_Toc296890995"/>
      <w:bookmarkStart w:id="266" w:name="_Toc280868654"/>
      <w:bookmarkStart w:id="267" w:name="_Toc300934979"/>
      <w:bookmarkStart w:id="268" w:name="_Toc267251424"/>
      <w:bookmarkStart w:id="269" w:name="_Toc280868656"/>
      <w:bookmarkStart w:id="270" w:name="_Toc280868655"/>
      <w:r>
        <w:rPr>
          <w:rFonts w:hint="eastAsia" w:ascii="宋体" w:hAnsi="宋体" w:cs="宋体"/>
          <w:color w:val="auto"/>
          <w:szCs w:val="21"/>
          <w:highlight w:val="none"/>
        </w:rPr>
        <w:t>8.2承包人供应材料设备</w:t>
      </w:r>
    </w:p>
    <w:p w14:paraId="5811A67F">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除已标价工程量清单《发包人提供主要材料和工程设备一览表》（表-21）中明确的材料、工程设备外，由承包人负责材料和工程设备的采购、运输和保管。</w:t>
      </w:r>
    </w:p>
    <w:p w14:paraId="0AC10809">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6780853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禁止使用松木、松木包装材料设备、种子、苗木、花卉及繁殖材料。</w:t>
      </w:r>
    </w:p>
    <w:p w14:paraId="092DDD9D">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8.4材料与工程设备的保管与使用</w:t>
      </w:r>
    </w:p>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14:paraId="24D9B91C">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8</w:t>
      </w:r>
      <w:bookmarkStart w:id="271" w:name="_Toc292559878"/>
      <w:bookmarkStart w:id="272" w:name="_Toc292559373"/>
      <w:bookmarkStart w:id="273" w:name="_Toc312677494"/>
      <w:bookmarkStart w:id="274" w:name="_Toc296890996"/>
      <w:bookmarkStart w:id="275" w:name="_Toc304295557"/>
      <w:bookmarkStart w:id="276" w:name="_Toc296346669"/>
      <w:bookmarkStart w:id="277" w:name="_Toc297048354"/>
      <w:bookmarkStart w:id="278" w:name="_Toc296891208"/>
      <w:bookmarkStart w:id="279" w:name="_Toc296944507"/>
      <w:bookmarkStart w:id="280" w:name="_Toc303539137"/>
      <w:bookmarkStart w:id="281" w:name="_Toc312678020"/>
      <w:bookmarkStart w:id="282" w:name="_Toc297120468"/>
      <w:bookmarkStart w:id="283" w:name="_Toc297123528"/>
      <w:bookmarkStart w:id="284" w:name="_Toc296503168"/>
      <w:bookmarkStart w:id="285" w:name="_Toc300934980"/>
      <w:bookmarkStart w:id="286" w:name="_Toc296347167"/>
      <w:bookmarkStart w:id="287" w:name="_Toc297216187"/>
      <w:bookmarkStart w:id="288" w:name="_Toc318581173"/>
      <w:r>
        <w:rPr>
          <w:rFonts w:hint="eastAsia" w:ascii="宋体" w:hAnsi="宋体" w:cs="宋体"/>
          <w:color w:val="auto"/>
          <w:szCs w:val="21"/>
          <w:highlight w:val="none"/>
        </w:rPr>
        <w:t>.4.1发包人供应的材料设备的保管费用的承担</w:t>
      </w:r>
      <w:bookmarkEnd w:id="271"/>
      <w:bookmarkEnd w:id="272"/>
      <w:r>
        <w:rPr>
          <w:rFonts w:hint="eastAsia" w:ascii="宋体" w:hAnsi="宋体" w:cs="宋体"/>
          <w:color w:val="auto"/>
          <w:szCs w:val="21"/>
          <w:highlight w:val="none"/>
        </w:rPr>
        <w:t>：</w:t>
      </w:r>
      <w:r>
        <w:rPr>
          <w:rFonts w:hint="eastAsia" w:ascii="宋体" w:hAnsi="宋体" w:cs="宋体"/>
          <w:color w:val="auto"/>
          <w:szCs w:val="21"/>
          <w:highlight w:val="none"/>
          <w:u w:val="single"/>
        </w:rPr>
        <w:t>由承包人承担</w:t>
      </w:r>
      <w:r>
        <w:rPr>
          <w:rFonts w:hint="eastAsia" w:ascii="宋体" w:hAnsi="宋体" w:cs="宋体"/>
          <w:color w:val="auto"/>
          <w:szCs w:val="21"/>
          <w:highlight w:val="none"/>
          <w:u w:val="single"/>
          <w:lang w:eastAsia="zh-CN"/>
        </w:rPr>
        <w:t>。</w:t>
      </w:r>
    </w:p>
    <w:p w14:paraId="13CC24C6">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8.6样品</w:t>
      </w:r>
    </w:p>
    <w:p w14:paraId="304F0A12">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8.6.1样品的报送与封存</w:t>
      </w:r>
    </w:p>
    <w:p w14:paraId="4A1A344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kern w:val="0"/>
          <w:szCs w:val="21"/>
          <w:highlight w:val="none"/>
        </w:rPr>
        <w:t>需要承包人报送样品的材料或工程设备，样品的种类、名称、规格、数量要求：</w:t>
      </w:r>
      <w:r>
        <w:rPr>
          <w:rFonts w:hint="eastAsia" w:ascii="宋体" w:hAnsi="宋体" w:cs="宋体"/>
          <w:color w:val="auto"/>
          <w:kern w:val="0"/>
          <w:szCs w:val="21"/>
          <w:highlight w:val="none"/>
          <w:u w:val="single"/>
        </w:rPr>
        <w:t>主要材料涉及品种、款式、颜色等方面内容的，承包人应提交准备合格的材料样品送发包人选定。</w:t>
      </w:r>
    </w:p>
    <w:p w14:paraId="65E9CABB">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8.8施工设备和临时设施</w:t>
      </w:r>
    </w:p>
    <w:p w14:paraId="79DBC978">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8.8.1承包人提供的施工设备和临时设施</w:t>
      </w:r>
    </w:p>
    <w:p w14:paraId="44CE814E">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4。</w:t>
      </w:r>
    </w:p>
    <w:p w14:paraId="28767D1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关于修建临时设施费用承担的约定：</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Start w:id="289" w:name="_Toc351203641"/>
      <w:r>
        <w:rPr>
          <w:rFonts w:hint="eastAsia" w:ascii="宋体" w:hAnsi="宋体" w:cs="宋体"/>
          <w:color w:val="auto"/>
          <w:szCs w:val="21"/>
          <w:highlight w:val="none"/>
          <w:u w:val="single"/>
        </w:rPr>
        <w:t>①承包人的临时用地(含项目部驻地等)租用费(含拆迁补偿)、临时用地的环保、恢复、临时用地的青苗补偿及地面附着物拆除等费用均由承包人负责，以上费用在投标报价中综合考虑。②承包人负责合同实施期间其合同段内临时交通道路(含场内外连接公共交通道路)和交通设施的修建、维修、养护和交通管理工作，并承担一切费用。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477F9D15">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8.8.2发包人提供的施工设备和临时设施</w:t>
      </w:r>
    </w:p>
    <w:p w14:paraId="0D52E4D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发包人提供的施工设备和临时设施：</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0CFFD51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发包人提供的施工设备和临时设施的运行、维护、拆除、清运费用的承担人：</w:t>
      </w:r>
      <w:r>
        <w:rPr>
          <w:rFonts w:hint="eastAsia" w:ascii="宋体" w:hAnsi="宋体" w:cs="宋体"/>
          <w:color w:val="auto"/>
          <w:szCs w:val="21"/>
          <w:highlight w:val="none"/>
          <w:u w:val="single"/>
        </w:rPr>
        <w:t>由承包人承担</w:t>
      </w:r>
      <w:r>
        <w:rPr>
          <w:rFonts w:hint="eastAsia" w:ascii="宋体" w:hAnsi="宋体" w:cs="宋体"/>
          <w:color w:val="auto"/>
          <w:szCs w:val="21"/>
          <w:highlight w:val="none"/>
        </w:rPr>
        <w:t>。</w:t>
      </w:r>
    </w:p>
    <w:p w14:paraId="0E2F69B9">
      <w:pPr>
        <w:keepNext w:val="0"/>
        <w:keepLines w:val="0"/>
        <w:pageBreakBefore w:val="0"/>
        <w:widowControl w:val="0"/>
        <w:kinsoku/>
        <w:wordWrap/>
        <w:overflowPunct/>
        <w:topLinePunct w:val="0"/>
        <w:autoSpaceDE/>
        <w:autoSpaceDN/>
        <w:bidi w:val="0"/>
        <w:adjustRightInd/>
        <w:snapToGrid/>
        <w:spacing w:before="120" w:after="120"/>
        <w:ind w:firstLine="422" w:firstLineChars="200"/>
        <w:textAlignment w:val="auto"/>
        <w:outlineLvl w:val="9"/>
        <w:rPr>
          <w:rFonts w:ascii="宋体" w:hAnsi="宋体" w:cs="宋体"/>
          <w:b/>
          <w:bCs/>
          <w:color w:val="auto"/>
          <w:szCs w:val="21"/>
          <w:highlight w:val="none"/>
        </w:rPr>
      </w:pPr>
      <w:r>
        <w:rPr>
          <w:rFonts w:hint="eastAsia" w:ascii="宋体" w:hAnsi="宋体" w:cs="宋体"/>
          <w:b/>
          <w:bCs/>
          <w:color w:val="auto"/>
          <w:szCs w:val="21"/>
          <w:highlight w:val="none"/>
        </w:rPr>
        <w:t>9</w:t>
      </w:r>
      <w:bookmarkEnd w:id="268"/>
      <w:bookmarkEnd w:id="269"/>
      <w:bookmarkEnd w:id="270"/>
      <w:bookmarkStart w:id="290" w:name="_Toc304295559"/>
      <w:bookmarkStart w:id="291" w:name="_Toc300934982"/>
      <w:bookmarkStart w:id="292" w:name="_Toc297123533"/>
      <w:bookmarkStart w:id="293" w:name="_Toc297216192"/>
      <w:bookmarkStart w:id="294" w:name="_Toc303539139"/>
      <w:bookmarkStart w:id="295" w:name="_Toc312677495"/>
      <w:bookmarkStart w:id="296" w:name="_Toc312678021"/>
      <w:bookmarkStart w:id="297" w:name="_Toc297120473"/>
      <w:bookmarkStart w:id="298" w:name="_Toc292559883"/>
      <w:bookmarkStart w:id="299" w:name="_Toc296347172"/>
      <w:bookmarkStart w:id="300" w:name="_Toc296891001"/>
      <w:bookmarkStart w:id="301" w:name="_Toc297048359"/>
      <w:bookmarkStart w:id="302" w:name="_Toc267251427"/>
      <w:bookmarkStart w:id="303" w:name="_Toc296944512"/>
      <w:bookmarkStart w:id="304" w:name="_Toc296891213"/>
      <w:bookmarkStart w:id="305" w:name="_Toc267251428"/>
      <w:bookmarkStart w:id="306" w:name="_Toc292559378"/>
      <w:bookmarkStart w:id="307" w:name="_Toc296346674"/>
      <w:bookmarkStart w:id="308" w:name="_Toc296503173"/>
      <w:r>
        <w:rPr>
          <w:rFonts w:hint="eastAsia" w:ascii="宋体" w:hAnsi="宋体" w:cs="宋体"/>
          <w:b/>
          <w:bCs/>
          <w:color w:val="auto"/>
          <w:szCs w:val="21"/>
          <w:highlight w:val="none"/>
        </w:rPr>
        <w:t>.试验与检验</w:t>
      </w:r>
      <w:bookmarkEnd w:id="289"/>
    </w:p>
    <w:bookmarkEnd w:id="290"/>
    <w:bookmarkEnd w:id="291"/>
    <w:bookmarkEnd w:id="292"/>
    <w:bookmarkEnd w:id="293"/>
    <w:bookmarkEnd w:id="294"/>
    <w:bookmarkEnd w:id="295"/>
    <w:bookmarkEnd w:id="296"/>
    <w:p w14:paraId="5338F48D">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w:t>
      </w:r>
      <w:bookmarkStart w:id="309" w:name="_Toc304295560"/>
      <w:bookmarkStart w:id="310" w:name="_Toc297123534"/>
      <w:bookmarkStart w:id="311" w:name="_Toc303539140"/>
      <w:bookmarkStart w:id="312" w:name="_Toc300934983"/>
      <w:bookmarkStart w:id="313" w:name="_Toc297216193"/>
      <w:bookmarkStart w:id="314" w:name="_Toc312677496"/>
      <w:bookmarkStart w:id="315" w:name="_Toc312678022"/>
      <w:r>
        <w:rPr>
          <w:rFonts w:hint="eastAsia" w:ascii="宋体" w:hAnsi="宋体" w:cs="宋体"/>
          <w:b/>
          <w:color w:val="auto"/>
          <w:szCs w:val="21"/>
          <w:highlight w:val="none"/>
        </w:rPr>
        <w:t>.1试验设备与试验人员</w:t>
      </w:r>
    </w:p>
    <w:bookmarkEnd w:id="309"/>
    <w:bookmarkEnd w:id="310"/>
    <w:bookmarkEnd w:id="311"/>
    <w:bookmarkEnd w:id="312"/>
    <w:bookmarkEnd w:id="313"/>
    <w:bookmarkEnd w:id="314"/>
    <w:bookmarkEnd w:id="315"/>
    <w:p w14:paraId="07A06F9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w:t>
      </w:r>
      <w:bookmarkStart w:id="316" w:name="_Toc304295561"/>
      <w:bookmarkStart w:id="317" w:name="_Toc312678023"/>
      <w:bookmarkStart w:id="318" w:name="_Toc297216194"/>
      <w:bookmarkStart w:id="319" w:name="_Toc297123535"/>
      <w:bookmarkStart w:id="320" w:name="_Toc300934984"/>
      <w:bookmarkStart w:id="321" w:name="_Toc303539141"/>
      <w:bookmarkStart w:id="322" w:name="_Toc312677497"/>
      <w:bookmarkStart w:id="323" w:name="_Toc318581174"/>
      <w:r>
        <w:rPr>
          <w:rFonts w:hint="eastAsia" w:ascii="宋体" w:hAnsi="宋体" w:cs="宋体"/>
          <w:color w:val="auto"/>
          <w:szCs w:val="21"/>
          <w:highlight w:val="none"/>
        </w:rPr>
        <w:t>.1.2 试验设备</w:t>
      </w:r>
    </w:p>
    <w:p w14:paraId="4098344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施工现场需要配置的试验场所：</w:t>
      </w:r>
      <w:bookmarkEnd w:id="316"/>
      <w:bookmarkEnd w:id="317"/>
      <w:bookmarkEnd w:id="318"/>
      <w:bookmarkEnd w:id="319"/>
      <w:bookmarkEnd w:id="320"/>
      <w:bookmarkEnd w:id="321"/>
      <w:bookmarkEnd w:id="322"/>
      <w:bookmarkStart w:id="324" w:name="_Toc297216195"/>
      <w:bookmarkStart w:id="325" w:name="_Toc297123536"/>
      <w:bookmarkStart w:id="326" w:name="_Toc304295562"/>
      <w:bookmarkStart w:id="327" w:name="_Toc312677498"/>
      <w:bookmarkStart w:id="328" w:name="_Toc312678024"/>
      <w:bookmarkStart w:id="329" w:name="_Toc303539142"/>
      <w:bookmarkStart w:id="330" w:name="_Toc300934985"/>
      <w:r>
        <w:rPr>
          <w:rFonts w:hint="eastAsia" w:ascii="宋体" w:hAnsi="宋体" w:cs="宋体"/>
          <w:color w:val="auto"/>
          <w:szCs w:val="21"/>
          <w:highlight w:val="none"/>
          <w:u w:val="single"/>
        </w:rPr>
        <w:t>按国家、部委、广西壮族自治区、柳州市及发包人制定的相关规定执行</w:t>
      </w:r>
      <w:r>
        <w:rPr>
          <w:rFonts w:hint="eastAsia" w:ascii="宋体" w:hAnsi="宋体" w:cs="宋体"/>
          <w:color w:val="auto"/>
          <w:szCs w:val="21"/>
          <w:highlight w:val="none"/>
        </w:rPr>
        <w:t>。</w:t>
      </w:r>
    </w:p>
    <w:p w14:paraId="03D48AF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施工现场需要配备的试验设备：</w:t>
      </w:r>
      <w:r>
        <w:rPr>
          <w:rFonts w:hint="eastAsia" w:ascii="宋体" w:hAnsi="宋体" w:cs="宋体"/>
          <w:color w:val="auto"/>
          <w:szCs w:val="21"/>
          <w:highlight w:val="none"/>
          <w:u w:val="single"/>
        </w:rPr>
        <w:t>按国家、部委、广西壮族自治区、柳州市及发包人制定的相关规定执行</w:t>
      </w:r>
      <w:r>
        <w:rPr>
          <w:rFonts w:hint="eastAsia" w:ascii="宋体" w:hAnsi="宋体" w:cs="宋体"/>
          <w:color w:val="auto"/>
          <w:szCs w:val="21"/>
          <w:highlight w:val="none"/>
        </w:rPr>
        <w:t>。</w:t>
      </w:r>
    </w:p>
    <w:p w14:paraId="4F1D04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施工现场需要具备的其他试验条件：</w:t>
      </w:r>
      <w:r>
        <w:rPr>
          <w:rFonts w:hint="eastAsia" w:ascii="宋体" w:hAnsi="宋体" w:cs="宋体"/>
          <w:color w:val="auto"/>
          <w:szCs w:val="21"/>
          <w:highlight w:val="none"/>
          <w:u w:val="single"/>
          <w:lang w:val="en-US" w:eastAsia="zh-CN"/>
        </w:rPr>
        <w:t xml:space="preserve"> / </w:t>
      </w:r>
      <w:r>
        <w:rPr>
          <w:rFonts w:hint="eastAsia" w:ascii="宋体" w:hAnsi="宋体" w:cs="宋体"/>
          <w:color w:val="auto"/>
          <w:szCs w:val="21"/>
          <w:highlight w:val="none"/>
        </w:rPr>
        <w:t>。</w:t>
      </w:r>
    </w:p>
    <w:p w14:paraId="4F063B07">
      <w:pPr>
        <w:spacing w:after="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9.4 现场工艺试验</w:t>
      </w:r>
    </w:p>
    <w:p w14:paraId="271398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现场工艺试验的有关约定：</w:t>
      </w:r>
      <w:r>
        <w:rPr>
          <w:rFonts w:hint="eastAsia" w:ascii="宋体" w:hAnsi="宋体" w:cs="宋体"/>
          <w:color w:val="auto"/>
          <w:szCs w:val="21"/>
          <w:highlight w:val="none"/>
          <w:u w:val="single"/>
        </w:rPr>
        <w:t>按国家、部委、广西壮族自治区、柳州市及发包人制定的相关规定执行</w:t>
      </w:r>
      <w:r>
        <w:rPr>
          <w:rFonts w:hint="eastAsia" w:ascii="宋体" w:hAnsi="宋体" w:cs="宋体"/>
          <w:color w:val="auto"/>
          <w:szCs w:val="21"/>
          <w:highlight w:val="none"/>
        </w:rPr>
        <w:t>。</w:t>
      </w:r>
    </w:p>
    <w:bookmarkEnd w:id="323"/>
    <w:bookmarkEnd w:id="324"/>
    <w:bookmarkEnd w:id="325"/>
    <w:bookmarkEnd w:id="326"/>
    <w:bookmarkEnd w:id="327"/>
    <w:bookmarkEnd w:id="328"/>
    <w:bookmarkEnd w:id="329"/>
    <w:bookmarkEnd w:id="330"/>
    <w:p w14:paraId="0091205A">
      <w:pPr>
        <w:spacing w:line="360" w:lineRule="auto"/>
        <w:ind w:firstLine="420" w:firstLineChars="200"/>
        <w:jc w:val="left"/>
        <w:rPr>
          <w:rFonts w:hint="eastAsia" w:ascii="宋体" w:hAnsi="宋体" w:cs="宋体"/>
          <w:color w:val="auto"/>
          <w:szCs w:val="21"/>
          <w:highlight w:val="none"/>
          <w:lang w:val="en-US" w:eastAsia="zh-CN"/>
        </w:rPr>
      </w:pPr>
      <w:bookmarkStart w:id="331" w:name="_Toc351203642"/>
      <w:r>
        <w:rPr>
          <w:rFonts w:hint="eastAsia" w:ascii="宋体" w:hAnsi="宋体" w:cs="宋体"/>
          <w:color w:val="auto"/>
          <w:szCs w:val="21"/>
          <w:highlight w:val="none"/>
        </w:rPr>
        <w:t>9.5</w:t>
      </w:r>
      <w:r>
        <w:rPr>
          <w:rFonts w:hint="eastAsia" w:ascii="宋体" w:hAnsi="宋体" w:cs="宋体"/>
          <w:color w:val="auto"/>
          <w:szCs w:val="21"/>
          <w:highlight w:val="none"/>
          <w:lang w:val="en-US" w:eastAsia="zh-CN"/>
        </w:rPr>
        <w:t>检验费用</w:t>
      </w:r>
    </w:p>
    <w:p w14:paraId="2D75F6B2">
      <w:pPr>
        <w:tabs>
          <w:tab w:val="left" w:pos="50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建设工程质量检测管理办法》（建设部令第141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p w14:paraId="6632A45A">
      <w:pPr>
        <w:keepNext w:val="0"/>
        <w:keepLines w:val="0"/>
        <w:pageBreakBefore w:val="0"/>
        <w:widowControl w:val="0"/>
        <w:kinsoku/>
        <w:wordWrap/>
        <w:overflowPunct/>
        <w:topLinePunct w:val="0"/>
        <w:autoSpaceDE/>
        <w:autoSpaceDN/>
        <w:bidi w:val="0"/>
        <w:adjustRightInd/>
        <w:snapToGrid/>
        <w:spacing w:before="120" w:after="120"/>
        <w:ind w:firstLine="422" w:firstLineChars="200"/>
        <w:textAlignment w:val="auto"/>
        <w:outlineLvl w:val="9"/>
        <w:rPr>
          <w:rFonts w:ascii="宋体" w:hAnsi="宋体" w:cs="宋体"/>
          <w:b/>
          <w:bCs/>
          <w:color w:val="auto"/>
          <w:szCs w:val="21"/>
          <w:highlight w:val="none"/>
        </w:rPr>
      </w:pPr>
      <w:r>
        <w:rPr>
          <w:rFonts w:hint="eastAsia" w:ascii="宋体" w:hAnsi="宋体" w:cs="宋体"/>
          <w:b/>
          <w:bCs/>
          <w:color w:val="auto"/>
          <w:szCs w:val="21"/>
          <w:highlight w:val="none"/>
        </w:rPr>
        <w:t>1</w:t>
      </w:r>
      <w:bookmarkEnd w:id="297"/>
      <w:bookmarkEnd w:id="298"/>
      <w:bookmarkEnd w:id="299"/>
      <w:bookmarkEnd w:id="300"/>
      <w:bookmarkEnd w:id="301"/>
      <w:bookmarkEnd w:id="302"/>
      <w:bookmarkEnd w:id="303"/>
      <w:bookmarkEnd w:id="304"/>
      <w:bookmarkEnd w:id="305"/>
      <w:bookmarkEnd w:id="306"/>
      <w:bookmarkEnd w:id="307"/>
      <w:bookmarkEnd w:id="308"/>
      <w:bookmarkStart w:id="332" w:name="_Toc296891021"/>
      <w:bookmarkStart w:id="333" w:name="_Toc303539146"/>
      <w:bookmarkStart w:id="334" w:name="_Toc296346694"/>
      <w:bookmarkStart w:id="335" w:name="_Toc297216199"/>
      <w:bookmarkStart w:id="336" w:name="_Toc292559903"/>
      <w:bookmarkStart w:id="337" w:name="_Toc300934989"/>
      <w:bookmarkStart w:id="338" w:name="_Toc296891233"/>
      <w:bookmarkStart w:id="339" w:name="_Toc297048379"/>
      <w:bookmarkStart w:id="340" w:name="_Toc297120493"/>
      <w:bookmarkStart w:id="341" w:name="_Toc296347192"/>
      <w:bookmarkStart w:id="342" w:name="_Toc297123540"/>
      <w:bookmarkStart w:id="343" w:name="_Toc296503193"/>
      <w:bookmarkStart w:id="344" w:name="_Toc304295566"/>
      <w:bookmarkStart w:id="345" w:name="_Toc292559398"/>
      <w:bookmarkStart w:id="346" w:name="_Toc296944532"/>
      <w:bookmarkStart w:id="347" w:name="_Toc312677499"/>
      <w:bookmarkStart w:id="348" w:name="_Toc312678025"/>
      <w:bookmarkStart w:id="349" w:name="_Toc267251441"/>
      <w:bookmarkStart w:id="350" w:name="_Toc267251433"/>
      <w:bookmarkStart w:id="351" w:name="_Toc267251439"/>
      <w:bookmarkStart w:id="352" w:name="_Toc267251435"/>
      <w:bookmarkStart w:id="353" w:name="_Toc267251440"/>
      <w:bookmarkStart w:id="354" w:name="_Toc267251437"/>
      <w:bookmarkStart w:id="355" w:name="_Toc267251442"/>
      <w:r>
        <w:rPr>
          <w:rFonts w:hint="eastAsia" w:ascii="宋体" w:hAnsi="宋体" w:cs="宋体"/>
          <w:b/>
          <w:bCs/>
          <w:color w:val="auto"/>
          <w:szCs w:val="21"/>
          <w:highlight w:val="none"/>
        </w:rPr>
        <w:t>0.变更</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bookmarkEnd w:id="347"/>
    <w:bookmarkEnd w:id="348"/>
    <w:p w14:paraId="495F281E">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w:t>
      </w:r>
      <w:bookmarkStart w:id="356" w:name="_Toc304295567"/>
      <w:bookmarkStart w:id="357" w:name="_Toc296346695"/>
      <w:bookmarkStart w:id="358" w:name="_Toc297120494"/>
      <w:bookmarkStart w:id="359" w:name="_Toc303539147"/>
      <w:bookmarkStart w:id="360" w:name="_Toc296944533"/>
      <w:bookmarkStart w:id="361" w:name="_Toc312678026"/>
      <w:bookmarkStart w:id="362" w:name="_Toc300934990"/>
      <w:bookmarkStart w:id="363" w:name="_Toc297216200"/>
      <w:bookmarkStart w:id="364" w:name="_Toc297048380"/>
      <w:bookmarkStart w:id="365" w:name="_Toc297123541"/>
      <w:bookmarkStart w:id="366" w:name="_Toc296347193"/>
      <w:bookmarkStart w:id="367" w:name="_Toc296503194"/>
      <w:bookmarkStart w:id="368" w:name="_Toc292559904"/>
      <w:bookmarkStart w:id="369" w:name="_Toc296891022"/>
      <w:bookmarkStart w:id="370" w:name="_Toc312677500"/>
      <w:bookmarkStart w:id="371" w:name="_Toc292559399"/>
      <w:bookmarkStart w:id="372" w:name="_Toc296891234"/>
      <w:r>
        <w:rPr>
          <w:rFonts w:hint="eastAsia" w:ascii="宋体" w:hAnsi="宋体" w:cs="宋体"/>
          <w:b/>
          <w:color w:val="auto"/>
          <w:szCs w:val="21"/>
          <w:highlight w:val="none"/>
        </w:rPr>
        <w:t>0.1变更的范围</w:t>
      </w:r>
    </w:p>
    <w:p w14:paraId="2BE0D6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关于变更的范围的约定：</w:t>
      </w:r>
      <w:r>
        <w:rPr>
          <w:rFonts w:hint="eastAsia" w:ascii="宋体" w:hAnsi="宋体" w:cs="宋体"/>
          <w:color w:val="auto"/>
          <w:szCs w:val="21"/>
          <w:highlight w:val="none"/>
          <w:u w:val="single"/>
        </w:rPr>
        <w:t>按照通用合同条款中相对应的条款执行</w:t>
      </w:r>
      <w:r>
        <w:rPr>
          <w:rFonts w:hint="eastAsia" w:ascii="宋体" w:hAnsi="宋体" w:cs="宋体"/>
          <w:color w:val="auto"/>
          <w:szCs w:val="21"/>
          <w:highlight w:val="none"/>
        </w:rPr>
        <w:t>。</w:t>
      </w:r>
    </w:p>
    <w:p w14:paraId="0457D399">
      <w:pPr>
        <w:pStyle w:val="294"/>
        <w:keepNext/>
        <w:keepLines/>
        <w:pageBreakBefore w:val="0"/>
        <w:widowControl w:val="0"/>
        <w:kinsoku/>
        <w:wordWrap/>
        <w:overflowPunct/>
        <w:topLinePunct w:val="0"/>
        <w:autoSpaceDE/>
        <w:autoSpaceDN/>
        <w:bidi w:val="0"/>
        <w:adjustRightInd/>
        <w:snapToGrid/>
        <w:ind w:firstLine="422" w:firstLineChars="200"/>
        <w:textAlignment w:val="auto"/>
        <w:outlineLvl w:val="9"/>
        <w:rPr>
          <w:rFonts w:ascii="宋体" w:hAnsi="宋体" w:cs="宋体"/>
          <w:color w:val="auto"/>
          <w:sz w:val="21"/>
          <w:szCs w:val="21"/>
          <w:highlight w:val="none"/>
        </w:rPr>
      </w:pPr>
      <w:bookmarkStart w:id="373" w:name="_Toc511544767"/>
      <w:bookmarkStart w:id="374" w:name="_Toc27269"/>
      <w:bookmarkStart w:id="375" w:name="_Toc511544919"/>
      <w:bookmarkStart w:id="376" w:name="_Toc15669"/>
      <w:bookmarkStart w:id="377" w:name="_Toc406360343"/>
      <w:bookmarkStart w:id="378" w:name="_Toc30579"/>
      <w:bookmarkStart w:id="379" w:name="_Toc511574712"/>
      <w:bookmarkStart w:id="380" w:name="_Toc466038581"/>
      <w:bookmarkStart w:id="381" w:name="_Toc373743658"/>
      <w:r>
        <w:rPr>
          <w:rFonts w:hint="eastAsia" w:ascii="宋体" w:hAnsi="宋体" w:cs="宋体"/>
          <w:color w:val="auto"/>
          <w:sz w:val="21"/>
          <w:szCs w:val="21"/>
          <w:highlight w:val="none"/>
        </w:rPr>
        <w:t>10.3变更程序</w:t>
      </w:r>
      <w:bookmarkEnd w:id="373"/>
      <w:bookmarkEnd w:id="374"/>
      <w:bookmarkEnd w:id="375"/>
      <w:bookmarkEnd w:id="376"/>
      <w:bookmarkEnd w:id="377"/>
      <w:bookmarkEnd w:id="378"/>
      <w:bookmarkEnd w:id="379"/>
      <w:bookmarkEnd w:id="380"/>
      <w:bookmarkEnd w:id="381"/>
    </w:p>
    <w:p w14:paraId="57F47E8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10.3.1 国有投资项目：</w:t>
      </w:r>
    </w:p>
    <w:p w14:paraId="06D8EAF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⑴设计变更和工程签证，按各市政府或相关部门的规定办理。属不可抗力（自然灾害、突发事件等）造成变更的，按特事特办原则予以办理。</w:t>
      </w:r>
    </w:p>
    <w:p w14:paraId="707BE48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⑵建设单位在实施项目过程中，若发生单价变动，由发包人、承包人、监理或造价咨询等单位共同商定并签字确认。</w:t>
      </w:r>
    </w:p>
    <w:p w14:paraId="773837E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⑶当合同规定的合同价款调整情况发生后，承包人未在规定时间内通知发包人，或者未在规定时间内提出调整报告，发包人可以根据有关资料，决定是否调整和调整的金额，并书面通知承包人。</w:t>
      </w:r>
    </w:p>
    <w:p w14:paraId="59C3D20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10.3.2 非国有投资项目：</w:t>
      </w:r>
      <w:r>
        <w:rPr>
          <w:rFonts w:hint="eastAsia" w:ascii="宋体" w:hAnsi="宋体" w:cs="宋体"/>
          <w:color w:val="auto"/>
          <w:szCs w:val="21"/>
          <w:highlight w:val="none"/>
          <w:u w:val="single"/>
        </w:rPr>
        <w:t>参照国有投资项目执行</w:t>
      </w:r>
      <w:r>
        <w:rPr>
          <w:rFonts w:hint="eastAsia" w:ascii="宋体" w:hAnsi="宋体" w:cs="宋体"/>
          <w:color w:val="auto"/>
          <w:szCs w:val="21"/>
          <w:highlight w:val="none"/>
        </w:rPr>
        <w:t>。</w:t>
      </w:r>
    </w:p>
    <w:p w14:paraId="415F6DD2">
      <w:pPr>
        <w:spacing w:line="360" w:lineRule="auto"/>
        <w:jc w:val="left"/>
        <w:rPr>
          <w:rFonts w:ascii="宋体" w:hAnsi="宋体" w:cs="宋体"/>
          <w:b/>
          <w:color w:val="auto"/>
          <w:szCs w:val="21"/>
          <w:highlight w:val="none"/>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 xml:space="preserve"> 10.4 变更估价</w:t>
      </w:r>
    </w:p>
    <w:p w14:paraId="08FFA5F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10.4.1 变更估价原则</w:t>
      </w:r>
    </w:p>
    <w:p w14:paraId="3413A2AC">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关于变更估价的约定:</w:t>
      </w:r>
      <w:r>
        <w:rPr>
          <w:rFonts w:hint="eastAsia" w:ascii="宋体" w:hAnsi="宋体" w:cs="宋体"/>
          <w:color w:val="auto"/>
          <w:szCs w:val="21"/>
          <w:highlight w:val="none"/>
          <w:u w:val="single"/>
        </w:rPr>
        <w:t>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中标的投标报价(合同价格) /招标人发布的工程招标控制价(合同价格)】，□不乘下浮系数）计算，其中：材料设备价格按施工期间的《柳州市建设工程造价信息》相应信息价的加权平均值计算，《柳州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以上约定同时适用于招标工程量清单缺项以及工程量清单项目特征与图纸不符时的价款确定。</w:t>
      </w:r>
    </w:p>
    <w:p w14:paraId="0468D760">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工程变更导致实际完成的变更工程量与已标价清单或预算书中列明的该项目工程量有偏差时，其综合单价的确定按专用条款“1.13工程量清单错误的修正”执行。</w:t>
      </w:r>
    </w:p>
    <w:p w14:paraId="0FC27E82">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Start w:id="382" w:name="_Toc297120497"/>
      <w:bookmarkStart w:id="383" w:name="_Toc296347196"/>
      <w:bookmarkStart w:id="384" w:name="_Toc292559907"/>
      <w:bookmarkStart w:id="385" w:name="_Toc300934993"/>
      <w:bookmarkStart w:id="386" w:name="_Toc297048383"/>
      <w:bookmarkStart w:id="387" w:name="_Toc297216203"/>
      <w:bookmarkStart w:id="388" w:name="_Toc296891237"/>
      <w:bookmarkStart w:id="389" w:name="_Toc296503197"/>
      <w:bookmarkStart w:id="390" w:name="_Toc296944536"/>
      <w:bookmarkStart w:id="391" w:name="_Toc296346698"/>
      <w:bookmarkStart w:id="392" w:name="_Toc297123544"/>
      <w:bookmarkStart w:id="393" w:name="_Toc292559402"/>
      <w:bookmarkStart w:id="394" w:name="_Toc296891025"/>
      <w:bookmarkStart w:id="395" w:name="_Toc303539150"/>
      <w:bookmarkStart w:id="396" w:name="_Toc312678029"/>
      <w:bookmarkStart w:id="397" w:name="_Toc312677503"/>
      <w:bookmarkStart w:id="398" w:name="_Toc304295570"/>
      <w:r>
        <w:rPr>
          <w:rFonts w:hint="eastAsia" w:ascii="宋体" w:hAnsi="宋体" w:cs="宋体"/>
          <w:b/>
          <w:color w:val="auto"/>
          <w:szCs w:val="21"/>
          <w:highlight w:val="none"/>
        </w:rPr>
        <w:t>0.5承</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Start w:id="399" w:name="_Toc297123545"/>
      <w:bookmarkStart w:id="400" w:name="_Toc297048389"/>
      <w:bookmarkStart w:id="401" w:name="_Toc296347202"/>
      <w:bookmarkStart w:id="402" w:name="_Toc292559913"/>
      <w:bookmarkStart w:id="403" w:name="_Toc296891243"/>
      <w:bookmarkStart w:id="404" w:name="_Toc292559408"/>
      <w:bookmarkStart w:id="405" w:name="_Toc296944542"/>
      <w:bookmarkStart w:id="406" w:name="_Toc296503203"/>
      <w:bookmarkStart w:id="407" w:name="_Toc297120503"/>
      <w:bookmarkStart w:id="408" w:name="_Toc297216204"/>
      <w:bookmarkStart w:id="409" w:name="_Toc296891031"/>
      <w:bookmarkStart w:id="410" w:name="_Toc303539151"/>
      <w:bookmarkStart w:id="411" w:name="_Toc296346704"/>
      <w:bookmarkStart w:id="412" w:name="_Toc300934994"/>
      <w:r>
        <w:rPr>
          <w:rFonts w:hint="eastAsia" w:ascii="宋体" w:hAnsi="宋体" w:cs="宋体"/>
          <w:b/>
          <w:color w:val="auto"/>
          <w:szCs w:val="21"/>
          <w:highlight w:val="none"/>
        </w:rPr>
        <w:t>包人的合理化建议</w:t>
      </w:r>
    </w:p>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14:paraId="523CDE8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监理人审查承包人合理化建议的期限：</w:t>
      </w:r>
      <w:r>
        <w:rPr>
          <w:rFonts w:hint="eastAsia" w:ascii="宋体" w:hAnsi="宋体" w:cs="宋体"/>
          <w:color w:val="auto"/>
          <w:szCs w:val="21"/>
          <w:highlight w:val="none"/>
          <w:u w:val="single"/>
        </w:rPr>
        <w:t>从收到合理化建议书之日起</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天内</w:t>
      </w:r>
      <w:r>
        <w:rPr>
          <w:rFonts w:hint="eastAsia" w:ascii="宋体" w:hAnsi="宋体" w:cs="宋体"/>
          <w:color w:val="auto"/>
          <w:szCs w:val="21"/>
          <w:highlight w:val="none"/>
        </w:rPr>
        <w:t>。</w:t>
      </w:r>
    </w:p>
    <w:p w14:paraId="1C30803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ascii="宋体" w:hAnsi="宋体" w:cs="宋体"/>
          <w:color w:val="auto"/>
          <w:szCs w:val="21"/>
          <w:highlight w:val="none"/>
          <w:u w:val="single"/>
        </w:rPr>
        <w:t>从收到合理化建议书之日起</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天内</w:t>
      </w:r>
      <w:r>
        <w:rPr>
          <w:rFonts w:hint="eastAsia" w:ascii="宋体" w:hAnsi="宋体" w:cs="宋体"/>
          <w:color w:val="auto"/>
          <w:szCs w:val="21"/>
          <w:highlight w:val="none"/>
        </w:rPr>
        <w:t>。</w:t>
      </w:r>
    </w:p>
    <w:p w14:paraId="2471E2E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szCs w:val="21"/>
          <w:highlight w:val="none"/>
        </w:rPr>
      </w:pPr>
      <w:bookmarkStart w:id="413" w:name="_Toc296347203"/>
      <w:bookmarkStart w:id="414" w:name="_Toc292559409"/>
      <w:bookmarkStart w:id="415" w:name="_Toc296346705"/>
      <w:bookmarkStart w:id="416" w:name="_Toc297048390"/>
      <w:bookmarkStart w:id="417" w:name="_Toc297120504"/>
      <w:bookmarkStart w:id="418" w:name="_Toc296891032"/>
      <w:bookmarkStart w:id="419" w:name="_Toc303539152"/>
      <w:bookmarkStart w:id="420" w:name="_Toc297216205"/>
      <w:bookmarkStart w:id="421" w:name="_Toc312678030"/>
      <w:bookmarkStart w:id="422" w:name="_Toc292559914"/>
      <w:bookmarkStart w:id="423" w:name="_Toc304295571"/>
      <w:bookmarkStart w:id="424" w:name="_Toc300934995"/>
      <w:bookmarkStart w:id="425" w:name="_Toc296944543"/>
      <w:bookmarkStart w:id="426" w:name="_Toc296503204"/>
      <w:bookmarkStart w:id="427" w:name="_Toc297123546"/>
      <w:bookmarkStart w:id="428" w:name="_Toc296891244"/>
      <w:bookmarkStart w:id="429" w:name="_Toc312677504"/>
      <w:bookmarkStart w:id="430" w:name="_Toc318581175"/>
      <w:r>
        <w:rPr>
          <w:rFonts w:hint="eastAsia" w:ascii="宋体" w:hAnsi="宋体" w:cs="宋体"/>
          <w:color w:val="auto"/>
          <w:szCs w:val="21"/>
          <w:highlight w:val="none"/>
        </w:rPr>
        <w:t>承包人提出的合理化建议降低了合同价格或者提高了工程经济效益的奖励的方法和金额为：</w:t>
      </w:r>
      <w:r>
        <w:rPr>
          <w:rFonts w:hint="eastAsia" w:ascii="宋体" w:hAnsi="宋体" w:cs="宋体"/>
          <w:color w:val="auto"/>
          <w:szCs w:val="21"/>
          <w:highlight w:val="none"/>
          <w:u w:val="single"/>
        </w:rPr>
        <w:t>无</w:t>
      </w:r>
      <w:r>
        <w:rPr>
          <w:rFonts w:hint="eastAsia" w:ascii="宋体" w:hAnsi="宋体" w:cs="宋体"/>
          <w:color w:val="auto"/>
          <w:szCs w:val="21"/>
          <w:highlight w:val="none"/>
        </w:rPr>
        <w:t>。</w:t>
      </w:r>
    </w:p>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14:paraId="55B5C47C">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w:t>
      </w:r>
      <w:bookmarkStart w:id="431" w:name="_Toc292559909"/>
      <w:bookmarkStart w:id="432" w:name="_Toc312678033"/>
      <w:bookmarkStart w:id="433" w:name="_Toc292559404"/>
      <w:bookmarkStart w:id="434" w:name="_Toc296347198"/>
      <w:bookmarkStart w:id="435" w:name="_Toc296944538"/>
      <w:bookmarkStart w:id="436" w:name="_Toc303539154"/>
      <w:bookmarkStart w:id="437" w:name="_Toc304295574"/>
      <w:bookmarkStart w:id="438" w:name="_Toc297123548"/>
      <w:bookmarkStart w:id="439" w:name="_Toc296891027"/>
      <w:bookmarkStart w:id="440" w:name="_Toc297048385"/>
      <w:bookmarkStart w:id="441" w:name="_Toc296346700"/>
      <w:bookmarkStart w:id="442" w:name="_Toc312677507"/>
      <w:bookmarkStart w:id="443" w:name="_Toc296503199"/>
      <w:bookmarkStart w:id="444" w:name="_Toc300934997"/>
      <w:bookmarkStart w:id="445" w:name="_Toc297120499"/>
      <w:bookmarkStart w:id="446" w:name="_Toc296891239"/>
      <w:bookmarkStart w:id="447" w:name="_Toc297216207"/>
      <w:r>
        <w:rPr>
          <w:rFonts w:hint="eastAsia" w:ascii="宋体" w:hAnsi="宋体" w:cs="宋体"/>
          <w:b/>
          <w:color w:val="auto"/>
          <w:szCs w:val="21"/>
          <w:highlight w:val="none"/>
        </w:rPr>
        <w:t>0.7暂估价</w:t>
      </w:r>
    </w:p>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14:paraId="4FCB60E9">
      <w:pPr>
        <w:spacing w:line="360" w:lineRule="auto"/>
        <w:ind w:firstLine="420" w:firstLineChars="200"/>
        <w:jc w:val="left"/>
        <w:rPr>
          <w:rFonts w:ascii="宋体" w:hAnsi="宋体" w:cs="宋体"/>
          <w:color w:val="auto"/>
          <w:szCs w:val="21"/>
          <w:highlight w:val="none"/>
        </w:rPr>
      </w:pPr>
      <w:bookmarkStart w:id="448" w:name="_Toc312677508"/>
      <w:bookmarkStart w:id="449" w:name="_Toc312678034"/>
      <w:bookmarkStart w:id="450" w:name="_Toc318581176"/>
      <w:r>
        <w:rPr>
          <w:rFonts w:ascii="宋体" w:hAnsi="宋体" w:cs="宋体"/>
          <w:color w:val="auto"/>
          <w:szCs w:val="21"/>
          <w:highlight w:val="none"/>
          <w:lang w:val="en-US" w:eastAsia="zh-CN"/>
        </w:rPr>
        <w:t>暂估价材料和工程设备的明细详见已标价工程量清单《材料（工程设备）暂估价格及调整表》（表12-2）</w:t>
      </w:r>
      <w:r>
        <w:rPr>
          <w:rFonts w:hint="eastAsia" w:ascii="宋体" w:hAnsi="宋体" w:cs="宋体"/>
          <w:color w:val="auto"/>
          <w:szCs w:val="21"/>
          <w:highlight w:val="none"/>
          <w:lang w:val="en-US" w:eastAsia="zh-CN"/>
        </w:rPr>
        <w:t>和《专业工程暂估价表》（表 12-3）。</w:t>
      </w:r>
    </w:p>
    <w:bookmarkEnd w:id="448"/>
    <w:bookmarkEnd w:id="449"/>
    <w:bookmarkEnd w:id="450"/>
    <w:p w14:paraId="4B0CD87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bookmarkStart w:id="451" w:name="_Toc312677509"/>
      <w:bookmarkStart w:id="452" w:name="_Toc318581177"/>
      <w:bookmarkStart w:id="453" w:name="_Toc312678035"/>
      <w:r>
        <w:rPr>
          <w:rFonts w:hint="eastAsia" w:ascii="宋体" w:hAnsi="宋体" w:cs="宋体"/>
          <w:color w:val="auto"/>
          <w:szCs w:val="21"/>
          <w:highlight w:val="none"/>
        </w:rPr>
        <w:t>0.7.1 依法必须采购的暂估价项目</w:t>
      </w:r>
    </w:p>
    <w:bookmarkEnd w:id="451"/>
    <w:bookmarkEnd w:id="452"/>
    <w:bookmarkEnd w:id="453"/>
    <w:p w14:paraId="33000CC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对于依法必须招标的暂估价项目的确认和批准采取第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种方式确定。</w:t>
      </w:r>
    </w:p>
    <w:p w14:paraId="1A54182F">
      <w:pPr>
        <w:spacing w:line="360" w:lineRule="auto"/>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第2种方式：</w:t>
      </w:r>
      <w:r>
        <w:rPr>
          <w:rFonts w:hint="eastAsia" w:ascii="宋体" w:hAnsi="宋体" w:cs="宋体"/>
          <w:color w:val="auto"/>
          <w:szCs w:val="21"/>
          <w:highlight w:val="none"/>
        </w:rPr>
        <w:t>对于依法必须招标的暂估价项目，由发包人和承包人共同招标确定暂估价供应商或分包人的，承包人应按照施工进度计划，在招标工作启动(发出招标公告之日起)14 天前通知发包人，并提交暂估价招标方案和工作分工。发包人应在收到通知之日起 7 天内确认。确定中标人后，由承包人与中标人签订暂估价合同。</w:t>
      </w:r>
    </w:p>
    <w:p w14:paraId="497A833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10.7.2 不属于依法必须采购的暂估价项目</w:t>
      </w:r>
    </w:p>
    <w:p w14:paraId="39467A0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对于不属于依法必须招标的暂估价项目的确认和批准采取第</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种方式确定。</w:t>
      </w:r>
    </w:p>
    <w:p w14:paraId="25AB6F35">
      <w:pPr>
        <w:spacing w:line="360" w:lineRule="auto"/>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第3种方式：</w:t>
      </w:r>
      <w:r>
        <w:rPr>
          <w:rFonts w:hint="eastAsia" w:ascii="宋体" w:hAnsi="宋体" w:cs="宋体"/>
          <w:color w:val="auto"/>
          <w:szCs w:val="21"/>
          <w:highlight w:val="none"/>
        </w:rPr>
        <w:t>承包人直接实施的暂估价项目承包人直接实施的暂估价项目的约定：承包人直接实施的暂估价项目：由承包人根据工程资料、计量规则和计价方法、工程造价管理机构发布的信息价格和承包人报价浮动率（承包人报价浮动率L＝（1-中标价/招标控制价）×100%）提出暂估工程项目的单价，报发包方作为申报进度款的依据，最终以结算时审计审核为最终结果。</w:t>
      </w:r>
    </w:p>
    <w:p w14:paraId="28E2D47B">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10.8暂列金额</w:t>
      </w:r>
    </w:p>
    <w:p w14:paraId="44B808B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合同当事人关于暂列金额使用的约定：</w:t>
      </w:r>
      <w:r>
        <w:rPr>
          <w:rFonts w:hint="eastAsia" w:ascii="宋体" w:hAnsi="宋体" w:cs="宋体"/>
          <w:color w:val="auto"/>
          <w:kern w:val="0"/>
          <w:szCs w:val="21"/>
          <w:highlight w:val="none"/>
          <w:u w:val="single"/>
        </w:rPr>
        <w:t>按发包人的要求使用</w:t>
      </w:r>
      <w:r>
        <w:rPr>
          <w:rFonts w:hint="eastAsia" w:ascii="宋体" w:hAnsi="宋体" w:cs="宋体"/>
          <w:color w:val="auto"/>
          <w:kern w:val="0"/>
          <w:szCs w:val="21"/>
          <w:highlight w:val="none"/>
        </w:rPr>
        <w:t>。</w:t>
      </w:r>
    </w:p>
    <w:p w14:paraId="336BB78D">
      <w:pPr>
        <w:keepNext w:val="0"/>
        <w:keepLines w:val="0"/>
        <w:pageBreakBefore w:val="0"/>
        <w:widowControl w:val="0"/>
        <w:kinsoku/>
        <w:wordWrap/>
        <w:overflowPunct/>
        <w:topLinePunct w:val="0"/>
        <w:autoSpaceDE/>
        <w:autoSpaceDN/>
        <w:bidi w:val="0"/>
        <w:adjustRightInd/>
        <w:snapToGrid/>
        <w:spacing w:before="120" w:after="120"/>
        <w:ind w:firstLine="422" w:firstLineChars="200"/>
        <w:textAlignment w:val="auto"/>
        <w:outlineLvl w:val="9"/>
        <w:rPr>
          <w:rFonts w:ascii="宋体" w:hAnsi="宋体" w:cs="宋体"/>
          <w:b/>
          <w:bCs/>
          <w:color w:val="auto"/>
          <w:szCs w:val="21"/>
          <w:highlight w:val="none"/>
        </w:rPr>
      </w:pPr>
      <w:bookmarkStart w:id="454" w:name="_Toc351203643"/>
      <w:r>
        <w:rPr>
          <w:rFonts w:hint="eastAsia" w:ascii="宋体" w:hAnsi="宋体" w:cs="宋体"/>
          <w:b/>
          <w:bCs/>
          <w:color w:val="auto"/>
          <w:szCs w:val="21"/>
          <w:highlight w:val="none"/>
        </w:rPr>
        <w:t>11.价格调整</w:t>
      </w:r>
      <w:bookmarkEnd w:id="454"/>
    </w:p>
    <w:p w14:paraId="36CE8497">
      <w:pPr>
        <w:spacing w:after="120" w:line="360" w:lineRule="auto"/>
        <w:ind w:firstLine="422" w:firstLineChars="200"/>
        <w:rPr>
          <w:rFonts w:ascii="宋体" w:hAnsi="宋体" w:cs="宋体"/>
          <w:b/>
          <w:color w:val="auto"/>
          <w:szCs w:val="21"/>
          <w:highlight w:val="none"/>
        </w:rPr>
      </w:pPr>
      <w:bookmarkStart w:id="455" w:name="_Toc312678039"/>
      <w:bookmarkStart w:id="456" w:name="_Toc292559406"/>
      <w:bookmarkStart w:id="457" w:name="_Toc296346702"/>
      <w:bookmarkStart w:id="458" w:name="_Toc297123550"/>
      <w:bookmarkStart w:id="459" w:name="_Toc297048387"/>
      <w:bookmarkStart w:id="460" w:name="_Toc296944540"/>
      <w:bookmarkStart w:id="461" w:name="_Toc297120501"/>
      <w:bookmarkStart w:id="462" w:name="_Toc296891029"/>
      <w:bookmarkStart w:id="463" w:name="_Toc296891241"/>
      <w:bookmarkStart w:id="464" w:name="_Toc303539157"/>
      <w:bookmarkStart w:id="465" w:name="_Toc297216209"/>
      <w:bookmarkStart w:id="466" w:name="_Toc304295577"/>
      <w:bookmarkStart w:id="467" w:name="_Toc292559911"/>
      <w:bookmarkStart w:id="468" w:name="_Toc296347200"/>
      <w:bookmarkStart w:id="469" w:name="_Toc300935000"/>
      <w:bookmarkStart w:id="470" w:name="_Toc296503201"/>
      <w:r>
        <w:rPr>
          <w:rFonts w:hint="eastAsia" w:ascii="宋体" w:hAnsi="宋体" w:cs="宋体"/>
          <w:b/>
          <w:color w:val="auto"/>
          <w:szCs w:val="21"/>
          <w:highlight w:val="none"/>
        </w:rPr>
        <w:t>11.1市场价格波动引起的调整</w:t>
      </w:r>
    </w:p>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14:paraId="287869C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市场价格波动是否调整合同价格的约定：</w:t>
      </w:r>
      <w:r>
        <w:rPr>
          <w:rFonts w:hint="eastAsia" w:ascii="宋体" w:hAnsi="宋体" w:cs="宋体"/>
          <w:color w:val="auto"/>
          <w:kern w:val="0"/>
          <w:szCs w:val="21"/>
          <w:highlight w:val="none"/>
          <w:u w:val="single"/>
        </w:rPr>
        <w:t>非施工单位原因造成的主要材料价差在5%以内（含5%）的，由施工单位承担；超过5%部分的价差，由建设单位承担</w:t>
      </w:r>
      <w:r>
        <w:rPr>
          <w:rFonts w:hint="eastAsia" w:ascii="宋体" w:hAnsi="宋体" w:cs="宋体"/>
          <w:color w:val="auto"/>
          <w:szCs w:val="21"/>
          <w:highlight w:val="none"/>
          <w:u w:val="single"/>
        </w:rPr>
        <w:t>。</w:t>
      </w:r>
    </w:p>
    <w:p w14:paraId="3B9FF27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因市场价格波动调整合同价格，采用以下第</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种方式对合同价格进行调整：</w:t>
      </w:r>
    </w:p>
    <w:p w14:paraId="0DE52E5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第1种方式：采用价格指数进行价格调整。</w:t>
      </w:r>
    </w:p>
    <w:p w14:paraId="594718A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关于各可调因子、定值和变值权重，以及基本价格指数及其来源的约定：</w:t>
      </w:r>
      <w:r>
        <w:rPr>
          <w:rFonts w:hint="eastAsia" w:ascii="宋体" w:hAnsi="宋体" w:cs="宋体"/>
          <w:color w:val="auto"/>
          <w:szCs w:val="21"/>
          <w:highlight w:val="none"/>
          <w:u w:val="single"/>
        </w:rPr>
        <w:t>／</w:t>
      </w:r>
      <w:r>
        <w:rPr>
          <w:rFonts w:hint="eastAsia" w:ascii="宋体" w:hAnsi="宋体" w:cs="宋体"/>
          <w:color w:val="auto"/>
          <w:szCs w:val="21"/>
          <w:highlight w:val="none"/>
        </w:rPr>
        <w:t xml:space="preserve">；  </w:t>
      </w:r>
    </w:p>
    <w:p w14:paraId="1E63240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第2种方式：采用造价信息进行价格调整。</w:t>
      </w:r>
    </w:p>
    <w:p w14:paraId="21DCB915">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lang w:val="en-US" w:eastAsia="zh-CN"/>
        </w:rPr>
        <w:t>（1）允许调整主要材料和工程设备、基期价格、风险系数、投标报价详见《允许调整主要材料和工程</w:t>
      </w:r>
      <w:r>
        <w:rPr>
          <w:rFonts w:hint="eastAsia" w:ascii="宋体" w:hAnsi="宋体" w:cs="宋体"/>
          <w:color w:val="auto"/>
          <w:szCs w:val="21"/>
          <w:highlight w:val="none"/>
          <w:lang w:val="en-US" w:eastAsia="zh-CN"/>
        </w:rPr>
        <w:t>设备一览表》（表-22）,价差调整部分仅计算税金，除此表列明的材料、设备外，其余材料设备价差原则上不予调整。</w:t>
      </w:r>
    </w:p>
    <w:p w14:paraId="564A4F1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 xml:space="preserve">（2）主要材料和工程设备确认价： </w:t>
      </w:r>
    </w:p>
    <w:p w14:paraId="588A391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按施工期间《</w:t>
      </w:r>
      <w:r>
        <w:rPr>
          <w:rFonts w:hint="eastAsia" w:ascii="宋体" w:hAnsi="宋体" w:cs="宋体"/>
          <w:color w:val="auto"/>
          <w:szCs w:val="21"/>
          <w:highlight w:val="none"/>
          <w:u w:val="single"/>
          <w:lang w:val="en-US" w:eastAsia="zh-CN"/>
        </w:rPr>
        <w:t xml:space="preserve"> 柳州 </w:t>
      </w:r>
      <w:r>
        <w:rPr>
          <w:rFonts w:hint="eastAsia" w:ascii="宋体" w:hAnsi="宋体" w:cs="宋体"/>
          <w:color w:val="auto"/>
          <w:szCs w:val="21"/>
          <w:highlight w:val="none"/>
          <w:lang w:val="en-US" w:eastAsia="zh-CN"/>
        </w:rPr>
        <w:t>市建设工程造价信息》材料信息价的加权平均价计算，信息价没有的按通用条款规定确定。</w:t>
      </w:r>
    </w:p>
    <w:p w14:paraId="3F52003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（3）价差计算方法：</w:t>
      </w:r>
    </w:p>
    <w:p w14:paraId="035CC0B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①《允许调整主要材料和工程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14:paraId="012A5B5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②承包人在《允许调整主要材料和工程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58B910D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③承包人在《允许调整主要材料和工程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12CE6A9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第3种方式：</w:t>
      </w:r>
      <w:r>
        <w:rPr>
          <w:rFonts w:hint="eastAsia" w:ascii="宋体" w:hAnsi="宋体" w:cs="宋体"/>
          <w:color w:val="auto"/>
          <w:szCs w:val="21"/>
          <w:highlight w:val="none"/>
          <w:u w:val="single"/>
          <w:lang w:val="en-US" w:eastAsia="zh-CN"/>
        </w:rPr>
        <w:t xml:space="preserve"> / </w:t>
      </w:r>
      <w:r>
        <w:rPr>
          <w:rFonts w:hint="eastAsia" w:ascii="宋体" w:hAnsi="宋体" w:cs="宋体"/>
          <w:color w:val="auto"/>
          <w:szCs w:val="21"/>
          <w:highlight w:val="none"/>
          <w:lang w:val="en-US" w:eastAsia="zh-CN"/>
        </w:rPr>
        <w:t>。</w:t>
      </w:r>
    </w:p>
    <w:bookmarkEnd w:id="349"/>
    <w:bookmarkEnd w:id="350"/>
    <w:bookmarkEnd w:id="351"/>
    <w:bookmarkEnd w:id="352"/>
    <w:bookmarkEnd w:id="353"/>
    <w:bookmarkEnd w:id="354"/>
    <w:p w14:paraId="5CFF6E2F">
      <w:pPr>
        <w:keepNext w:val="0"/>
        <w:keepLines w:val="0"/>
        <w:pageBreakBefore w:val="0"/>
        <w:widowControl w:val="0"/>
        <w:kinsoku/>
        <w:wordWrap/>
        <w:overflowPunct/>
        <w:topLinePunct w:val="0"/>
        <w:autoSpaceDE/>
        <w:autoSpaceDN/>
        <w:bidi w:val="0"/>
        <w:adjustRightInd/>
        <w:snapToGrid/>
        <w:spacing w:before="120" w:after="120"/>
        <w:ind w:firstLine="422" w:firstLineChars="200"/>
        <w:textAlignment w:val="auto"/>
        <w:outlineLvl w:val="9"/>
        <w:rPr>
          <w:rFonts w:ascii="宋体" w:hAnsi="宋体" w:cs="宋体"/>
          <w:b/>
          <w:bCs/>
          <w:color w:val="auto"/>
          <w:szCs w:val="21"/>
          <w:highlight w:val="none"/>
        </w:rPr>
      </w:pPr>
      <w:bookmarkStart w:id="471" w:name="_Toc296891245"/>
      <w:bookmarkStart w:id="472" w:name="_Toc296891033"/>
      <w:bookmarkStart w:id="473" w:name="_Toc292559410"/>
      <w:bookmarkStart w:id="474" w:name="_Toc297048391"/>
      <w:bookmarkStart w:id="475" w:name="_Toc296346706"/>
      <w:bookmarkStart w:id="476" w:name="_Toc296944544"/>
      <w:bookmarkStart w:id="477" w:name="_Toc296347204"/>
      <w:bookmarkStart w:id="478" w:name="_Toc292559915"/>
      <w:bookmarkStart w:id="479" w:name="_Toc297120505"/>
      <w:bookmarkStart w:id="480" w:name="_Toc296503205"/>
      <w:bookmarkStart w:id="481" w:name="_Toc351203644"/>
      <w:bookmarkStart w:id="482" w:name="_Toc297123552"/>
      <w:bookmarkStart w:id="483" w:name="_Toc303539159"/>
      <w:bookmarkStart w:id="484" w:name="_Toc304295579"/>
      <w:bookmarkStart w:id="485" w:name="_Toc300935002"/>
      <w:bookmarkStart w:id="486" w:name="_Toc312678040"/>
      <w:bookmarkStart w:id="487" w:name="_Toc297216211"/>
      <w:r>
        <w:rPr>
          <w:rFonts w:hint="eastAsia" w:ascii="宋体" w:hAnsi="宋体" w:cs="宋体"/>
          <w:b/>
          <w:bCs/>
          <w:color w:val="auto"/>
          <w:szCs w:val="21"/>
          <w:highlight w:val="none"/>
        </w:rPr>
        <w:t>12.</w:t>
      </w:r>
      <w:bookmarkEnd w:id="471"/>
      <w:bookmarkEnd w:id="472"/>
      <w:bookmarkEnd w:id="473"/>
      <w:bookmarkEnd w:id="474"/>
      <w:bookmarkEnd w:id="475"/>
      <w:bookmarkEnd w:id="476"/>
      <w:bookmarkEnd w:id="477"/>
      <w:bookmarkEnd w:id="478"/>
      <w:bookmarkEnd w:id="479"/>
      <w:bookmarkEnd w:id="480"/>
      <w:r>
        <w:rPr>
          <w:rFonts w:hint="eastAsia" w:ascii="宋体" w:hAnsi="宋体" w:cs="宋体"/>
          <w:b/>
          <w:bCs/>
          <w:color w:val="auto"/>
          <w:szCs w:val="21"/>
          <w:highlight w:val="none"/>
        </w:rPr>
        <w:t>合同价格、计量与支付</w:t>
      </w:r>
      <w:bookmarkEnd w:id="481"/>
    </w:p>
    <w:bookmarkEnd w:id="482"/>
    <w:bookmarkEnd w:id="483"/>
    <w:bookmarkEnd w:id="484"/>
    <w:bookmarkEnd w:id="485"/>
    <w:bookmarkEnd w:id="486"/>
    <w:bookmarkEnd w:id="487"/>
    <w:p w14:paraId="0586A586">
      <w:pPr>
        <w:spacing w:line="360" w:lineRule="auto"/>
        <w:ind w:firstLine="422" w:firstLineChars="200"/>
        <w:jc w:val="left"/>
        <w:rPr>
          <w:rFonts w:ascii="宋体" w:hAnsi="宋体" w:cs="宋体"/>
          <w:b/>
          <w:color w:val="auto"/>
          <w:szCs w:val="21"/>
          <w:highlight w:val="none"/>
        </w:rPr>
      </w:pPr>
      <w:bookmarkStart w:id="488" w:name="_Toc292559916"/>
      <w:bookmarkStart w:id="489" w:name="_Toc292559411"/>
      <w:bookmarkStart w:id="490" w:name="_Toc267251461"/>
      <w:bookmarkStart w:id="491" w:name="_Toc296503206"/>
      <w:bookmarkStart w:id="492" w:name="_Toc296346707"/>
      <w:bookmarkStart w:id="493" w:name="_Toc296891246"/>
      <w:bookmarkStart w:id="494" w:name="_Toc296347205"/>
      <w:bookmarkStart w:id="495" w:name="_Toc297048392"/>
      <w:bookmarkStart w:id="496" w:name="_Toc296944545"/>
      <w:bookmarkStart w:id="497" w:name="_Toc297120506"/>
      <w:bookmarkStart w:id="498" w:name="_Toc296891034"/>
      <w:bookmarkStart w:id="499" w:name="_Toc303539160"/>
      <w:bookmarkStart w:id="500" w:name="_Toc304295580"/>
      <w:bookmarkStart w:id="501" w:name="_Toc300935003"/>
      <w:bookmarkStart w:id="502" w:name="_Toc312678041"/>
      <w:bookmarkStart w:id="503" w:name="_Toc297216212"/>
      <w:bookmarkStart w:id="504" w:name="_Toc297123553"/>
      <w:r>
        <w:rPr>
          <w:rFonts w:hint="eastAsia" w:ascii="宋体" w:hAnsi="宋体" w:cs="宋体"/>
          <w:b/>
          <w:color w:val="auto"/>
          <w:szCs w:val="21"/>
          <w:highlight w:val="none"/>
        </w:rPr>
        <w:t>12.1 合</w:t>
      </w:r>
      <w:bookmarkEnd w:id="488"/>
      <w:bookmarkEnd w:id="489"/>
      <w:bookmarkEnd w:id="490"/>
      <w:r>
        <w:rPr>
          <w:rFonts w:hint="eastAsia" w:ascii="宋体" w:hAnsi="宋体" w:cs="宋体"/>
          <w:b/>
          <w:color w:val="auto"/>
          <w:szCs w:val="21"/>
          <w:highlight w:val="none"/>
        </w:rPr>
        <w:t>同价</w:t>
      </w:r>
      <w:bookmarkEnd w:id="491"/>
      <w:bookmarkEnd w:id="492"/>
      <w:bookmarkEnd w:id="493"/>
      <w:bookmarkEnd w:id="494"/>
      <w:bookmarkEnd w:id="495"/>
      <w:bookmarkEnd w:id="496"/>
      <w:bookmarkEnd w:id="497"/>
      <w:bookmarkEnd w:id="498"/>
      <w:r>
        <w:rPr>
          <w:rFonts w:hint="eastAsia" w:ascii="宋体" w:hAnsi="宋体" w:cs="宋体"/>
          <w:b/>
          <w:color w:val="auto"/>
          <w:szCs w:val="21"/>
          <w:highlight w:val="none"/>
        </w:rPr>
        <w:t>格形式</w:t>
      </w:r>
    </w:p>
    <w:bookmarkEnd w:id="499"/>
    <w:bookmarkEnd w:id="500"/>
    <w:bookmarkEnd w:id="501"/>
    <w:bookmarkEnd w:id="502"/>
    <w:bookmarkEnd w:id="503"/>
    <w:bookmarkEnd w:id="504"/>
    <w:p w14:paraId="22F6DAFE">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本工程采用</w:t>
      </w:r>
      <w:r>
        <w:rPr>
          <w:rFonts w:hint="eastAsia" w:ascii="宋体" w:hAnsi="宋体" w:cs="宋体"/>
          <w:color w:val="auto"/>
          <w:szCs w:val="21"/>
          <w:highlight w:val="none"/>
          <w:u w:val="single"/>
        </w:rPr>
        <w:t xml:space="preserve"> （1） 单价 </w:t>
      </w:r>
      <w:r>
        <w:rPr>
          <w:rFonts w:hint="eastAsia" w:ascii="宋体" w:hAnsi="宋体" w:cs="宋体"/>
          <w:color w:val="auto"/>
          <w:szCs w:val="21"/>
          <w:highlight w:val="none"/>
        </w:rPr>
        <w:t>合同价格形式，合同价格包含增值税，本工程计价时采用的增值税计税方法为：☑一般计税法 □简易计税法。</w:t>
      </w:r>
    </w:p>
    <w:p w14:paraId="5F98413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（1）单价合同。</w:t>
      </w:r>
    </w:p>
    <w:p w14:paraId="60643BA9">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采用综合单价合同方式时，工程量按建设单位、监理单位、施工单位三方确认的竣工图结算。</w:t>
      </w:r>
    </w:p>
    <w:p w14:paraId="1625B71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综合单价包含的风险范围：除工程变更、项目特征不符、工程量清单缺项、工程量偏差、政策性调整、市场价格波动。</w:t>
      </w:r>
    </w:p>
    <w:p w14:paraId="11A1D05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p>
    <w:p w14:paraId="6786D2B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①工程变更、项目特征不符、工程量清单缺项：按10.4.1变更估价原则的约定调整。</w:t>
      </w:r>
    </w:p>
    <w:p w14:paraId="752CA2CF">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②工程量偏差：按1.13工程量清单错误修正的约定调整。</w:t>
      </w:r>
    </w:p>
    <w:p w14:paraId="5BC9335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③政策性调整：按国家、自治区住房城乡建设厅或工程所在地市级住房城乡建设主管部门颁布的文件执行。</w:t>
      </w:r>
    </w:p>
    <w:p w14:paraId="172C6B5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④市场波动引起的调整：按11.1的约定调整。</w:t>
      </w:r>
    </w:p>
    <w:p w14:paraId="4CEE670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⑤其它：</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3902A3A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（2）总价合同。</w:t>
      </w:r>
    </w:p>
    <w:p w14:paraId="0814177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总价包含的风险范围：</w:t>
      </w:r>
      <w:r>
        <w:rPr>
          <w:rFonts w:hint="eastAsia" w:ascii="宋体" w:hAnsi="宋体" w:cs="宋体"/>
          <w:color w:val="auto"/>
          <w:szCs w:val="21"/>
          <w:highlight w:val="none"/>
          <w:u w:val="single"/>
        </w:rPr>
        <w:t>包含除工程变更、政策性调整、市场价格波动。除工程变更外，结算时不再对招标施工图对应的工程量重新计量</w:t>
      </w:r>
      <w:r>
        <w:rPr>
          <w:rFonts w:hint="eastAsia" w:ascii="宋体" w:hAnsi="宋体" w:cs="宋体"/>
          <w:color w:val="auto"/>
          <w:szCs w:val="21"/>
          <w:highlight w:val="none"/>
        </w:rPr>
        <w:t>。</w:t>
      </w:r>
    </w:p>
    <w:p w14:paraId="49D1512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风险范围以外合同价格的调整方法：</w:t>
      </w:r>
    </w:p>
    <w:p w14:paraId="2F9D6D1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①工程变更：按10.4.1变更估价原则的约定调整。</w:t>
      </w:r>
    </w:p>
    <w:p w14:paraId="127EEFF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②政策性调整：按国家、自治区住房城乡建设厅或工程所在地市级住房城乡建设主管部门颁布的文件执行。</w:t>
      </w:r>
    </w:p>
    <w:p w14:paraId="75EF5953">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③市场波动引起的调整：按11.1的约定调整。</w:t>
      </w:r>
    </w:p>
    <w:p w14:paraId="614F661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 其它：</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7363518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50B396D0">
      <w:pPr>
        <w:spacing w:after="120" w:line="360" w:lineRule="auto"/>
        <w:ind w:firstLine="422" w:firstLineChars="200"/>
        <w:rPr>
          <w:rFonts w:ascii="宋体" w:hAnsi="宋体" w:cs="宋体"/>
          <w:b/>
          <w:color w:val="auto"/>
          <w:szCs w:val="21"/>
          <w:highlight w:val="none"/>
        </w:rPr>
      </w:pPr>
      <w:bookmarkStart w:id="505" w:name="_Toc303539161"/>
      <w:bookmarkStart w:id="506" w:name="_Toc297123554"/>
      <w:bookmarkStart w:id="507" w:name="_Toc297216213"/>
      <w:bookmarkStart w:id="508" w:name="_Toc312678042"/>
      <w:bookmarkStart w:id="509" w:name="_Toc304295581"/>
      <w:bookmarkStart w:id="510" w:name="_Toc300935004"/>
      <w:bookmarkStart w:id="511" w:name="_Toc292559917"/>
      <w:bookmarkStart w:id="512" w:name="_Toc296346708"/>
      <w:bookmarkStart w:id="513" w:name="_Toc296347206"/>
      <w:bookmarkStart w:id="514" w:name="_Toc292559412"/>
      <w:bookmarkStart w:id="515" w:name="_Toc296503207"/>
      <w:bookmarkStart w:id="516" w:name="_Toc296944546"/>
      <w:bookmarkStart w:id="517" w:name="_Toc296891035"/>
      <w:bookmarkStart w:id="518" w:name="_Toc296891247"/>
      <w:bookmarkStart w:id="519" w:name="_Toc297048393"/>
      <w:bookmarkStart w:id="520" w:name="_Toc297120507"/>
      <w:r>
        <w:rPr>
          <w:rFonts w:hint="eastAsia" w:ascii="宋体" w:hAnsi="宋体" w:cs="宋体"/>
          <w:b/>
          <w:color w:val="auto"/>
          <w:szCs w:val="21"/>
          <w:highlight w:val="none"/>
        </w:rPr>
        <w:t>12.2 预付款</w:t>
      </w:r>
    </w:p>
    <w:bookmarkEnd w:id="505"/>
    <w:bookmarkEnd w:id="506"/>
    <w:bookmarkEnd w:id="507"/>
    <w:bookmarkEnd w:id="508"/>
    <w:bookmarkEnd w:id="509"/>
    <w:bookmarkEnd w:id="510"/>
    <w:p w14:paraId="1B650E8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12.2.1 预付款的支付</w:t>
      </w:r>
    </w:p>
    <w:p w14:paraId="7DB05DD0">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预付款支付比例或金额：</w:t>
      </w:r>
      <w:r>
        <w:rPr>
          <w:rFonts w:hint="eastAsia" w:ascii="宋体" w:hAnsi="宋体" w:cs="宋体"/>
          <w:color w:val="auto"/>
          <w:szCs w:val="21"/>
          <w:highlight w:val="none"/>
          <w:u w:val="single"/>
          <w:lang w:val="en-US" w:eastAsia="zh-CN"/>
        </w:rPr>
        <w:t>甲方</w:t>
      </w:r>
      <w:r>
        <w:rPr>
          <w:rFonts w:hint="eastAsia" w:ascii="宋体" w:hAnsi="宋体" w:cs="宋体"/>
          <w:color w:val="auto"/>
          <w:szCs w:val="21"/>
          <w:highlight w:val="none"/>
          <w:u w:val="single"/>
        </w:rPr>
        <w:t>在</w:t>
      </w:r>
      <w:r>
        <w:rPr>
          <w:rFonts w:hint="eastAsia" w:ascii="宋体" w:hAnsi="宋体" w:cs="宋体"/>
          <w:color w:val="auto"/>
          <w:szCs w:val="21"/>
          <w:highlight w:val="none"/>
          <w:u w:val="single"/>
          <w:lang w:val="en-US" w:eastAsia="zh-CN"/>
        </w:rPr>
        <w:t>乙方</w:t>
      </w:r>
      <w:r>
        <w:rPr>
          <w:rFonts w:hint="eastAsia" w:ascii="宋体" w:hAnsi="宋体" w:cs="宋体"/>
          <w:color w:val="auto"/>
          <w:szCs w:val="21"/>
          <w:highlight w:val="none"/>
          <w:u w:val="single"/>
        </w:rPr>
        <w:t>进场并具备开工建设条件后，</w:t>
      </w:r>
      <w:r>
        <w:rPr>
          <w:rFonts w:hint="eastAsia" w:ascii="宋体" w:hAnsi="宋体" w:cs="宋体"/>
          <w:color w:val="auto"/>
          <w:szCs w:val="21"/>
          <w:highlight w:val="none"/>
          <w:u w:val="single"/>
          <w:lang w:val="en-US" w:eastAsia="zh-CN"/>
        </w:rPr>
        <w:t>甲方</w:t>
      </w:r>
      <w:r>
        <w:rPr>
          <w:rFonts w:hint="eastAsia" w:ascii="宋体" w:hAnsi="宋体" w:cs="宋体"/>
          <w:color w:val="auto"/>
          <w:szCs w:val="21"/>
          <w:highlight w:val="none"/>
          <w:u w:val="single"/>
        </w:rPr>
        <w:t>按合同价款的30%支付工程预付款，预付款在第一次进度款支付时全额扣除</w:t>
      </w:r>
      <w:r>
        <w:rPr>
          <w:rFonts w:hint="eastAsia" w:ascii="宋体" w:hAnsi="宋体" w:cs="宋体"/>
          <w:color w:val="auto"/>
          <w:szCs w:val="21"/>
          <w:highlight w:val="none"/>
        </w:rPr>
        <w:t>。</w:t>
      </w:r>
    </w:p>
    <w:p w14:paraId="56F0C45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12.2.2 预付款担保</w:t>
      </w:r>
    </w:p>
    <w:p w14:paraId="3821203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承包人提交预付款担保的期限：</w:t>
      </w:r>
      <w:r>
        <w:rPr>
          <w:rFonts w:hint="eastAsia" w:ascii="宋体" w:hAnsi="宋体" w:cs="宋体"/>
          <w:color w:val="auto"/>
          <w:szCs w:val="21"/>
          <w:highlight w:val="none"/>
          <w:u w:val="single"/>
        </w:rPr>
        <w:t>不实行预付款担保</w:t>
      </w:r>
      <w:r>
        <w:rPr>
          <w:rFonts w:hint="eastAsia" w:ascii="宋体" w:hAnsi="宋体" w:cs="宋体"/>
          <w:color w:val="auto"/>
          <w:szCs w:val="21"/>
          <w:highlight w:val="none"/>
        </w:rPr>
        <w:t>。</w:t>
      </w:r>
    </w:p>
    <w:p w14:paraId="23A68B9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预付款担保的形式为：</w:t>
      </w:r>
      <w:r>
        <w:rPr>
          <w:rFonts w:hint="eastAsia" w:ascii="宋体" w:hAnsi="宋体" w:cs="宋体"/>
          <w:color w:val="auto"/>
          <w:szCs w:val="21"/>
          <w:highlight w:val="none"/>
          <w:u w:val="single"/>
        </w:rPr>
        <w:t>不实行预付款担保</w:t>
      </w:r>
      <w:r>
        <w:rPr>
          <w:rFonts w:hint="eastAsia" w:ascii="宋体" w:hAnsi="宋体" w:cs="宋体"/>
          <w:color w:val="auto"/>
          <w:szCs w:val="21"/>
          <w:highlight w:val="none"/>
        </w:rPr>
        <w:t>。</w:t>
      </w:r>
    </w:p>
    <w:bookmarkEnd w:id="511"/>
    <w:bookmarkEnd w:id="512"/>
    <w:bookmarkEnd w:id="513"/>
    <w:bookmarkEnd w:id="514"/>
    <w:bookmarkEnd w:id="515"/>
    <w:bookmarkEnd w:id="516"/>
    <w:bookmarkEnd w:id="517"/>
    <w:bookmarkEnd w:id="518"/>
    <w:bookmarkEnd w:id="519"/>
    <w:bookmarkEnd w:id="520"/>
    <w:p w14:paraId="5452927B">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12.3 计量</w:t>
      </w:r>
    </w:p>
    <w:p w14:paraId="33B0A1B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12.3.1 计量原则</w:t>
      </w:r>
    </w:p>
    <w:p w14:paraId="48DE346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工程量计算规则：</w:t>
      </w:r>
      <w:r>
        <w:rPr>
          <w:rFonts w:hint="eastAsia" w:ascii="宋体" w:hAnsi="宋体" w:cs="宋体"/>
          <w:color w:val="auto"/>
          <w:szCs w:val="21"/>
          <w:highlight w:val="none"/>
          <w:u w:val="single"/>
        </w:rPr>
        <w:t>工程的计量均以《建设工程工程量清单计价规范》（GB50500－2013）及广西壮族自治区实施细则、《建设工程工程量清单计算规范》（GB50854~50862－2013）及广西实施细则、本工程补充项目清单为准。</w:t>
      </w:r>
    </w:p>
    <w:p w14:paraId="1EB1F5D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12.3.2 计量周期</w:t>
      </w:r>
    </w:p>
    <w:p w14:paraId="6770BFB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关于计量周期的约定：</w:t>
      </w:r>
      <w:r>
        <w:rPr>
          <w:rFonts w:hint="eastAsia" w:ascii="宋体" w:hAnsi="宋体" w:cs="宋体"/>
          <w:color w:val="auto"/>
          <w:szCs w:val="21"/>
          <w:highlight w:val="none"/>
          <w:u w:val="single"/>
        </w:rPr>
        <w:t>每月2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日前</w:t>
      </w:r>
      <w:r>
        <w:rPr>
          <w:rFonts w:hint="eastAsia" w:ascii="宋体" w:hAnsi="宋体" w:cs="宋体"/>
          <w:color w:val="auto"/>
          <w:szCs w:val="21"/>
          <w:highlight w:val="none"/>
        </w:rPr>
        <w:t>。</w:t>
      </w:r>
    </w:p>
    <w:p w14:paraId="230CD5E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12.3.3 单价合同的计量</w:t>
      </w:r>
    </w:p>
    <w:p w14:paraId="1C2B1CF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关于单价合同计量的约定：</w:t>
      </w:r>
    </w:p>
    <w:p w14:paraId="43F2D142">
      <w:pPr>
        <w:spacing w:line="360" w:lineRule="auto"/>
        <w:ind w:firstLine="420" w:firstLineChars="200"/>
        <w:jc w:val="left"/>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(1)工程量清单所列的工程量，不能作为承包人按合同履行其责任依据，实际施工中发生的工程量增加或减少并不影响承包人履行合同的责任，工程结算以完成的实际工程量为准。</w:t>
      </w:r>
    </w:p>
    <w:p w14:paraId="73CBB2F6">
      <w:pPr>
        <w:spacing w:line="360" w:lineRule="auto"/>
        <w:ind w:firstLine="420" w:firstLineChars="200"/>
        <w:jc w:val="left"/>
        <w:rPr>
          <w:rFonts w:ascii="宋体" w:hAnsi="宋体" w:cs="宋体"/>
          <w:b w:val="0"/>
          <w:bCs/>
          <w:color w:val="auto"/>
          <w:szCs w:val="21"/>
          <w:highlight w:val="none"/>
          <w:u w:val="single"/>
        </w:rPr>
      </w:pPr>
      <w:r>
        <w:rPr>
          <w:rFonts w:hint="eastAsia" w:ascii="宋体" w:hAnsi="宋体" w:cs="宋体"/>
          <w:b w:val="0"/>
          <w:bCs/>
          <w:color w:val="auto"/>
          <w:szCs w:val="21"/>
          <w:highlight w:val="none"/>
          <w:u w:val="single"/>
        </w:rPr>
        <w:t>(2)除另有规定外，工程师应按照合同通过计量来核实确定已完成的工程量和价款，承包人应得到该价款扣除保留金后的金额。当工程师要对已完工的工程量进行计量时，应适时地通知承包人参加。</w:t>
      </w:r>
    </w:p>
    <w:p w14:paraId="166C9DC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12.3.4 总价合同的计量</w:t>
      </w:r>
    </w:p>
    <w:p w14:paraId="034FE3F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关于总价合同计量的约定：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932F8F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12.3.5总价合同采用支付分解表计量支付的，是否适用第</w:t>
      </w:r>
      <w:r>
        <w:rPr>
          <w:rFonts w:hint="eastAsia" w:ascii="宋体" w:hAnsi="宋体" w:cs="宋体"/>
          <w:color w:val="auto"/>
          <w:kern w:val="0"/>
          <w:szCs w:val="21"/>
          <w:highlight w:val="none"/>
        </w:rPr>
        <w:t>12.3.4</w:t>
      </w:r>
      <w:r>
        <w:rPr>
          <w:rFonts w:hint="eastAsia" w:ascii="宋体" w:hAnsi="宋体" w:cs="宋体"/>
          <w:color w:val="auto"/>
          <w:szCs w:val="21"/>
          <w:highlight w:val="none"/>
        </w:rPr>
        <w:t>项</w:t>
      </w:r>
      <w:r>
        <w:rPr>
          <w:rFonts w:hint="eastAsia" w:ascii="宋体" w:hAnsi="宋体" w:cs="宋体"/>
          <w:color w:val="auto"/>
          <w:kern w:val="0"/>
          <w:szCs w:val="21"/>
          <w:highlight w:val="none"/>
        </w:rPr>
        <w:t>〔总价合同的计量〕</w:t>
      </w:r>
      <w:r>
        <w:rPr>
          <w:rFonts w:hint="eastAsia" w:ascii="宋体" w:hAnsi="宋体" w:cs="宋体"/>
          <w:color w:val="auto"/>
          <w:szCs w:val="21"/>
          <w:highlight w:val="none"/>
        </w:rPr>
        <w:t>约定进行计量：</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7819B02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12.3.6 其他价格形式合同的计量</w:t>
      </w:r>
    </w:p>
    <w:p w14:paraId="2BE6CF7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其他价格形式的计量方式和程序：</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4CBC752B">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12.4 工程进度款支付</w:t>
      </w:r>
    </w:p>
    <w:p w14:paraId="3DB4A4DA">
      <w:pPr>
        <w:spacing w:line="360" w:lineRule="auto"/>
        <w:ind w:firstLine="420" w:firstLineChars="200"/>
        <w:jc w:val="left"/>
        <w:rPr>
          <w:rFonts w:ascii="宋体" w:hAnsi="宋体" w:cs="宋体"/>
          <w:color w:val="auto"/>
          <w:szCs w:val="21"/>
          <w:highlight w:val="none"/>
        </w:rPr>
      </w:pPr>
      <w:bookmarkStart w:id="521" w:name="_Toc300935006"/>
      <w:bookmarkStart w:id="522" w:name="_Toc296503211"/>
      <w:bookmarkStart w:id="523" w:name="_Toc297048397"/>
      <w:bookmarkStart w:id="524" w:name="_Toc297216215"/>
      <w:bookmarkStart w:id="525" w:name="_Toc296944550"/>
      <w:bookmarkStart w:id="526" w:name="_Toc296347210"/>
      <w:bookmarkStart w:id="527" w:name="_Toc296891039"/>
      <w:bookmarkStart w:id="528" w:name="_Toc297120511"/>
      <w:bookmarkStart w:id="529" w:name="_Toc296346712"/>
      <w:bookmarkStart w:id="530" w:name="_Toc303539163"/>
      <w:bookmarkStart w:id="531" w:name="_Toc292559921"/>
      <w:bookmarkStart w:id="532" w:name="_Toc297123556"/>
      <w:bookmarkStart w:id="533" w:name="_Toc292559416"/>
      <w:bookmarkStart w:id="534" w:name="_Toc296891251"/>
      <w:r>
        <w:rPr>
          <w:rFonts w:hint="eastAsia" w:ascii="宋体" w:hAnsi="宋体" w:cs="宋体"/>
          <w:color w:val="auto"/>
          <w:szCs w:val="21"/>
          <w:highlight w:val="none"/>
        </w:rPr>
        <w:t>12.4.1 付款周期</w:t>
      </w:r>
    </w:p>
    <w:p w14:paraId="4B98DBE4">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关于付款周期的约定：</w:t>
      </w:r>
      <w:r>
        <w:rPr>
          <w:rFonts w:hint="eastAsia" w:ascii="宋体" w:hAnsi="宋体" w:cs="宋体"/>
          <w:color w:val="auto"/>
          <w:szCs w:val="21"/>
          <w:highlight w:val="none"/>
          <w:u w:val="single"/>
        </w:rPr>
        <w:t>工程竣工验收合格后，支付至工程合同价的80%；工程竣工验收达到质量要求，完成移交手续并把相关竣工备案资料移交给</w:t>
      </w:r>
      <w:r>
        <w:rPr>
          <w:rFonts w:hint="eastAsia" w:ascii="宋体" w:hAnsi="宋体" w:cs="宋体"/>
          <w:color w:val="auto"/>
          <w:szCs w:val="21"/>
          <w:highlight w:val="none"/>
          <w:u w:val="single"/>
          <w:lang w:val="en-US" w:eastAsia="zh-CN"/>
        </w:rPr>
        <w:t>甲方</w:t>
      </w:r>
      <w:r>
        <w:rPr>
          <w:rFonts w:hint="eastAsia" w:ascii="宋体" w:hAnsi="宋体" w:cs="宋体"/>
          <w:color w:val="auto"/>
          <w:szCs w:val="21"/>
          <w:highlight w:val="none"/>
          <w:u w:val="single"/>
        </w:rPr>
        <w:t>，结算审核结束且经财政投资评审中心（或第三方审核机构）审定后，工程款支付至结算总价的97%；</w:t>
      </w:r>
      <w:r>
        <w:rPr>
          <w:rFonts w:hint="eastAsia" w:ascii="宋体" w:hAnsi="宋体" w:cs="宋体"/>
          <w:color w:val="auto"/>
          <w:szCs w:val="21"/>
          <w:highlight w:val="none"/>
          <w:u w:val="single"/>
          <w:lang w:val="en-US" w:eastAsia="zh-CN"/>
        </w:rPr>
        <w:t>甲方</w:t>
      </w:r>
      <w:r>
        <w:rPr>
          <w:rFonts w:hint="eastAsia" w:ascii="宋体" w:hAnsi="宋体" w:cs="宋体"/>
          <w:color w:val="auto"/>
          <w:szCs w:val="21"/>
          <w:highlight w:val="none"/>
          <w:u w:val="single"/>
        </w:rPr>
        <w:t>预留工程价款结算总额的3%作为质量保证金，工程质保期满后，无质量问题，</w:t>
      </w:r>
      <w:r>
        <w:rPr>
          <w:rFonts w:hint="eastAsia" w:ascii="宋体" w:hAnsi="宋体" w:cs="宋体"/>
          <w:color w:val="auto"/>
          <w:szCs w:val="21"/>
          <w:highlight w:val="none"/>
          <w:u w:val="single"/>
          <w:lang w:val="en-US" w:eastAsia="zh-CN"/>
        </w:rPr>
        <w:t>甲方</w:t>
      </w:r>
      <w:r>
        <w:rPr>
          <w:rFonts w:hint="eastAsia" w:ascii="宋体" w:hAnsi="宋体" w:cs="宋体"/>
          <w:color w:val="auto"/>
          <w:szCs w:val="21"/>
          <w:highlight w:val="none"/>
          <w:u w:val="single"/>
        </w:rPr>
        <w:t>根据</w:t>
      </w:r>
      <w:r>
        <w:rPr>
          <w:rFonts w:hint="eastAsia" w:ascii="宋体" w:hAnsi="宋体" w:cs="宋体"/>
          <w:color w:val="auto"/>
          <w:szCs w:val="21"/>
          <w:highlight w:val="none"/>
          <w:u w:val="single"/>
          <w:lang w:val="en-US" w:eastAsia="zh-CN"/>
        </w:rPr>
        <w:t>乙方</w:t>
      </w:r>
      <w:r>
        <w:rPr>
          <w:rFonts w:hint="eastAsia" w:ascii="宋体" w:hAnsi="宋体" w:cs="宋体"/>
          <w:color w:val="auto"/>
          <w:szCs w:val="21"/>
          <w:highlight w:val="none"/>
          <w:u w:val="single"/>
        </w:rPr>
        <w:t>的工程质量保证金申请支付证书返还工程质量保证金。</w:t>
      </w:r>
    </w:p>
    <w:p w14:paraId="59D45C8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12.4.2 进度付款申请单的编制</w:t>
      </w:r>
    </w:p>
    <w:p w14:paraId="49D040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关于进度付款申请单编制的约定：发包人批准格式填写的工程款支付申请表(一式六份)及其附件(一式四份)，附件为计量计算资料和质量保证资料。</w:t>
      </w:r>
    </w:p>
    <w:p w14:paraId="75B3E92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r>
        <w:rPr>
          <w:rFonts w:hint="eastAsia" w:ascii="宋体" w:hAnsi="宋体" w:cs="宋体"/>
          <w:color w:val="auto"/>
          <w:szCs w:val="21"/>
          <w:highlight w:val="none"/>
        </w:rPr>
        <w:t>2.4.3 进度付款申请单的提交</w:t>
      </w:r>
    </w:p>
    <w:p w14:paraId="0D88DA77">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（1）单价合同进度付款申请单提交的约定：</w:t>
      </w:r>
      <w:r>
        <w:rPr>
          <w:rFonts w:hint="eastAsia" w:ascii="宋体" w:hAnsi="宋体" w:cs="宋体"/>
          <w:color w:val="auto"/>
          <w:szCs w:val="21"/>
          <w:highlight w:val="none"/>
          <w:u w:val="single"/>
        </w:rPr>
        <w:t>承包人应在每个节点完成后向总监理工程师提交由其项目经理签署的按发包人要求的格式填写的工程款支付申请表。</w:t>
      </w:r>
    </w:p>
    <w:p w14:paraId="374C464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（2）总价合同进度付款申请单提交的约定：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EA0317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（3）其他价格形式合同进度付款申请单提交的约定：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14:paraId="15B2638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12.4.4 进度款审核和支付</w:t>
      </w:r>
    </w:p>
    <w:p w14:paraId="152F16D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（1）监理人审查并报送发包人的期限：</w:t>
      </w:r>
      <w:r>
        <w:rPr>
          <w:rFonts w:hint="eastAsia" w:ascii="宋体" w:hAnsi="宋体" w:cs="宋体"/>
          <w:color w:val="auto"/>
          <w:szCs w:val="21"/>
          <w:highlight w:val="none"/>
          <w:u w:val="single"/>
        </w:rPr>
        <w:t>在收到承包人支付申请之日起7天内，总监理工程师完成计量审核。</w:t>
      </w:r>
    </w:p>
    <w:p w14:paraId="143A71F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发包人完成审批并签发进度款支付证书的期限：</w:t>
      </w:r>
      <w:r>
        <w:rPr>
          <w:rFonts w:hint="eastAsia" w:ascii="宋体" w:hAnsi="宋体" w:cs="宋体"/>
          <w:color w:val="auto"/>
          <w:szCs w:val="21"/>
          <w:highlight w:val="none"/>
          <w:u w:val="single"/>
        </w:rPr>
        <w:t>发包人应在收到总监理工程师签署的工程款支付证书之日起7天内完成计量审核</w:t>
      </w:r>
      <w:r>
        <w:rPr>
          <w:rFonts w:hint="eastAsia" w:ascii="宋体" w:hAnsi="宋体" w:cs="宋体"/>
          <w:color w:val="auto"/>
          <w:szCs w:val="21"/>
          <w:highlight w:val="none"/>
        </w:rPr>
        <w:t>。</w:t>
      </w:r>
    </w:p>
    <w:p w14:paraId="40C00CA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（2）发包人支付进度款的期限：</w:t>
      </w:r>
      <w:r>
        <w:rPr>
          <w:rFonts w:hint="eastAsia" w:ascii="宋体" w:hAnsi="宋体" w:cs="宋体"/>
          <w:color w:val="auto"/>
          <w:szCs w:val="21"/>
          <w:highlight w:val="none"/>
          <w:u w:val="single"/>
        </w:rPr>
        <w:t>计量审核完成之日起 15 天内</w:t>
      </w:r>
      <w:r>
        <w:rPr>
          <w:rFonts w:hint="eastAsia" w:ascii="宋体" w:hAnsi="宋体" w:cs="宋体"/>
          <w:color w:val="auto"/>
          <w:szCs w:val="21"/>
          <w:highlight w:val="none"/>
        </w:rPr>
        <w:t>。</w:t>
      </w:r>
    </w:p>
    <w:p w14:paraId="3A28C8CF">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发包人逾期支付进度款的违约金的计算方式：</w:t>
      </w:r>
      <w:r>
        <w:rPr>
          <w:rFonts w:hint="eastAsia" w:ascii="宋体" w:hAnsi="宋体" w:cs="宋体"/>
          <w:color w:val="auto"/>
          <w:szCs w:val="21"/>
          <w:highlight w:val="none"/>
          <w:u w:val="single"/>
          <w:lang w:val="en-US" w:eastAsia="zh-CN"/>
        </w:rPr>
        <w:t>另行协商</w:t>
      </w:r>
      <w:r>
        <w:rPr>
          <w:rFonts w:hint="eastAsia" w:ascii="宋体" w:hAnsi="宋体" w:cs="宋体"/>
          <w:color w:val="auto"/>
          <w:szCs w:val="21"/>
          <w:highlight w:val="none"/>
        </w:rPr>
        <w:t>。</w:t>
      </w:r>
    </w:p>
    <w:p w14:paraId="2C9BE5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进度款支付方式：</w:t>
      </w:r>
      <w:r>
        <w:rPr>
          <w:rFonts w:hint="eastAsia"/>
          <w:color w:val="auto"/>
          <w:highlight w:val="none"/>
          <w:u w:val="single"/>
        </w:rPr>
        <w:t>银行转账</w:t>
      </w:r>
      <w:r>
        <w:rPr>
          <w:rFonts w:hint="eastAsia"/>
          <w:color w:val="auto"/>
          <w:highlight w:val="none"/>
        </w:rPr>
        <w:t>。进度款支付申请（核准）表见合同附件11。</w:t>
      </w:r>
    </w:p>
    <w:p w14:paraId="192B57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color w:val="auto"/>
          <w:highlight w:val="none"/>
          <w:lang w:val="en-US" w:eastAsia="zh-CN"/>
        </w:rPr>
        <w:t>（3）农民工工资支付</w:t>
      </w:r>
    </w:p>
    <w:p w14:paraId="70A9EB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lang w:val="en-US" w:eastAsia="zh-CN"/>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4DCCEA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lang w:val="en-US" w:eastAsia="zh-CN"/>
        </w:rPr>
        <w:t>2）人工费应应与工程进度款分帐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帐出来的人工费转入承包人农民工工资支付专用账户，转入农民工工资支付专用账户环节必须有银行流水凭证。</w:t>
      </w:r>
    </w:p>
    <w:p w14:paraId="1098E3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lang w:val="en-US" w:eastAsia="zh-CN"/>
        </w:rPr>
        <w:t>3）发包人依据工程进度，审核承包人申报的工程进度款，按照与承包人约定的人工费支付比例20%（房建项目不少于20%，市政项目不少于15%），将人工费及时足额拨付至承包人的农民工工资专用账户，其余工程进度款项由发包人支付到承包人的单位基本户。</w:t>
      </w:r>
    </w:p>
    <w:p w14:paraId="5747D1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lang w:val="en-US" w:eastAsia="zh-CN"/>
        </w:rPr>
        <w:t>4）工程建设领域总包单位对农民工工资支付负总责，推行分包单位农民工工资委托总包单位代发制度（以下简称总包代发制度）。工程建设项目施行总包代发制度的，总包单位与分包单位签订委托工资支付协议。</w:t>
      </w:r>
    </w:p>
    <w:p w14:paraId="7FBCE6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lang w:val="en-US" w:eastAsia="zh-CN"/>
        </w:rPr>
        <w:t>5）凡未向付款单位提供农民工工资专用账户的，或者请款单位在申请工程进度款时未将人工费单列的，付款单位有权拒绝支付工程进度款。</w:t>
      </w:r>
    </w:p>
    <w:p w14:paraId="51A428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lang w:val="en-US" w:eastAsia="zh-CN"/>
        </w:rPr>
        <w:t>6）人工费使用要求：专款专用，除发放农民工工资外，不得用于其他用途。</w:t>
      </w:r>
    </w:p>
    <w:p w14:paraId="43114C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lang w:val="en-US" w:eastAsia="zh-CN"/>
        </w:rPr>
        <w:t>7）承包人将人工费支付情况定期报告发包人和监理单位，并提供相应的材料接受建设行政主管部门和劳动保障行政主管部门对此事项监管。</w:t>
      </w:r>
    </w:p>
    <w:p w14:paraId="1FC158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lang w:val="en-US" w:eastAsia="zh-CN"/>
        </w:rPr>
        <w:t>8）人工费支付专用账户：××××公司农民工工资支付专用账户。账号：</w:t>
      </w:r>
      <w:r>
        <w:rPr>
          <w:rFonts w:hint="eastAsia"/>
          <w:color w:val="auto"/>
          <w:highlight w:val="none"/>
          <w:u w:val="single"/>
          <w:lang w:val="en-US" w:eastAsia="zh-CN"/>
        </w:rPr>
        <w:t xml:space="preserve">          </w:t>
      </w:r>
      <w:r>
        <w:rPr>
          <w:rFonts w:hint="eastAsia"/>
          <w:color w:val="auto"/>
          <w:highlight w:val="none"/>
          <w:lang w:val="en-US" w:eastAsia="zh-CN"/>
        </w:rPr>
        <w:t>。</w:t>
      </w:r>
    </w:p>
    <w:p w14:paraId="34DF6868">
      <w:pPr>
        <w:rPr>
          <w:color w:val="auto"/>
          <w:highlight w:val="none"/>
        </w:rPr>
      </w:pPr>
    </w:p>
    <w:p w14:paraId="4474BC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12.4.6 支付分解表的编制</w:t>
      </w:r>
    </w:p>
    <w:p w14:paraId="5D03E0D4">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lang w:val="en-US" w:eastAsia="zh-CN"/>
        </w:rPr>
        <w:t>（1）总价合同支付分解表的编制与审批：</w:t>
      </w:r>
      <w:r>
        <w:rPr>
          <w:rFonts w:ascii="宋体" w:hAnsi="宋体" w:cs="宋体"/>
          <w:color w:val="auto"/>
          <w:szCs w:val="21"/>
          <w:highlight w:val="none"/>
          <w:u w:val="single"/>
          <w:lang w:val="en-US" w:eastAsia="zh-CN"/>
        </w:rPr>
        <w:t>总价合同支付分分解表在招标完成后由发包人和承包人</w:t>
      </w:r>
      <w:r>
        <w:rPr>
          <w:rFonts w:hint="eastAsia" w:ascii="宋体" w:hAnsi="宋体" w:cs="宋体"/>
          <w:color w:val="auto"/>
          <w:szCs w:val="21"/>
          <w:highlight w:val="none"/>
          <w:u w:val="single"/>
          <w:lang w:val="en-US" w:eastAsia="zh-CN"/>
        </w:rPr>
        <w:t>共同编制，发包人审批，并作为本合同内容，具体详见合同附件14</w:t>
      </w:r>
      <w:r>
        <w:rPr>
          <w:rFonts w:hint="eastAsia" w:ascii="宋体" w:hAnsi="宋体" w:cs="宋体"/>
          <w:color w:val="auto"/>
          <w:szCs w:val="21"/>
          <w:highlight w:val="none"/>
          <w:lang w:val="en-US" w:eastAsia="zh-CN"/>
        </w:rPr>
        <w:t>。</w:t>
      </w:r>
    </w:p>
    <w:p w14:paraId="73E103C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（2）单价合同的总价项目支付分解表的编制与审批：总价项目不采用支付分解表的方式计算，而按《建设工程工程量清单计价规范（GB50500-2013）广西壮族自治区实施细则》的规定执行。</w:t>
      </w:r>
    </w:p>
    <w:bookmarkEnd w:id="355"/>
    <w:p w14:paraId="43103F0E">
      <w:pPr>
        <w:keepNext w:val="0"/>
        <w:keepLines w:val="0"/>
        <w:pageBreakBefore w:val="0"/>
        <w:widowControl w:val="0"/>
        <w:kinsoku/>
        <w:wordWrap/>
        <w:overflowPunct/>
        <w:topLinePunct w:val="0"/>
        <w:autoSpaceDE/>
        <w:autoSpaceDN/>
        <w:bidi w:val="0"/>
        <w:adjustRightInd/>
        <w:snapToGrid/>
        <w:spacing w:before="120" w:after="120"/>
        <w:ind w:firstLine="422" w:firstLineChars="200"/>
        <w:textAlignment w:val="auto"/>
        <w:outlineLvl w:val="9"/>
        <w:rPr>
          <w:rFonts w:ascii="宋体" w:hAnsi="宋体" w:cs="宋体"/>
          <w:b/>
          <w:bCs/>
          <w:color w:val="auto"/>
          <w:szCs w:val="21"/>
          <w:highlight w:val="none"/>
        </w:rPr>
      </w:pPr>
      <w:bookmarkStart w:id="535" w:name="_Toc351203645"/>
      <w:bookmarkStart w:id="536" w:name="_Toc297123564"/>
      <w:bookmarkStart w:id="537" w:name="_Toc296891259"/>
      <w:bookmarkStart w:id="538" w:name="_Toc296346720"/>
      <w:bookmarkStart w:id="539" w:name="_Toc292559929"/>
      <w:bookmarkStart w:id="540" w:name="_Toc296944558"/>
      <w:bookmarkStart w:id="541" w:name="_Toc312678053"/>
      <w:bookmarkStart w:id="542" w:name="_Toc297120519"/>
      <w:bookmarkStart w:id="543" w:name="_Toc296891047"/>
      <w:bookmarkStart w:id="544" w:name="_Toc292559424"/>
      <w:bookmarkStart w:id="545" w:name="_Toc297216223"/>
      <w:bookmarkStart w:id="546" w:name="_Toc303539172"/>
      <w:bookmarkStart w:id="547" w:name="_Toc297048405"/>
      <w:bookmarkStart w:id="548" w:name="_Toc296347218"/>
      <w:bookmarkStart w:id="549" w:name="_Toc304295593"/>
      <w:bookmarkStart w:id="550" w:name="_Toc300935015"/>
      <w:bookmarkStart w:id="551" w:name="_Toc296503219"/>
      <w:r>
        <w:rPr>
          <w:rFonts w:hint="eastAsia" w:ascii="宋体" w:hAnsi="宋体" w:cs="宋体"/>
          <w:b/>
          <w:bCs/>
          <w:color w:val="auto"/>
          <w:szCs w:val="21"/>
          <w:highlight w:val="none"/>
        </w:rPr>
        <w:t>13.验收和工程试车</w:t>
      </w:r>
      <w:bookmarkEnd w:id="535"/>
    </w:p>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14:paraId="1EBFFDCC">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13.1 分部分项工程验收</w:t>
      </w:r>
    </w:p>
    <w:p w14:paraId="5173682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13.1.2监理人不能按时进行验收时，应提前</w:t>
      </w:r>
      <w:r>
        <w:rPr>
          <w:rFonts w:hint="eastAsia" w:ascii="宋体" w:hAnsi="宋体" w:cs="宋体"/>
          <w:color w:val="auto"/>
          <w:szCs w:val="21"/>
          <w:highlight w:val="none"/>
          <w:u w:val="single"/>
        </w:rPr>
        <w:t xml:space="preserve"> 24 </w:t>
      </w:r>
      <w:r>
        <w:rPr>
          <w:rFonts w:hint="eastAsia" w:ascii="宋体" w:hAnsi="宋体" w:cs="宋体"/>
          <w:color w:val="auto"/>
          <w:szCs w:val="21"/>
          <w:highlight w:val="none"/>
        </w:rPr>
        <w:t>小时提交书面延期要求。</w:t>
      </w:r>
    </w:p>
    <w:p w14:paraId="1E6EBBC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48 </w:t>
      </w:r>
      <w:r>
        <w:rPr>
          <w:rFonts w:hint="eastAsia" w:ascii="宋体" w:hAnsi="宋体" w:cs="宋体"/>
          <w:color w:val="auto"/>
          <w:szCs w:val="21"/>
          <w:highlight w:val="none"/>
        </w:rPr>
        <w:t>小时。</w:t>
      </w:r>
    </w:p>
    <w:p w14:paraId="23B9AB22">
      <w:pPr>
        <w:spacing w:after="120" w:line="360" w:lineRule="auto"/>
        <w:ind w:firstLine="422" w:firstLineChars="200"/>
        <w:rPr>
          <w:rFonts w:ascii="宋体" w:hAnsi="宋体" w:cs="宋体"/>
          <w:b/>
          <w:color w:val="auto"/>
          <w:szCs w:val="21"/>
          <w:highlight w:val="none"/>
        </w:rPr>
      </w:pPr>
      <w:bookmarkStart w:id="552" w:name="_Toc292559933"/>
      <w:bookmarkStart w:id="553" w:name="_Toc312678056"/>
      <w:bookmarkStart w:id="554" w:name="_Toc296891051"/>
      <w:bookmarkStart w:id="555" w:name="_Toc300935016"/>
      <w:bookmarkStart w:id="556" w:name="_Toc292559428"/>
      <w:bookmarkStart w:id="557" w:name="_Toc296891263"/>
      <w:bookmarkStart w:id="558" w:name="_Toc296347222"/>
      <w:bookmarkStart w:id="559" w:name="_Toc297216224"/>
      <w:bookmarkStart w:id="560" w:name="_Toc297123565"/>
      <w:bookmarkStart w:id="561" w:name="_Toc297120523"/>
      <w:bookmarkStart w:id="562" w:name="_Toc296944562"/>
      <w:bookmarkStart w:id="563" w:name="_Toc297048409"/>
      <w:bookmarkStart w:id="564" w:name="_Toc304295596"/>
      <w:bookmarkStart w:id="565" w:name="_Toc296346724"/>
      <w:bookmarkStart w:id="566" w:name="_Toc296503223"/>
      <w:bookmarkStart w:id="567" w:name="_Toc303539173"/>
      <w:bookmarkStart w:id="568" w:name="_Toc267251475"/>
      <w:bookmarkStart w:id="569" w:name="_Toc267251473"/>
      <w:bookmarkStart w:id="570" w:name="_Toc267251472"/>
      <w:bookmarkStart w:id="571" w:name="_Toc267251471"/>
      <w:bookmarkStart w:id="572" w:name="_Toc267251474"/>
      <w:bookmarkStart w:id="573" w:name="_Toc267251476"/>
      <w:bookmarkStart w:id="574" w:name="_Toc267251470"/>
      <w:r>
        <w:rPr>
          <w:rFonts w:hint="eastAsia" w:ascii="宋体" w:hAnsi="宋体" w:cs="宋体"/>
          <w:b/>
          <w:color w:val="auto"/>
          <w:szCs w:val="21"/>
          <w:highlight w:val="none"/>
        </w:rPr>
        <w:t>13.2 竣工验收</w:t>
      </w:r>
    </w:p>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14:paraId="54414653">
      <w:pPr>
        <w:spacing w:line="360" w:lineRule="auto"/>
        <w:ind w:firstLine="420" w:firstLineChars="200"/>
        <w:jc w:val="left"/>
        <w:rPr>
          <w:rFonts w:hint="eastAsia" w:ascii="宋体" w:hAnsi="宋体" w:cs="宋体"/>
          <w:color w:val="auto"/>
          <w:szCs w:val="21"/>
          <w:highlight w:val="none"/>
        </w:rPr>
      </w:pPr>
      <w:bookmarkStart w:id="575" w:name="_Toc280868704"/>
      <w:bookmarkStart w:id="576" w:name="_Toc280868705"/>
      <w:bookmarkStart w:id="577" w:name="_Toc280868706"/>
      <w:bookmarkStart w:id="578" w:name="_Toc280868707"/>
      <w:bookmarkStart w:id="579" w:name="_Toc280868708"/>
      <w:bookmarkStart w:id="580" w:name="_Toc280868709"/>
      <w:r>
        <w:rPr>
          <w:rFonts w:hint="eastAsia" w:ascii="宋体" w:hAnsi="宋体" w:cs="宋体"/>
          <w:color w:val="auto"/>
          <w:szCs w:val="21"/>
          <w:highlight w:val="none"/>
        </w:rPr>
        <w:t>13.2.1 竣工验收条件</w:t>
      </w:r>
    </w:p>
    <w:p w14:paraId="44007ECB">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 承包人负责整理和提交的竣工验收资料应当符合工程所在地建设行政主管部门有关施工资料的要求，具体内容包括：</w:t>
      </w:r>
      <w:r>
        <w:rPr>
          <w:rFonts w:hint="eastAsia" w:ascii="宋体" w:hAnsi="宋体" w:cs="宋体"/>
          <w:color w:val="auto"/>
          <w:szCs w:val="21"/>
          <w:highlight w:val="none"/>
          <w:u w:val="single"/>
        </w:rPr>
        <w:t>按《建设工程文件归档整理规范》GB/T50328-2014 要求提供</w:t>
      </w:r>
      <w:r>
        <w:rPr>
          <w:rFonts w:hint="eastAsia" w:ascii="宋体" w:hAnsi="宋体" w:cs="宋体"/>
          <w:color w:val="auto"/>
          <w:szCs w:val="21"/>
          <w:highlight w:val="none"/>
        </w:rPr>
        <w:t>。</w:t>
      </w:r>
    </w:p>
    <w:p w14:paraId="511409BD">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竣工验收资料的份数：</w:t>
      </w:r>
      <w:r>
        <w:rPr>
          <w:rFonts w:hint="eastAsia" w:ascii="宋体" w:hAnsi="宋体" w:cs="宋体"/>
          <w:color w:val="auto"/>
          <w:szCs w:val="21"/>
          <w:highlight w:val="none"/>
          <w:u w:val="single"/>
        </w:rPr>
        <w:t>四套</w:t>
      </w:r>
      <w:r>
        <w:rPr>
          <w:rFonts w:hint="eastAsia" w:ascii="宋体" w:hAnsi="宋体" w:cs="宋体"/>
          <w:color w:val="auto"/>
          <w:szCs w:val="21"/>
          <w:highlight w:val="none"/>
        </w:rPr>
        <w:t>。</w:t>
      </w:r>
    </w:p>
    <w:p w14:paraId="64548F1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承包人提供竣工图的约定：</w:t>
      </w:r>
      <w:r>
        <w:rPr>
          <w:rFonts w:hint="eastAsia" w:ascii="宋体" w:hAnsi="宋体" w:cs="宋体"/>
          <w:color w:val="auto"/>
          <w:szCs w:val="21"/>
          <w:highlight w:val="none"/>
          <w:u w:val="single"/>
        </w:rPr>
        <w:t>竣工验收正式通过后5天（工程造价在500万元以下含500万元）、10天（工程造价在500万元至1000万元之间含1000万元）、15天（工程造价在1000万元以上），提供竣工图的数量分别为2套、4套、6套。</w:t>
      </w:r>
    </w:p>
    <w:p w14:paraId="113DE4F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13.2.2竣工验收程序</w:t>
      </w:r>
    </w:p>
    <w:bookmarkEnd w:id="575"/>
    <w:p w14:paraId="434B6274">
      <w:pPr>
        <w:spacing w:line="360" w:lineRule="auto"/>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关于竣工验收程序的约定：</w:t>
      </w:r>
      <w:r>
        <w:rPr>
          <w:rFonts w:hint="eastAsia" w:ascii="宋体" w:hAnsi="宋体" w:cs="宋体"/>
          <w:color w:val="auto"/>
          <w:kern w:val="0"/>
          <w:szCs w:val="21"/>
          <w:highlight w:val="none"/>
          <w:u w:val="single"/>
        </w:rPr>
        <w:t>按通用条款</w:t>
      </w:r>
      <w:r>
        <w:rPr>
          <w:rFonts w:hint="eastAsia" w:ascii="宋体" w:hAnsi="宋体" w:cs="宋体"/>
          <w:color w:val="auto"/>
          <w:kern w:val="0"/>
          <w:szCs w:val="21"/>
          <w:highlight w:val="none"/>
          <w:lang w:val="en-US" w:eastAsia="zh-CN"/>
        </w:rPr>
        <w:t>。</w:t>
      </w:r>
    </w:p>
    <w:p w14:paraId="07745CAA">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发包人不按照本项约定组织竣工验收、颁发工程接收证书的违约金的计算方法：</w:t>
      </w:r>
      <w:bookmarkEnd w:id="576"/>
      <w:r>
        <w:rPr>
          <w:rFonts w:hint="eastAsia" w:ascii="宋体" w:hAnsi="宋体" w:cs="宋体"/>
          <w:color w:val="auto"/>
          <w:kern w:val="0"/>
          <w:szCs w:val="21"/>
          <w:highlight w:val="none"/>
          <w:u w:val="single"/>
        </w:rPr>
        <w:t>另行协商</w:t>
      </w:r>
      <w:r>
        <w:rPr>
          <w:rFonts w:hint="eastAsia" w:ascii="宋体" w:hAnsi="宋体" w:cs="宋体"/>
          <w:color w:val="auto"/>
          <w:kern w:val="0"/>
          <w:szCs w:val="21"/>
          <w:highlight w:val="none"/>
        </w:rPr>
        <w:t>。</w:t>
      </w:r>
    </w:p>
    <w:p w14:paraId="03204EB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13.2.5移交、接收全部与部分工程</w:t>
      </w:r>
    </w:p>
    <w:bookmarkEnd w:id="577"/>
    <w:p w14:paraId="558C0725">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承包人向发包人移交工程的期限：</w:t>
      </w:r>
      <w:r>
        <w:rPr>
          <w:rFonts w:hint="eastAsia" w:ascii="宋体" w:hAnsi="宋体" w:cs="宋体"/>
          <w:color w:val="auto"/>
          <w:kern w:val="0"/>
          <w:szCs w:val="21"/>
          <w:highlight w:val="none"/>
          <w:u w:val="single"/>
        </w:rPr>
        <w:t>按通用条款</w:t>
      </w:r>
      <w:r>
        <w:rPr>
          <w:rFonts w:hint="eastAsia" w:ascii="宋体" w:hAnsi="宋体" w:cs="宋体"/>
          <w:color w:val="auto"/>
          <w:szCs w:val="21"/>
          <w:highlight w:val="none"/>
        </w:rPr>
        <w:t>。</w:t>
      </w:r>
    </w:p>
    <w:p w14:paraId="5037645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发包人未按本合同约定接收全部或部分工程的，违约金的计算方法为：</w:t>
      </w:r>
      <w:r>
        <w:rPr>
          <w:rFonts w:hint="eastAsia" w:ascii="宋体" w:hAnsi="宋体" w:cs="宋体"/>
          <w:color w:val="auto"/>
          <w:kern w:val="0"/>
          <w:szCs w:val="21"/>
          <w:highlight w:val="none"/>
          <w:u w:val="single"/>
        </w:rPr>
        <w:t>按通用条款</w:t>
      </w:r>
    </w:p>
    <w:bookmarkEnd w:id="578"/>
    <w:p w14:paraId="71756DC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承包人未按时移交工程的，违约金的计算方法为：</w:t>
      </w:r>
      <w:r>
        <w:rPr>
          <w:rFonts w:hint="eastAsia" w:ascii="宋体" w:hAnsi="宋体" w:cs="宋体"/>
          <w:color w:val="auto"/>
          <w:kern w:val="0"/>
          <w:szCs w:val="21"/>
          <w:highlight w:val="none"/>
          <w:u w:val="single"/>
        </w:rPr>
        <w:t>按通用条款</w:t>
      </w:r>
    </w:p>
    <w:p w14:paraId="7DB3BE9C">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13.3 工程试车</w:t>
      </w:r>
    </w:p>
    <w:bookmarkEnd w:id="579"/>
    <w:p w14:paraId="49E02776">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13.3.1 试车程序</w:t>
      </w:r>
    </w:p>
    <w:p w14:paraId="2B72D28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kern w:val="0"/>
          <w:szCs w:val="21"/>
          <w:highlight w:val="none"/>
        </w:rPr>
        <w:t>工程试车内容：</w:t>
      </w:r>
      <w:r>
        <w:rPr>
          <w:rFonts w:hint="eastAsia" w:ascii="宋体" w:hAnsi="宋体" w:cs="宋体"/>
          <w:color w:val="auto"/>
          <w:szCs w:val="21"/>
          <w:highlight w:val="none"/>
          <w:u w:val="single"/>
        </w:rPr>
        <w:t>按照通用合同条款中相对应的条款执行</w:t>
      </w:r>
      <w:r>
        <w:rPr>
          <w:rFonts w:hint="eastAsia" w:ascii="宋体" w:hAnsi="宋体" w:cs="宋体"/>
          <w:color w:val="auto"/>
          <w:szCs w:val="21"/>
          <w:highlight w:val="none"/>
        </w:rPr>
        <w:t>。</w:t>
      </w:r>
    </w:p>
    <w:p w14:paraId="04910CB0">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（1）单机无负荷试车费用由</w:t>
      </w:r>
      <w:r>
        <w:rPr>
          <w:rFonts w:hint="eastAsia" w:ascii="宋体" w:hAnsi="宋体" w:cs="宋体"/>
          <w:color w:val="auto"/>
          <w:szCs w:val="21"/>
          <w:highlight w:val="none"/>
          <w:u w:val="single"/>
        </w:rPr>
        <w:t>承包人</w:t>
      </w:r>
      <w:r>
        <w:rPr>
          <w:rFonts w:hint="eastAsia" w:ascii="宋体" w:hAnsi="宋体" w:cs="宋体"/>
          <w:color w:val="auto"/>
          <w:kern w:val="0"/>
          <w:szCs w:val="21"/>
          <w:highlight w:val="none"/>
        </w:rPr>
        <w:t>承担；</w:t>
      </w:r>
    </w:p>
    <w:p w14:paraId="00132DCB">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（2）无负荷联动试车费用由</w:t>
      </w:r>
      <w:r>
        <w:rPr>
          <w:rFonts w:hint="eastAsia" w:ascii="宋体" w:hAnsi="宋体" w:cs="宋体"/>
          <w:color w:val="auto"/>
          <w:szCs w:val="21"/>
          <w:highlight w:val="none"/>
          <w:u w:val="single"/>
        </w:rPr>
        <w:t>承包人</w:t>
      </w:r>
      <w:r>
        <w:rPr>
          <w:rFonts w:hint="eastAsia" w:ascii="宋体" w:hAnsi="宋体" w:cs="宋体"/>
          <w:color w:val="auto"/>
          <w:kern w:val="0"/>
          <w:szCs w:val="21"/>
          <w:highlight w:val="none"/>
        </w:rPr>
        <w:t>承担。</w:t>
      </w:r>
    </w:p>
    <w:p w14:paraId="5A042157">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13.3.3 投料试车</w:t>
      </w:r>
    </w:p>
    <w:p w14:paraId="74A4097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关于投料试车相关事项的约定：</w:t>
      </w:r>
      <w:r>
        <w:rPr>
          <w:rFonts w:hint="eastAsia" w:ascii="宋体" w:hAnsi="宋体" w:cs="宋体"/>
          <w:color w:val="auto"/>
          <w:kern w:val="0"/>
          <w:szCs w:val="21"/>
          <w:highlight w:val="none"/>
          <w:u w:val="single"/>
        </w:rPr>
        <w:t>按通用条款</w:t>
      </w:r>
    </w:p>
    <w:p w14:paraId="3012BD68">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13.6 竣工退场</w:t>
      </w:r>
    </w:p>
    <w:p w14:paraId="0EF137C3">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13.6.1 竣工退场</w:t>
      </w:r>
    </w:p>
    <w:p w14:paraId="639F1A9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承包人完成竣工退场的期限：</w:t>
      </w:r>
      <w:r>
        <w:rPr>
          <w:rFonts w:hint="eastAsia" w:ascii="宋体" w:hAnsi="宋体" w:cs="宋体"/>
          <w:color w:val="auto"/>
          <w:kern w:val="0"/>
          <w:szCs w:val="21"/>
          <w:highlight w:val="none"/>
          <w:u w:val="single"/>
        </w:rPr>
        <w:t>工程完成移交，办理移交证书后 7 天内</w:t>
      </w:r>
      <w:r>
        <w:rPr>
          <w:rFonts w:hint="eastAsia" w:ascii="宋体" w:hAnsi="宋体" w:cs="宋体"/>
          <w:color w:val="auto"/>
          <w:kern w:val="0"/>
          <w:szCs w:val="21"/>
          <w:highlight w:val="none"/>
        </w:rPr>
        <w:t>。</w:t>
      </w:r>
    </w:p>
    <w:p w14:paraId="33D32BEF">
      <w:pPr>
        <w:keepNext w:val="0"/>
        <w:keepLines w:val="0"/>
        <w:pageBreakBefore w:val="0"/>
        <w:widowControl w:val="0"/>
        <w:kinsoku/>
        <w:wordWrap/>
        <w:overflowPunct/>
        <w:topLinePunct w:val="0"/>
        <w:autoSpaceDE/>
        <w:autoSpaceDN/>
        <w:bidi w:val="0"/>
        <w:adjustRightInd/>
        <w:snapToGrid/>
        <w:spacing w:before="120" w:after="120"/>
        <w:ind w:firstLine="422" w:firstLineChars="200"/>
        <w:textAlignment w:val="auto"/>
        <w:outlineLvl w:val="9"/>
        <w:rPr>
          <w:rFonts w:ascii="宋体" w:hAnsi="宋体" w:cs="宋体"/>
          <w:b/>
          <w:bCs/>
          <w:color w:val="auto"/>
          <w:szCs w:val="21"/>
          <w:highlight w:val="none"/>
        </w:rPr>
      </w:pPr>
      <w:bookmarkStart w:id="581" w:name="_Toc351203646"/>
      <w:r>
        <w:rPr>
          <w:rFonts w:hint="eastAsia" w:ascii="宋体" w:hAnsi="宋体" w:cs="宋体"/>
          <w:b/>
          <w:bCs/>
          <w:color w:val="auto"/>
          <w:szCs w:val="21"/>
          <w:highlight w:val="none"/>
        </w:rPr>
        <w:t>14.竣工结算</w:t>
      </w:r>
      <w:bookmarkEnd w:id="581"/>
    </w:p>
    <w:p w14:paraId="39183B9D">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14.1 竣工付款申请</w:t>
      </w:r>
    </w:p>
    <w:p w14:paraId="23E3F05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承包人提交竣工付款申请单的期限：</w:t>
      </w:r>
      <w:r>
        <w:rPr>
          <w:rFonts w:hint="eastAsia" w:ascii="宋体" w:hAnsi="宋体" w:cs="宋体"/>
          <w:color w:val="auto"/>
          <w:szCs w:val="21"/>
          <w:highlight w:val="none"/>
          <w:u w:val="single"/>
        </w:rPr>
        <w:t>工程竣工验收通过之日起 28 天内，否则发包人按每拖延一天扣罚承包人500元人民币。</w:t>
      </w:r>
    </w:p>
    <w:p w14:paraId="408F1D5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竣工付款申请单应包括的内容：</w:t>
      </w:r>
      <w:r>
        <w:rPr>
          <w:rFonts w:hint="eastAsia" w:ascii="宋体" w:hAnsi="宋体" w:cs="宋体"/>
          <w:color w:val="auto"/>
          <w:szCs w:val="21"/>
          <w:highlight w:val="none"/>
          <w:u w:val="single"/>
        </w:rPr>
        <w:t>按通用条款</w:t>
      </w:r>
      <w:r>
        <w:rPr>
          <w:rFonts w:hint="eastAsia" w:ascii="宋体" w:hAnsi="宋体" w:cs="宋体"/>
          <w:color w:val="auto"/>
          <w:szCs w:val="21"/>
          <w:highlight w:val="none"/>
        </w:rPr>
        <w:t>。</w:t>
      </w:r>
    </w:p>
    <w:p w14:paraId="7467494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竣工结算款支付申请（核准）表见合同附件12。</w:t>
      </w:r>
    </w:p>
    <w:p w14:paraId="3CCE51C7">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14.2 竣工结算审核</w:t>
      </w:r>
    </w:p>
    <w:p w14:paraId="5D5FF00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发包人审批竣工付款申请单的期限：</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2"/>
        <w:gridCol w:w="3195"/>
        <w:gridCol w:w="5734"/>
      </w:tblGrid>
      <w:tr w14:paraId="7B70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14:paraId="083A230A">
            <w:pPr>
              <w:spacing w:line="360" w:lineRule="auto"/>
              <w:jc w:val="center"/>
              <w:rPr>
                <w:rFonts w:hint="eastAsia" w:ascii="宋体" w:hAnsi="宋体" w:eastAsia="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序号</w:t>
            </w:r>
          </w:p>
        </w:tc>
        <w:tc>
          <w:tcPr>
            <w:tcW w:w="3195" w:type="dxa"/>
            <w:vAlign w:val="center"/>
          </w:tcPr>
          <w:p w14:paraId="2D5A53F0">
            <w:pPr>
              <w:spacing w:line="360" w:lineRule="auto"/>
              <w:jc w:val="center"/>
              <w:rPr>
                <w:rFonts w:hint="eastAsia" w:ascii="宋体" w:hAnsi="宋体" w:cs="宋体"/>
                <w:color w:val="auto"/>
                <w:szCs w:val="21"/>
                <w:highlight w:val="none"/>
                <w:vertAlign w:val="baseline"/>
              </w:rPr>
            </w:pPr>
            <w:r>
              <w:rPr>
                <w:rFonts w:hint="eastAsia" w:ascii="宋体" w:hAnsi="宋体" w:cs="宋体"/>
                <w:color w:val="auto"/>
                <w:szCs w:val="21"/>
                <w:highlight w:val="none"/>
                <w:vertAlign w:val="baseline"/>
              </w:rPr>
              <w:t>工程竣工结算报告金额</w:t>
            </w:r>
          </w:p>
        </w:tc>
        <w:tc>
          <w:tcPr>
            <w:tcW w:w="5734" w:type="dxa"/>
            <w:vAlign w:val="center"/>
          </w:tcPr>
          <w:p w14:paraId="7B4BF8B5">
            <w:pPr>
              <w:spacing w:line="360" w:lineRule="auto"/>
              <w:jc w:val="center"/>
              <w:rPr>
                <w:rFonts w:hint="eastAsia" w:ascii="宋体" w:hAnsi="宋体" w:cs="宋体"/>
                <w:color w:val="auto"/>
                <w:szCs w:val="21"/>
                <w:highlight w:val="none"/>
                <w:vertAlign w:val="baseline"/>
              </w:rPr>
            </w:pPr>
            <w:r>
              <w:rPr>
                <w:rFonts w:hint="eastAsia" w:ascii="宋体" w:hAnsi="宋体" w:cs="宋体"/>
                <w:color w:val="auto"/>
                <w:szCs w:val="21"/>
                <w:highlight w:val="none"/>
                <w:vertAlign w:val="baseline"/>
              </w:rPr>
              <w:t>发包人审查时间</w:t>
            </w:r>
          </w:p>
        </w:tc>
      </w:tr>
      <w:tr w14:paraId="690C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14:paraId="3136EE4E">
            <w:pPr>
              <w:spacing w:line="360" w:lineRule="auto"/>
              <w:jc w:val="center"/>
              <w:rPr>
                <w:rFonts w:hint="eastAsia" w:ascii="宋体" w:hAnsi="宋体" w:eastAsia="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1</w:t>
            </w:r>
          </w:p>
        </w:tc>
        <w:tc>
          <w:tcPr>
            <w:tcW w:w="3195" w:type="dxa"/>
            <w:vAlign w:val="center"/>
          </w:tcPr>
          <w:p w14:paraId="55234614">
            <w:pPr>
              <w:spacing w:line="360" w:lineRule="auto"/>
              <w:jc w:val="center"/>
              <w:rPr>
                <w:rFonts w:hint="eastAsia" w:ascii="宋体" w:hAnsi="宋体" w:cs="宋体"/>
                <w:color w:val="auto"/>
                <w:szCs w:val="21"/>
                <w:highlight w:val="none"/>
                <w:vertAlign w:val="baseline"/>
              </w:rPr>
            </w:pPr>
            <w:r>
              <w:rPr>
                <w:rFonts w:hint="eastAsia" w:ascii="宋体" w:hAnsi="宋体" w:cs="宋体"/>
                <w:color w:val="auto"/>
                <w:szCs w:val="21"/>
                <w:highlight w:val="none"/>
                <w:vertAlign w:val="baseline"/>
              </w:rPr>
              <w:t>500 万元以下</w:t>
            </w:r>
          </w:p>
        </w:tc>
        <w:tc>
          <w:tcPr>
            <w:tcW w:w="5734" w:type="dxa"/>
            <w:vAlign w:val="center"/>
          </w:tcPr>
          <w:p w14:paraId="2141E815">
            <w:pPr>
              <w:spacing w:line="360" w:lineRule="auto"/>
              <w:jc w:val="center"/>
              <w:rPr>
                <w:rFonts w:hint="eastAsia" w:ascii="宋体" w:hAnsi="宋体" w:cs="宋体"/>
                <w:color w:val="auto"/>
                <w:szCs w:val="21"/>
                <w:highlight w:val="none"/>
                <w:vertAlign w:val="baseline"/>
              </w:rPr>
            </w:pPr>
            <w:r>
              <w:rPr>
                <w:rFonts w:hint="eastAsia" w:ascii="宋体" w:hAnsi="宋体" w:cs="宋体"/>
                <w:color w:val="auto"/>
                <w:szCs w:val="21"/>
                <w:highlight w:val="none"/>
                <w:vertAlign w:val="baseline"/>
              </w:rPr>
              <w:t>从接到竣工结算报告和完整的竣工结算资料之日起 20 天</w:t>
            </w:r>
          </w:p>
        </w:tc>
      </w:tr>
      <w:tr w14:paraId="74BA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14:paraId="21EE1ED6">
            <w:pPr>
              <w:spacing w:line="360" w:lineRule="auto"/>
              <w:jc w:val="center"/>
              <w:rPr>
                <w:rFonts w:hint="eastAsia" w:ascii="宋体" w:hAnsi="宋体" w:eastAsia="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2</w:t>
            </w:r>
          </w:p>
        </w:tc>
        <w:tc>
          <w:tcPr>
            <w:tcW w:w="3195" w:type="dxa"/>
            <w:vAlign w:val="center"/>
          </w:tcPr>
          <w:p w14:paraId="5F122547">
            <w:pPr>
              <w:spacing w:line="360" w:lineRule="auto"/>
              <w:jc w:val="center"/>
              <w:rPr>
                <w:rFonts w:hint="eastAsia" w:ascii="宋体" w:hAnsi="宋体" w:cs="宋体"/>
                <w:color w:val="auto"/>
                <w:szCs w:val="21"/>
                <w:highlight w:val="none"/>
                <w:vertAlign w:val="baseline"/>
              </w:rPr>
            </w:pPr>
            <w:r>
              <w:rPr>
                <w:rFonts w:hint="eastAsia" w:ascii="宋体" w:hAnsi="宋体" w:cs="宋体"/>
                <w:color w:val="auto"/>
                <w:szCs w:val="21"/>
                <w:highlight w:val="none"/>
                <w:vertAlign w:val="baseline"/>
              </w:rPr>
              <w:t>500 万元-2000 万元</w:t>
            </w:r>
          </w:p>
        </w:tc>
        <w:tc>
          <w:tcPr>
            <w:tcW w:w="5734" w:type="dxa"/>
            <w:vAlign w:val="center"/>
          </w:tcPr>
          <w:p w14:paraId="0F0677AA">
            <w:pPr>
              <w:spacing w:line="360" w:lineRule="auto"/>
              <w:jc w:val="center"/>
              <w:rPr>
                <w:rFonts w:hint="eastAsia" w:ascii="宋体" w:hAnsi="宋体" w:cs="宋体"/>
                <w:color w:val="auto"/>
                <w:szCs w:val="21"/>
                <w:highlight w:val="none"/>
                <w:vertAlign w:val="baseline"/>
              </w:rPr>
            </w:pPr>
            <w:r>
              <w:rPr>
                <w:rFonts w:hint="eastAsia" w:ascii="宋体" w:hAnsi="宋体" w:cs="宋体"/>
                <w:color w:val="auto"/>
                <w:szCs w:val="21"/>
                <w:highlight w:val="none"/>
                <w:vertAlign w:val="baseline"/>
              </w:rPr>
              <w:t>从接到竣工结算报告和完整的竣工结算资料之日起 30 天</w:t>
            </w:r>
          </w:p>
        </w:tc>
      </w:tr>
      <w:tr w14:paraId="0C82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14:paraId="21F55C1C">
            <w:pPr>
              <w:spacing w:line="360" w:lineRule="auto"/>
              <w:jc w:val="center"/>
              <w:rPr>
                <w:rFonts w:hint="eastAsia" w:ascii="宋体" w:hAnsi="宋体" w:eastAsia="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3</w:t>
            </w:r>
          </w:p>
        </w:tc>
        <w:tc>
          <w:tcPr>
            <w:tcW w:w="3195" w:type="dxa"/>
            <w:vAlign w:val="center"/>
          </w:tcPr>
          <w:p w14:paraId="58741307">
            <w:pPr>
              <w:spacing w:line="360" w:lineRule="auto"/>
              <w:jc w:val="center"/>
              <w:rPr>
                <w:rFonts w:hint="eastAsia" w:ascii="宋体" w:hAnsi="宋体" w:cs="宋体"/>
                <w:color w:val="auto"/>
                <w:szCs w:val="21"/>
                <w:highlight w:val="none"/>
                <w:vertAlign w:val="baseline"/>
              </w:rPr>
            </w:pPr>
            <w:r>
              <w:rPr>
                <w:rFonts w:hint="eastAsia" w:ascii="宋体" w:hAnsi="宋体" w:cs="宋体"/>
                <w:color w:val="auto"/>
                <w:szCs w:val="21"/>
                <w:highlight w:val="none"/>
                <w:vertAlign w:val="baseline"/>
              </w:rPr>
              <w:t>2000 万元-5000 万元</w:t>
            </w:r>
          </w:p>
        </w:tc>
        <w:tc>
          <w:tcPr>
            <w:tcW w:w="5734" w:type="dxa"/>
            <w:vAlign w:val="center"/>
          </w:tcPr>
          <w:p w14:paraId="55A0A63E">
            <w:pPr>
              <w:spacing w:line="360" w:lineRule="auto"/>
              <w:jc w:val="center"/>
              <w:rPr>
                <w:rFonts w:hint="eastAsia" w:ascii="宋体" w:hAnsi="宋体" w:cs="宋体"/>
                <w:color w:val="auto"/>
                <w:szCs w:val="21"/>
                <w:highlight w:val="none"/>
                <w:vertAlign w:val="baseline"/>
              </w:rPr>
            </w:pPr>
            <w:r>
              <w:rPr>
                <w:rFonts w:hint="eastAsia" w:ascii="宋体" w:hAnsi="宋体" w:cs="宋体"/>
                <w:color w:val="auto"/>
                <w:szCs w:val="21"/>
                <w:highlight w:val="none"/>
                <w:vertAlign w:val="baseline"/>
              </w:rPr>
              <w:t>从接到竣工结算报告和完整的竣工结算资料之日起 45 天</w:t>
            </w:r>
          </w:p>
        </w:tc>
      </w:tr>
      <w:tr w14:paraId="47F33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14:paraId="4E4EF22E">
            <w:pPr>
              <w:spacing w:line="360" w:lineRule="auto"/>
              <w:jc w:val="center"/>
              <w:rPr>
                <w:rFonts w:hint="eastAsia" w:ascii="宋体" w:hAnsi="宋体" w:eastAsia="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4</w:t>
            </w:r>
          </w:p>
        </w:tc>
        <w:tc>
          <w:tcPr>
            <w:tcW w:w="3195" w:type="dxa"/>
            <w:vAlign w:val="center"/>
          </w:tcPr>
          <w:p w14:paraId="13CEA2FE">
            <w:pPr>
              <w:spacing w:line="360" w:lineRule="auto"/>
              <w:jc w:val="center"/>
              <w:rPr>
                <w:rFonts w:hint="eastAsia" w:ascii="宋体" w:hAnsi="宋体" w:cs="宋体"/>
                <w:color w:val="auto"/>
                <w:szCs w:val="21"/>
                <w:highlight w:val="none"/>
                <w:vertAlign w:val="baseline"/>
              </w:rPr>
            </w:pPr>
            <w:r>
              <w:rPr>
                <w:rFonts w:hint="eastAsia" w:ascii="宋体" w:hAnsi="宋体" w:cs="宋体"/>
                <w:color w:val="auto"/>
                <w:szCs w:val="21"/>
                <w:highlight w:val="none"/>
                <w:vertAlign w:val="baseline"/>
              </w:rPr>
              <w:t>5000 万元以上</w:t>
            </w:r>
          </w:p>
        </w:tc>
        <w:tc>
          <w:tcPr>
            <w:tcW w:w="5734" w:type="dxa"/>
            <w:vAlign w:val="center"/>
          </w:tcPr>
          <w:p w14:paraId="6C5E88BD">
            <w:pPr>
              <w:spacing w:line="360" w:lineRule="auto"/>
              <w:jc w:val="center"/>
              <w:rPr>
                <w:rFonts w:hint="eastAsia" w:ascii="宋体" w:hAnsi="宋体" w:cs="宋体"/>
                <w:color w:val="auto"/>
                <w:szCs w:val="21"/>
                <w:highlight w:val="none"/>
                <w:vertAlign w:val="baseline"/>
              </w:rPr>
            </w:pPr>
            <w:r>
              <w:rPr>
                <w:rFonts w:hint="eastAsia" w:ascii="宋体" w:hAnsi="宋体" w:cs="宋体"/>
                <w:color w:val="auto"/>
                <w:szCs w:val="21"/>
                <w:highlight w:val="none"/>
                <w:vertAlign w:val="baseline"/>
              </w:rPr>
              <w:t>从接到竣工结算报告和完整的竣工结算资料之日起 60 天</w:t>
            </w:r>
          </w:p>
        </w:tc>
      </w:tr>
      <w:tr w14:paraId="7941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14:paraId="316B52CC">
            <w:pPr>
              <w:spacing w:line="360" w:lineRule="auto"/>
              <w:jc w:val="center"/>
              <w:rPr>
                <w:rFonts w:hint="eastAsia" w:ascii="宋体" w:hAnsi="宋体" w:eastAsia="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5</w:t>
            </w:r>
          </w:p>
        </w:tc>
        <w:tc>
          <w:tcPr>
            <w:tcW w:w="3195" w:type="dxa"/>
            <w:vAlign w:val="center"/>
          </w:tcPr>
          <w:p w14:paraId="0363E598">
            <w:pPr>
              <w:spacing w:line="360" w:lineRule="auto"/>
              <w:jc w:val="center"/>
              <w:rPr>
                <w:rFonts w:hint="eastAsia" w:ascii="宋体" w:hAnsi="宋体" w:cs="宋体"/>
                <w:color w:val="auto"/>
                <w:szCs w:val="21"/>
                <w:highlight w:val="none"/>
                <w:vertAlign w:val="baseline"/>
              </w:rPr>
            </w:pPr>
            <w:r>
              <w:rPr>
                <w:rFonts w:hint="eastAsia" w:ascii="宋体" w:hAnsi="宋体" w:cs="宋体"/>
                <w:color w:val="auto"/>
                <w:szCs w:val="21"/>
                <w:highlight w:val="none"/>
                <w:vertAlign w:val="baseline"/>
              </w:rPr>
              <w:t>5000 万以上每增加 0.5</w:t>
            </w:r>
          </w:p>
          <w:p w14:paraId="7AA60894">
            <w:pPr>
              <w:spacing w:line="360" w:lineRule="auto"/>
              <w:jc w:val="center"/>
              <w:rPr>
                <w:rFonts w:hint="eastAsia" w:ascii="宋体" w:hAnsi="宋体" w:cs="宋体"/>
                <w:color w:val="auto"/>
                <w:szCs w:val="21"/>
                <w:highlight w:val="none"/>
                <w:vertAlign w:val="baseline"/>
              </w:rPr>
            </w:pPr>
            <w:r>
              <w:rPr>
                <w:rFonts w:hint="eastAsia" w:ascii="宋体" w:hAnsi="宋体" w:cs="宋体"/>
                <w:color w:val="auto"/>
                <w:szCs w:val="21"/>
                <w:highlight w:val="none"/>
                <w:vertAlign w:val="baseline"/>
              </w:rPr>
              <w:t>亿(不足 0.5 亿不增加)</w:t>
            </w:r>
          </w:p>
        </w:tc>
        <w:tc>
          <w:tcPr>
            <w:tcW w:w="5734" w:type="dxa"/>
            <w:vAlign w:val="center"/>
          </w:tcPr>
          <w:p w14:paraId="75FB0829">
            <w:pPr>
              <w:spacing w:line="360" w:lineRule="auto"/>
              <w:jc w:val="center"/>
              <w:rPr>
                <w:rFonts w:hint="eastAsia" w:ascii="宋体" w:hAnsi="宋体" w:cs="宋体"/>
                <w:color w:val="auto"/>
                <w:szCs w:val="21"/>
                <w:highlight w:val="none"/>
                <w:vertAlign w:val="baseline"/>
              </w:rPr>
            </w:pPr>
            <w:r>
              <w:rPr>
                <w:rFonts w:hint="eastAsia" w:ascii="宋体" w:hAnsi="宋体" w:cs="宋体"/>
                <w:color w:val="auto"/>
                <w:szCs w:val="21"/>
                <w:highlight w:val="none"/>
                <w:vertAlign w:val="baseline"/>
              </w:rPr>
              <w:t>增加 10 天</w:t>
            </w:r>
          </w:p>
        </w:tc>
      </w:tr>
    </w:tbl>
    <w:p w14:paraId="3F49DC3D">
      <w:pPr>
        <w:spacing w:line="360" w:lineRule="auto"/>
        <w:ind w:firstLine="420" w:firstLineChars="200"/>
        <w:jc w:val="left"/>
        <w:rPr>
          <w:rFonts w:hint="eastAsia" w:ascii="宋体" w:hAnsi="宋体" w:cs="宋体"/>
          <w:color w:val="auto"/>
          <w:szCs w:val="21"/>
          <w:highlight w:val="none"/>
        </w:rPr>
      </w:pPr>
    </w:p>
    <w:p w14:paraId="7EEABE3E">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因承包人提供的结算资料不完整而需要补充或承包人不按时对账耽误时间时，审查时间应相应顺延。</w:t>
      </w:r>
    </w:p>
    <w:p w14:paraId="20376C2B">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竣工结算审核约定：发承包双方在合同中对施工过程结算的期限应有明确约定；没有约定的，可认定其约定期限均为28天。经发承包双方签署确认的施工过程结算文件作为竣工结算文件的组成部分。未经另一方同意，一方不得就已生效的结算文件进行重复审核。对施工合同中约定竣工结算以财政评审意见为准的项目，财政部门应在施工合同约定期限内对项目过程结算文件进行审核确认。当年开工、当年不能竣工的新开工项目可以推行过程结算。发承包双方通过合同约定，将施工过程按时间或进度节点划分施工周期，对周期内已完成且无争议的工程量（含变更、签证、索赔等）进行价款计算、确认和支付，支付金额不得超出已完工部分对应的批复（预）算。经双方确认的过程结算文件作为竣工结算文件的组成部分，竣工后原则上不再重复审核。</w:t>
      </w:r>
    </w:p>
    <w:p w14:paraId="036A6B91">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1.工程竣工验收报告经发包人认可后 28 天内，承包人向发包人递交竣工验收合格资料及完整的结算资料和报告，双方按照本工程合同约定的价格形式及价款调整办法进行工程竣工结算。2.发包人收到承包人递交的竣工结算报告及结算资料之日起 60 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14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90天内，发包人按审定后的竣工结算价款，通知经办银行向承包人支付结算价款。</w:t>
      </w:r>
    </w:p>
    <w:p w14:paraId="3D8E603D">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备注：对于国有投资项目结算审核约定，双方可结合各地政府或有关部门出台的管理规定进行局部调整。</w:t>
      </w:r>
    </w:p>
    <w:p w14:paraId="45842166">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14.4 最终结清</w:t>
      </w:r>
    </w:p>
    <w:p w14:paraId="5953223D">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14.4.1 最终结清申请单</w:t>
      </w:r>
    </w:p>
    <w:p w14:paraId="7A8F7E5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承包人提交最终结清申请单的份数：</w:t>
      </w:r>
      <w:r>
        <w:rPr>
          <w:rFonts w:hint="eastAsia" w:ascii="宋体" w:hAnsi="宋体" w:cs="宋体"/>
          <w:color w:val="auto"/>
          <w:kern w:val="0"/>
          <w:szCs w:val="21"/>
          <w:highlight w:val="none"/>
          <w:u w:val="single"/>
        </w:rPr>
        <w:t>一式三份</w:t>
      </w:r>
      <w:r>
        <w:rPr>
          <w:rFonts w:hint="eastAsia" w:ascii="宋体" w:hAnsi="宋体" w:cs="宋体"/>
          <w:color w:val="auto"/>
          <w:szCs w:val="21"/>
          <w:highlight w:val="none"/>
        </w:rPr>
        <w:t>。</w:t>
      </w:r>
    </w:p>
    <w:p w14:paraId="358673CB">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承包人提交最终结算申请单的期限：</w:t>
      </w:r>
      <w:r>
        <w:rPr>
          <w:rFonts w:hint="eastAsia" w:ascii="宋体" w:hAnsi="宋体" w:cs="宋体"/>
          <w:color w:val="auto"/>
          <w:kern w:val="0"/>
          <w:szCs w:val="21"/>
          <w:highlight w:val="none"/>
          <w:u w:val="single"/>
        </w:rPr>
        <w:t>从发包人收到完整的工程竣工档案备案资料之日起28天内</w:t>
      </w:r>
      <w:r>
        <w:rPr>
          <w:rFonts w:hint="eastAsia" w:ascii="宋体" w:hAnsi="宋体" w:cs="宋体"/>
          <w:color w:val="auto"/>
          <w:kern w:val="0"/>
          <w:szCs w:val="21"/>
          <w:highlight w:val="none"/>
        </w:rPr>
        <w:t>。</w:t>
      </w:r>
    </w:p>
    <w:p w14:paraId="2ADC8F7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最终结算款支付申请（核准）表见合同附件13。</w:t>
      </w:r>
    </w:p>
    <w:p w14:paraId="64C2DDC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14.4.2 最终结清证书和支付</w:t>
      </w:r>
    </w:p>
    <w:p w14:paraId="1E72EC59">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（1）发包人完成最终结清申请单的审批并颁发最终结清证书的期限：</w:t>
      </w:r>
      <w:r>
        <w:rPr>
          <w:rFonts w:hint="eastAsia" w:ascii="宋体" w:hAnsi="宋体" w:cs="宋体"/>
          <w:color w:val="auto"/>
          <w:szCs w:val="21"/>
          <w:highlight w:val="none"/>
          <w:u w:val="single"/>
        </w:rPr>
        <w:t>从发包人收到最终结清申请单之日起14天内。</w:t>
      </w:r>
    </w:p>
    <w:p w14:paraId="3A3B601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（2）发包人完成支付的期限：</w:t>
      </w:r>
      <w:r>
        <w:rPr>
          <w:rFonts w:hint="eastAsia" w:ascii="宋体" w:hAnsi="宋体" w:cs="宋体"/>
          <w:color w:val="auto"/>
          <w:szCs w:val="21"/>
          <w:highlight w:val="none"/>
          <w:u w:val="single"/>
        </w:rPr>
        <w:t>从发包人签发最终结清证书之日起28天内</w:t>
      </w:r>
      <w:r>
        <w:rPr>
          <w:rFonts w:hint="eastAsia" w:ascii="宋体" w:hAnsi="宋体" w:cs="宋体"/>
          <w:color w:val="auto"/>
          <w:szCs w:val="21"/>
          <w:highlight w:val="none"/>
        </w:rPr>
        <w:t>。</w:t>
      </w:r>
    </w:p>
    <w:bookmarkEnd w:id="568"/>
    <w:bookmarkEnd w:id="569"/>
    <w:bookmarkEnd w:id="570"/>
    <w:bookmarkEnd w:id="571"/>
    <w:bookmarkEnd w:id="572"/>
    <w:bookmarkEnd w:id="573"/>
    <w:bookmarkEnd w:id="574"/>
    <w:bookmarkEnd w:id="580"/>
    <w:p w14:paraId="4C6306A7">
      <w:pPr>
        <w:spacing w:before="120" w:after="120"/>
        <w:ind w:firstLine="422" w:firstLineChars="200"/>
        <w:outlineLvl w:val="9"/>
        <w:rPr>
          <w:rFonts w:ascii="宋体" w:hAnsi="宋体" w:cs="宋体"/>
          <w:b/>
          <w:bCs/>
          <w:color w:val="auto"/>
          <w:szCs w:val="21"/>
          <w:highlight w:val="none"/>
        </w:rPr>
      </w:pPr>
      <w:bookmarkStart w:id="582" w:name="_Toc351203647"/>
      <w:bookmarkStart w:id="583" w:name="_Toc267251483"/>
      <w:bookmarkStart w:id="584" w:name="_Toc267251484"/>
      <w:bookmarkStart w:id="585" w:name="_Toc267251482"/>
      <w:bookmarkStart w:id="586" w:name="_Toc267251485"/>
      <w:bookmarkStart w:id="587" w:name="_Toc267251489"/>
      <w:bookmarkStart w:id="588" w:name="_Toc267251486"/>
      <w:bookmarkStart w:id="589" w:name="_Toc267251490"/>
      <w:bookmarkStart w:id="590" w:name="_Toc267251488"/>
      <w:bookmarkStart w:id="591" w:name="_Toc267251492"/>
      <w:bookmarkStart w:id="592" w:name="_Toc267251502"/>
      <w:bookmarkStart w:id="593" w:name="_Toc267251499"/>
      <w:bookmarkStart w:id="594" w:name="_Toc267251491"/>
      <w:bookmarkStart w:id="595" w:name="_Toc267251501"/>
      <w:bookmarkStart w:id="596" w:name="_Toc267251497"/>
      <w:bookmarkStart w:id="597" w:name="_Toc267251493"/>
      <w:bookmarkStart w:id="598" w:name="_Toc267251498"/>
      <w:bookmarkStart w:id="599" w:name="_Toc267251503"/>
      <w:bookmarkStart w:id="600" w:name="_Toc267251494"/>
      <w:bookmarkStart w:id="601" w:name="_Toc267251495"/>
      <w:bookmarkStart w:id="602" w:name="_Toc267251496"/>
      <w:bookmarkStart w:id="603" w:name="_Toc267251506"/>
      <w:bookmarkStart w:id="604" w:name="_Toc267251504"/>
      <w:bookmarkStart w:id="605" w:name="_Toc267251507"/>
      <w:bookmarkStart w:id="606" w:name="_Toc267251508"/>
      <w:bookmarkStart w:id="607" w:name="_Toc267251510"/>
      <w:bookmarkStart w:id="608" w:name="_Toc267251515"/>
      <w:bookmarkStart w:id="609" w:name="_Toc267251511"/>
      <w:bookmarkStart w:id="610" w:name="_Toc267251514"/>
      <w:bookmarkStart w:id="611" w:name="_Toc267251509"/>
      <w:bookmarkStart w:id="612" w:name="_Toc267251513"/>
      <w:r>
        <w:rPr>
          <w:rFonts w:hint="eastAsia" w:ascii="宋体" w:hAnsi="宋体" w:cs="宋体"/>
          <w:b/>
          <w:bCs/>
          <w:color w:val="auto"/>
          <w:szCs w:val="21"/>
          <w:highlight w:val="none"/>
        </w:rPr>
        <w:t>15.缺陷责任期与保修</w:t>
      </w:r>
      <w:bookmarkEnd w:id="582"/>
    </w:p>
    <w:p w14:paraId="5E46B6F6">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15.2缺陷责任期</w:t>
      </w:r>
      <w:bookmarkEnd w:id="583"/>
    </w:p>
    <w:p w14:paraId="47260352">
      <w:pPr>
        <w:spacing w:line="360" w:lineRule="auto"/>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缺陷责任期的具体期限：</w:t>
      </w:r>
      <w:r>
        <w:rPr>
          <w:rFonts w:hint="eastAsia" w:ascii="宋体" w:hAnsi="宋体" w:cs="宋体"/>
          <w:color w:val="auto"/>
          <w:szCs w:val="21"/>
          <w:highlight w:val="none"/>
          <w:u w:val="single"/>
        </w:rPr>
        <w:t>见附件 2《工程质量保修书》中保修期。</w:t>
      </w:r>
    </w:p>
    <w:p w14:paraId="022D4075">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15.3 质量保证金</w:t>
      </w:r>
    </w:p>
    <w:p w14:paraId="2DC442C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关于是否扣留质量保证金的约定：</w:t>
      </w:r>
      <w:r>
        <w:rPr>
          <w:rFonts w:hint="eastAsia" w:ascii="宋体" w:hAnsi="宋体" w:cs="宋体"/>
          <w:color w:val="auto"/>
          <w:szCs w:val="21"/>
          <w:highlight w:val="none"/>
          <w:u w:val="single"/>
        </w:rPr>
        <w:t>发包人按工程价款结算总额的3%预留工程质量保修金，待工程缺陷责任期满后返还(无息)。</w:t>
      </w:r>
    </w:p>
    <w:p w14:paraId="2942758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在工程项目竣工前，承包人按专用合同条款第3.7条提供履约担保的，发包人不得同时预留工程质量保证金。</w:t>
      </w:r>
    </w:p>
    <w:p w14:paraId="24E6239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15.3.1 承包人提供质量保证金的方式</w:t>
      </w:r>
    </w:p>
    <w:p w14:paraId="75481EF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质量保证金采用以下第</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或（2）或（3）</w:t>
      </w:r>
      <w:r>
        <w:rPr>
          <w:rFonts w:hint="eastAsia" w:ascii="宋体" w:hAnsi="宋体" w:cs="宋体"/>
          <w:color w:val="auto"/>
          <w:szCs w:val="21"/>
          <w:highlight w:val="none"/>
        </w:rPr>
        <w:t>种方式：</w:t>
      </w:r>
    </w:p>
    <w:p w14:paraId="54AAD351">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质量保证金保函（银行保函、电子保函、保证保险保函、工程担保保函，工程担保保证人应将出具的保函相关信息录入“广西建筑市场监管云”平台（http://gxjzsc.caihcloud.com），以实现保函查询及验真功能。），保证金额为：</w:t>
      </w:r>
      <w:r>
        <w:rPr>
          <w:rFonts w:hint="eastAsia" w:ascii="宋体" w:hAnsi="宋体" w:cs="宋体"/>
          <w:color w:val="auto"/>
          <w:kern w:val="0"/>
          <w:szCs w:val="21"/>
          <w:highlight w:val="none"/>
          <w:u w:val="single"/>
        </w:rPr>
        <w:t xml:space="preserve"> 工程价款结算总额的3% </w:t>
      </w:r>
      <w:r>
        <w:rPr>
          <w:rFonts w:hint="eastAsia" w:ascii="宋体" w:hAnsi="宋体" w:cs="宋体"/>
          <w:color w:val="auto"/>
          <w:kern w:val="0"/>
          <w:szCs w:val="21"/>
          <w:highlight w:val="none"/>
        </w:rPr>
        <w:t>；</w:t>
      </w:r>
    </w:p>
    <w:p w14:paraId="0A955C4D">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（2）发包人按工程价款结算总额的3%（不得超过3%）预留工程质量保证金，待缺陷责任期满后返还，是否付息及利息计算方式为：</w:t>
      </w:r>
      <w:r>
        <w:rPr>
          <w:rFonts w:hint="eastAsia" w:ascii="宋体" w:hAnsi="宋体" w:cs="宋体"/>
          <w:color w:val="auto"/>
          <w:kern w:val="0"/>
          <w:szCs w:val="21"/>
          <w:highlight w:val="none"/>
          <w:u w:val="single"/>
        </w:rPr>
        <w:t xml:space="preserve"> 无息 </w:t>
      </w:r>
      <w:r>
        <w:rPr>
          <w:rFonts w:hint="eastAsia" w:ascii="宋体" w:hAnsi="宋体" w:cs="宋体"/>
          <w:color w:val="auto"/>
          <w:kern w:val="0"/>
          <w:szCs w:val="21"/>
          <w:highlight w:val="none"/>
        </w:rPr>
        <w:t>；</w:t>
      </w:r>
    </w:p>
    <w:p w14:paraId="6C0CDF14">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（3）其他方式：</w:t>
      </w:r>
      <w:r>
        <w:rPr>
          <w:rFonts w:hint="eastAsia" w:ascii="宋体" w:hAnsi="宋体" w:cs="宋体"/>
          <w:color w:val="auto"/>
          <w:kern w:val="0"/>
          <w:szCs w:val="21"/>
          <w:highlight w:val="none"/>
          <w:u w:val="single"/>
        </w:rPr>
        <w:t>银行转账、电汇或网上支付等形式</w:t>
      </w:r>
      <w:r>
        <w:rPr>
          <w:rFonts w:hint="eastAsia" w:ascii="宋体" w:hAnsi="宋体" w:cs="宋体"/>
          <w:color w:val="auto"/>
          <w:kern w:val="0"/>
          <w:szCs w:val="21"/>
          <w:highlight w:val="none"/>
        </w:rPr>
        <w:t>。</w:t>
      </w:r>
    </w:p>
    <w:p w14:paraId="00D7AF2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15.3.2 质量保证金的扣留</w:t>
      </w:r>
    </w:p>
    <w:p w14:paraId="3C241A2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质量保证金的扣留采取以下第</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或（3）</w:t>
      </w:r>
      <w:r>
        <w:rPr>
          <w:rFonts w:hint="eastAsia" w:ascii="宋体" w:hAnsi="宋体" w:cs="宋体"/>
          <w:color w:val="auto"/>
          <w:szCs w:val="21"/>
          <w:highlight w:val="none"/>
        </w:rPr>
        <w:t>种方式：</w:t>
      </w:r>
    </w:p>
    <w:p w14:paraId="5E6CF741">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（1）在不缴纳履保证金情况下，按支付工程进度款时逐次扣留，质量保证金的计算基数不包括预付款的支付、扣回以及价格调整的金额；</w:t>
      </w:r>
    </w:p>
    <w:p w14:paraId="7DCE22F6">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（2）工程竣工结算时，一次性扣留质量保证金，由承包人以银行保函、保证保险替代预留质量保证金，保函金额不得高于工程价款结算总额的3%；</w:t>
      </w:r>
    </w:p>
    <w:p w14:paraId="42CAC63E">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（3）其他扣留方式: 银行转账、电汇或网上支付、保函（银行保函、电子保函、保证保险保函、工程担保保函）等形式。</w:t>
      </w:r>
    </w:p>
    <w:p w14:paraId="681F1470">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关于质量保证金的补充约定：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bookmarkEnd w:id="584"/>
    <w:bookmarkEnd w:id="585"/>
    <w:p w14:paraId="549D3BE7">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15.4保修</w:t>
      </w:r>
    </w:p>
    <w:bookmarkEnd w:id="586"/>
    <w:p w14:paraId="1C5FEEF7">
      <w:pPr>
        <w:spacing w:line="360" w:lineRule="auto"/>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15.4.1 保修责任</w:t>
      </w:r>
    </w:p>
    <w:p w14:paraId="4F628CB3">
      <w:pPr>
        <w:ind w:firstLine="420" w:firstLineChars="200"/>
        <w:rPr>
          <w:rFonts w:ascii="宋体" w:hAnsi="宋体" w:cs="宋体"/>
          <w:color w:val="auto"/>
          <w:szCs w:val="21"/>
          <w:highlight w:val="none"/>
          <w:shd w:val="pct10" w:color="auto" w:fill="FFFFFF"/>
        </w:rPr>
      </w:pPr>
      <w:r>
        <w:rPr>
          <w:rFonts w:hint="eastAsia" w:ascii="宋体" w:hAnsi="宋体" w:cs="宋体"/>
          <w:color w:val="auto"/>
          <w:szCs w:val="21"/>
          <w:highlight w:val="none"/>
        </w:rPr>
        <w:t>工程保修期为：</w:t>
      </w:r>
      <w:r>
        <w:rPr>
          <w:rFonts w:hint="eastAsia" w:ascii="宋体" w:hAnsi="宋体" w:cs="宋体"/>
          <w:color w:val="auto"/>
          <w:szCs w:val="21"/>
          <w:highlight w:val="none"/>
          <w:u w:val="single"/>
        </w:rPr>
        <w:t>见附件 2《工程质量保修书》</w:t>
      </w:r>
      <w:r>
        <w:rPr>
          <w:rFonts w:hint="eastAsia" w:ascii="宋体" w:hAnsi="宋体" w:cs="宋体"/>
          <w:color w:val="auto"/>
          <w:szCs w:val="21"/>
          <w:highlight w:val="none"/>
        </w:rPr>
        <w:t>。</w:t>
      </w:r>
    </w:p>
    <w:p w14:paraId="7909F3A5">
      <w:pPr>
        <w:spacing w:line="360" w:lineRule="auto"/>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15.4.3 修复通知</w:t>
      </w:r>
    </w:p>
    <w:p w14:paraId="3C72E5D6">
      <w:pPr>
        <w:spacing w:line="360" w:lineRule="auto"/>
        <w:ind w:firstLine="409" w:firstLineChars="195"/>
        <w:jc w:val="left"/>
        <w:rPr>
          <w:rFonts w:ascii="宋体" w:hAnsi="宋体" w:cs="宋体"/>
          <w:color w:val="auto"/>
          <w:szCs w:val="21"/>
          <w:highlight w:val="none"/>
          <w:u w:val="single"/>
          <w:shd w:val="pct10" w:color="auto" w:fill="FFFFFF"/>
        </w:rPr>
      </w:pPr>
      <w:r>
        <w:rPr>
          <w:rFonts w:hint="eastAsia" w:ascii="宋体" w:hAnsi="宋体" w:cs="宋体"/>
          <w:color w:val="auto"/>
          <w:kern w:val="0"/>
          <w:szCs w:val="21"/>
          <w:highlight w:val="none"/>
        </w:rPr>
        <w:t>承包人收到保修通知并到达工程现场的合理时间：</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lang w:val="en-US" w:eastAsia="zh-CN"/>
        </w:rPr>
        <w:t>24小时</w:t>
      </w:r>
      <w:r>
        <w:rPr>
          <w:rFonts w:hint="eastAsia" w:ascii="宋体" w:hAnsi="宋体" w:cs="宋体"/>
          <w:color w:val="auto"/>
          <w:szCs w:val="21"/>
          <w:highlight w:val="none"/>
          <w:u w:val="single"/>
        </w:rPr>
        <w:t xml:space="preserve"> 。</w:t>
      </w:r>
    </w:p>
    <w:bookmarkEnd w:id="587"/>
    <w:bookmarkEnd w:id="588"/>
    <w:bookmarkEnd w:id="589"/>
    <w:bookmarkEnd w:id="590"/>
    <w:p w14:paraId="64856F29">
      <w:pPr>
        <w:keepNext w:val="0"/>
        <w:keepLines w:val="0"/>
        <w:pageBreakBefore w:val="0"/>
        <w:widowControl w:val="0"/>
        <w:kinsoku/>
        <w:wordWrap/>
        <w:overflowPunct/>
        <w:topLinePunct w:val="0"/>
        <w:autoSpaceDE/>
        <w:autoSpaceDN/>
        <w:bidi w:val="0"/>
        <w:adjustRightInd/>
        <w:snapToGrid/>
        <w:spacing w:before="120" w:after="120"/>
        <w:ind w:firstLine="422" w:firstLineChars="200"/>
        <w:textAlignment w:val="auto"/>
        <w:outlineLvl w:val="9"/>
        <w:rPr>
          <w:rFonts w:ascii="宋体" w:hAnsi="宋体" w:cs="宋体"/>
          <w:b/>
          <w:bCs/>
          <w:color w:val="auto"/>
          <w:szCs w:val="21"/>
          <w:highlight w:val="none"/>
        </w:rPr>
      </w:pPr>
      <w:bookmarkStart w:id="613" w:name="_Toc351203648"/>
      <w:bookmarkStart w:id="614" w:name="_Toc280868717"/>
      <w:bookmarkStart w:id="615" w:name="_Toc280868718"/>
      <w:r>
        <w:rPr>
          <w:rFonts w:hint="eastAsia" w:ascii="宋体" w:hAnsi="宋体" w:cs="宋体"/>
          <w:b/>
          <w:bCs/>
          <w:color w:val="auto"/>
          <w:szCs w:val="21"/>
          <w:highlight w:val="none"/>
        </w:rPr>
        <w:t>16.违约</w:t>
      </w:r>
      <w:bookmarkEnd w:id="613"/>
    </w:p>
    <w:p w14:paraId="5862730A">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16.1 发包人违约</w:t>
      </w:r>
    </w:p>
    <w:p w14:paraId="7423DE4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16.1.1发包人违约的情形</w:t>
      </w:r>
    </w:p>
    <w:p w14:paraId="0A33A39F">
      <w:pPr>
        <w:spacing w:line="360" w:lineRule="auto"/>
        <w:ind w:left="1268" w:leftChars="304" w:hanging="630" w:hangingChars="3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发包人违约的其他情形：</w:t>
      </w:r>
      <w:r>
        <w:rPr>
          <w:rFonts w:hint="eastAsia" w:ascii="宋体" w:hAnsi="宋体" w:cs="宋体"/>
          <w:color w:val="auto"/>
          <w:kern w:val="0"/>
          <w:szCs w:val="21"/>
          <w:highlight w:val="none"/>
          <w:u w:val="single"/>
        </w:rPr>
        <w:t xml:space="preserve">按通用合同条款执行 </w:t>
      </w:r>
      <w:r>
        <w:rPr>
          <w:rFonts w:hint="eastAsia" w:ascii="宋体" w:hAnsi="宋体" w:cs="宋体"/>
          <w:color w:val="auto"/>
          <w:kern w:val="0"/>
          <w:szCs w:val="21"/>
          <w:highlight w:val="none"/>
        </w:rPr>
        <w:t>。</w:t>
      </w:r>
    </w:p>
    <w:p w14:paraId="5E72A475">
      <w:pPr>
        <w:spacing w:line="360" w:lineRule="auto"/>
        <w:ind w:left="1050" w:hanging="1050" w:hangingChars="5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16.1.2 发包人违约的责任</w:t>
      </w:r>
    </w:p>
    <w:p w14:paraId="2E7A0F8D">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发包人违约责任的承担方式和计算方法：</w:t>
      </w:r>
    </w:p>
    <w:p w14:paraId="0CF2D4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（1）因发包人原因未能在计划开工日期前 7 天内下达开工通知的违约责任：</w:t>
      </w:r>
      <w:r>
        <w:rPr>
          <w:rFonts w:hint="eastAsia" w:ascii="宋体" w:hAnsi="宋体" w:cs="宋体"/>
          <w:color w:val="auto"/>
          <w:kern w:val="0"/>
          <w:szCs w:val="21"/>
          <w:highlight w:val="none"/>
          <w:u w:val="single"/>
        </w:rPr>
        <w:t>工期可顺延</w:t>
      </w:r>
      <w:r>
        <w:rPr>
          <w:rFonts w:hint="eastAsia" w:ascii="宋体" w:hAnsi="宋体" w:cs="宋体"/>
          <w:color w:val="auto"/>
          <w:kern w:val="0"/>
          <w:szCs w:val="21"/>
          <w:highlight w:val="none"/>
        </w:rPr>
        <w:t>。</w:t>
      </w:r>
    </w:p>
    <w:p w14:paraId="2EBC14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（2）因发包人原因未能按合同约定支付合同价款的违约责任：</w:t>
      </w:r>
      <w:r>
        <w:rPr>
          <w:rFonts w:hint="eastAsia" w:ascii="宋体" w:hAnsi="宋体" w:cs="宋体"/>
          <w:color w:val="auto"/>
          <w:kern w:val="0"/>
          <w:szCs w:val="21"/>
          <w:highlight w:val="none"/>
          <w:u w:val="single"/>
        </w:rPr>
        <w:t>①若因项目资金暂时困难，工程进度款可以承兑汇票的方式支付，但承兑汇票所涉及金额不得超过应付工程进度款的 50%；②若因发包人资金暂时困难，承包人应给予充分理解并与发包人另行商定工程进度款支付的时间和数额，承包人不得以此为理由放缓或停止施工。</w:t>
      </w:r>
    </w:p>
    <w:p w14:paraId="022F6F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（3）发包人违反第10.1款〔变更的范围〕第（2）项约定，自行实施被取消的工作或转由他人实施的违约责任：</w:t>
      </w:r>
      <w:r>
        <w:rPr>
          <w:rFonts w:hint="eastAsia" w:ascii="宋体" w:hAnsi="宋体" w:cs="宋体"/>
          <w:color w:val="auto"/>
          <w:kern w:val="0"/>
          <w:szCs w:val="21"/>
          <w:highlight w:val="none"/>
          <w:u w:val="single"/>
        </w:rPr>
        <w:t>双方另行商定</w:t>
      </w:r>
      <w:r>
        <w:rPr>
          <w:rFonts w:hint="eastAsia" w:ascii="宋体" w:hAnsi="宋体" w:cs="宋体"/>
          <w:color w:val="auto"/>
          <w:kern w:val="0"/>
          <w:szCs w:val="21"/>
          <w:highlight w:val="none"/>
        </w:rPr>
        <w:t>。</w:t>
      </w:r>
    </w:p>
    <w:p w14:paraId="280EA2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Cs w:val="21"/>
          <w:highlight w:val="none"/>
          <w:u w:val="single"/>
        </w:rPr>
        <w:t>承包人可以提出工期索赔</w:t>
      </w:r>
      <w:r>
        <w:rPr>
          <w:rFonts w:hint="eastAsia" w:ascii="宋体" w:hAnsi="宋体" w:cs="宋体"/>
          <w:color w:val="auto"/>
          <w:kern w:val="0"/>
          <w:szCs w:val="21"/>
          <w:highlight w:val="none"/>
        </w:rPr>
        <w:t>。</w:t>
      </w:r>
    </w:p>
    <w:p w14:paraId="5963A2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（5）因发包人违反合同约定造成暂停施工的违约责任：</w:t>
      </w:r>
      <w:r>
        <w:rPr>
          <w:rFonts w:hint="eastAsia" w:ascii="宋体" w:hAnsi="宋体" w:cs="宋体"/>
          <w:color w:val="auto"/>
          <w:kern w:val="0"/>
          <w:szCs w:val="21"/>
          <w:highlight w:val="none"/>
          <w:u w:val="single"/>
        </w:rPr>
        <w:t>承包人可以提出工期索赔</w:t>
      </w:r>
      <w:r>
        <w:rPr>
          <w:rFonts w:hint="eastAsia" w:ascii="宋体" w:hAnsi="宋体" w:cs="宋体"/>
          <w:color w:val="auto"/>
          <w:kern w:val="0"/>
          <w:szCs w:val="21"/>
          <w:highlight w:val="none"/>
        </w:rPr>
        <w:t>。</w:t>
      </w:r>
    </w:p>
    <w:p w14:paraId="346131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（6）发包人无正当理由没有在约定期限内发出复工指示，导致承包人无法复工的违约责任：</w:t>
      </w:r>
      <w:r>
        <w:rPr>
          <w:rFonts w:hint="eastAsia" w:ascii="宋体" w:hAnsi="宋体" w:cs="宋体"/>
          <w:color w:val="auto"/>
          <w:kern w:val="0"/>
          <w:szCs w:val="21"/>
          <w:highlight w:val="none"/>
          <w:u w:val="single"/>
        </w:rPr>
        <w:t>承包人可以提出工期索赔。</w:t>
      </w:r>
    </w:p>
    <w:p w14:paraId="6366B1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（7）其他：</w:t>
      </w:r>
      <w:r>
        <w:rPr>
          <w:rFonts w:hint="eastAsia" w:ascii="宋体" w:hAnsi="宋体" w:cs="宋体"/>
          <w:color w:val="auto"/>
          <w:kern w:val="0"/>
          <w:szCs w:val="21"/>
          <w:highlight w:val="none"/>
          <w:u w:val="single"/>
        </w:rPr>
        <w:t xml:space="preserve"> 无 </w:t>
      </w:r>
      <w:r>
        <w:rPr>
          <w:rFonts w:hint="eastAsia" w:ascii="宋体" w:hAnsi="宋体" w:cs="宋体"/>
          <w:color w:val="auto"/>
          <w:kern w:val="0"/>
          <w:szCs w:val="21"/>
          <w:highlight w:val="none"/>
        </w:rPr>
        <w:t>。</w:t>
      </w:r>
    </w:p>
    <w:p w14:paraId="1CAF31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16.1.3 因发包人违约解除合同</w:t>
      </w:r>
    </w:p>
    <w:p w14:paraId="5A7331B0">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承包人按16.1.1项〔发包人违约的情形〕约定暂停施工</w:t>
      </w:r>
      <w:r>
        <w:rPr>
          <w:rFonts w:hint="eastAsia" w:ascii="宋体" w:hAnsi="宋体" w:cs="宋体"/>
          <w:color w:val="auto"/>
          <w:szCs w:val="21"/>
          <w:highlight w:val="none"/>
        </w:rPr>
        <w:t>满</w:t>
      </w:r>
      <w:r>
        <w:rPr>
          <w:rFonts w:hint="eastAsia" w:ascii="宋体" w:hAnsi="宋体" w:cs="宋体"/>
          <w:color w:val="auto"/>
          <w:szCs w:val="21"/>
          <w:highlight w:val="none"/>
          <w:u w:val="single"/>
        </w:rPr>
        <w:t>3</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rPr>
        <w:t>天</w:t>
      </w:r>
      <w:r>
        <w:rPr>
          <w:rFonts w:hint="eastAsia" w:ascii="宋体" w:hAnsi="宋体" w:cs="宋体"/>
          <w:color w:val="auto"/>
          <w:kern w:val="0"/>
          <w:szCs w:val="21"/>
          <w:highlight w:val="none"/>
        </w:rPr>
        <w:t>后发包人仍不纠正其违约行为并致使合同目的不能实现的，承包人有权解除合同。</w:t>
      </w:r>
    </w:p>
    <w:p w14:paraId="5EB88505">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16.2 承包人违约</w:t>
      </w:r>
    </w:p>
    <w:p w14:paraId="31B9C654">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16.2.1 承包人违约的情形</w:t>
      </w:r>
    </w:p>
    <w:p w14:paraId="246341D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承包人违约的其他情形：</w:t>
      </w:r>
      <w:r>
        <w:rPr>
          <w:rFonts w:hint="eastAsia" w:ascii="宋体" w:hAnsi="宋体" w:cs="宋体"/>
          <w:color w:val="auto"/>
          <w:szCs w:val="21"/>
          <w:highlight w:val="none"/>
          <w:u w:val="single"/>
        </w:rPr>
        <w:t xml:space="preserve"> 详见本合同《专用合同条款》的相关约定</w:t>
      </w:r>
      <w:r>
        <w:rPr>
          <w:rFonts w:hint="eastAsia" w:ascii="宋体" w:hAnsi="宋体" w:cs="宋体"/>
          <w:color w:val="auto"/>
          <w:szCs w:val="21"/>
          <w:highlight w:val="none"/>
        </w:rPr>
        <w:t>。</w:t>
      </w:r>
    </w:p>
    <w:p w14:paraId="16A56596">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16.2.2承包人违约的责任</w:t>
      </w:r>
    </w:p>
    <w:p w14:paraId="133791C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承包人违约责任的承担方式和计算方法：</w:t>
      </w:r>
      <w:r>
        <w:rPr>
          <w:rFonts w:hint="eastAsia" w:ascii="宋体" w:hAnsi="宋体" w:cs="宋体"/>
          <w:color w:val="auto"/>
          <w:szCs w:val="21"/>
          <w:highlight w:val="none"/>
        </w:rPr>
        <w:t>详见本合同《专用合同条款》的相关约定。</w:t>
      </w:r>
    </w:p>
    <w:p w14:paraId="7287C5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16.2.3 因承包人违约解除合同</w:t>
      </w:r>
    </w:p>
    <w:p w14:paraId="5AD53D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关于承包人违约解除合同的特别约定：</w:t>
      </w:r>
      <w:r>
        <w:rPr>
          <w:rFonts w:hint="eastAsia" w:ascii="宋体" w:hAnsi="宋体" w:cs="宋体"/>
          <w:color w:val="auto"/>
          <w:kern w:val="0"/>
          <w:szCs w:val="21"/>
          <w:highlight w:val="none"/>
          <w:u w:val="single"/>
        </w:rPr>
        <w:t>承包人有违反以下情况之一的，发包人有权解除合同，并没收其全部履约保证金。</w:t>
      </w:r>
    </w:p>
    <w:p w14:paraId="332EF5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(1)承包人无正当理由不按开工通知的要求及时进场组织施工和不按签订协议书时商定的进度计划有效地开展施工准备，造成工期延误的；</w:t>
      </w:r>
    </w:p>
    <w:p w14:paraId="25CEDD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(2)承包人违反本合同通用条款第3.5条规定私自将合同或合同的任何部分或任何权利转让给其他人，或私自将工程或工程的一部分分包出去的；</w:t>
      </w:r>
    </w:p>
    <w:p w14:paraId="193599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(3)未经监理人批准，承包人私自将已按投标文件承诺进入工地的工程设备、施工设备、临时工程或材料撤离工地的；</w:t>
      </w:r>
    </w:p>
    <w:p w14:paraId="557971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(4)由于承包人原因拒绝按合同进度计划及时完成合同规定的工程，而又未采取有效措施赶上进度，造成工期严重延误的；</w:t>
      </w:r>
    </w:p>
    <w:p w14:paraId="744A90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(5)承包人否认合同有效或拒绝履行合同规定的承包人义务，或由于法律、财务等原因导致承包人无法继续履行或实质上已停止履行合同的义务的；</w:t>
      </w:r>
    </w:p>
    <w:p w14:paraId="10EB48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(6)合同签订且具备法定开工条件后之日起十五日内，承包人无法按合同规定及投标文件的承诺进场经监理工程师认可的该施工阶段应有的全部人员和机械的。</w:t>
      </w:r>
    </w:p>
    <w:p w14:paraId="5B5F14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shd w:val="pct10" w:color="auto" w:fill="FFFFFF"/>
        </w:rPr>
      </w:pPr>
      <w:r>
        <w:rPr>
          <w:rFonts w:hint="eastAsia" w:ascii="宋体" w:hAnsi="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cs="宋体"/>
          <w:color w:val="auto"/>
          <w:kern w:val="0"/>
          <w:szCs w:val="21"/>
          <w:highlight w:val="none"/>
          <w:u w:val="single"/>
        </w:rPr>
        <w:t>除材料、设备另行协商外，其它无偿使用</w:t>
      </w:r>
      <w:r>
        <w:rPr>
          <w:rFonts w:hint="eastAsia" w:ascii="宋体" w:hAnsi="宋体" w:cs="宋体"/>
          <w:color w:val="auto"/>
          <w:kern w:val="0"/>
          <w:szCs w:val="21"/>
          <w:highlight w:val="none"/>
        </w:rPr>
        <w:t>。</w:t>
      </w:r>
    </w:p>
    <w:p w14:paraId="4B4CE90C">
      <w:pPr>
        <w:keepNext w:val="0"/>
        <w:keepLines w:val="0"/>
        <w:pageBreakBefore w:val="0"/>
        <w:widowControl w:val="0"/>
        <w:kinsoku/>
        <w:wordWrap/>
        <w:overflowPunct/>
        <w:topLinePunct w:val="0"/>
        <w:autoSpaceDE/>
        <w:autoSpaceDN/>
        <w:bidi w:val="0"/>
        <w:adjustRightInd/>
        <w:snapToGrid/>
        <w:spacing w:before="120" w:after="120"/>
        <w:ind w:left="0" w:firstLine="422" w:firstLineChars="200"/>
        <w:textAlignment w:val="auto"/>
        <w:outlineLvl w:val="9"/>
        <w:rPr>
          <w:rFonts w:ascii="宋体" w:hAnsi="宋体" w:cs="宋体"/>
          <w:b/>
          <w:bCs/>
          <w:color w:val="auto"/>
          <w:szCs w:val="21"/>
          <w:highlight w:val="none"/>
        </w:rPr>
      </w:pPr>
      <w:bookmarkStart w:id="616" w:name="_Toc351203649"/>
      <w:r>
        <w:rPr>
          <w:rFonts w:hint="eastAsia" w:ascii="宋体" w:hAnsi="宋体" w:cs="宋体"/>
          <w:b/>
          <w:bCs/>
          <w:color w:val="auto"/>
          <w:szCs w:val="21"/>
          <w:highlight w:val="none"/>
        </w:rPr>
        <w:t>17.不可抗力</w:t>
      </w:r>
      <w:bookmarkEnd w:id="614"/>
      <w:bookmarkEnd w:id="616"/>
    </w:p>
    <w:p w14:paraId="5E278662">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17.1 不可抗力的确认</w:t>
      </w:r>
    </w:p>
    <w:p w14:paraId="213BD06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除通用合同条款约定的不可抗力事件之外，视为不可抗力的其他情形： </w:t>
      </w:r>
    </w:p>
    <w:p w14:paraId="362988B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本合同所约定的不可抗力的情形，仅包括：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无</w:t>
      </w:r>
      <w:r>
        <w:rPr>
          <w:rFonts w:hint="eastAsia" w:ascii="宋体" w:hAnsi="宋体" w:cs="宋体"/>
          <w:color w:val="auto"/>
          <w:szCs w:val="21"/>
          <w:highlight w:val="none"/>
          <w:u w:val="single"/>
        </w:rPr>
        <w:t>。</w:t>
      </w:r>
      <w:r>
        <w:rPr>
          <w:rFonts w:hint="eastAsia" w:ascii="宋体" w:hAnsi="宋体" w:cs="宋体"/>
          <w:color w:val="auto"/>
          <w:szCs w:val="21"/>
          <w:highlight w:val="none"/>
        </w:rPr>
        <w:t xml:space="preserve"> </w:t>
      </w:r>
    </w:p>
    <w:p w14:paraId="64374C25">
      <w:pPr>
        <w:spacing w:after="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17.4 因不可抗力解除合同</w:t>
      </w:r>
    </w:p>
    <w:p w14:paraId="7FFD1AA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合同解除后，发包人应在商定或确定发包人应支付款项之日起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28</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天内完成款项的支付。</w:t>
      </w:r>
    </w:p>
    <w:p w14:paraId="7F1A2261">
      <w:pPr>
        <w:spacing w:before="120" w:after="120"/>
        <w:ind w:firstLine="422" w:firstLineChars="200"/>
        <w:outlineLvl w:val="9"/>
        <w:rPr>
          <w:rFonts w:ascii="宋体" w:hAnsi="宋体" w:cs="宋体"/>
          <w:b/>
          <w:bCs/>
          <w:color w:val="auto"/>
          <w:szCs w:val="21"/>
          <w:highlight w:val="none"/>
        </w:rPr>
      </w:pPr>
      <w:bookmarkStart w:id="617" w:name="_Toc351203650"/>
      <w:r>
        <w:rPr>
          <w:rFonts w:hint="eastAsia" w:ascii="宋体" w:hAnsi="宋体" w:cs="宋体"/>
          <w:b/>
          <w:bCs/>
          <w:color w:val="auto"/>
          <w:szCs w:val="21"/>
          <w:highlight w:val="none"/>
        </w:rPr>
        <w:t>18.保险</w:t>
      </w:r>
      <w:bookmarkEnd w:id="617"/>
    </w:p>
    <w:bookmarkEnd w:id="615"/>
    <w:p w14:paraId="353D9A6C">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18.1工程保险</w:t>
      </w:r>
    </w:p>
    <w:p w14:paraId="5E9D2D17">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关于工程保险的特别约定：</w:t>
      </w:r>
      <w:r>
        <w:rPr>
          <w:rFonts w:hint="eastAsia" w:ascii="宋体" w:hAnsi="宋体" w:cs="宋体"/>
          <w:color w:val="auto"/>
          <w:szCs w:val="21"/>
          <w:highlight w:val="none"/>
          <w:u w:val="single"/>
          <w:lang w:val="en-US" w:eastAsia="zh-CN"/>
        </w:rPr>
        <w:t>按通用条款</w:t>
      </w:r>
      <w:r>
        <w:rPr>
          <w:rFonts w:hint="eastAsia" w:ascii="宋体" w:hAnsi="宋体" w:cs="宋体"/>
          <w:color w:val="auto"/>
          <w:szCs w:val="21"/>
          <w:highlight w:val="none"/>
          <w:u w:val="single"/>
        </w:rPr>
        <w:t>。</w:t>
      </w:r>
    </w:p>
    <w:p w14:paraId="59F4CBC6">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18.3其他保险</w:t>
      </w:r>
    </w:p>
    <w:p w14:paraId="68DC3E6D">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关于其他保险的约定：</w:t>
      </w:r>
      <w:r>
        <w:rPr>
          <w:rFonts w:hint="eastAsia" w:ascii="宋体" w:hAnsi="宋体" w:cs="宋体"/>
          <w:color w:val="auto"/>
          <w:szCs w:val="21"/>
          <w:highlight w:val="none"/>
          <w:u w:val="single"/>
          <w:lang w:val="en-US" w:eastAsia="zh-CN"/>
        </w:rPr>
        <w:t>按通用条款</w:t>
      </w:r>
      <w:r>
        <w:rPr>
          <w:rFonts w:hint="eastAsia" w:ascii="宋体" w:hAnsi="宋体" w:cs="宋体"/>
          <w:color w:val="auto"/>
          <w:szCs w:val="21"/>
          <w:highlight w:val="none"/>
          <w:u w:val="single"/>
        </w:rPr>
        <w:t>。</w:t>
      </w:r>
    </w:p>
    <w:p w14:paraId="31DE6A1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承包人是否应为其施工设备等办理财产保险：</w:t>
      </w:r>
      <w:r>
        <w:rPr>
          <w:rFonts w:hint="eastAsia" w:ascii="宋体" w:hAnsi="宋体" w:cs="宋体"/>
          <w:color w:val="auto"/>
          <w:szCs w:val="21"/>
          <w:highlight w:val="none"/>
          <w:u w:val="single"/>
        </w:rPr>
        <w:t xml:space="preserve">承包人应为其施工设备等办理财产保险 </w:t>
      </w:r>
      <w:r>
        <w:rPr>
          <w:rFonts w:hint="eastAsia" w:ascii="宋体" w:hAnsi="宋体" w:cs="宋体"/>
          <w:color w:val="auto"/>
          <w:szCs w:val="21"/>
          <w:highlight w:val="none"/>
        </w:rPr>
        <w:t>。</w:t>
      </w:r>
    </w:p>
    <w:p w14:paraId="5EE3D786">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18.7通知义务</w:t>
      </w:r>
    </w:p>
    <w:p w14:paraId="180C25F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kern w:val="0"/>
          <w:szCs w:val="21"/>
          <w:highlight w:val="none"/>
        </w:rPr>
        <w:t>关于变更保险合同时的通知义务的约定：</w:t>
      </w:r>
      <w:r>
        <w:rPr>
          <w:rFonts w:hint="eastAsia" w:ascii="宋体" w:hAnsi="宋体" w:cs="宋体"/>
          <w:color w:val="auto"/>
          <w:szCs w:val="21"/>
          <w:highlight w:val="none"/>
          <w:u w:val="single"/>
        </w:rPr>
        <w:t>按照通用条款执行。</w:t>
      </w:r>
    </w:p>
    <w:bookmarkEnd w:id="591"/>
    <w:bookmarkEnd w:id="592"/>
    <w:bookmarkEnd w:id="593"/>
    <w:bookmarkEnd w:id="594"/>
    <w:bookmarkEnd w:id="595"/>
    <w:bookmarkEnd w:id="596"/>
    <w:bookmarkEnd w:id="597"/>
    <w:bookmarkEnd w:id="598"/>
    <w:bookmarkEnd w:id="599"/>
    <w:bookmarkEnd w:id="600"/>
    <w:bookmarkEnd w:id="601"/>
    <w:bookmarkEnd w:id="602"/>
    <w:p w14:paraId="6C1424AF">
      <w:pPr>
        <w:keepNext/>
        <w:keepLines/>
        <w:pageBreakBefore w:val="0"/>
        <w:widowControl w:val="0"/>
        <w:kinsoku/>
        <w:wordWrap/>
        <w:overflowPunct/>
        <w:topLinePunct w:val="0"/>
        <w:autoSpaceDE/>
        <w:autoSpaceDN/>
        <w:bidi w:val="0"/>
        <w:adjustRightInd/>
        <w:snapToGrid/>
        <w:spacing w:before="120" w:after="120" w:line="377" w:lineRule="auto"/>
        <w:ind w:firstLine="422" w:firstLineChars="200"/>
        <w:textAlignment w:val="auto"/>
        <w:outlineLvl w:val="9"/>
        <w:rPr>
          <w:rFonts w:ascii="宋体" w:hAnsi="宋体" w:cs="宋体"/>
          <w:b/>
          <w:bCs/>
          <w:color w:val="auto"/>
          <w:szCs w:val="21"/>
          <w:highlight w:val="none"/>
        </w:rPr>
      </w:pPr>
      <w:bookmarkStart w:id="618" w:name="_Toc351203651"/>
      <w:r>
        <w:rPr>
          <w:rFonts w:hint="eastAsia" w:ascii="宋体" w:hAnsi="宋体" w:cs="宋体"/>
          <w:b/>
          <w:bCs/>
          <w:color w:val="auto"/>
          <w:szCs w:val="21"/>
          <w:highlight w:val="none"/>
        </w:rPr>
        <w:t>20.争议解决</w:t>
      </w:r>
      <w:bookmarkEnd w:id="618"/>
    </w:p>
    <w:bookmarkEnd w:id="603"/>
    <w:bookmarkEnd w:id="604"/>
    <w:p w14:paraId="17004C46">
      <w:pPr>
        <w:spacing w:after="120"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20.3争</w:t>
      </w:r>
      <w:bookmarkEnd w:id="605"/>
      <w:r>
        <w:rPr>
          <w:rFonts w:hint="eastAsia" w:ascii="宋体" w:hAnsi="宋体" w:cs="宋体"/>
          <w:b/>
          <w:color w:val="auto"/>
          <w:szCs w:val="21"/>
          <w:highlight w:val="none"/>
        </w:rPr>
        <w:t>议评审</w:t>
      </w:r>
    </w:p>
    <w:p w14:paraId="485752E8">
      <w:pPr>
        <w:spacing w:line="360" w:lineRule="auto"/>
        <w:ind w:left="149" w:leftChars="71" w:firstLine="315" w:firstLineChars="150"/>
        <w:jc w:val="left"/>
        <w:rPr>
          <w:rFonts w:ascii="宋体" w:hAnsi="宋体" w:cs="宋体"/>
          <w:color w:val="auto"/>
          <w:szCs w:val="21"/>
          <w:highlight w:val="none"/>
          <w:u w:val="single"/>
        </w:rPr>
      </w:pPr>
      <w:r>
        <w:rPr>
          <w:rFonts w:hint="eastAsia" w:ascii="宋体" w:hAnsi="宋体" w:cs="宋体"/>
          <w:color w:val="auto"/>
          <w:szCs w:val="21"/>
          <w:highlight w:val="none"/>
        </w:rPr>
        <w:t>合同当事人是否同意将工程争议提交争议评审小组决定：</w:t>
      </w:r>
      <w:r>
        <w:rPr>
          <w:rFonts w:hint="eastAsia" w:ascii="宋体" w:hAnsi="宋体" w:cs="宋体"/>
          <w:color w:val="auto"/>
          <w:szCs w:val="21"/>
          <w:highlight w:val="none"/>
          <w:u w:val="single"/>
        </w:rPr>
        <w:t>不同意 。</w:t>
      </w:r>
    </w:p>
    <w:p w14:paraId="6A47CA8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20.3.1 争议评审小组的确定</w:t>
      </w:r>
    </w:p>
    <w:p w14:paraId="7C7384C1">
      <w:pPr>
        <w:spacing w:line="360" w:lineRule="auto"/>
        <w:ind w:firstLine="420" w:firstLineChars="200"/>
        <w:jc w:val="left"/>
        <w:rPr>
          <w:rFonts w:ascii="宋体" w:hAnsi="宋体" w:cs="宋体"/>
          <w:color w:val="auto"/>
          <w:szCs w:val="21"/>
          <w:highlight w:val="none"/>
          <w:shd w:val="pct10" w:color="auto" w:fill="FFFFFF"/>
        </w:rPr>
      </w:pPr>
      <w:r>
        <w:rPr>
          <w:rFonts w:hint="eastAsia" w:ascii="宋体" w:hAnsi="宋体" w:cs="宋体"/>
          <w:color w:val="auto"/>
          <w:szCs w:val="21"/>
          <w:highlight w:val="none"/>
        </w:rPr>
        <w:t>争议评审小组成员的确定：</w:t>
      </w:r>
      <w:r>
        <w:rPr>
          <w:rFonts w:hint="eastAsia" w:ascii="宋体" w:hAnsi="宋体" w:cs="宋体"/>
          <w:color w:val="auto"/>
          <w:szCs w:val="21"/>
          <w:highlight w:val="none"/>
          <w:u w:val="single"/>
        </w:rPr>
        <w:t>无。</w:t>
      </w:r>
    </w:p>
    <w:p w14:paraId="478CBFA9">
      <w:pPr>
        <w:spacing w:line="360" w:lineRule="auto"/>
        <w:ind w:firstLine="420" w:firstLineChars="200"/>
        <w:jc w:val="left"/>
        <w:rPr>
          <w:rFonts w:ascii="宋体" w:hAnsi="宋体" w:cs="宋体"/>
          <w:color w:val="auto"/>
          <w:szCs w:val="21"/>
          <w:highlight w:val="none"/>
          <w:shd w:val="pct10" w:color="auto" w:fill="FFFFFF"/>
        </w:rPr>
      </w:pPr>
      <w:r>
        <w:rPr>
          <w:rFonts w:hint="eastAsia" w:ascii="宋体" w:hAnsi="宋体" w:cs="宋体"/>
          <w:color w:val="auto"/>
          <w:szCs w:val="21"/>
          <w:highlight w:val="none"/>
        </w:rPr>
        <w:t>选定争议评审员的期限：</w:t>
      </w:r>
      <w:r>
        <w:rPr>
          <w:rFonts w:hint="eastAsia" w:ascii="宋体" w:hAnsi="宋体" w:cs="宋体"/>
          <w:color w:val="auto"/>
          <w:szCs w:val="21"/>
          <w:highlight w:val="none"/>
          <w:u w:val="single"/>
        </w:rPr>
        <w:t>无。</w:t>
      </w:r>
    </w:p>
    <w:p w14:paraId="0DC27B5E">
      <w:pPr>
        <w:spacing w:line="360" w:lineRule="auto"/>
        <w:ind w:firstLine="420" w:firstLineChars="200"/>
        <w:jc w:val="left"/>
        <w:rPr>
          <w:rFonts w:ascii="宋体" w:hAnsi="宋体" w:cs="宋体"/>
          <w:color w:val="auto"/>
          <w:szCs w:val="21"/>
          <w:highlight w:val="none"/>
          <w:shd w:val="pct10" w:color="auto" w:fill="FFFFFF"/>
        </w:rPr>
      </w:pPr>
      <w:r>
        <w:rPr>
          <w:rFonts w:hint="eastAsia" w:ascii="宋体" w:hAnsi="宋体" w:cs="宋体"/>
          <w:color w:val="auto"/>
          <w:szCs w:val="21"/>
          <w:highlight w:val="none"/>
        </w:rPr>
        <w:t>争议评审小组成员的报酬承担方式：</w:t>
      </w:r>
      <w:r>
        <w:rPr>
          <w:rFonts w:hint="eastAsia" w:ascii="宋体" w:hAnsi="宋体" w:cs="宋体"/>
          <w:color w:val="auto"/>
          <w:szCs w:val="21"/>
          <w:highlight w:val="none"/>
          <w:u w:val="single"/>
        </w:rPr>
        <w:t>无。</w:t>
      </w:r>
    </w:p>
    <w:p w14:paraId="0A46E9A0">
      <w:pPr>
        <w:spacing w:line="360" w:lineRule="auto"/>
        <w:ind w:firstLine="420" w:firstLineChars="200"/>
        <w:jc w:val="left"/>
        <w:rPr>
          <w:rFonts w:ascii="宋体" w:hAnsi="宋体" w:cs="宋体"/>
          <w:color w:val="auto"/>
          <w:szCs w:val="21"/>
          <w:highlight w:val="none"/>
          <w:shd w:val="pct10" w:color="auto" w:fill="FFFFFF"/>
        </w:rPr>
      </w:pPr>
      <w:r>
        <w:rPr>
          <w:rFonts w:hint="eastAsia" w:ascii="宋体" w:hAnsi="宋体" w:cs="宋体"/>
          <w:color w:val="auto"/>
          <w:szCs w:val="21"/>
          <w:highlight w:val="none"/>
        </w:rPr>
        <w:t>其他事项的约定：</w:t>
      </w:r>
      <w:r>
        <w:rPr>
          <w:rFonts w:hint="eastAsia" w:ascii="宋体" w:hAnsi="宋体" w:cs="宋体"/>
          <w:color w:val="auto"/>
          <w:szCs w:val="21"/>
          <w:highlight w:val="none"/>
          <w:u w:val="single"/>
        </w:rPr>
        <w:t>无。</w:t>
      </w:r>
    </w:p>
    <w:p w14:paraId="4E726859">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20.3.2 争议评审小组的决定</w:t>
      </w:r>
    </w:p>
    <w:p w14:paraId="45BBE9FE">
      <w:pPr>
        <w:spacing w:line="360" w:lineRule="auto"/>
        <w:ind w:firstLine="420" w:firstLineChars="200"/>
        <w:jc w:val="left"/>
        <w:rPr>
          <w:rFonts w:ascii="宋体" w:hAnsi="宋体" w:cs="宋体"/>
          <w:color w:val="auto"/>
          <w:szCs w:val="21"/>
          <w:highlight w:val="none"/>
          <w:shd w:val="pct10" w:color="auto" w:fill="FFFFFF"/>
        </w:rPr>
      </w:pPr>
      <w:r>
        <w:rPr>
          <w:rFonts w:hint="eastAsia" w:ascii="宋体" w:hAnsi="宋体" w:cs="宋体"/>
          <w:color w:val="auto"/>
          <w:szCs w:val="21"/>
          <w:highlight w:val="none"/>
        </w:rPr>
        <w:t>合同当事人关于本项的约定：</w:t>
      </w:r>
      <w:r>
        <w:rPr>
          <w:rFonts w:hint="eastAsia" w:ascii="宋体" w:hAnsi="宋体" w:cs="宋体"/>
          <w:color w:val="auto"/>
          <w:szCs w:val="21"/>
          <w:highlight w:val="none"/>
          <w:u w:val="single"/>
        </w:rPr>
        <w:t>无。</w:t>
      </w:r>
    </w:p>
    <w:p w14:paraId="7B978612">
      <w:pPr>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20.4仲裁或诉讼</w:t>
      </w:r>
      <w:bookmarkEnd w:id="606"/>
    </w:p>
    <w:bookmarkEnd w:id="607"/>
    <w:bookmarkEnd w:id="608"/>
    <w:bookmarkEnd w:id="609"/>
    <w:bookmarkEnd w:id="610"/>
    <w:bookmarkEnd w:id="611"/>
    <w:bookmarkEnd w:id="612"/>
    <w:p w14:paraId="3D09CB82">
      <w:pPr>
        <w:spacing w:after="12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因合同及合同有关事项发生的争议，按下列第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种方式解决：</w:t>
      </w:r>
    </w:p>
    <w:p w14:paraId="0595096E">
      <w:pPr>
        <w:spacing w:after="12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（1）提请</w:t>
      </w:r>
      <w:r>
        <w:rPr>
          <w:rFonts w:hint="eastAsia" w:ascii="宋体" w:hAnsi="宋体" w:cs="宋体"/>
          <w:color w:val="auto"/>
          <w:szCs w:val="21"/>
          <w:highlight w:val="none"/>
          <w:u w:val="single"/>
        </w:rPr>
        <w:t>柳州市</w:t>
      </w:r>
      <w:r>
        <w:rPr>
          <w:rFonts w:hint="eastAsia" w:ascii="宋体" w:hAnsi="宋体" w:cs="宋体"/>
          <w:color w:val="auto"/>
          <w:szCs w:val="21"/>
          <w:highlight w:val="none"/>
        </w:rPr>
        <w:t>仲裁委员会按照该会仲裁规则进行仲裁，仲裁裁决是终局的，对合同双方均有约束力。</w:t>
      </w:r>
    </w:p>
    <w:p w14:paraId="53A9D686">
      <w:pPr>
        <w:spacing w:after="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项目所在地</w:t>
      </w:r>
      <w:r>
        <w:rPr>
          <w:rFonts w:hint="eastAsia" w:ascii="宋体" w:hAnsi="宋体" w:cs="宋体"/>
          <w:color w:val="auto"/>
          <w:szCs w:val="21"/>
          <w:highlight w:val="none"/>
        </w:rPr>
        <w:t>人民法院起诉。</w:t>
      </w:r>
    </w:p>
    <w:p w14:paraId="5F4C2519">
      <w:pPr>
        <w:ind w:firstLine="422" w:firstLineChars="200"/>
        <w:rPr>
          <w:rFonts w:ascii="宋体" w:hAnsi="宋体" w:cs="宋体"/>
          <w:b/>
          <w:color w:val="auto"/>
          <w:szCs w:val="21"/>
          <w:highlight w:val="none"/>
        </w:rPr>
      </w:pPr>
      <w:r>
        <w:rPr>
          <w:rFonts w:hint="eastAsia" w:ascii="宋体" w:hAnsi="宋体" w:cs="宋体"/>
          <w:b/>
          <w:color w:val="auto"/>
          <w:szCs w:val="21"/>
          <w:highlight w:val="none"/>
        </w:rPr>
        <w:t>21.双方特别约定的条款</w:t>
      </w:r>
    </w:p>
    <w:p w14:paraId="7EF7FCB2">
      <w:pPr>
        <w:spacing w:after="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如若变更签证，则须经过</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同意方可变更。</w:t>
      </w:r>
    </w:p>
    <w:p w14:paraId="042C4ED4">
      <w:pPr>
        <w:spacing w:after="120" w:line="360" w:lineRule="auto"/>
        <w:ind w:firstLine="420" w:firstLineChars="200"/>
        <w:rPr>
          <w:rFonts w:ascii="宋体" w:hAnsi="宋体" w:cs="宋体"/>
          <w:color w:val="auto"/>
          <w:szCs w:val="21"/>
          <w:highlight w:val="none"/>
        </w:rPr>
      </w:pPr>
    </w:p>
    <w:p w14:paraId="55AB00A0">
      <w:pPr>
        <w:spacing w:line="360" w:lineRule="auto"/>
        <w:jc w:val="left"/>
        <w:rPr>
          <w:rFonts w:eastAsia="黑体"/>
          <w:b/>
          <w:color w:val="auto"/>
          <w:sz w:val="32"/>
          <w:szCs w:val="32"/>
          <w:highlight w:val="none"/>
        </w:rPr>
      </w:pPr>
      <w:r>
        <w:rPr>
          <w:rFonts w:hint="eastAsia" w:ascii="宋体" w:hAnsi="宋体" w:cs="宋体"/>
          <w:color w:val="auto"/>
          <w:szCs w:val="21"/>
          <w:highlight w:val="none"/>
        </w:rPr>
        <w:br w:type="page"/>
      </w:r>
      <w:bookmarkStart w:id="619" w:name="_Toc351203652"/>
      <w:r>
        <w:rPr>
          <w:rFonts w:eastAsia="黑体"/>
          <w:b/>
          <w:color w:val="auto"/>
          <w:sz w:val="32"/>
          <w:szCs w:val="32"/>
          <w:highlight w:val="none"/>
        </w:rPr>
        <w:t>附件</w:t>
      </w:r>
      <w:bookmarkEnd w:id="619"/>
    </w:p>
    <w:p w14:paraId="52AFD74D">
      <w:pPr>
        <w:spacing w:line="360" w:lineRule="auto"/>
        <w:jc w:val="left"/>
        <w:rPr>
          <w:rFonts w:hint="eastAsia" w:ascii="宋体" w:hAnsi="宋体"/>
          <w:color w:val="auto"/>
          <w:szCs w:val="21"/>
          <w:highlight w:val="none"/>
        </w:rPr>
      </w:pPr>
      <w:r>
        <w:rPr>
          <w:rFonts w:hint="eastAsia" w:ascii="宋体" w:hAnsi="宋体"/>
          <w:color w:val="auto"/>
          <w:szCs w:val="21"/>
          <w:highlight w:val="none"/>
        </w:rPr>
        <w:t>协议书附件：</w:t>
      </w:r>
    </w:p>
    <w:p w14:paraId="1913D350">
      <w:pPr>
        <w:spacing w:line="360" w:lineRule="auto"/>
        <w:jc w:val="left"/>
        <w:rPr>
          <w:rFonts w:hint="eastAsia" w:ascii="宋体" w:hAnsi="宋体"/>
          <w:color w:val="auto"/>
          <w:szCs w:val="21"/>
          <w:highlight w:val="none"/>
        </w:rPr>
      </w:pPr>
      <w:r>
        <w:rPr>
          <w:rFonts w:ascii="宋体" w:hAnsi="宋体"/>
          <w:color w:val="auto"/>
          <w:szCs w:val="21"/>
          <w:highlight w:val="none"/>
        </w:rPr>
        <w:t>附件1：承包人承揽工程项目一览表</w:t>
      </w:r>
    </w:p>
    <w:p w14:paraId="24E67B2F">
      <w:pPr>
        <w:spacing w:line="360" w:lineRule="auto"/>
        <w:jc w:val="left"/>
        <w:rPr>
          <w:rFonts w:ascii="宋体" w:hAnsi="宋体"/>
          <w:color w:val="auto"/>
          <w:szCs w:val="21"/>
          <w:highlight w:val="none"/>
        </w:rPr>
      </w:pPr>
      <w:r>
        <w:rPr>
          <w:rFonts w:hint="eastAsia" w:ascii="宋体" w:hAnsi="宋体"/>
          <w:color w:val="auto"/>
          <w:szCs w:val="21"/>
          <w:highlight w:val="none"/>
        </w:rPr>
        <w:t>专用合同条款附件：</w:t>
      </w:r>
    </w:p>
    <w:p w14:paraId="09A1CDFD">
      <w:pPr>
        <w:spacing w:line="360" w:lineRule="auto"/>
        <w:jc w:val="left"/>
        <w:rPr>
          <w:rFonts w:ascii="宋体" w:hAnsi="宋体"/>
          <w:color w:val="auto"/>
          <w:szCs w:val="21"/>
          <w:highlight w:val="none"/>
        </w:rPr>
      </w:pPr>
      <w:r>
        <w:rPr>
          <w:rFonts w:ascii="宋体" w:hAnsi="宋体"/>
          <w:color w:val="auto"/>
          <w:szCs w:val="21"/>
          <w:highlight w:val="none"/>
        </w:rPr>
        <w:t>附件2：发包人供应材料设备一览表</w:t>
      </w:r>
    </w:p>
    <w:p w14:paraId="2C83CD54">
      <w:pPr>
        <w:spacing w:line="360" w:lineRule="auto"/>
        <w:jc w:val="left"/>
        <w:rPr>
          <w:rFonts w:ascii="宋体" w:hAnsi="宋体"/>
          <w:color w:val="auto"/>
          <w:szCs w:val="21"/>
          <w:highlight w:val="none"/>
        </w:rPr>
      </w:pPr>
      <w:r>
        <w:rPr>
          <w:rFonts w:ascii="宋体" w:hAnsi="宋体"/>
          <w:color w:val="auto"/>
          <w:szCs w:val="21"/>
          <w:highlight w:val="none"/>
        </w:rPr>
        <w:t>附件3：工程质量保修书</w:t>
      </w:r>
    </w:p>
    <w:p w14:paraId="21C6FB27">
      <w:pPr>
        <w:spacing w:line="360" w:lineRule="auto"/>
        <w:jc w:val="left"/>
        <w:rPr>
          <w:rFonts w:ascii="宋体" w:hAnsi="宋体"/>
          <w:color w:val="auto"/>
          <w:szCs w:val="21"/>
          <w:highlight w:val="none"/>
        </w:rPr>
      </w:pPr>
      <w:r>
        <w:rPr>
          <w:rFonts w:ascii="宋体" w:hAnsi="宋体"/>
          <w:color w:val="auto"/>
          <w:szCs w:val="21"/>
          <w:highlight w:val="none"/>
        </w:rPr>
        <w:t>附件4：主要建设工程文件目录</w:t>
      </w:r>
    </w:p>
    <w:p w14:paraId="093FCE3E">
      <w:pPr>
        <w:spacing w:line="360" w:lineRule="auto"/>
        <w:jc w:val="left"/>
        <w:rPr>
          <w:rFonts w:ascii="宋体" w:hAnsi="宋体"/>
          <w:color w:val="auto"/>
          <w:szCs w:val="21"/>
          <w:highlight w:val="none"/>
        </w:rPr>
      </w:pPr>
      <w:r>
        <w:rPr>
          <w:rFonts w:ascii="宋体" w:hAnsi="宋体"/>
          <w:color w:val="auto"/>
          <w:szCs w:val="21"/>
          <w:highlight w:val="none"/>
        </w:rPr>
        <w:t>附件5：承包人用于本工程施工的机械设备表</w:t>
      </w:r>
    </w:p>
    <w:p w14:paraId="1B24CBF7">
      <w:pPr>
        <w:spacing w:line="360" w:lineRule="auto"/>
        <w:jc w:val="left"/>
        <w:rPr>
          <w:rFonts w:ascii="宋体" w:hAnsi="宋体"/>
          <w:color w:val="auto"/>
          <w:szCs w:val="21"/>
          <w:highlight w:val="none"/>
        </w:rPr>
      </w:pPr>
      <w:r>
        <w:rPr>
          <w:rFonts w:ascii="宋体" w:hAnsi="宋体"/>
          <w:color w:val="auto"/>
          <w:szCs w:val="21"/>
          <w:highlight w:val="none"/>
        </w:rPr>
        <w:t>附件6：承包人主要施工管理人员表</w:t>
      </w:r>
    </w:p>
    <w:p w14:paraId="32743762">
      <w:pPr>
        <w:spacing w:line="360" w:lineRule="auto"/>
        <w:jc w:val="left"/>
        <w:rPr>
          <w:rFonts w:ascii="宋体" w:hAnsi="宋体"/>
          <w:color w:val="auto"/>
          <w:szCs w:val="21"/>
          <w:highlight w:val="none"/>
        </w:rPr>
      </w:pPr>
      <w:r>
        <w:rPr>
          <w:rFonts w:ascii="宋体" w:hAnsi="宋体"/>
          <w:color w:val="auto"/>
          <w:szCs w:val="21"/>
          <w:highlight w:val="none"/>
        </w:rPr>
        <w:t>附件7：分包人主要施工管理人员表</w:t>
      </w:r>
    </w:p>
    <w:p w14:paraId="3360F9DD">
      <w:pPr>
        <w:spacing w:line="360" w:lineRule="auto"/>
        <w:jc w:val="left"/>
        <w:rPr>
          <w:rFonts w:ascii="宋体" w:hAnsi="宋体"/>
          <w:color w:val="auto"/>
          <w:szCs w:val="21"/>
          <w:highlight w:val="none"/>
        </w:rPr>
      </w:pPr>
      <w:r>
        <w:rPr>
          <w:rFonts w:ascii="宋体" w:hAnsi="宋体"/>
          <w:color w:val="auto"/>
          <w:szCs w:val="21"/>
          <w:highlight w:val="none"/>
        </w:rPr>
        <w:t>附件8：履约担保格式</w:t>
      </w:r>
    </w:p>
    <w:p w14:paraId="1864013E">
      <w:pPr>
        <w:spacing w:line="360" w:lineRule="auto"/>
        <w:jc w:val="left"/>
        <w:rPr>
          <w:rFonts w:ascii="宋体" w:hAnsi="宋体"/>
          <w:color w:val="auto"/>
          <w:szCs w:val="21"/>
          <w:highlight w:val="none"/>
        </w:rPr>
      </w:pPr>
      <w:r>
        <w:rPr>
          <w:rFonts w:ascii="宋体" w:hAnsi="宋体"/>
          <w:color w:val="auto"/>
          <w:szCs w:val="21"/>
          <w:highlight w:val="none"/>
        </w:rPr>
        <w:t>附件9：预付款担保格式</w:t>
      </w:r>
    </w:p>
    <w:p w14:paraId="07EAB898">
      <w:pPr>
        <w:spacing w:line="360" w:lineRule="auto"/>
        <w:jc w:val="left"/>
        <w:rPr>
          <w:rFonts w:ascii="宋体" w:hAnsi="宋体"/>
          <w:color w:val="auto"/>
          <w:szCs w:val="21"/>
          <w:highlight w:val="none"/>
        </w:rPr>
      </w:pPr>
      <w:r>
        <w:rPr>
          <w:rFonts w:ascii="宋体" w:hAnsi="宋体"/>
          <w:color w:val="auto"/>
          <w:szCs w:val="21"/>
          <w:highlight w:val="none"/>
        </w:rPr>
        <w:t>附件10：支付担保格式</w:t>
      </w:r>
    </w:p>
    <w:p w14:paraId="4D4B67DA">
      <w:pPr>
        <w:spacing w:line="360" w:lineRule="auto"/>
        <w:jc w:val="left"/>
        <w:rPr>
          <w:rFonts w:hint="eastAsia" w:ascii="宋体" w:hAnsi="宋体"/>
          <w:color w:val="auto"/>
          <w:szCs w:val="21"/>
          <w:highlight w:val="none"/>
        </w:rPr>
      </w:pPr>
      <w:r>
        <w:rPr>
          <w:rFonts w:ascii="宋体" w:hAnsi="宋体"/>
          <w:color w:val="auto"/>
          <w:szCs w:val="21"/>
          <w:highlight w:val="none"/>
        </w:rPr>
        <w:t>附件11：</w:t>
      </w:r>
    </w:p>
    <w:p w14:paraId="0A82319A">
      <w:pPr>
        <w:spacing w:line="360" w:lineRule="auto"/>
        <w:jc w:val="left"/>
        <w:rPr>
          <w:rFonts w:hint="eastAsia" w:ascii="宋体" w:hAnsi="宋体"/>
          <w:color w:val="auto"/>
          <w:szCs w:val="21"/>
          <w:highlight w:val="none"/>
        </w:rPr>
      </w:pPr>
      <w:r>
        <w:rPr>
          <w:rFonts w:hint="eastAsia" w:ascii="宋体" w:hAnsi="宋体"/>
          <w:color w:val="auto"/>
          <w:szCs w:val="21"/>
          <w:highlight w:val="none"/>
        </w:rPr>
        <w:t>附件11-1：</w:t>
      </w:r>
      <w:r>
        <w:rPr>
          <w:rFonts w:ascii="宋体" w:hAnsi="宋体"/>
          <w:color w:val="auto"/>
          <w:szCs w:val="21"/>
          <w:highlight w:val="none"/>
        </w:rPr>
        <w:t>暂估价一览表</w:t>
      </w:r>
    </w:p>
    <w:p w14:paraId="092EB38A">
      <w:pPr>
        <w:spacing w:line="360" w:lineRule="auto"/>
        <w:jc w:val="left"/>
        <w:rPr>
          <w:rFonts w:hint="eastAsia" w:ascii="宋体" w:hAnsi="宋体"/>
          <w:color w:val="auto"/>
          <w:szCs w:val="21"/>
          <w:highlight w:val="none"/>
        </w:rPr>
      </w:pPr>
      <w:r>
        <w:rPr>
          <w:rFonts w:hint="eastAsia" w:ascii="宋体" w:hAnsi="宋体"/>
          <w:color w:val="auto"/>
          <w:szCs w:val="21"/>
          <w:highlight w:val="none"/>
        </w:rPr>
        <w:t>附件11-2：</w:t>
      </w:r>
      <w:r>
        <w:rPr>
          <w:rFonts w:ascii="宋体" w:hAnsi="宋体"/>
          <w:color w:val="auto"/>
          <w:szCs w:val="21"/>
          <w:highlight w:val="none"/>
        </w:rPr>
        <w:t>工程设备暂估价表</w:t>
      </w:r>
    </w:p>
    <w:p w14:paraId="21B6331B">
      <w:pPr>
        <w:rPr>
          <w:color w:val="auto"/>
          <w:highlight w:val="none"/>
        </w:rPr>
      </w:pPr>
      <w:r>
        <w:rPr>
          <w:rFonts w:hint="eastAsia" w:ascii="宋体" w:hAnsi="宋体"/>
          <w:color w:val="auto"/>
          <w:szCs w:val="21"/>
          <w:highlight w:val="none"/>
        </w:rPr>
        <w:t>附件11-3：《专业工程暂估价及结算价表</w:t>
      </w:r>
      <w:r>
        <w:rPr>
          <w:rFonts w:hint="eastAsia" w:ascii="宋体" w:hAnsi="宋体"/>
          <w:color w:val="auto"/>
          <w:szCs w:val="21"/>
          <w:highlight w:val="none"/>
          <w:lang w:eastAsia="zh-CN"/>
        </w:rPr>
        <w:t>》</w:t>
      </w:r>
    </w:p>
    <w:sectPr>
      <w:headerReference r:id="rId13" w:type="default"/>
      <w:footerReference r:id="rId14" w:type="default"/>
      <w:pgSz w:w="11906" w:h="16838"/>
      <w:pgMar w:top="1440" w:right="964" w:bottom="1134" w:left="907" w:header="851" w:footer="992" w:gutter="0"/>
      <w:pgNumType w:fmt="decimal"/>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大黑简体2.">
    <w:altName w:val="黑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Lucida Console">
    <w:panose1 w:val="020B0609040504020204"/>
    <w:charset w:val="00"/>
    <w:family w:val="modern"/>
    <w:pitch w:val="default"/>
    <w:sig w:usb0="8000028F" w:usb1="00001800" w:usb2="00000000" w:usb3="00000000" w:csb0="0000001F" w:csb1="D7D7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行楷简体">
    <w:altName w:val="微软雅黑"/>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E5A00">
    <w:pPr>
      <w:pStyle w:val="34"/>
      <w:framePr w:wrap="around" w:vAnchor="text" w:hAnchor="margin" w:xAlign="center" w:y="1"/>
      <w:rPr>
        <w:rStyle w:val="56"/>
      </w:rPr>
    </w:pPr>
    <w:r>
      <w:fldChar w:fldCharType="begin"/>
    </w:r>
    <w:r>
      <w:rPr>
        <w:rStyle w:val="56"/>
      </w:rPr>
      <w:instrText xml:space="preserve">PAGE  </w:instrText>
    </w:r>
    <w:r>
      <w:fldChar w:fldCharType="end"/>
    </w:r>
  </w:p>
  <w:p w14:paraId="49BFE8D3">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62B73">
    <w:pPr>
      <w:pStyle w:val="3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9E2C0">
    <w:pPr>
      <w:pStyle w:val="34"/>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4FC518">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4FC518">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ACF5D">
    <w:pPr>
      <w:pStyle w:val="34"/>
      <w:tabs>
        <w:tab w:val="left" w:pos="6787"/>
        <w:tab w:val="center" w:pos="6979"/>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266700" cy="171450"/>
              <wp:effectExtent l="0" t="0" r="0" b="0"/>
              <wp:wrapNone/>
              <wp:docPr id="9" name="文本框 1026"/>
              <wp:cNvGraphicFramePr/>
              <a:graphic xmlns:a="http://schemas.openxmlformats.org/drawingml/2006/main">
                <a:graphicData uri="http://schemas.microsoft.com/office/word/2010/wordprocessingShape">
                  <wps:wsp>
                    <wps:cNvSpPr txBox="1"/>
                    <wps:spPr>
                      <a:xfrm>
                        <a:off x="0" y="0"/>
                        <a:ext cx="266700" cy="171450"/>
                      </a:xfrm>
                      <a:prstGeom prst="rect">
                        <a:avLst/>
                      </a:prstGeom>
                      <a:noFill/>
                      <a:ln>
                        <a:noFill/>
                      </a:ln>
                    </wps:spPr>
                    <wps:txbx>
                      <w:txbxContent>
                        <w:p w14:paraId="7D5245F2">
                          <w:pPr>
                            <w:pStyle w:val="34"/>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wrap="square" lIns="0" tIns="0" rIns="0" bIns="0">
                      <a:noAutofit/>
                    </wps:bodyPr>
                  </wps:wsp>
                </a:graphicData>
              </a:graphic>
            </wp:anchor>
          </w:drawing>
        </mc:Choice>
        <mc:Fallback>
          <w:pict>
            <v:shape id="文本框 1026" o:spid="_x0000_s1026" o:spt="202" type="#_x0000_t202" style="position:absolute;left:0pt;margin-top:0pt;height:13.5pt;width:21pt;mso-position-horizontal:center;mso-position-horizontal-relative:margin;z-index:251664384;mso-width-relative:page;mso-height-relative:page;" filled="f" stroked="f" coordsize="21600,21600" o:gfxdata="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cQl2fTAAAAAwEAAA8AAAAAAAAAAQAgAAAAIgAAAGRycy9kb3du&#10;cmV2LnhtbFBLAQIUABQAAAAIAIdO4kBxxz5BywEAAJADAAAOAAAAAAAAAAEAIAAAACIBAABkcnMv&#10;ZTJvRG9jLnhtbFBLBQYAAAAABgAGAFkBAABfBQAAAAA=&#10;">
              <v:fill on="f" focussize="0,0"/>
              <v:stroke on="f"/>
              <v:imagedata o:title=""/>
              <o:lock v:ext="edit" aspectratio="f"/>
              <v:textbox inset="0mm,0mm,0mm,0mm">
                <w:txbxContent>
                  <w:p w14:paraId="7D5245F2">
                    <w:pPr>
                      <w:pStyle w:val="34"/>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E5BD0">
    <w:pPr>
      <w:pStyle w:val="34"/>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754EA">
                          <w:pPr>
                            <w:pStyle w:val="34"/>
                            <w:jc w:val="center"/>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12F754EA">
                    <w:pPr>
                      <w:pStyle w:val="34"/>
                      <w:jc w:val="center"/>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EF3A0">
    <w:pPr>
      <w:pStyle w:val="34"/>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38D0B">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B338D0B">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B9869">
    <w:pPr>
      <w:pStyle w:val="35"/>
      <w:pBdr>
        <w:bottom w:val="none" w:color="auto" w:sz="0" w:space="1"/>
      </w:pBdr>
      <w:jc w:val="both"/>
      <w:rPr>
        <w:rFonts w:ascii="宋体" w:hAnsi="宋体"/>
        <w:b/>
        <w:color w:val="000000"/>
      </w:rPr>
    </w:pPr>
    <w:r>
      <w:rPr>
        <w:rFonts w:hint="eastAsia" w:ascii="宋体" w:hAnsi="宋体"/>
        <w:b/>
        <w: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5808C">
    <w:pPr>
      <w:pStyle w:val="35"/>
      <w:pBdr>
        <w:bottom w:val="none" w:color="auto" w:sz="0" w:space="1"/>
      </w:pBdr>
      <w:jc w:val="both"/>
      <w:rPr>
        <w:rFonts w:ascii="宋体" w:hAnsi="宋体"/>
        <w:b/>
        <w:color w:val="000000"/>
      </w:rPr>
    </w:pPr>
    <w:r>
      <w:rPr>
        <w:rFonts w:hint="eastAsia" w:ascii="宋体" w:hAnsi="宋体"/>
        <w:b/>
      </w:rPr>
      <w:t xml:space="preserve"> </w:t>
    </w:r>
    <w:r>
      <w:rPr>
        <w:rFonts w:hint="eastAsia" w:ascii="宋体" w:hAnsi="宋体"/>
        <w:b/>
        <w:i/>
      </w:rPr>
      <w:t xml:space="preserve">     </w:t>
    </w:r>
    <w:r>
      <w:rPr>
        <w:rFonts w:hint="eastAsia"/>
        <w:b/>
        <w:i/>
        <w:color w:val="FF000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29386">
    <w:pPr>
      <w:pStyle w:val="35"/>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0493A">
    <w:pPr>
      <w:pStyle w:val="35"/>
      <w:pBdr>
        <w:bottom w:val="none" w:color="auto" w:sz="0" w:space="1"/>
      </w:pBdr>
      <w:jc w:val="both"/>
      <w:rPr>
        <w:rFonts w:ascii="宋体" w:hAnsi="宋体"/>
        <w:b/>
        <w:color w:val="000000" w:themeColor="text1"/>
        <w14:textFill>
          <w14:solidFill>
            <w14:schemeClr w14:val="tx1"/>
          </w14:solidFill>
        </w14:textFil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89C97">
    <w:pPr>
      <w:pStyle w:val="35"/>
      <w:pBdr>
        <w:bottom w:val="none" w:color="auto" w:sz="0" w:space="1"/>
      </w:pBdr>
      <w:jc w:val="both"/>
      <w:rPr>
        <w:rFonts w:ascii="宋体" w:hAnsi="宋体"/>
        <w:b/>
        <w:iCs/>
        <w:color w:val="000000"/>
      </w:rPr>
    </w:pPr>
    <w:r>
      <w:rPr>
        <w:rFonts w:hint="eastAsia" w:ascii="宋体" w:hAnsi="宋体"/>
        <w:b/>
      </w:rPr>
      <w:t xml:space="preserve"> </w:t>
    </w:r>
    <w:r>
      <w:rPr>
        <w:rFonts w:hint="eastAsia" w:ascii="宋体" w:hAnsi="宋体"/>
        <w:b/>
        <w:i/>
      </w:rPr>
      <w:t xml:space="preserve">                        </w:t>
    </w:r>
  </w:p>
  <w:p w14:paraId="651C8BC9">
    <w:pPr>
      <w:rPr>
        <w:rFonts w:ascii="宋体" w:hAnsi="宋体"/>
        <w:b/>
        <w:color w:val="00000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FB57E">
    <w:pPr>
      <w:pStyle w:val="3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B03ADAB5"/>
    <w:multiLevelType w:val="singleLevel"/>
    <w:tmpl w:val="B03ADAB5"/>
    <w:lvl w:ilvl="0" w:tentative="0">
      <w:start w:val="1"/>
      <w:numFmt w:val="decimal"/>
      <w:suff w:val="nothing"/>
      <w:lvlText w:val="（%1）"/>
      <w:lvlJc w:val="left"/>
    </w:lvl>
  </w:abstractNum>
  <w:abstractNum w:abstractNumId="2">
    <w:nsid w:val="EF6DDE72"/>
    <w:multiLevelType w:val="singleLevel"/>
    <w:tmpl w:val="EF6DDE72"/>
    <w:lvl w:ilvl="0" w:tentative="0">
      <w:start w:val="1"/>
      <w:numFmt w:val="decimal"/>
      <w:suff w:val="nothing"/>
      <w:lvlText w:val="（%1）"/>
      <w:lvlJc w:val="left"/>
    </w:lvl>
  </w:abstractNum>
  <w:abstractNum w:abstractNumId="3">
    <w:nsid w:val="EF9A0909"/>
    <w:multiLevelType w:val="singleLevel"/>
    <w:tmpl w:val="EF9A0909"/>
    <w:lvl w:ilvl="0" w:tentative="0">
      <w:start w:val="3"/>
      <w:numFmt w:val="decimal"/>
      <w:suff w:val="nothing"/>
      <w:lvlText w:val="（%1）"/>
      <w:lvlJc w:val="left"/>
    </w:lvl>
  </w:abstractNum>
  <w:abstractNum w:abstractNumId="4">
    <w:nsid w:val="09256FDA"/>
    <w:multiLevelType w:val="multilevel"/>
    <w:tmpl w:val="09256FDA"/>
    <w:lvl w:ilvl="0" w:tentative="0">
      <w:start w:val="1"/>
      <w:numFmt w:val="chineseCountingThousand"/>
      <w:pStyle w:val="168"/>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53CB273E"/>
    <w:multiLevelType w:val="singleLevel"/>
    <w:tmpl w:val="53CB273E"/>
    <w:lvl w:ilvl="0" w:tentative="0">
      <w:start w:val="2"/>
      <w:numFmt w:val="decimal"/>
      <w:suff w:val="nothing"/>
      <w:lvlText w:val="%1."/>
      <w:lvlJc w:val="left"/>
    </w:lvl>
  </w:abstractNum>
  <w:abstractNum w:abstractNumId="8">
    <w:nsid w:val="53CE57C1"/>
    <w:multiLevelType w:val="singleLevel"/>
    <w:tmpl w:val="53CE57C1"/>
    <w:lvl w:ilvl="0" w:tentative="0">
      <w:start w:val="1"/>
      <w:numFmt w:val="decimal"/>
      <w:suff w:val="nothing"/>
      <w:lvlText w:val="%1."/>
      <w:lvlJc w:val="left"/>
    </w:lvl>
  </w:abstractNum>
  <w:abstractNum w:abstractNumId="9">
    <w:nsid w:val="53CE582B"/>
    <w:multiLevelType w:val="singleLevel"/>
    <w:tmpl w:val="53CE582B"/>
    <w:lvl w:ilvl="0" w:tentative="0">
      <w:start w:val="2"/>
      <w:numFmt w:val="decimal"/>
      <w:suff w:val="nothing"/>
      <w:lvlText w:val="%1."/>
      <w:lvlJc w:val="left"/>
    </w:lvl>
  </w:abstractNum>
  <w:abstractNum w:abstractNumId="10">
    <w:nsid w:val="6491854F"/>
    <w:multiLevelType w:val="singleLevel"/>
    <w:tmpl w:val="6491854F"/>
    <w:lvl w:ilvl="0" w:tentative="0">
      <w:start w:val="2"/>
      <w:numFmt w:val="decimal"/>
      <w:suff w:val="nothing"/>
      <w:lvlText w:val="（%1）"/>
      <w:lvlJc w:val="left"/>
    </w:lvl>
  </w:abstractNum>
  <w:num w:numId="1">
    <w:abstractNumId w:val="4"/>
  </w:num>
  <w:num w:numId="2">
    <w:abstractNumId w:val="2"/>
  </w:num>
  <w:num w:numId="3">
    <w:abstractNumId w:val="10"/>
  </w:num>
  <w:num w:numId="4">
    <w:abstractNumId w:val="3"/>
  </w:num>
  <w:num w:numId="5">
    <w:abstractNumId w:val="6"/>
  </w:num>
  <w:num w:numId="6">
    <w:abstractNumId w:val="0"/>
  </w:num>
  <w:num w:numId="7">
    <w:abstractNumId w:val="5"/>
  </w:num>
  <w:num w:numId="8">
    <w:abstractNumId w:val="1"/>
  </w:num>
  <w:num w:numId="9">
    <w:abstractNumId w:val="8"/>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vWTXVnV9UKZUPQlPEQcI6oQhlS4=" w:salt="Igj/a0sPsYgte8zRaXL2FQ=="/>
  <w:defaultTabStop w:val="42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yNzIwMjA0ZTUwYzg5ZjUzY2FhZjVlZWZkOWIzNzgifQ=="/>
  </w:docVars>
  <w:rsids>
    <w:rsidRoot w:val="00172A27"/>
    <w:rsid w:val="00000B3B"/>
    <w:rsid w:val="00003693"/>
    <w:rsid w:val="00003D62"/>
    <w:rsid w:val="00004C0C"/>
    <w:rsid w:val="00010392"/>
    <w:rsid w:val="000160D7"/>
    <w:rsid w:val="00020610"/>
    <w:rsid w:val="00020FE4"/>
    <w:rsid w:val="0002254C"/>
    <w:rsid w:val="00025FA9"/>
    <w:rsid w:val="00043D07"/>
    <w:rsid w:val="00044448"/>
    <w:rsid w:val="000460A8"/>
    <w:rsid w:val="00047AAA"/>
    <w:rsid w:val="00052443"/>
    <w:rsid w:val="00057119"/>
    <w:rsid w:val="00060018"/>
    <w:rsid w:val="00061018"/>
    <w:rsid w:val="00061C39"/>
    <w:rsid w:val="00062C74"/>
    <w:rsid w:val="00065C7F"/>
    <w:rsid w:val="00070BAA"/>
    <w:rsid w:val="00074C67"/>
    <w:rsid w:val="000779B8"/>
    <w:rsid w:val="00077C39"/>
    <w:rsid w:val="000845F2"/>
    <w:rsid w:val="0008739A"/>
    <w:rsid w:val="00090BDD"/>
    <w:rsid w:val="00093F14"/>
    <w:rsid w:val="00096EEE"/>
    <w:rsid w:val="000971BA"/>
    <w:rsid w:val="000A0D70"/>
    <w:rsid w:val="000A40B4"/>
    <w:rsid w:val="000A535A"/>
    <w:rsid w:val="000B22AB"/>
    <w:rsid w:val="000B3D69"/>
    <w:rsid w:val="000B4492"/>
    <w:rsid w:val="000B4C45"/>
    <w:rsid w:val="000B5349"/>
    <w:rsid w:val="000B6204"/>
    <w:rsid w:val="000C2A7C"/>
    <w:rsid w:val="000C435F"/>
    <w:rsid w:val="000C5334"/>
    <w:rsid w:val="000C61BD"/>
    <w:rsid w:val="000C738D"/>
    <w:rsid w:val="000D392D"/>
    <w:rsid w:val="000D45CF"/>
    <w:rsid w:val="000E0375"/>
    <w:rsid w:val="000E4238"/>
    <w:rsid w:val="000E42F8"/>
    <w:rsid w:val="000E73D7"/>
    <w:rsid w:val="000E7DBC"/>
    <w:rsid w:val="000F0530"/>
    <w:rsid w:val="000F09A7"/>
    <w:rsid w:val="000F256C"/>
    <w:rsid w:val="000F6626"/>
    <w:rsid w:val="000F77AC"/>
    <w:rsid w:val="00100CBA"/>
    <w:rsid w:val="001036F8"/>
    <w:rsid w:val="00104C60"/>
    <w:rsid w:val="00104D27"/>
    <w:rsid w:val="00113B4B"/>
    <w:rsid w:val="001175AF"/>
    <w:rsid w:val="00120D8C"/>
    <w:rsid w:val="00120ED4"/>
    <w:rsid w:val="00121159"/>
    <w:rsid w:val="001278E0"/>
    <w:rsid w:val="00127C60"/>
    <w:rsid w:val="00130398"/>
    <w:rsid w:val="001314CA"/>
    <w:rsid w:val="00132AF8"/>
    <w:rsid w:val="00132C68"/>
    <w:rsid w:val="001332D8"/>
    <w:rsid w:val="00133A26"/>
    <w:rsid w:val="00133C13"/>
    <w:rsid w:val="0013549B"/>
    <w:rsid w:val="00136972"/>
    <w:rsid w:val="00136C9E"/>
    <w:rsid w:val="00141661"/>
    <w:rsid w:val="00141E68"/>
    <w:rsid w:val="001432D2"/>
    <w:rsid w:val="00147D01"/>
    <w:rsid w:val="00154CAE"/>
    <w:rsid w:val="0015779F"/>
    <w:rsid w:val="0016254A"/>
    <w:rsid w:val="001628EC"/>
    <w:rsid w:val="00163963"/>
    <w:rsid w:val="00165BFC"/>
    <w:rsid w:val="001669F4"/>
    <w:rsid w:val="00172A27"/>
    <w:rsid w:val="0017554D"/>
    <w:rsid w:val="00184DC6"/>
    <w:rsid w:val="00186FB9"/>
    <w:rsid w:val="0019376A"/>
    <w:rsid w:val="0019529D"/>
    <w:rsid w:val="0019637C"/>
    <w:rsid w:val="00196F5B"/>
    <w:rsid w:val="001A6C08"/>
    <w:rsid w:val="001A7D36"/>
    <w:rsid w:val="001B3FE1"/>
    <w:rsid w:val="001B4E84"/>
    <w:rsid w:val="001B6C05"/>
    <w:rsid w:val="001B7EF3"/>
    <w:rsid w:val="001C2E7C"/>
    <w:rsid w:val="001C3C35"/>
    <w:rsid w:val="001D1E62"/>
    <w:rsid w:val="001D25EA"/>
    <w:rsid w:val="001D3B3D"/>
    <w:rsid w:val="001D506C"/>
    <w:rsid w:val="001E1515"/>
    <w:rsid w:val="001E4950"/>
    <w:rsid w:val="001F61B6"/>
    <w:rsid w:val="001F6D31"/>
    <w:rsid w:val="001F6F35"/>
    <w:rsid w:val="00212805"/>
    <w:rsid w:val="002131B3"/>
    <w:rsid w:val="00213294"/>
    <w:rsid w:val="00213516"/>
    <w:rsid w:val="00213B4A"/>
    <w:rsid w:val="00221AEF"/>
    <w:rsid w:val="00223E8E"/>
    <w:rsid w:val="0022732B"/>
    <w:rsid w:val="00233811"/>
    <w:rsid w:val="0023507E"/>
    <w:rsid w:val="00235507"/>
    <w:rsid w:val="002356E0"/>
    <w:rsid w:val="00236AED"/>
    <w:rsid w:val="00247C7C"/>
    <w:rsid w:val="002505F9"/>
    <w:rsid w:val="00251D67"/>
    <w:rsid w:val="00252CD6"/>
    <w:rsid w:val="00253DA3"/>
    <w:rsid w:val="00260CED"/>
    <w:rsid w:val="00262BBA"/>
    <w:rsid w:val="00264D62"/>
    <w:rsid w:val="002659F3"/>
    <w:rsid w:val="00267E18"/>
    <w:rsid w:val="00271400"/>
    <w:rsid w:val="0027347F"/>
    <w:rsid w:val="00273A8A"/>
    <w:rsid w:val="002742E6"/>
    <w:rsid w:val="00274B00"/>
    <w:rsid w:val="0028441B"/>
    <w:rsid w:val="00285A10"/>
    <w:rsid w:val="00286462"/>
    <w:rsid w:val="00286902"/>
    <w:rsid w:val="00287285"/>
    <w:rsid w:val="00287FAA"/>
    <w:rsid w:val="00294666"/>
    <w:rsid w:val="00294D54"/>
    <w:rsid w:val="002A09A2"/>
    <w:rsid w:val="002A0BFB"/>
    <w:rsid w:val="002A0CBC"/>
    <w:rsid w:val="002A5116"/>
    <w:rsid w:val="002B2546"/>
    <w:rsid w:val="002B7700"/>
    <w:rsid w:val="002B7AEB"/>
    <w:rsid w:val="002C1D98"/>
    <w:rsid w:val="002C39C2"/>
    <w:rsid w:val="002C45E0"/>
    <w:rsid w:val="002C6D2B"/>
    <w:rsid w:val="002D7AE2"/>
    <w:rsid w:val="002E7A08"/>
    <w:rsid w:val="002F0EBB"/>
    <w:rsid w:val="002F4B41"/>
    <w:rsid w:val="002F5FA8"/>
    <w:rsid w:val="002F7134"/>
    <w:rsid w:val="003039C4"/>
    <w:rsid w:val="00305E30"/>
    <w:rsid w:val="003078FF"/>
    <w:rsid w:val="0031409B"/>
    <w:rsid w:val="00320653"/>
    <w:rsid w:val="00323B32"/>
    <w:rsid w:val="0033049C"/>
    <w:rsid w:val="0033447E"/>
    <w:rsid w:val="00337ABB"/>
    <w:rsid w:val="00341A82"/>
    <w:rsid w:val="00342C34"/>
    <w:rsid w:val="00345270"/>
    <w:rsid w:val="003454A1"/>
    <w:rsid w:val="0034772D"/>
    <w:rsid w:val="00347DED"/>
    <w:rsid w:val="00355D70"/>
    <w:rsid w:val="0036295D"/>
    <w:rsid w:val="00362E07"/>
    <w:rsid w:val="003657A2"/>
    <w:rsid w:val="0036605D"/>
    <w:rsid w:val="00373663"/>
    <w:rsid w:val="003748CA"/>
    <w:rsid w:val="00375C65"/>
    <w:rsid w:val="00377045"/>
    <w:rsid w:val="003770E3"/>
    <w:rsid w:val="00383290"/>
    <w:rsid w:val="00383FA0"/>
    <w:rsid w:val="00385CA3"/>
    <w:rsid w:val="00386730"/>
    <w:rsid w:val="00387ED4"/>
    <w:rsid w:val="00391FAA"/>
    <w:rsid w:val="00392956"/>
    <w:rsid w:val="00392FAD"/>
    <w:rsid w:val="003935FF"/>
    <w:rsid w:val="003961BE"/>
    <w:rsid w:val="003967F3"/>
    <w:rsid w:val="00396E9C"/>
    <w:rsid w:val="003A43CD"/>
    <w:rsid w:val="003A4D6D"/>
    <w:rsid w:val="003B199F"/>
    <w:rsid w:val="003B22C9"/>
    <w:rsid w:val="003B5C23"/>
    <w:rsid w:val="003B66D5"/>
    <w:rsid w:val="003C0260"/>
    <w:rsid w:val="003C2287"/>
    <w:rsid w:val="003C2F69"/>
    <w:rsid w:val="003C7454"/>
    <w:rsid w:val="003C7BE9"/>
    <w:rsid w:val="003D019E"/>
    <w:rsid w:val="003D06A0"/>
    <w:rsid w:val="003D2831"/>
    <w:rsid w:val="003D5626"/>
    <w:rsid w:val="003D5861"/>
    <w:rsid w:val="003D6EBE"/>
    <w:rsid w:val="003E1925"/>
    <w:rsid w:val="003E23A7"/>
    <w:rsid w:val="003E71FB"/>
    <w:rsid w:val="003F045D"/>
    <w:rsid w:val="003F7EA5"/>
    <w:rsid w:val="00402C96"/>
    <w:rsid w:val="004106A0"/>
    <w:rsid w:val="00410943"/>
    <w:rsid w:val="00420FC2"/>
    <w:rsid w:val="00421282"/>
    <w:rsid w:val="0042160E"/>
    <w:rsid w:val="00422CE7"/>
    <w:rsid w:val="004232C1"/>
    <w:rsid w:val="004235AE"/>
    <w:rsid w:val="0042517B"/>
    <w:rsid w:val="00425A7D"/>
    <w:rsid w:val="00427957"/>
    <w:rsid w:val="00430124"/>
    <w:rsid w:val="00431831"/>
    <w:rsid w:val="00435363"/>
    <w:rsid w:val="004401C9"/>
    <w:rsid w:val="00445FFD"/>
    <w:rsid w:val="004462DE"/>
    <w:rsid w:val="00451A68"/>
    <w:rsid w:val="00453ADD"/>
    <w:rsid w:val="00454B4E"/>
    <w:rsid w:val="00456077"/>
    <w:rsid w:val="00460383"/>
    <w:rsid w:val="004627FB"/>
    <w:rsid w:val="00464259"/>
    <w:rsid w:val="0047079F"/>
    <w:rsid w:val="00475AD0"/>
    <w:rsid w:val="004764E5"/>
    <w:rsid w:val="00476A8A"/>
    <w:rsid w:val="00476CCA"/>
    <w:rsid w:val="004771E5"/>
    <w:rsid w:val="00487A3B"/>
    <w:rsid w:val="00493C03"/>
    <w:rsid w:val="004945BC"/>
    <w:rsid w:val="0049466E"/>
    <w:rsid w:val="0049735C"/>
    <w:rsid w:val="00497C0D"/>
    <w:rsid w:val="004A06DD"/>
    <w:rsid w:val="004A42C5"/>
    <w:rsid w:val="004A5578"/>
    <w:rsid w:val="004A6316"/>
    <w:rsid w:val="004B715C"/>
    <w:rsid w:val="004B7247"/>
    <w:rsid w:val="004C0447"/>
    <w:rsid w:val="004C0814"/>
    <w:rsid w:val="004D1593"/>
    <w:rsid w:val="004D2925"/>
    <w:rsid w:val="004D7E0D"/>
    <w:rsid w:val="004E0D77"/>
    <w:rsid w:val="004E1BA2"/>
    <w:rsid w:val="004E656C"/>
    <w:rsid w:val="004E7BF4"/>
    <w:rsid w:val="004F205F"/>
    <w:rsid w:val="004F2452"/>
    <w:rsid w:val="004F4EA6"/>
    <w:rsid w:val="004F6E04"/>
    <w:rsid w:val="00500426"/>
    <w:rsid w:val="00500629"/>
    <w:rsid w:val="005013BF"/>
    <w:rsid w:val="005042CB"/>
    <w:rsid w:val="00510D23"/>
    <w:rsid w:val="00514FF6"/>
    <w:rsid w:val="005161B5"/>
    <w:rsid w:val="00523C44"/>
    <w:rsid w:val="005265BB"/>
    <w:rsid w:val="00531039"/>
    <w:rsid w:val="00531F95"/>
    <w:rsid w:val="00533248"/>
    <w:rsid w:val="005363D1"/>
    <w:rsid w:val="005378CB"/>
    <w:rsid w:val="00542567"/>
    <w:rsid w:val="00542DC0"/>
    <w:rsid w:val="00546A86"/>
    <w:rsid w:val="00546DBD"/>
    <w:rsid w:val="005473D5"/>
    <w:rsid w:val="00547AA9"/>
    <w:rsid w:val="00552642"/>
    <w:rsid w:val="00553212"/>
    <w:rsid w:val="005538F8"/>
    <w:rsid w:val="00553914"/>
    <w:rsid w:val="00555E7F"/>
    <w:rsid w:val="00556D52"/>
    <w:rsid w:val="00560FA3"/>
    <w:rsid w:val="005614D3"/>
    <w:rsid w:val="00561557"/>
    <w:rsid w:val="00562180"/>
    <w:rsid w:val="005673A7"/>
    <w:rsid w:val="00571009"/>
    <w:rsid w:val="00571758"/>
    <w:rsid w:val="0057367F"/>
    <w:rsid w:val="00575059"/>
    <w:rsid w:val="00583480"/>
    <w:rsid w:val="005835D5"/>
    <w:rsid w:val="00587A80"/>
    <w:rsid w:val="00587C43"/>
    <w:rsid w:val="00592DF3"/>
    <w:rsid w:val="005972CC"/>
    <w:rsid w:val="005A20D5"/>
    <w:rsid w:val="005A38DD"/>
    <w:rsid w:val="005C0884"/>
    <w:rsid w:val="005C212D"/>
    <w:rsid w:val="005C264E"/>
    <w:rsid w:val="005C65AE"/>
    <w:rsid w:val="005C7359"/>
    <w:rsid w:val="005D2AA4"/>
    <w:rsid w:val="005D7937"/>
    <w:rsid w:val="005E1105"/>
    <w:rsid w:val="005E1AE9"/>
    <w:rsid w:val="005E3795"/>
    <w:rsid w:val="005F4391"/>
    <w:rsid w:val="00600ADA"/>
    <w:rsid w:val="0060177E"/>
    <w:rsid w:val="00602D14"/>
    <w:rsid w:val="006037B6"/>
    <w:rsid w:val="0060504E"/>
    <w:rsid w:val="00606F45"/>
    <w:rsid w:val="00617899"/>
    <w:rsid w:val="00621151"/>
    <w:rsid w:val="00621A58"/>
    <w:rsid w:val="00624CD6"/>
    <w:rsid w:val="00626138"/>
    <w:rsid w:val="0062771F"/>
    <w:rsid w:val="00631EC1"/>
    <w:rsid w:val="006373D9"/>
    <w:rsid w:val="006401C3"/>
    <w:rsid w:val="006459E0"/>
    <w:rsid w:val="00645D96"/>
    <w:rsid w:val="00646194"/>
    <w:rsid w:val="006551B0"/>
    <w:rsid w:val="006563A9"/>
    <w:rsid w:val="00657C45"/>
    <w:rsid w:val="00660482"/>
    <w:rsid w:val="00660BE5"/>
    <w:rsid w:val="00662661"/>
    <w:rsid w:val="0066691E"/>
    <w:rsid w:val="00667F22"/>
    <w:rsid w:val="00675249"/>
    <w:rsid w:val="006761CC"/>
    <w:rsid w:val="00682564"/>
    <w:rsid w:val="00685475"/>
    <w:rsid w:val="00690FDD"/>
    <w:rsid w:val="006A28CC"/>
    <w:rsid w:val="006A36DA"/>
    <w:rsid w:val="006A4E09"/>
    <w:rsid w:val="006A657E"/>
    <w:rsid w:val="006B00CD"/>
    <w:rsid w:val="006B2472"/>
    <w:rsid w:val="006B26FC"/>
    <w:rsid w:val="006B3040"/>
    <w:rsid w:val="006B6774"/>
    <w:rsid w:val="006B6D1F"/>
    <w:rsid w:val="006B6ED3"/>
    <w:rsid w:val="006B72F6"/>
    <w:rsid w:val="006C26E0"/>
    <w:rsid w:val="006C2986"/>
    <w:rsid w:val="006C3858"/>
    <w:rsid w:val="006C3F86"/>
    <w:rsid w:val="006C42AB"/>
    <w:rsid w:val="006C54F0"/>
    <w:rsid w:val="006C5C83"/>
    <w:rsid w:val="006C5CBA"/>
    <w:rsid w:val="006C5EE1"/>
    <w:rsid w:val="006D3C33"/>
    <w:rsid w:val="006D4933"/>
    <w:rsid w:val="006D74B0"/>
    <w:rsid w:val="006E6A5B"/>
    <w:rsid w:val="006F1D05"/>
    <w:rsid w:val="006F3F2A"/>
    <w:rsid w:val="007038CB"/>
    <w:rsid w:val="0070532B"/>
    <w:rsid w:val="00707D51"/>
    <w:rsid w:val="00710110"/>
    <w:rsid w:val="0071107C"/>
    <w:rsid w:val="00713FE2"/>
    <w:rsid w:val="00714741"/>
    <w:rsid w:val="00715C48"/>
    <w:rsid w:val="007216EF"/>
    <w:rsid w:val="00724717"/>
    <w:rsid w:val="007269A5"/>
    <w:rsid w:val="007279D9"/>
    <w:rsid w:val="00727AD7"/>
    <w:rsid w:val="00732A63"/>
    <w:rsid w:val="00735A2E"/>
    <w:rsid w:val="007364A3"/>
    <w:rsid w:val="00741460"/>
    <w:rsid w:val="00742E7D"/>
    <w:rsid w:val="0075324D"/>
    <w:rsid w:val="00754058"/>
    <w:rsid w:val="00754CC0"/>
    <w:rsid w:val="00757B38"/>
    <w:rsid w:val="00763DC8"/>
    <w:rsid w:val="0077038F"/>
    <w:rsid w:val="007752CD"/>
    <w:rsid w:val="007760CC"/>
    <w:rsid w:val="00776B04"/>
    <w:rsid w:val="00776C28"/>
    <w:rsid w:val="00776C5F"/>
    <w:rsid w:val="00781002"/>
    <w:rsid w:val="00781671"/>
    <w:rsid w:val="00781B56"/>
    <w:rsid w:val="00783365"/>
    <w:rsid w:val="00785C24"/>
    <w:rsid w:val="00787B92"/>
    <w:rsid w:val="007A136A"/>
    <w:rsid w:val="007A5319"/>
    <w:rsid w:val="007A5A9B"/>
    <w:rsid w:val="007A62CD"/>
    <w:rsid w:val="007B622F"/>
    <w:rsid w:val="007B7619"/>
    <w:rsid w:val="007C2D59"/>
    <w:rsid w:val="007C4218"/>
    <w:rsid w:val="007C5568"/>
    <w:rsid w:val="007C64A0"/>
    <w:rsid w:val="007C681E"/>
    <w:rsid w:val="007C74F7"/>
    <w:rsid w:val="007D05BF"/>
    <w:rsid w:val="007D366F"/>
    <w:rsid w:val="007D41EA"/>
    <w:rsid w:val="007D4C2E"/>
    <w:rsid w:val="007E3C6E"/>
    <w:rsid w:val="007F2BA5"/>
    <w:rsid w:val="007F6E6B"/>
    <w:rsid w:val="00805917"/>
    <w:rsid w:val="00807A87"/>
    <w:rsid w:val="008103A4"/>
    <w:rsid w:val="0081065B"/>
    <w:rsid w:val="0081217C"/>
    <w:rsid w:val="008156AF"/>
    <w:rsid w:val="00816E4C"/>
    <w:rsid w:val="0082383F"/>
    <w:rsid w:val="00824B3A"/>
    <w:rsid w:val="00825EEF"/>
    <w:rsid w:val="00827210"/>
    <w:rsid w:val="00834A9D"/>
    <w:rsid w:val="00837E3C"/>
    <w:rsid w:val="0084146B"/>
    <w:rsid w:val="00842316"/>
    <w:rsid w:val="00843AE2"/>
    <w:rsid w:val="00846901"/>
    <w:rsid w:val="00852412"/>
    <w:rsid w:val="00852FDB"/>
    <w:rsid w:val="0085303B"/>
    <w:rsid w:val="00854A5E"/>
    <w:rsid w:val="0086168C"/>
    <w:rsid w:val="008628A6"/>
    <w:rsid w:val="00864904"/>
    <w:rsid w:val="00864DC7"/>
    <w:rsid w:val="00870389"/>
    <w:rsid w:val="00872384"/>
    <w:rsid w:val="008740AF"/>
    <w:rsid w:val="008818D7"/>
    <w:rsid w:val="00882BAA"/>
    <w:rsid w:val="00887774"/>
    <w:rsid w:val="008938C7"/>
    <w:rsid w:val="008961FE"/>
    <w:rsid w:val="00896605"/>
    <w:rsid w:val="008970CA"/>
    <w:rsid w:val="008B3B59"/>
    <w:rsid w:val="008B4291"/>
    <w:rsid w:val="008B62FA"/>
    <w:rsid w:val="008B7223"/>
    <w:rsid w:val="008C513F"/>
    <w:rsid w:val="008C57C3"/>
    <w:rsid w:val="008D09D7"/>
    <w:rsid w:val="008D2CAD"/>
    <w:rsid w:val="008D45AF"/>
    <w:rsid w:val="008D5B19"/>
    <w:rsid w:val="008D7E02"/>
    <w:rsid w:val="008E38E1"/>
    <w:rsid w:val="008E6390"/>
    <w:rsid w:val="008E655F"/>
    <w:rsid w:val="008E76E5"/>
    <w:rsid w:val="008E77E8"/>
    <w:rsid w:val="008F1BB1"/>
    <w:rsid w:val="008F44CE"/>
    <w:rsid w:val="008F6062"/>
    <w:rsid w:val="008F6705"/>
    <w:rsid w:val="008F7FA7"/>
    <w:rsid w:val="00900F90"/>
    <w:rsid w:val="00903C70"/>
    <w:rsid w:val="0090697A"/>
    <w:rsid w:val="00911538"/>
    <w:rsid w:val="00916705"/>
    <w:rsid w:val="00916B56"/>
    <w:rsid w:val="00920285"/>
    <w:rsid w:val="00920D4B"/>
    <w:rsid w:val="009232EF"/>
    <w:rsid w:val="00926C37"/>
    <w:rsid w:val="00927026"/>
    <w:rsid w:val="00934992"/>
    <w:rsid w:val="009409C8"/>
    <w:rsid w:val="00943497"/>
    <w:rsid w:val="009529AF"/>
    <w:rsid w:val="009564C4"/>
    <w:rsid w:val="00956DF8"/>
    <w:rsid w:val="00962C20"/>
    <w:rsid w:val="00965F65"/>
    <w:rsid w:val="0097124B"/>
    <w:rsid w:val="00973FDD"/>
    <w:rsid w:val="00980D5F"/>
    <w:rsid w:val="00984C1C"/>
    <w:rsid w:val="00985B9A"/>
    <w:rsid w:val="00990CEB"/>
    <w:rsid w:val="009928F4"/>
    <w:rsid w:val="00996654"/>
    <w:rsid w:val="009969E7"/>
    <w:rsid w:val="009A1E90"/>
    <w:rsid w:val="009A4C72"/>
    <w:rsid w:val="009A6A34"/>
    <w:rsid w:val="009B10C8"/>
    <w:rsid w:val="009B30D5"/>
    <w:rsid w:val="009B43E5"/>
    <w:rsid w:val="009B5049"/>
    <w:rsid w:val="009B66F6"/>
    <w:rsid w:val="009C1C84"/>
    <w:rsid w:val="009C2506"/>
    <w:rsid w:val="009C4E4A"/>
    <w:rsid w:val="009C71D8"/>
    <w:rsid w:val="009C7211"/>
    <w:rsid w:val="009D6AE1"/>
    <w:rsid w:val="009E1ACC"/>
    <w:rsid w:val="009E215D"/>
    <w:rsid w:val="009E6B9E"/>
    <w:rsid w:val="009E73B6"/>
    <w:rsid w:val="009F39B8"/>
    <w:rsid w:val="009F4377"/>
    <w:rsid w:val="009F4C1B"/>
    <w:rsid w:val="009F5D44"/>
    <w:rsid w:val="009F6B76"/>
    <w:rsid w:val="00A00921"/>
    <w:rsid w:val="00A01935"/>
    <w:rsid w:val="00A0573B"/>
    <w:rsid w:val="00A05E7D"/>
    <w:rsid w:val="00A11639"/>
    <w:rsid w:val="00A153BA"/>
    <w:rsid w:val="00A1567E"/>
    <w:rsid w:val="00A16129"/>
    <w:rsid w:val="00A179F6"/>
    <w:rsid w:val="00A23233"/>
    <w:rsid w:val="00A24CB1"/>
    <w:rsid w:val="00A26295"/>
    <w:rsid w:val="00A2633D"/>
    <w:rsid w:val="00A26343"/>
    <w:rsid w:val="00A32519"/>
    <w:rsid w:val="00A339C8"/>
    <w:rsid w:val="00A37C55"/>
    <w:rsid w:val="00A40630"/>
    <w:rsid w:val="00A42B0B"/>
    <w:rsid w:val="00A4716A"/>
    <w:rsid w:val="00A477C6"/>
    <w:rsid w:val="00A529A4"/>
    <w:rsid w:val="00A54798"/>
    <w:rsid w:val="00A54ECE"/>
    <w:rsid w:val="00A573DA"/>
    <w:rsid w:val="00A576F6"/>
    <w:rsid w:val="00A613C3"/>
    <w:rsid w:val="00A6252E"/>
    <w:rsid w:val="00A64788"/>
    <w:rsid w:val="00A66F37"/>
    <w:rsid w:val="00A6714E"/>
    <w:rsid w:val="00A70F9A"/>
    <w:rsid w:val="00A73CAF"/>
    <w:rsid w:val="00A85C13"/>
    <w:rsid w:val="00A86928"/>
    <w:rsid w:val="00A94937"/>
    <w:rsid w:val="00AA180B"/>
    <w:rsid w:val="00AA5F34"/>
    <w:rsid w:val="00AA6969"/>
    <w:rsid w:val="00AB6B45"/>
    <w:rsid w:val="00AB7BB2"/>
    <w:rsid w:val="00AC7153"/>
    <w:rsid w:val="00AD31D6"/>
    <w:rsid w:val="00AD4B5F"/>
    <w:rsid w:val="00AD71D4"/>
    <w:rsid w:val="00AD7F91"/>
    <w:rsid w:val="00AE0943"/>
    <w:rsid w:val="00AE0F48"/>
    <w:rsid w:val="00AE598D"/>
    <w:rsid w:val="00AE5D5A"/>
    <w:rsid w:val="00AE6083"/>
    <w:rsid w:val="00AE6A60"/>
    <w:rsid w:val="00AF4877"/>
    <w:rsid w:val="00B00CD1"/>
    <w:rsid w:val="00B06504"/>
    <w:rsid w:val="00B100B0"/>
    <w:rsid w:val="00B201E1"/>
    <w:rsid w:val="00B25AF1"/>
    <w:rsid w:val="00B25AF7"/>
    <w:rsid w:val="00B26401"/>
    <w:rsid w:val="00B267BF"/>
    <w:rsid w:val="00B269DF"/>
    <w:rsid w:val="00B34612"/>
    <w:rsid w:val="00B37B3D"/>
    <w:rsid w:val="00B40E94"/>
    <w:rsid w:val="00B420B7"/>
    <w:rsid w:val="00B42E6B"/>
    <w:rsid w:val="00B46B2B"/>
    <w:rsid w:val="00B5157B"/>
    <w:rsid w:val="00B522CF"/>
    <w:rsid w:val="00B53EEB"/>
    <w:rsid w:val="00B541B8"/>
    <w:rsid w:val="00B55024"/>
    <w:rsid w:val="00B55D01"/>
    <w:rsid w:val="00B57ECC"/>
    <w:rsid w:val="00B60C19"/>
    <w:rsid w:val="00B63410"/>
    <w:rsid w:val="00B64058"/>
    <w:rsid w:val="00B65094"/>
    <w:rsid w:val="00B6647A"/>
    <w:rsid w:val="00B664B1"/>
    <w:rsid w:val="00B70466"/>
    <w:rsid w:val="00B72BF9"/>
    <w:rsid w:val="00B770DA"/>
    <w:rsid w:val="00B7747B"/>
    <w:rsid w:val="00B83438"/>
    <w:rsid w:val="00B9081B"/>
    <w:rsid w:val="00B92854"/>
    <w:rsid w:val="00B944FB"/>
    <w:rsid w:val="00B95380"/>
    <w:rsid w:val="00BA3AFA"/>
    <w:rsid w:val="00BA45A2"/>
    <w:rsid w:val="00BA6845"/>
    <w:rsid w:val="00BA7CE9"/>
    <w:rsid w:val="00BB72B3"/>
    <w:rsid w:val="00BC29AB"/>
    <w:rsid w:val="00BC4C9E"/>
    <w:rsid w:val="00BC58A8"/>
    <w:rsid w:val="00BC654B"/>
    <w:rsid w:val="00BD1AC6"/>
    <w:rsid w:val="00BD2A2D"/>
    <w:rsid w:val="00BD32CE"/>
    <w:rsid w:val="00BD3AB6"/>
    <w:rsid w:val="00BD5C75"/>
    <w:rsid w:val="00BE0228"/>
    <w:rsid w:val="00BE5244"/>
    <w:rsid w:val="00BE6842"/>
    <w:rsid w:val="00BF0B34"/>
    <w:rsid w:val="00BF6D3E"/>
    <w:rsid w:val="00BF7416"/>
    <w:rsid w:val="00C02EEE"/>
    <w:rsid w:val="00C03DFD"/>
    <w:rsid w:val="00C07FF6"/>
    <w:rsid w:val="00C10BBF"/>
    <w:rsid w:val="00C14D64"/>
    <w:rsid w:val="00C17BF2"/>
    <w:rsid w:val="00C201E5"/>
    <w:rsid w:val="00C26DD6"/>
    <w:rsid w:val="00C314E6"/>
    <w:rsid w:val="00C37E8C"/>
    <w:rsid w:val="00C456F3"/>
    <w:rsid w:val="00C4632F"/>
    <w:rsid w:val="00C4652F"/>
    <w:rsid w:val="00C50138"/>
    <w:rsid w:val="00C501D7"/>
    <w:rsid w:val="00C50C8E"/>
    <w:rsid w:val="00C51784"/>
    <w:rsid w:val="00C60B18"/>
    <w:rsid w:val="00C65E50"/>
    <w:rsid w:val="00C71679"/>
    <w:rsid w:val="00C74095"/>
    <w:rsid w:val="00C75050"/>
    <w:rsid w:val="00C7721F"/>
    <w:rsid w:val="00C93B29"/>
    <w:rsid w:val="00C94961"/>
    <w:rsid w:val="00C97DAD"/>
    <w:rsid w:val="00CA5DC7"/>
    <w:rsid w:val="00CB074B"/>
    <w:rsid w:val="00CB298B"/>
    <w:rsid w:val="00CB3444"/>
    <w:rsid w:val="00CB40FE"/>
    <w:rsid w:val="00CB4BA6"/>
    <w:rsid w:val="00CB56BF"/>
    <w:rsid w:val="00CC45D4"/>
    <w:rsid w:val="00CC70C1"/>
    <w:rsid w:val="00CD2AF3"/>
    <w:rsid w:val="00CE027A"/>
    <w:rsid w:val="00CE4AE5"/>
    <w:rsid w:val="00CE6B12"/>
    <w:rsid w:val="00CF78BB"/>
    <w:rsid w:val="00D011DD"/>
    <w:rsid w:val="00D03E7B"/>
    <w:rsid w:val="00D0468E"/>
    <w:rsid w:val="00D11C81"/>
    <w:rsid w:val="00D23242"/>
    <w:rsid w:val="00D25084"/>
    <w:rsid w:val="00D302E5"/>
    <w:rsid w:val="00D303B6"/>
    <w:rsid w:val="00D31310"/>
    <w:rsid w:val="00D333A9"/>
    <w:rsid w:val="00D35340"/>
    <w:rsid w:val="00D35D67"/>
    <w:rsid w:val="00D46D70"/>
    <w:rsid w:val="00D4736D"/>
    <w:rsid w:val="00D54A64"/>
    <w:rsid w:val="00D652E1"/>
    <w:rsid w:val="00D669AA"/>
    <w:rsid w:val="00D66B21"/>
    <w:rsid w:val="00D76217"/>
    <w:rsid w:val="00D77D79"/>
    <w:rsid w:val="00D82FDD"/>
    <w:rsid w:val="00D83587"/>
    <w:rsid w:val="00D85C30"/>
    <w:rsid w:val="00D8621F"/>
    <w:rsid w:val="00D9141A"/>
    <w:rsid w:val="00D92118"/>
    <w:rsid w:val="00D95B05"/>
    <w:rsid w:val="00D97A3F"/>
    <w:rsid w:val="00DA1FB0"/>
    <w:rsid w:val="00DA302B"/>
    <w:rsid w:val="00DA49E6"/>
    <w:rsid w:val="00DA5E8C"/>
    <w:rsid w:val="00DA6ECE"/>
    <w:rsid w:val="00DB0740"/>
    <w:rsid w:val="00DB132D"/>
    <w:rsid w:val="00DB1419"/>
    <w:rsid w:val="00DB2646"/>
    <w:rsid w:val="00DB265A"/>
    <w:rsid w:val="00DB4E35"/>
    <w:rsid w:val="00DB4EBF"/>
    <w:rsid w:val="00DB4F45"/>
    <w:rsid w:val="00DC0061"/>
    <w:rsid w:val="00DC0EDC"/>
    <w:rsid w:val="00DC4106"/>
    <w:rsid w:val="00DC43A5"/>
    <w:rsid w:val="00DC5723"/>
    <w:rsid w:val="00DC66C2"/>
    <w:rsid w:val="00DC704D"/>
    <w:rsid w:val="00DD1BC9"/>
    <w:rsid w:val="00DE459B"/>
    <w:rsid w:val="00DE4B3D"/>
    <w:rsid w:val="00DE79E4"/>
    <w:rsid w:val="00DF077A"/>
    <w:rsid w:val="00DF0F41"/>
    <w:rsid w:val="00DF6E0C"/>
    <w:rsid w:val="00DF764E"/>
    <w:rsid w:val="00E01B1D"/>
    <w:rsid w:val="00E02293"/>
    <w:rsid w:val="00E05666"/>
    <w:rsid w:val="00E102DA"/>
    <w:rsid w:val="00E110FD"/>
    <w:rsid w:val="00E11209"/>
    <w:rsid w:val="00E1158C"/>
    <w:rsid w:val="00E12E9C"/>
    <w:rsid w:val="00E152B7"/>
    <w:rsid w:val="00E16D67"/>
    <w:rsid w:val="00E17260"/>
    <w:rsid w:val="00E2734C"/>
    <w:rsid w:val="00E317E1"/>
    <w:rsid w:val="00E32710"/>
    <w:rsid w:val="00E32A33"/>
    <w:rsid w:val="00E3375E"/>
    <w:rsid w:val="00E420EE"/>
    <w:rsid w:val="00E42FF6"/>
    <w:rsid w:val="00E43D16"/>
    <w:rsid w:val="00E457C9"/>
    <w:rsid w:val="00E56F52"/>
    <w:rsid w:val="00E60E63"/>
    <w:rsid w:val="00E61C8B"/>
    <w:rsid w:val="00E61D09"/>
    <w:rsid w:val="00E61F3B"/>
    <w:rsid w:val="00E62B65"/>
    <w:rsid w:val="00E6371A"/>
    <w:rsid w:val="00E72E8D"/>
    <w:rsid w:val="00E75D7D"/>
    <w:rsid w:val="00E77E20"/>
    <w:rsid w:val="00E83566"/>
    <w:rsid w:val="00E84C2B"/>
    <w:rsid w:val="00E86078"/>
    <w:rsid w:val="00E86262"/>
    <w:rsid w:val="00E91861"/>
    <w:rsid w:val="00E92969"/>
    <w:rsid w:val="00E941CC"/>
    <w:rsid w:val="00E94D3A"/>
    <w:rsid w:val="00E96523"/>
    <w:rsid w:val="00EA528C"/>
    <w:rsid w:val="00EA5593"/>
    <w:rsid w:val="00EB341E"/>
    <w:rsid w:val="00EB364A"/>
    <w:rsid w:val="00EB4610"/>
    <w:rsid w:val="00EB6366"/>
    <w:rsid w:val="00EC2E27"/>
    <w:rsid w:val="00EC33B6"/>
    <w:rsid w:val="00EC4136"/>
    <w:rsid w:val="00EC41AE"/>
    <w:rsid w:val="00EC4C07"/>
    <w:rsid w:val="00EC56C5"/>
    <w:rsid w:val="00EC680D"/>
    <w:rsid w:val="00EC6B15"/>
    <w:rsid w:val="00ED151D"/>
    <w:rsid w:val="00EE2500"/>
    <w:rsid w:val="00EE2918"/>
    <w:rsid w:val="00EE68F1"/>
    <w:rsid w:val="00EE71F8"/>
    <w:rsid w:val="00EE72C5"/>
    <w:rsid w:val="00EF083C"/>
    <w:rsid w:val="00EF1D34"/>
    <w:rsid w:val="00EF3DF7"/>
    <w:rsid w:val="00EF43CE"/>
    <w:rsid w:val="00EF54D9"/>
    <w:rsid w:val="00EF5848"/>
    <w:rsid w:val="00EF7BDD"/>
    <w:rsid w:val="00F008CA"/>
    <w:rsid w:val="00F01944"/>
    <w:rsid w:val="00F02A57"/>
    <w:rsid w:val="00F02B6A"/>
    <w:rsid w:val="00F04985"/>
    <w:rsid w:val="00F06426"/>
    <w:rsid w:val="00F06A52"/>
    <w:rsid w:val="00F15929"/>
    <w:rsid w:val="00F1782C"/>
    <w:rsid w:val="00F201A1"/>
    <w:rsid w:val="00F2137D"/>
    <w:rsid w:val="00F24E4F"/>
    <w:rsid w:val="00F310CF"/>
    <w:rsid w:val="00F36ED0"/>
    <w:rsid w:val="00F40ABC"/>
    <w:rsid w:val="00F47001"/>
    <w:rsid w:val="00F4772D"/>
    <w:rsid w:val="00F53975"/>
    <w:rsid w:val="00F53B5A"/>
    <w:rsid w:val="00F54034"/>
    <w:rsid w:val="00F54FFC"/>
    <w:rsid w:val="00F55051"/>
    <w:rsid w:val="00F56A98"/>
    <w:rsid w:val="00F622F5"/>
    <w:rsid w:val="00F6288D"/>
    <w:rsid w:val="00F62A4C"/>
    <w:rsid w:val="00F64AA5"/>
    <w:rsid w:val="00F709ED"/>
    <w:rsid w:val="00F72116"/>
    <w:rsid w:val="00F7324A"/>
    <w:rsid w:val="00F806A1"/>
    <w:rsid w:val="00F81B2F"/>
    <w:rsid w:val="00F83B8D"/>
    <w:rsid w:val="00F86E0A"/>
    <w:rsid w:val="00F86FC4"/>
    <w:rsid w:val="00F90398"/>
    <w:rsid w:val="00F90F61"/>
    <w:rsid w:val="00F917B8"/>
    <w:rsid w:val="00F92EFA"/>
    <w:rsid w:val="00F9581B"/>
    <w:rsid w:val="00F97023"/>
    <w:rsid w:val="00FA048A"/>
    <w:rsid w:val="00FA0DEE"/>
    <w:rsid w:val="00FA7D9D"/>
    <w:rsid w:val="00FB32F7"/>
    <w:rsid w:val="00FC07C5"/>
    <w:rsid w:val="00FC0C2E"/>
    <w:rsid w:val="00FC1CB4"/>
    <w:rsid w:val="00FC2D31"/>
    <w:rsid w:val="00FC4175"/>
    <w:rsid w:val="00FC451C"/>
    <w:rsid w:val="00FC6E1E"/>
    <w:rsid w:val="00FC76A3"/>
    <w:rsid w:val="00FD48B6"/>
    <w:rsid w:val="00FD4977"/>
    <w:rsid w:val="00FD62ED"/>
    <w:rsid w:val="00FE3989"/>
    <w:rsid w:val="00FE6C10"/>
    <w:rsid w:val="00FE7BF4"/>
    <w:rsid w:val="00FF0641"/>
    <w:rsid w:val="01134188"/>
    <w:rsid w:val="01154EDD"/>
    <w:rsid w:val="011D53A7"/>
    <w:rsid w:val="016245C6"/>
    <w:rsid w:val="01635C49"/>
    <w:rsid w:val="016B7C0E"/>
    <w:rsid w:val="01713A48"/>
    <w:rsid w:val="01823E16"/>
    <w:rsid w:val="018E0E5D"/>
    <w:rsid w:val="0196601E"/>
    <w:rsid w:val="0198755E"/>
    <w:rsid w:val="019C3329"/>
    <w:rsid w:val="01B36CA1"/>
    <w:rsid w:val="01C0753F"/>
    <w:rsid w:val="01F55D2F"/>
    <w:rsid w:val="021B537F"/>
    <w:rsid w:val="02237A8B"/>
    <w:rsid w:val="02496743"/>
    <w:rsid w:val="02523D34"/>
    <w:rsid w:val="025277DA"/>
    <w:rsid w:val="025F0B06"/>
    <w:rsid w:val="026779BA"/>
    <w:rsid w:val="027715AB"/>
    <w:rsid w:val="02861DDD"/>
    <w:rsid w:val="02954528"/>
    <w:rsid w:val="029616A7"/>
    <w:rsid w:val="029A38EC"/>
    <w:rsid w:val="029B50A7"/>
    <w:rsid w:val="02B011B2"/>
    <w:rsid w:val="02BB7649"/>
    <w:rsid w:val="02C2223C"/>
    <w:rsid w:val="02CE3CEC"/>
    <w:rsid w:val="03184733"/>
    <w:rsid w:val="032655E0"/>
    <w:rsid w:val="0341020B"/>
    <w:rsid w:val="035507B1"/>
    <w:rsid w:val="035709A2"/>
    <w:rsid w:val="03580288"/>
    <w:rsid w:val="03671929"/>
    <w:rsid w:val="037A0439"/>
    <w:rsid w:val="037F451B"/>
    <w:rsid w:val="038542B2"/>
    <w:rsid w:val="03A2368E"/>
    <w:rsid w:val="03A71D33"/>
    <w:rsid w:val="03B83BD5"/>
    <w:rsid w:val="03F34837"/>
    <w:rsid w:val="03FC1928"/>
    <w:rsid w:val="044C4B9A"/>
    <w:rsid w:val="044F0706"/>
    <w:rsid w:val="04586739"/>
    <w:rsid w:val="04802553"/>
    <w:rsid w:val="048A72DC"/>
    <w:rsid w:val="0494592E"/>
    <w:rsid w:val="04A35D5A"/>
    <w:rsid w:val="04B10B72"/>
    <w:rsid w:val="04B653D4"/>
    <w:rsid w:val="04C2304A"/>
    <w:rsid w:val="04D10642"/>
    <w:rsid w:val="04DD0919"/>
    <w:rsid w:val="04E65979"/>
    <w:rsid w:val="04E97BD0"/>
    <w:rsid w:val="05033ACF"/>
    <w:rsid w:val="051F28E3"/>
    <w:rsid w:val="052027CE"/>
    <w:rsid w:val="0529158C"/>
    <w:rsid w:val="05452DC7"/>
    <w:rsid w:val="054C25C5"/>
    <w:rsid w:val="055A55B4"/>
    <w:rsid w:val="056B3A70"/>
    <w:rsid w:val="05762289"/>
    <w:rsid w:val="058D269E"/>
    <w:rsid w:val="0590664D"/>
    <w:rsid w:val="05A255EB"/>
    <w:rsid w:val="05CF0BBA"/>
    <w:rsid w:val="05CF2CFE"/>
    <w:rsid w:val="05E41A4E"/>
    <w:rsid w:val="05EF4577"/>
    <w:rsid w:val="05F44ED6"/>
    <w:rsid w:val="061A44C2"/>
    <w:rsid w:val="063B7194"/>
    <w:rsid w:val="064352B8"/>
    <w:rsid w:val="06445AE9"/>
    <w:rsid w:val="065B729C"/>
    <w:rsid w:val="068260B6"/>
    <w:rsid w:val="069C3E58"/>
    <w:rsid w:val="06B72348"/>
    <w:rsid w:val="06EE47A5"/>
    <w:rsid w:val="06EF0D97"/>
    <w:rsid w:val="06FD6C32"/>
    <w:rsid w:val="070677A2"/>
    <w:rsid w:val="070F32FA"/>
    <w:rsid w:val="07165A8F"/>
    <w:rsid w:val="0734304A"/>
    <w:rsid w:val="07417974"/>
    <w:rsid w:val="0752517E"/>
    <w:rsid w:val="076A5F83"/>
    <w:rsid w:val="076C61F4"/>
    <w:rsid w:val="07734F5C"/>
    <w:rsid w:val="077708BE"/>
    <w:rsid w:val="07832BA1"/>
    <w:rsid w:val="07941252"/>
    <w:rsid w:val="079B1607"/>
    <w:rsid w:val="07B43A4B"/>
    <w:rsid w:val="07B74F40"/>
    <w:rsid w:val="07CA2010"/>
    <w:rsid w:val="07D35584"/>
    <w:rsid w:val="07DE1D25"/>
    <w:rsid w:val="07F15DEB"/>
    <w:rsid w:val="07F8656B"/>
    <w:rsid w:val="080737D2"/>
    <w:rsid w:val="080A29C5"/>
    <w:rsid w:val="08204B05"/>
    <w:rsid w:val="083117E5"/>
    <w:rsid w:val="083E11BD"/>
    <w:rsid w:val="08425705"/>
    <w:rsid w:val="085625C5"/>
    <w:rsid w:val="086A7326"/>
    <w:rsid w:val="087A5BD2"/>
    <w:rsid w:val="088277BA"/>
    <w:rsid w:val="088B28D9"/>
    <w:rsid w:val="089A2A9A"/>
    <w:rsid w:val="08A20A93"/>
    <w:rsid w:val="08B51B6E"/>
    <w:rsid w:val="08BD74FF"/>
    <w:rsid w:val="08C13D0D"/>
    <w:rsid w:val="08D711E1"/>
    <w:rsid w:val="08DB6A0C"/>
    <w:rsid w:val="08E724AE"/>
    <w:rsid w:val="08F65F0F"/>
    <w:rsid w:val="09195E2F"/>
    <w:rsid w:val="09401A4D"/>
    <w:rsid w:val="094B1DE4"/>
    <w:rsid w:val="095C75BE"/>
    <w:rsid w:val="096B4459"/>
    <w:rsid w:val="097C1F9D"/>
    <w:rsid w:val="09927F4C"/>
    <w:rsid w:val="09A0401A"/>
    <w:rsid w:val="09A72225"/>
    <w:rsid w:val="09D369CA"/>
    <w:rsid w:val="09EE2615"/>
    <w:rsid w:val="09F00E99"/>
    <w:rsid w:val="09F82C12"/>
    <w:rsid w:val="0A050E20"/>
    <w:rsid w:val="0A061ACA"/>
    <w:rsid w:val="0A0A0C1C"/>
    <w:rsid w:val="0A1070F3"/>
    <w:rsid w:val="0A1434BC"/>
    <w:rsid w:val="0A2D5046"/>
    <w:rsid w:val="0A511808"/>
    <w:rsid w:val="0A5403ED"/>
    <w:rsid w:val="0A621EA9"/>
    <w:rsid w:val="0A73361F"/>
    <w:rsid w:val="0A744FCA"/>
    <w:rsid w:val="0A870BFA"/>
    <w:rsid w:val="0A951569"/>
    <w:rsid w:val="0A9D0C66"/>
    <w:rsid w:val="0AAA63D1"/>
    <w:rsid w:val="0AAE5FE5"/>
    <w:rsid w:val="0AC96C0A"/>
    <w:rsid w:val="0AD25806"/>
    <w:rsid w:val="0AD5676B"/>
    <w:rsid w:val="0AE24082"/>
    <w:rsid w:val="0AFA761E"/>
    <w:rsid w:val="0B257771"/>
    <w:rsid w:val="0B2B7619"/>
    <w:rsid w:val="0B32189C"/>
    <w:rsid w:val="0B365C18"/>
    <w:rsid w:val="0B566D91"/>
    <w:rsid w:val="0BB33D66"/>
    <w:rsid w:val="0BC22150"/>
    <w:rsid w:val="0BE55CDF"/>
    <w:rsid w:val="0BEE3355"/>
    <w:rsid w:val="0BF72318"/>
    <w:rsid w:val="0C27749A"/>
    <w:rsid w:val="0C281469"/>
    <w:rsid w:val="0C344DB1"/>
    <w:rsid w:val="0C460641"/>
    <w:rsid w:val="0C600CC2"/>
    <w:rsid w:val="0C604AA1"/>
    <w:rsid w:val="0C686809"/>
    <w:rsid w:val="0C7F0949"/>
    <w:rsid w:val="0C8F4E70"/>
    <w:rsid w:val="0CEA3034"/>
    <w:rsid w:val="0CFA49F0"/>
    <w:rsid w:val="0D065E12"/>
    <w:rsid w:val="0D0B3D64"/>
    <w:rsid w:val="0D1574DD"/>
    <w:rsid w:val="0D1F15BD"/>
    <w:rsid w:val="0D314552"/>
    <w:rsid w:val="0D337466"/>
    <w:rsid w:val="0D796C86"/>
    <w:rsid w:val="0D9243C7"/>
    <w:rsid w:val="0D955D9E"/>
    <w:rsid w:val="0D98313E"/>
    <w:rsid w:val="0DA31FA3"/>
    <w:rsid w:val="0DBB149D"/>
    <w:rsid w:val="0DD37279"/>
    <w:rsid w:val="0DE409AE"/>
    <w:rsid w:val="0DFA7A76"/>
    <w:rsid w:val="0DFE6571"/>
    <w:rsid w:val="0E023815"/>
    <w:rsid w:val="0E0F69D4"/>
    <w:rsid w:val="0E187F44"/>
    <w:rsid w:val="0E25260D"/>
    <w:rsid w:val="0E2F7475"/>
    <w:rsid w:val="0E39581D"/>
    <w:rsid w:val="0E4733D0"/>
    <w:rsid w:val="0E5717FD"/>
    <w:rsid w:val="0E582859"/>
    <w:rsid w:val="0E6354DA"/>
    <w:rsid w:val="0E853751"/>
    <w:rsid w:val="0E921133"/>
    <w:rsid w:val="0EA10B77"/>
    <w:rsid w:val="0ECD615F"/>
    <w:rsid w:val="0EEC617E"/>
    <w:rsid w:val="0F1F7C12"/>
    <w:rsid w:val="0F5F3EF3"/>
    <w:rsid w:val="0F746542"/>
    <w:rsid w:val="0F906C6E"/>
    <w:rsid w:val="0FCA5A2E"/>
    <w:rsid w:val="0FDC19E8"/>
    <w:rsid w:val="0FEC1CB9"/>
    <w:rsid w:val="10022BD7"/>
    <w:rsid w:val="10060813"/>
    <w:rsid w:val="101C24E7"/>
    <w:rsid w:val="101C6089"/>
    <w:rsid w:val="102A72E7"/>
    <w:rsid w:val="10304AC4"/>
    <w:rsid w:val="10330FBD"/>
    <w:rsid w:val="103400F3"/>
    <w:rsid w:val="103B71D1"/>
    <w:rsid w:val="103E64F7"/>
    <w:rsid w:val="10404824"/>
    <w:rsid w:val="104545F9"/>
    <w:rsid w:val="10523A58"/>
    <w:rsid w:val="1055385F"/>
    <w:rsid w:val="10594E2F"/>
    <w:rsid w:val="1065123B"/>
    <w:rsid w:val="10763E36"/>
    <w:rsid w:val="10865200"/>
    <w:rsid w:val="109F1416"/>
    <w:rsid w:val="10A21CF8"/>
    <w:rsid w:val="10A400CA"/>
    <w:rsid w:val="10BC4572"/>
    <w:rsid w:val="10CA2745"/>
    <w:rsid w:val="10D52B69"/>
    <w:rsid w:val="10FB2A0A"/>
    <w:rsid w:val="110006C9"/>
    <w:rsid w:val="11056D1C"/>
    <w:rsid w:val="11115102"/>
    <w:rsid w:val="111612F9"/>
    <w:rsid w:val="11177911"/>
    <w:rsid w:val="11362E20"/>
    <w:rsid w:val="11402012"/>
    <w:rsid w:val="11412B79"/>
    <w:rsid w:val="11447845"/>
    <w:rsid w:val="11722AE7"/>
    <w:rsid w:val="1181336F"/>
    <w:rsid w:val="11A04ACD"/>
    <w:rsid w:val="11AC77FB"/>
    <w:rsid w:val="11EA0F3D"/>
    <w:rsid w:val="11EC6464"/>
    <w:rsid w:val="11FD55C9"/>
    <w:rsid w:val="12011292"/>
    <w:rsid w:val="1202325C"/>
    <w:rsid w:val="120604F9"/>
    <w:rsid w:val="120F34F9"/>
    <w:rsid w:val="122D02D9"/>
    <w:rsid w:val="122D106B"/>
    <w:rsid w:val="123F4757"/>
    <w:rsid w:val="12421015"/>
    <w:rsid w:val="12480348"/>
    <w:rsid w:val="125170F1"/>
    <w:rsid w:val="125E4936"/>
    <w:rsid w:val="127E0301"/>
    <w:rsid w:val="1289491A"/>
    <w:rsid w:val="12A010CA"/>
    <w:rsid w:val="12A37C06"/>
    <w:rsid w:val="12C66F5D"/>
    <w:rsid w:val="12CD60EF"/>
    <w:rsid w:val="12DC0B00"/>
    <w:rsid w:val="12E817B6"/>
    <w:rsid w:val="12E947C5"/>
    <w:rsid w:val="12F57F6D"/>
    <w:rsid w:val="12FD4233"/>
    <w:rsid w:val="12FF2C95"/>
    <w:rsid w:val="130A061A"/>
    <w:rsid w:val="1310745F"/>
    <w:rsid w:val="131E5E73"/>
    <w:rsid w:val="13225964"/>
    <w:rsid w:val="132A3917"/>
    <w:rsid w:val="132B2E80"/>
    <w:rsid w:val="13402BC0"/>
    <w:rsid w:val="13503E01"/>
    <w:rsid w:val="135701ED"/>
    <w:rsid w:val="136E1102"/>
    <w:rsid w:val="137141F5"/>
    <w:rsid w:val="137B471A"/>
    <w:rsid w:val="137E4945"/>
    <w:rsid w:val="1382164A"/>
    <w:rsid w:val="138D6E2C"/>
    <w:rsid w:val="138F0891"/>
    <w:rsid w:val="139C6827"/>
    <w:rsid w:val="13A64327"/>
    <w:rsid w:val="13BE1365"/>
    <w:rsid w:val="13C75906"/>
    <w:rsid w:val="13E057EA"/>
    <w:rsid w:val="13E6604D"/>
    <w:rsid w:val="13F53078"/>
    <w:rsid w:val="13FE3862"/>
    <w:rsid w:val="14001162"/>
    <w:rsid w:val="14284228"/>
    <w:rsid w:val="143F60A1"/>
    <w:rsid w:val="144C45A0"/>
    <w:rsid w:val="144C5874"/>
    <w:rsid w:val="145928FF"/>
    <w:rsid w:val="14670949"/>
    <w:rsid w:val="146C38FE"/>
    <w:rsid w:val="148A27F8"/>
    <w:rsid w:val="14975EDD"/>
    <w:rsid w:val="149D101A"/>
    <w:rsid w:val="14C833A0"/>
    <w:rsid w:val="14FF014F"/>
    <w:rsid w:val="150C2CB9"/>
    <w:rsid w:val="15125D98"/>
    <w:rsid w:val="15360D41"/>
    <w:rsid w:val="1537328F"/>
    <w:rsid w:val="154240ED"/>
    <w:rsid w:val="15595889"/>
    <w:rsid w:val="155E358C"/>
    <w:rsid w:val="15791A87"/>
    <w:rsid w:val="157D4872"/>
    <w:rsid w:val="158352DE"/>
    <w:rsid w:val="15902934"/>
    <w:rsid w:val="15962639"/>
    <w:rsid w:val="15A30C99"/>
    <w:rsid w:val="15BF1F8E"/>
    <w:rsid w:val="15F17C93"/>
    <w:rsid w:val="162714E3"/>
    <w:rsid w:val="164F339D"/>
    <w:rsid w:val="16511E87"/>
    <w:rsid w:val="16775651"/>
    <w:rsid w:val="167C516F"/>
    <w:rsid w:val="16801F62"/>
    <w:rsid w:val="16980FA6"/>
    <w:rsid w:val="16BD1435"/>
    <w:rsid w:val="16BE3CFB"/>
    <w:rsid w:val="16C523F8"/>
    <w:rsid w:val="16CD3D3A"/>
    <w:rsid w:val="16E77E71"/>
    <w:rsid w:val="16FD4D85"/>
    <w:rsid w:val="17110603"/>
    <w:rsid w:val="171C60F0"/>
    <w:rsid w:val="172A3026"/>
    <w:rsid w:val="172B7ADB"/>
    <w:rsid w:val="173F41DD"/>
    <w:rsid w:val="1742216A"/>
    <w:rsid w:val="17624022"/>
    <w:rsid w:val="1768590F"/>
    <w:rsid w:val="176A5B2B"/>
    <w:rsid w:val="17884E38"/>
    <w:rsid w:val="17AF498B"/>
    <w:rsid w:val="17BC3DDA"/>
    <w:rsid w:val="17BE3C50"/>
    <w:rsid w:val="17C6090C"/>
    <w:rsid w:val="17C734C3"/>
    <w:rsid w:val="17D07D3D"/>
    <w:rsid w:val="17DD569E"/>
    <w:rsid w:val="17EF1F53"/>
    <w:rsid w:val="180B7C5E"/>
    <w:rsid w:val="1818352B"/>
    <w:rsid w:val="184110C4"/>
    <w:rsid w:val="18544E28"/>
    <w:rsid w:val="1876541E"/>
    <w:rsid w:val="188E3A9B"/>
    <w:rsid w:val="18A137CE"/>
    <w:rsid w:val="18AE334A"/>
    <w:rsid w:val="18AE7C99"/>
    <w:rsid w:val="18B227DE"/>
    <w:rsid w:val="18BA4890"/>
    <w:rsid w:val="18D64DC3"/>
    <w:rsid w:val="18FD5FE6"/>
    <w:rsid w:val="19137AFC"/>
    <w:rsid w:val="19185113"/>
    <w:rsid w:val="191E4B28"/>
    <w:rsid w:val="192E7960"/>
    <w:rsid w:val="193E2DCB"/>
    <w:rsid w:val="196C5B8A"/>
    <w:rsid w:val="19821F76"/>
    <w:rsid w:val="1998794B"/>
    <w:rsid w:val="19A52654"/>
    <w:rsid w:val="19A67675"/>
    <w:rsid w:val="19A92998"/>
    <w:rsid w:val="19CE3762"/>
    <w:rsid w:val="19DB061A"/>
    <w:rsid w:val="19E76139"/>
    <w:rsid w:val="19EA348A"/>
    <w:rsid w:val="19F3372F"/>
    <w:rsid w:val="1A0E6B91"/>
    <w:rsid w:val="1A197AA6"/>
    <w:rsid w:val="1A37164F"/>
    <w:rsid w:val="1A3B555D"/>
    <w:rsid w:val="1A514479"/>
    <w:rsid w:val="1A611AD4"/>
    <w:rsid w:val="1A627DB8"/>
    <w:rsid w:val="1A67513F"/>
    <w:rsid w:val="1A6F4D8F"/>
    <w:rsid w:val="1A795F37"/>
    <w:rsid w:val="1A7B3A43"/>
    <w:rsid w:val="1A7C004F"/>
    <w:rsid w:val="1A836BAF"/>
    <w:rsid w:val="1A9577C8"/>
    <w:rsid w:val="1A9F4E58"/>
    <w:rsid w:val="1ABF16F8"/>
    <w:rsid w:val="1ADF071D"/>
    <w:rsid w:val="1B0D0CA7"/>
    <w:rsid w:val="1B104881"/>
    <w:rsid w:val="1B1E3CBA"/>
    <w:rsid w:val="1B6141CD"/>
    <w:rsid w:val="1BBB2CD6"/>
    <w:rsid w:val="1BC3719E"/>
    <w:rsid w:val="1BC64A2C"/>
    <w:rsid w:val="1BDE2644"/>
    <w:rsid w:val="1BE33542"/>
    <w:rsid w:val="1BEB6A3F"/>
    <w:rsid w:val="1BF8673B"/>
    <w:rsid w:val="1C0D6670"/>
    <w:rsid w:val="1C1E6EE4"/>
    <w:rsid w:val="1C2965CE"/>
    <w:rsid w:val="1C32422D"/>
    <w:rsid w:val="1C4B7ECC"/>
    <w:rsid w:val="1C542906"/>
    <w:rsid w:val="1C625023"/>
    <w:rsid w:val="1C6A537D"/>
    <w:rsid w:val="1C705071"/>
    <w:rsid w:val="1C7B4336"/>
    <w:rsid w:val="1C7D6104"/>
    <w:rsid w:val="1C807BEC"/>
    <w:rsid w:val="1C8E406A"/>
    <w:rsid w:val="1CA13F1C"/>
    <w:rsid w:val="1CB403A0"/>
    <w:rsid w:val="1CB96F5F"/>
    <w:rsid w:val="1CE05B1F"/>
    <w:rsid w:val="1CE247F8"/>
    <w:rsid w:val="1CE56A41"/>
    <w:rsid w:val="1CE84BD7"/>
    <w:rsid w:val="1D0A4A04"/>
    <w:rsid w:val="1D1906A1"/>
    <w:rsid w:val="1D1A3A68"/>
    <w:rsid w:val="1D2600AB"/>
    <w:rsid w:val="1D346DBD"/>
    <w:rsid w:val="1D52231B"/>
    <w:rsid w:val="1D594678"/>
    <w:rsid w:val="1D5B1DB8"/>
    <w:rsid w:val="1D5D731E"/>
    <w:rsid w:val="1D850D40"/>
    <w:rsid w:val="1DB91D93"/>
    <w:rsid w:val="1DC26A6B"/>
    <w:rsid w:val="1DCC1564"/>
    <w:rsid w:val="1DD647FE"/>
    <w:rsid w:val="1DE22139"/>
    <w:rsid w:val="1DEA52D0"/>
    <w:rsid w:val="1DF05073"/>
    <w:rsid w:val="1DFE4AFF"/>
    <w:rsid w:val="1E144153"/>
    <w:rsid w:val="1E2D1E6E"/>
    <w:rsid w:val="1E504BDF"/>
    <w:rsid w:val="1E547805"/>
    <w:rsid w:val="1E5D64E0"/>
    <w:rsid w:val="1E646A9E"/>
    <w:rsid w:val="1E6C6AF8"/>
    <w:rsid w:val="1E703140"/>
    <w:rsid w:val="1ED815CC"/>
    <w:rsid w:val="1F081965"/>
    <w:rsid w:val="1F242EE8"/>
    <w:rsid w:val="1F251771"/>
    <w:rsid w:val="1F262B56"/>
    <w:rsid w:val="1F26796B"/>
    <w:rsid w:val="1F30765A"/>
    <w:rsid w:val="1F36725E"/>
    <w:rsid w:val="1F437789"/>
    <w:rsid w:val="1F481E57"/>
    <w:rsid w:val="1F746753"/>
    <w:rsid w:val="1F7769CC"/>
    <w:rsid w:val="1F784188"/>
    <w:rsid w:val="1F98426B"/>
    <w:rsid w:val="1F9F4C1E"/>
    <w:rsid w:val="1FAF2C2E"/>
    <w:rsid w:val="1FC0189A"/>
    <w:rsid w:val="1FCF1953"/>
    <w:rsid w:val="1FE4498F"/>
    <w:rsid w:val="1FE67550"/>
    <w:rsid w:val="1FEF45EB"/>
    <w:rsid w:val="1FF50379"/>
    <w:rsid w:val="20135B0D"/>
    <w:rsid w:val="202D04E1"/>
    <w:rsid w:val="203200E0"/>
    <w:rsid w:val="205D447F"/>
    <w:rsid w:val="20724543"/>
    <w:rsid w:val="2074685C"/>
    <w:rsid w:val="20823B9E"/>
    <w:rsid w:val="20943C19"/>
    <w:rsid w:val="20966EA7"/>
    <w:rsid w:val="20990AB6"/>
    <w:rsid w:val="20992FDD"/>
    <w:rsid w:val="20A165BD"/>
    <w:rsid w:val="20A2364A"/>
    <w:rsid w:val="21085985"/>
    <w:rsid w:val="211501D2"/>
    <w:rsid w:val="21193CB2"/>
    <w:rsid w:val="211F7986"/>
    <w:rsid w:val="212B7FB8"/>
    <w:rsid w:val="214555A7"/>
    <w:rsid w:val="21675D85"/>
    <w:rsid w:val="21680C9B"/>
    <w:rsid w:val="218E4513"/>
    <w:rsid w:val="21994532"/>
    <w:rsid w:val="21A1039B"/>
    <w:rsid w:val="21A7055E"/>
    <w:rsid w:val="21BD5648"/>
    <w:rsid w:val="21BE3EE0"/>
    <w:rsid w:val="21C916F0"/>
    <w:rsid w:val="21D4524E"/>
    <w:rsid w:val="21E464DA"/>
    <w:rsid w:val="21FF43D6"/>
    <w:rsid w:val="221E396E"/>
    <w:rsid w:val="22350848"/>
    <w:rsid w:val="223C6316"/>
    <w:rsid w:val="227676E0"/>
    <w:rsid w:val="228A6A65"/>
    <w:rsid w:val="22B50D86"/>
    <w:rsid w:val="22BB4AAE"/>
    <w:rsid w:val="22BD1AFB"/>
    <w:rsid w:val="22DC74DE"/>
    <w:rsid w:val="22E96A1A"/>
    <w:rsid w:val="22F928B0"/>
    <w:rsid w:val="22FA7092"/>
    <w:rsid w:val="230177BD"/>
    <w:rsid w:val="23160915"/>
    <w:rsid w:val="233D0F56"/>
    <w:rsid w:val="23565B7E"/>
    <w:rsid w:val="2378512C"/>
    <w:rsid w:val="23A45F21"/>
    <w:rsid w:val="23B004F8"/>
    <w:rsid w:val="23BE6089"/>
    <w:rsid w:val="23ED3D6C"/>
    <w:rsid w:val="23FE4FD5"/>
    <w:rsid w:val="24090C6F"/>
    <w:rsid w:val="241412F8"/>
    <w:rsid w:val="24392B0D"/>
    <w:rsid w:val="244270F4"/>
    <w:rsid w:val="24515307"/>
    <w:rsid w:val="2460453E"/>
    <w:rsid w:val="246833F2"/>
    <w:rsid w:val="2498618E"/>
    <w:rsid w:val="24B108F5"/>
    <w:rsid w:val="24B975EA"/>
    <w:rsid w:val="24C820E3"/>
    <w:rsid w:val="24DB18BA"/>
    <w:rsid w:val="24F00420"/>
    <w:rsid w:val="24F54711"/>
    <w:rsid w:val="24F841D6"/>
    <w:rsid w:val="251B2213"/>
    <w:rsid w:val="2527505B"/>
    <w:rsid w:val="254479BB"/>
    <w:rsid w:val="2558643B"/>
    <w:rsid w:val="255F0F84"/>
    <w:rsid w:val="256D3D07"/>
    <w:rsid w:val="25853B30"/>
    <w:rsid w:val="259374D7"/>
    <w:rsid w:val="25985157"/>
    <w:rsid w:val="25A20C3F"/>
    <w:rsid w:val="25C22A50"/>
    <w:rsid w:val="25C62323"/>
    <w:rsid w:val="25C825F3"/>
    <w:rsid w:val="25F04386"/>
    <w:rsid w:val="260C58BA"/>
    <w:rsid w:val="26100F5D"/>
    <w:rsid w:val="26154C49"/>
    <w:rsid w:val="261C37FF"/>
    <w:rsid w:val="264E0BFE"/>
    <w:rsid w:val="26884CF6"/>
    <w:rsid w:val="268E7552"/>
    <w:rsid w:val="26A12BEB"/>
    <w:rsid w:val="26BE6B39"/>
    <w:rsid w:val="26C21955"/>
    <w:rsid w:val="26FC6074"/>
    <w:rsid w:val="27035291"/>
    <w:rsid w:val="27056BCA"/>
    <w:rsid w:val="2719423D"/>
    <w:rsid w:val="271A4DC0"/>
    <w:rsid w:val="271B0013"/>
    <w:rsid w:val="272D1FB8"/>
    <w:rsid w:val="273F2ED2"/>
    <w:rsid w:val="2749750B"/>
    <w:rsid w:val="274B58B3"/>
    <w:rsid w:val="274C5262"/>
    <w:rsid w:val="27534889"/>
    <w:rsid w:val="278B5B7D"/>
    <w:rsid w:val="278F59D0"/>
    <w:rsid w:val="27955753"/>
    <w:rsid w:val="27B5374F"/>
    <w:rsid w:val="27B95048"/>
    <w:rsid w:val="27CD1188"/>
    <w:rsid w:val="27DC46AF"/>
    <w:rsid w:val="27DD7C53"/>
    <w:rsid w:val="27EC51C2"/>
    <w:rsid w:val="27FD46C4"/>
    <w:rsid w:val="281500D2"/>
    <w:rsid w:val="281A4A20"/>
    <w:rsid w:val="282E5827"/>
    <w:rsid w:val="28341A36"/>
    <w:rsid w:val="28347E89"/>
    <w:rsid w:val="2837443D"/>
    <w:rsid w:val="28622602"/>
    <w:rsid w:val="28667CAD"/>
    <w:rsid w:val="287C121A"/>
    <w:rsid w:val="288A7DDB"/>
    <w:rsid w:val="289E3BFD"/>
    <w:rsid w:val="28A441EE"/>
    <w:rsid w:val="28BA7F95"/>
    <w:rsid w:val="28C90FD2"/>
    <w:rsid w:val="28D26DFB"/>
    <w:rsid w:val="28DA4193"/>
    <w:rsid w:val="28DA759E"/>
    <w:rsid w:val="28EE7F5E"/>
    <w:rsid w:val="28FD5337"/>
    <w:rsid w:val="29023E15"/>
    <w:rsid w:val="2907379A"/>
    <w:rsid w:val="29097C55"/>
    <w:rsid w:val="29116785"/>
    <w:rsid w:val="29151B13"/>
    <w:rsid w:val="29171F21"/>
    <w:rsid w:val="29471414"/>
    <w:rsid w:val="295D35FB"/>
    <w:rsid w:val="296714B7"/>
    <w:rsid w:val="296838F6"/>
    <w:rsid w:val="296A432B"/>
    <w:rsid w:val="296E07D5"/>
    <w:rsid w:val="296F5EA9"/>
    <w:rsid w:val="29941DC5"/>
    <w:rsid w:val="29AC1DC7"/>
    <w:rsid w:val="29BC5DD5"/>
    <w:rsid w:val="29CB65D2"/>
    <w:rsid w:val="29CD7E86"/>
    <w:rsid w:val="29D54A25"/>
    <w:rsid w:val="29DC52B9"/>
    <w:rsid w:val="29E67293"/>
    <w:rsid w:val="29E706F1"/>
    <w:rsid w:val="29F319B0"/>
    <w:rsid w:val="2A0A4F17"/>
    <w:rsid w:val="2A2E2A25"/>
    <w:rsid w:val="2A2F48F3"/>
    <w:rsid w:val="2A5D6F79"/>
    <w:rsid w:val="2A624BA6"/>
    <w:rsid w:val="2A8E4E4F"/>
    <w:rsid w:val="2A9E5538"/>
    <w:rsid w:val="2AA102CC"/>
    <w:rsid w:val="2AB71C86"/>
    <w:rsid w:val="2ABC13D1"/>
    <w:rsid w:val="2AC33130"/>
    <w:rsid w:val="2AD96DF8"/>
    <w:rsid w:val="2AED27DC"/>
    <w:rsid w:val="2AFB6597"/>
    <w:rsid w:val="2AFE28E9"/>
    <w:rsid w:val="2B1A4667"/>
    <w:rsid w:val="2B1B2F6C"/>
    <w:rsid w:val="2B22718F"/>
    <w:rsid w:val="2B410A44"/>
    <w:rsid w:val="2B4962D3"/>
    <w:rsid w:val="2B4D7534"/>
    <w:rsid w:val="2B7E52BA"/>
    <w:rsid w:val="2B976B57"/>
    <w:rsid w:val="2BD5244B"/>
    <w:rsid w:val="2BE87ED5"/>
    <w:rsid w:val="2BFD08C4"/>
    <w:rsid w:val="2C012BC9"/>
    <w:rsid w:val="2C131E96"/>
    <w:rsid w:val="2C16036D"/>
    <w:rsid w:val="2C22032B"/>
    <w:rsid w:val="2C3055C4"/>
    <w:rsid w:val="2C35784E"/>
    <w:rsid w:val="2C425BF6"/>
    <w:rsid w:val="2C4E05F2"/>
    <w:rsid w:val="2C5A6FD4"/>
    <w:rsid w:val="2C613836"/>
    <w:rsid w:val="2C6170A5"/>
    <w:rsid w:val="2C680FB0"/>
    <w:rsid w:val="2C7548FE"/>
    <w:rsid w:val="2C785EF0"/>
    <w:rsid w:val="2C93143E"/>
    <w:rsid w:val="2CB230DE"/>
    <w:rsid w:val="2CC165FC"/>
    <w:rsid w:val="2CF33C2E"/>
    <w:rsid w:val="2CF60679"/>
    <w:rsid w:val="2CFF241A"/>
    <w:rsid w:val="2D177764"/>
    <w:rsid w:val="2D2D1AA8"/>
    <w:rsid w:val="2D9C1F07"/>
    <w:rsid w:val="2DDD09AD"/>
    <w:rsid w:val="2DDF765B"/>
    <w:rsid w:val="2E1374DE"/>
    <w:rsid w:val="2E3C39CE"/>
    <w:rsid w:val="2E570909"/>
    <w:rsid w:val="2E5A728A"/>
    <w:rsid w:val="2E5C169A"/>
    <w:rsid w:val="2E6776A5"/>
    <w:rsid w:val="2E756C92"/>
    <w:rsid w:val="2E8C1789"/>
    <w:rsid w:val="2E8F432D"/>
    <w:rsid w:val="2E935430"/>
    <w:rsid w:val="2EA37B0F"/>
    <w:rsid w:val="2EA60A0B"/>
    <w:rsid w:val="2EB057CA"/>
    <w:rsid w:val="2EBF4557"/>
    <w:rsid w:val="2EE265FC"/>
    <w:rsid w:val="2EE97AEF"/>
    <w:rsid w:val="2F3445FD"/>
    <w:rsid w:val="2F452E8A"/>
    <w:rsid w:val="2F4F4F10"/>
    <w:rsid w:val="2F5F5F83"/>
    <w:rsid w:val="2F626A54"/>
    <w:rsid w:val="2F851C0A"/>
    <w:rsid w:val="2F8E70F9"/>
    <w:rsid w:val="2FB01243"/>
    <w:rsid w:val="2FC03DF4"/>
    <w:rsid w:val="2FC1449E"/>
    <w:rsid w:val="2FDB4BCE"/>
    <w:rsid w:val="2FEB0E7D"/>
    <w:rsid w:val="300541EB"/>
    <w:rsid w:val="30163326"/>
    <w:rsid w:val="30295422"/>
    <w:rsid w:val="30393BE8"/>
    <w:rsid w:val="304866DF"/>
    <w:rsid w:val="305F2A52"/>
    <w:rsid w:val="308D5CE3"/>
    <w:rsid w:val="30910F70"/>
    <w:rsid w:val="309D0E0A"/>
    <w:rsid w:val="309F74D1"/>
    <w:rsid w:val="30B16818"/>
    <w:rsid w:val="30B40633"/>
    <w:rsid w:val="30DB3C69"/>
    <w:rsid w:val="30EB33E1"/>
    <w:rsid w:val="30F70959"/>
    <w:rsid w:val="310A1B9E"/>
    <w:rsid w:val="310C267A"/>
    <w:rsid w:val="312B7DAD"/>
    <w:rsid w:val="313F3539"/>
    <w:rsid w:val="31413001"/>
    <w:rsid w:val="317E0650"/>
    <w:rsid w:val="31927D00"/>
    <w:rsid w:val="319D0303"/>
    <w:rsid w:val="31A0241D"/>
    <w:rsid w:val="31D67DE3"/>
    <w:rsid w:val="31E132FF"/>
    <w:rsid w:val="3207453C"/>
    <w:rsid w:val="321338C1"/>
    <w:rsid w:val="32226B02"/>
    <w:rsid w:val="322F1BBE"/>
    <w:rsid w:val="32314B41"/>
    <w:rsid w:val="32342B66"/>
    <w:rsid w:val="325365D7"/>
    <w:rsid w:val="32567C2F"/>
    <w:rsid w:val="3268280F"/>
    <w:rsid w:val="32725F48"/>
    <w:rsid w:val="32807D2E"/>
    <w:rsid w:val="328944C9"/>
    <w:rsid w:val="328A5338"/>
    <w:rsid w:val="329D03F5"/>
    <w:rsid w:val="32A47516"/>
    <w:rsid w:val="32E3231C"/>
    <w:rsid w:val="330917FC"/>
    <w:rsid w:val="330C6AD3"/>
    <w:rsid w:val="3319531B"/>
    <w:rsid w:val="33205AA6"/>
    <w:rsid w:val="333252F7"/>
    <w:rsid w:val="33641229"/>
    <w:rsid w:val="33680FDC"/>
    <w:rsid w:val="33784399"/>
    <w:rsid w:val="33897B6E"/>
    <w:rsid w:val="33963B48"/>
    <w:rsid w:val="33B07AA5"/>
    <w:rsid w:val="33D021BE"/>
    <w:rsid w:val="33EA3E24"/>
    <w:rsid w:val="340A0095"/>
    <w:rsid w:val="34124905"/>
    <w:rsid w:val="343108E0"/>
    <w:rsid w:val="34332ACB"/>
    <w:rsid w:val="34367E3A"/>
    <w:rsid w:val="343E01D2"/>
    <w:rsid w:val="344D6720"/>
    <w:rsid w:val="345B40F8"/>
    <w:rsid w:val="346516FC"/>
    <w:rsid w:val="346A19DD"/>
    <w:rsid w:val="346F6B55"/>
    <w:rsid w:val="347F7A59"/>
    <w:rsid w:val="348953EB"/>
    <w:rsid w:val="34AC10D9"/>
    <w:rsid w:val="34B66F8B"/>
    <w:rsid w:val="34C14F2A"/>
    <w:rsid w:val="34E549DB"/>
    <w:rsid w:val="35051928"/>
    <w:rsid w:val="351078BA"/>
    <w:rsid w:val="35163608"/>
    <w:rsid w:val="35480B8D"/>
    <w:rsid w:val="354C51AA"/>
    <w:rsid w:val="354F1498"/>
    <w:rsid w:val="357716E7"/>
    <w:rsid w:val="357D32F9"/>
    <w:rsid w:val="358E3119"/>
    <w:rsid w:val="35A17BBD"/>
    <w:rsid w:val="35B17296"/>
    <w:rsid w:val="35E227B0"/>
    <w:rsid w:val="35EF08FA"/>
    <w:rsid w:val="360E0FB2"/>
    <w:rsid w:val="361D43B0"/>
    <w:rsid w:val="362769F8"/>
    <w:rsid w:val="362F1155"/>
    <w:rsid w:val="36371DF8"/>
    <w:rsid w:val="364517E5"/>
    <w:rsid w:val="36457EEA"/>
    <w:rsid w:val="364919CA"/>
    <w:rsid w:val="364F67F2"/>
    <w:rsid w:val="36617CA1"/>
    <w:rsid w:val="366D0440"/>
    <w:rsid w:val="366F51C6"/>
    <w:rsid w:val="36723C60"/>
    <w:rsid w:val="368F480F"/>
    <w:rsid w:val="369A15FD"/>
    <w:rsid w:val="36E903C3"/>
    <w:rsid w:val="36F2086A"/>
    <w:rsid w:val="3716036D"/>
    <w:rsid w:val="373A08FC"/>
    <w:rsid w:val="37477875"/>
    <w:rsid w:val="37540578"/>
    <w:rsid w:val="376F305B"/>
    <w:rsid w:val="377B5892"/>
    <w:rsid w:val="379577DD"/>
    <w:rsid w:val="379D1573"/>
    <w:rsid w:val="37A34A15"/>
    <w:rsid w:val="37C84A35"/>
    <w:rsid w:val="37D349A5"/>
    <w:rsid w:val="37E961A0"/>
    <w:rsid w:val="3832693A"/>
    <w:rsid w:val="383703AE"/>
    <w:rsid w:val="383C3B6A"/>
    <w:rsid w:val="38415FDC"/>
    <w:rsid w:val="38501133"/>
    <w:rsid w:val="38551FF2"/>
    <w:rsid w:val="38965221"/>
    <w:rsid w:val="389A2B75"/>
    <w:rsid w:val="38B930D0"/>
    <w:rsid w:val="38C529E3"/>
    <w:rsid w:val="38CA6D89"/>
    <w:rsid w:val="38CD7870"/>
    <w:rsid w:val="38D142F4"/>
    <w:rsid w:val="38D60BD0"/>
    <w:rsid w:val="38E14758"/>
    <w:rsid w:val="38FD0155"/>
    <w:rsid w:val="390F7185"/>
    <w:rsid w:val="391F75B3"/>
    <w:rsid w:val="39644D95"/>
    <w:rsid w:val="39686C24"/>
    <w:rsid w:val="39897C3B"/>
    <w:rsid w:val="398A7675"/>
    <w:rsid w:val="39975B3F"/>
    <w:rsid w:val="39A233C0"/>
    <w:rsid w:val="39A51F8C"/>
    <w:rsid w:val="39CC09D4"/>
    <w:rsid w:val="39D95F87"/>
    <w:rsid w:val="39E44487"/>
    <w:rsid w:val="39F23A32"/>
    <w:rsid w:val="39F573F5"/>
    <w:rsid w:val="3A0551F6"/>
    <w:rsid w:val="3A1B0A0B"/>
    <w:rsid w:val="3A24119F"/>
    <w:rsid w:val="3A502507"/>
    <w:rsid w:val="3A6C47A8"/>
    <w:rsid w:val="3A6E5EB9"/>
    <w:rsid w:val="3A772CAE"/>
    <w:rsid w:val="3A8723CC"/>
    <w:rsid w:val="3A961AFC"/>
    <w:rsid w:val="3ABD5DEE"/>
    <w:rsid w:val="3AD6245A"/>
    <w:rsid w:val="3ADB2C6C"/>
    <w:rsid w:val="3AE11D71"/>
    <w:rsid w:val="3AE362E8"/>
    <w:rsid w:val="3AFA1C73"/>
    <w:rsid w:val="3B1E0D84"/>
    <w:rsid w:val="3B220A43"/>
    <w:rsid w:val="3B3F729E"/>
    <w:rsid w:val="3B5C5BF5"/>
    <w:rsid w:val="3B5D0FF1"/>
    <w:rsid w:val="3B6D2B2C"/>
    <w:rsid w:val="3B9407E8"/>
    <w:rsid w:val="3B96663F"/>
    <w:rsid w:val="3B9C29D7"/>
    <w:rsid w:val="3B9F20D2"/>
    <w:rsid w:val="3BA26D92"/>
    <w:rsid w:val="3BA62DD5"/>
    <w:rsid w:val="3BA96372"/>
    <w:rsid w:val="3BB5641E"/>
    <w:rsid w:val="3BB70BAB"/>
    <w:rsid w:val="3BCC4FCF"/>
    <w:rsid w:val="3BD62047"/>
    <w:rsid w:val="3BD85D85"/>
    <w:rsid w:val="3BE63123"/>
    <w:rsid w:val="3BF96496"/>
    <w:rsid w:val="3C0356A1"/>
    <w:rsid w:val="3C060D09"/>
    <w:rsid w:val="3C213013"/>
    <w:rsid w:val="3C3776CD"/>
    <w:rsid w:val="3C4F08A0"/>
    <w:rsid w:val="3C825430"/>
    <w:rsid w:val="3C880E97"/>
    <w:rsid w:val="3C8E5C34"/>
    <w:rsid w:val="3C8F1954"/>
    <w:rsid w:val="3C912342"/>
    <w:rsid w:val="3C972DBD"/>
    <w:rsid w:val="3C9B1E20"/>
    <w:rsid w:val="3CB41B63"/>
    <w:rsid w:val="3CC03017"/>
    <w:rsid w:val="3CC33E89"/>
    <w:rsid w:val="3CDB133B"/>
    <w:rsid w:val="3CE57F96"/>
    <w:rsid w:val="3D1A1BEA"/>
    <w:rsid w:val="3D1C7B5A"/>
    <w:rsid w:val="3D1F3632"/>
    <w:rsid w:val="3D2E116F"/>
    <w:rsid w:val="3D312EAA"/>
    <w:rsid w:val="3D347108"/>
    <w:rsid w:val="3D4C3B00"/>
    <w:rsid w:val="3D8749A7"/>
    <w:rsid w:val="3D9A70AE"/>
    <w:rsid w:val="3DAA1F2E"/>
    <w:rsid w:val="3DB3369B"/>
    <w:rsid w:val="3DCB3F8B"/>
    <w:rsid w:val="3DF06AAF"/>
    <w:rsid w:val="3DFD483B"/>
    <w:rsid w:val="3E155F58"/>
    <w:rsid w:val="3E271B46"/>
    <w:rsid w:val="3E327A22"/>
    <w:rsid w:val="3E330216"/>
    <w:rsid w:val="3E353EED"/>
    <w:rsid w:val="3E4651C8"/>
    <w:rsid w:val="3E6E7726"/>
    <w:rsid w:val="3E7A3F16"/>
    <w:rsid w:val="3E8807AD"/>
    <w:rsid w:val="3E8E717C"/>
    <w:rsid w:val="3E9711A7"/>
    <w:rsid w:val="3EA04FFF"/>
    <w:rsid w:val="3EA17877"/>
    <w:rsid w:val="3EA6303D"/>
    <w:rsid w:val="3EB15543"/>
    <w:rsid w:val="3EC2618C"/>
    <w:rsid w:val="3ED813D3"/>
    <w:rsid w:val="3EF465F9"/>
    <w:rsid w:val="3F266CFE"/>
    <w:rsid w:val="3F274B8A"/>
    <w:rsid w:val="3F2D03F9"/>
    <w:rsid w:val="3F394AC3"/>
    <w:rsid w:val="3F5123C7"/>
    <w:rsid w:val="3F542A99"/>
    <w:rsid w:val="3F8367E2"/>
    <w:rsid w:val="3F8A5C41"/>
    <w:rsid w:val="3FD259C8"/>
    <w:rsid w:val="3FDD1AF8"/>
    <w:rsid w:val="3FE71063"/>
    <w:rsid w:val="3FE76876"/>
    <w:rsid w:val="3FFB324D"/>
    <w:rsid w:val="40007016"/>
    <w:rsid w:val="400E55CD"/>
    <w:rsid w:val="40202C48"/>
    <w:rsid w:val="402031B2"/>
    <w:rsid w:val="403109C4"/>
    <w:rsid w:val="40316936"/>
    <w:rsid w:val="403366A2"/>
    <w:rsid w:val="40481834"/>
    <w:rsid w:val="4049581F"/>
    <w:rsid w:val="406423BE"/>
    <w:rsid w:val="406452EF"/>
    <w:rsid w:val="40667BAC"/>
    <w:rsid w:val="408F1FDB"/>
    <w:rsid w:val="40AB0497"/>
    <w:rsid w:val="40AE3E19"/>
    <w:rsid w:val="40B32D79"/>
    <w:rsid w:val="40BC4452"/>
    <w:rsid w:val="40BC5E02"/>
    <w:rsid w:val="40BF2194"/>
    <w:rsid w:val="40DC2D76"/>
    <w:rsid w:val="40E17CCD"/>
    <w:rsid w:val="40FB1372"/>
    <w:rsid w:val="41236216"/>
    <w:rsid w:val="41464921"/>
    <w:rsid w:val="41466412"/>
    <w:rsid w:val="414842A1"/>
    <w:rsid w:val="414A58A1"/>
    <w:rsid w:val="41603135"/>
    <w:rsid w:val="4162324B"/>
    <w:rsid w:val="416F5486"/>
    <w:rsid w:val="41895A0D"/>
    <w:rsid w:val="418F6D56"/>
    <w:rsid w:val="41936B67"/>
    <w:rsid w:val="41A63A30"/>
    <w:rsid w:val="41B61920"/>
    <w:rsid w:val="41C932CA"/>
    <w:rsid w:val="41CA522B"/>
    <w:rsid w:val="41D43A1D"/>
    <w:rsid w:val="41D933CB"/>
    <w:rsid w:val="41E267B4"/>
    <w:rsid w:val="41F14FA8"/>
    <w:rsid w:val="41FB71FC"/>
    <w:rsid w:val="42091FB5"/>
    <w:rsid w:val="420E3AD6"/>
    <w:rsid w:val="422C43C1"/>
    <w:rsid w:val="42633CE2"/>
    <w:rsid w:val="427133A6"/>
    <w:rsid w:val="428873BF"/>
    <w:rsid w:val="428D254A"/>
    <w:rsid w:val="42952AF1"/>
    <w:rsid w:val="42997634"/>
    <w:rsid w:val="42AA1B2A"/>
    <w:rsid w:val="42AB2B3F"/>
    <w:rsid w:val="42B85710"/>
    <w:rsid w:val="42BF5FAE"/>
    <w:rsid w:val="42D647F0"/>
    <w:rsid w:val="42DB13F8"/>
    <w:rsid w:val="43017613"/>
    <w:rsid w:val="43234B6A"/>
    <w:rsid w:val="436255FD"/>
    <w:rsid w:val="43650DD1"/>
    <w:rsid w:val="436555F6"/>
    <w:rsid w:val="438E5CEE"/>
    <w:rsid w:val="43A16D49"/>
    <w:rsid w:val="43A465CF"/>
    <w:rsid w:val="43B117A5"/>
    <w:rsid w:val="43BB30E7"/>
    <w:rsid w:val="43CB1522"/>
    <w:rsid w:val="43E20674"/>
    <w:rsid w:val="44076CAF"/>
    <w:rsid w:val="44145E77"/>
    <w:rsid w:val="444035EC"/>
    <w:rsid w:val="44560FF5"/>
    <w:rsid w:val="44643203"/>
    <w:rsid w:val="44731F74"/>
    <w:rsid w:val="447C2876"/>
    <w:rsid w:val="447F1479"/>
    <w:rsid w:val="44884390"/>
    <w:rsid w:val="448C6767"/>
    <w:rsid w:val="44A81A61"/>
    <w:rsid w:val="44B26298"/>
    <w:rsid w:val="44B3065F"/>
    <w:rsid w:val="44B367CB"/>
    <w:rsid w:val="44BD14A4"/>
    <w:rsid w:val="44CB7CA6"/>
    <w:rsid w:val="44D16BE1"/>
    <w:rsid w:val="44D91CF2"/>
    <w:rsid w:val="44F641E7"/>
    <w:rsid w:val="44F73DFD"/>
    <w:rsid w:val="44FC50B3"/>
    <w:rsid w:val="450F2ACA"/>
    <w:rsid w:val="451041B2"/>
    <w:rsid w:val="451950DB"/>
    <w:rsid w:val="451F6855"/>
    <w:rsid w:val="453549B1"/>
    <w:rsid w:val="453600E6"/>
    <w:rsid w:val="45382051"/>
    <w:rsid w:val="45393DA7"/>
    <w:rsid w:val="453E4E00"/>
    <w:rsid w:val="45440EBA"/>
    <w:rsid w:val="45626B05"/>
    <w:rsid w:val="456A6B72"/>
    <w:rsid w:val="456D507B"/>
    <w:rsid w:val="45774DEB"/>
    <w:rsid w:val="457C0654"/>
    <w:rsid w:val="457D3913"/>
    <w:rsid w:val="458D460F"/>
    <w:rsid w:val="45A40095"/>
    <w:rsid w:val="45B3302C"/>
    <w:rsid w:val="45E33611"/>
    <w:rsid w:val="45E54324"/>
    <w:rsid w:val="460263B0"/>
    <w:rsid w:val="460436F4"/>
    <w:rsid w:val="4604457B"/>
    <w:rsid w:val="460813F3"/>
    <w:rsid w:val="460A3EB2"/>
    <w:rsid w:val="461A3FBA"/>
    <w:rsid w:val="461B1DF0"/>
    <w:rsid w:val="461B28D9"/>
    <w:rsid w:val="462C02CC"/>
    <w:rsid w:val="46316880"/>
    <w:rsid w:val="463A5F51"/>
    <w:rsid w:val="465E7D59"/>
    <w:rsid w:val="466B507A"/>
    <w:rsid w:val="46873E9A"/>
    <w:rsid w:val="468F0C7D"/>
    <w:rsid w:val="46963997"/>
    <w:rsid w:val="46AE3650"/>
    <w:rsid w:val="46BB09F6"/>
    <w:rsid w:val="46C8737D"/>
    <w:rsid w:val="46D63D94"/>
    <w:rsid w:val="46FB7B04"/>
    <w:rsid w:val="47064679"/>
    <w:rsid w:val="471E388B"/>
    <w:rsid w:val="47224611"/>
    <w:rsid w:val="4741474A"/>
    <w:rsid w:val="47422C01"/>
    <w:rsid w:val="47672382"/>
    <w:rsid w:val="477704E6"/>
    <w:rsid w:val="47883445"/>
    <w:rsid w:val="479559FD"/>
    <w:rsid w:val="47AC3472"/>
    <w:rsid w:val="47E079A2"/>
    <w:rsid w:val="47F539E5"/>
    <w:rsid w:val="47FF6C76"/>
    <w:rsid w:val="480F2088"/>
    <w:rsid w:val="4815653C"/>
    <w:rsid w:val="48223FA5"/>
    <w:rsid w:val="48233009"/>
    <w:rsid w:val="483B4ADC"/>
    <w:rsid w:val="48401E0D"/>
    <w:rsid w:val="48412CBC"/>
    <w:rsid w:val="484F0B37"/>
    <w:rsid w:val="486A280C"/>
    <w:rsid w:val="48754309"/>
    <w:rsid w:val="48895562"/>
    <w:rsid w:val="488E0DCA"/>
    <w:rsid w:val="488F069E"/>
    <w:rsid w:val="48AB4817"/>
    <w:rsid w:val="48B853F7"/>
    <w:rsid w:val="48C956AF"/>
    <w:rsid w:val="48D276DF"/>
    <w:rsid w:val="48EF08B9"/>
    <w:rsid w:val="48F00331"/>
    <w:rsid w:val="48F46286"/>
    <w:rsid w:val="490524B3"/>
    <w:rsid w:val="490561F0"/>
    <w:rsid w:val="49375241"/>
    <w:rsid w:val="493C093D"/>
    <w:rsid w:val="49487D82"/>
    <w:rsid w:val="49616014"/>
    <w:rsid w:val="499954F9"/>
    <w:rsid w:val="49B504D0"/>
    <w:rsid w:val="49BC04E3"/>
    <w:rsid w:val="49E13ED4"/>
    <w:rsid w:val="49F14A43"/>
    <w:rsid w:val="49F21A4F"/>
    <w:rsid w:val="49FF1E18"/>
    <w:rsid w:val="4A001853"/>
    <w:rsid w:val="4A407A47"/>
    <w:rsid w:val="4A520968"/>
    <w:rsid w:val="4A7933B4"/>
    <w:rsid w:val="4A8924D7"/>
    <w:rsid w:val="4A8C1AE8"/>
    <w:rsid w:val="4A9847E5"/>
    <w:rsid w:val="4A9E6A81"/>
    <w:rsid w:val="4AA5513C"/>
    <w:rsid w:val="4AB15AF5"/>
    <w:rsid w:val="4AC03BA6"/>
    <w:rsid w:val="4AC2775A"/>
    <w:rsid w:val="4AC74C2E"/>
    <w:rsid w:val="4B0E4208"/>
    <w:rsid w:val="4B19147C"/>
    <w:rsid w:val="4B1C39FE"/>
    <w:rsid w:val="4B2D7A2E"/>
    <w:rsid w:val="4B385D49"/>
    <w:rsid w:val="4B3A357F"/>
    <w:rsid w:val="4B5A3717"/>
    <w:rsid w:val="4B5D7640"/>
    <w:rsid w:val="4B6A45FB"/>
    <w:rsid w:val="4B884A17"/>
    <w:rsid w:val="4B887D0E"/>
    <w:rsid w:val="4B8D4FA6"/>
    <w:rsid w:val="4BBE6381"/>
    <w:rsid w:val="4BC831E7"/>
    <w:rsid w:val="4BDD55A8"/>
    <w:rsid w:val="4BEA4D2B"/>
    <w:rsid w:val="4BEF1B4C"/>
    <w:rsid w:val="4BF86A36"/>
    <w:rsid w:val="4C015B0C"/>
    <w:rsid w:val="4C1418AE"/>
    <w:rsid w:val="4C1A5A4C"/>
    <w:rsid w:val="4C312198"/>
    <w:rsid w:val="4C3752D5"/>
    <w:rsid w:val="4C5172F3"/>
    <w:rsid w:val="4C6B0408"/>
    <w:rsid w:val="4C7C5E45"/>
    <w:rsid w:val="4C8A7AFA"/>
    <w:rsid w:val="4C945C61"/>
    <w:rsid w:val="4CA25171"/>
    <w:rsid w:val="4CA64040"/>
    <w:rsid w:val="4CDA668D"/>
    <w:rsid w:val="4CEB3421"/>
    <w:rsid w:val="4CEF2BB0"/>
    <w:rsid w:val="4CF41FF8"/>
    <w:rsid w:val="4D072EF9"/>
    <w:rsid w:val="4D0B5048"/>
    <w:rsid w:val="4D101EBE"/>
    <w:rsid w:val="4D1F7563"/>
    <w:rsid w:val="4D3C36BA"/>
    <w:rsid w:val="4D457729"/>
    <w:rsid w:val="4D4D4369"/>
    <w:rsid w:val="4D531031"/>
    <w:rsid w:val="4D7C0552"/>
    <w:rsid w:val="4D8B3B2A"/>
    <w:rsid w:val="4D8C46F9"/>
    <w:rsid w:val="4D926C66"/>
    <w:rsid w:val="4DA661BC"/>
    <w:rsid w:val="4DAB22CF"/>
    <w:rsid w:val="4DB766CD"/>
    <w:rsid w:val="4DB85AC7"/>
    <w:rsid w:val="4DCB2E88"/>
    <w:rsid w:val="4E0B3CC0"/>
    <w:rsid w:val="4E1210B6"/>
    <w:rsid w:val="4E4D2309"/>
    <w:rsid w:val="4E5B4BD9"/>
    <w:rsid w:val="4E9D1BA8"/>
    <w:rsid w:val="4E9E662E"/>
    <w:rsid w:val="4EA11C8F"/>
    <w:rsid w:val="4EA34087"/>
    <w:rsid w:val="4EB46B62"/>
    <w:rsid w:val="4ED02686"/>
    <w:rsid w:val="4EDB2766"/>
    <w:rsid w:val="4EDD79C9"/>
    <w:rsid w:val="4EE2100B"/>
    <w:rsid w:val="4EE32412"/>
    <w:rsid w:val="4EEF5EDC"/>
    <w:rsid w:val="4EF133C1"/>
    <w:rsid w:val="4EF56A00"/>
    <w:rsid w:val="4F0A6CD0"/>
    <w:rsid w:val="4F0B3701"/>
    <w:rsid w:val="4F2A0C18"/>
    <w:rsid w:val="4F3A6A73"/>
    <w:rsid w:val="4F4607F4"/>
    <w:rsid w:val="4F483EC3"/>
    <w:rsid w:val="4F4F2935"/>
    <w:rsid w:val="4F581A57"/>
    <w:rsid w:val="4F736BF0"/>
    <w:rsid w:val="4F834D4C"/>
    <w:rsid w:val="4F842F4B"/>
    <w:rsid w:val="4F8E7901"/>
    <w:rsid w:val="4FA070A0"/>
    <w:rsid w:val="4FA55ACC"/>
    <w:rsid w:val="4FB035A7"/>
    <w:rsid w:val="4FBA6378"/>
    <w:rsid w:val="4FC40EBC"/>
    <w:rsid w:val="4FCC37AE"/>
    <w:rsid w:val="4FDC241B"/>
    <w:rsid w:val="4FFD05E3"/>
    <w:rsid w:val="50334516"/>
    <w:rsid w:val="503F2919"/>
    <w:rsid w:val="50493A57"/>
    <w:rsid w:val="504E402F"/>
    <w:rsid w:val="504F4B2B"/>
    <w:rsid w:val="505638CA"/>
    <w:rsid w:val="50572D90"/>
    <w:rsid w:val="506B312D"/>
    <w:rsid w:val="507A3CA1"/>
    <w:rsid w:val="50884CD3"/>
    <w:rsid w:val="50A70C7B"/>
    <w:rsid w:val="50A8391E"/>
    <w:rsid w:val="50B05655"/>
    <w:rsid w:val="50CA3751"/>
    <w:rsid w:val="50EE7CE7"/>
    <w:rsid w:val="50F97014"/>
    <w:rsid w:val="510D32F4"/>
    <w:rsid w:val="51111CCD"/>
    <w:rsid w:val="51256043"/>
    <w:rsid w:val="512630B0"/>
    <w:rsid w:val="512F0C70"/>
    <w:rsid w:val="51382055"/>
    <w:rsid w:val="513A72A2"/>
    <w:rsid w:val="515626A1"/>
    <w:rsid w:val="5165683B"/>
    <w:rsid w:val="51690E79"/>
    <w:rsid w:val="51762247"/>
    <w:rsid w:val="5180520E"/>
    <w:rsid w:val="51812E06"/>
    <w:rsid w:val="51961154"/>
    <w:rsid w:val="51992FCE"/>
    <w:rsid w:val="51AA1E2A"/>
    <w:rsid w:val="51CF438D"/>
    <w:rsid w:val="51DF7B80"/>
    <w:rsid w:val="51F83758"/>
    <w:rsid w:val="52085497"/>
    <w:rsid w:val="52200F65"/>
    <w:rsid w:val="52235205"/>
    <w:rsid w:val="5235276F"/>
    <w:rsid w:val="524175D7"/>
    <w:rsid w:val="52536C21"/>
    <w:rsid w:val="526861E8"/>
    <w:rsid w:val="52762D97"/>
    <w:rsid w:val="52985654"/>
    <w:rsid w:val="529B480F"/>
    <w:rsid w:val="52A17DC5"/>
    <w:rsid w:val="52A805EC"/>
    <w:rsid w:val="52B642F2"/>
    <w:rsid w:val="52BA6CE6"/>
    <w:rsid w:val="52DA676D"/>
    <w:rsid w:val="52E37F64"/>
    <w:rsid w:val="52EC7E87"/>
    <w:rsid w:val="530C451F"/>
    <w:rsid w:val="530E02D4"/>
    <w:rsid w:val="53272BFA"/>
    <w:rsid w:val="532849E2"/>
    <w:rsid w:val="532A0F7D"/>
    <w:rsid w:val="5339357A"/>
    <w:rsid w:val="5344057A"/>
    <w:rsid w:val="534A7FE3"/>
    <w:rsid w:val="535136A9"/>
    <w:rsid w:val="53554B5D"/>
    <w:rsid w:val="538232D9"/>
    <w:rsid w:val="53850FA0"/>
    <w:rsid w:val="538E1562"/>
    <w:rsid w:val="53A7700C"/>
    <w:rsid w:val="53BD2C4E"/>
    <w:rsid w:val="53BE2E82"/>
    <w:rsid w:val="53C16550"/>
    <w:rsid w:val="53D944ED"/>
    <w:rsid w:val="53E81E0A"/>
    <w:rsid w:val="53F11286"/>
    <w:rsid w:val="53F30197"/>
    <w:rsid w:val="53F561A1"/>
    <w:rsid w:val="54017E6B"/>
    <w:rsid w:val="54111F61"/>
    <w:rsid w:val="54147B67"/>
    <w:rsid w:val="541C5F97"/>
    <w:rsid w:val="544C2E0C"/>
    <w:rsid w:val="544C605D"/>
    <w:rsid w:val="54680B21"/>
    <w:rsid w:val="547232BC"/>
    <w:rsid w:val="548D686A"/>
    <w:rsid w:val="54921C42"/>
    <w:rsid w:val="54D55AB3"/>
    <w:rsid w:val="54D67D81"/>
    <w:rsid w:val="54D90429"/>
    <w:rsid w:val="54EB1B0B"/>
    <w:rsid w:val="54ED7D2A"/>
    <w:rsid w:val="54F009B3"/>
    <w:rsid w:val="55056920"/>
    <w:rsid w:val="55081E46"/>
    <w:rsid w:val="5512691C"/>
    <w:rsid w:val="55182AB5"/>
    <w:rsid w:val="553564FC"/>
    <w:rsid w:val="5538134A"/>
    <w:rsid w:val="554B3DD9"/>
    <w:rsid w:val="555800F4"/>
    <w:rsid w:val="555C2130"/>
    <w:rsid w:val="555C7B5A"/>
    <w:rsid w:val="55754D13"/>
    <w:rsid w:val="55A94B3A"/>
    <w:rsid w:val="55AC658E"/>
    <w:rsid w:val="55AE3F35"/>
    <w:rsid w:val="55AF412E"/>
    <w:rsid w:val="55B6370E"/>
    <w:rsid w:val="55BC5F34"/>
    <w:rsid w:val="55CA51A6"/>
    <w:rsid w:val="55E93AE3"/>
    <w:rsid w:val="55ED038A"/>
    <w:rsid w:val="55F71EA2"/>
    <w:rsid w:val="55F831E9"/>
    <w:rsid w:val="56005B12"/>
    <w:rsid w:val="56010E2D"/>
    <w:rsid w:val="5601220C"/>
    <w:rsid w:val="5601577F"/>
    <w:rsid w:val="561D553B"/>
    <w:rsid w:val="562A6D44"/>
    <w:rsid w:val="56361484"/>
    <w:rsid w:val="563A37EF"/>
    <w:rsid w:val="564444B1"/>
    <w:rsid w:val="56521DB3"/>
    <w:rsid w:val="56810B43"/>
    <w:rsid w:val="568948E8"/>
    <w:rsid w:val="56A36CD7"/>
    <w:rsid w:val="56C87CC6"/>
    <w:rsid w:val="56D77676"/>
    <w:rsid w:val="56E01FA5"/>
    <w:rsid w:val="56E03FD6"/>
    <w:rsid w:val="56E64BA4"/>
    <w:rsid w:val="56E6612A"/>
    <w:rsid w:val="570805F7"/>
    <w:rsid w:val="571B0EEA"/>
    <w:rsid w:val="57230924"/>
    <w:rsid w:val="574F2CFC"/>
    <w:rsid w:val="57513ECB"/>
    <w:rsid w:val="57530E45"/>
    <w:rsid w:val="57572F0A"/>
    <w:rsid w:val="576D5916"/>
    <w:rsid w:val="577B69BD"/>
    <w:rsid w:val="577F26C3"/>
    <w:rsid w:val="57AE144B"/>
    <w:rsid w:val="57B3422A"/>
    <w:rsid w:val="57C03270"/>
    <w:rsid w:val="57C74F71"/>
    <w:rsid w:val="57E84F83"/>
    <w:rsid w:val="57EE45E1"/>
    <w:rsid w:val="57F92C8C"/>
    <w:rsid w:val="58053D7F"/>
    <w:rsid w:val="580852C7"/>
    <w:rsid w:val="582B03E3"/>
    <w:rsid w:val="583348AD"/>
    <w:rsid w:val="58873662"/>
    <w:rsid w:val="5898031E"/>
    <w:rsid w:val="58A55659"/>
    <w:rsid w:val="58BA52C3"/>
    <w:rsid w:val="58BA682E"/>
    <w:rsid w:val="58BA7AA8"/>
    <w:rsid w:val="58C45472"/>
    <w:rsid w:val="58C95249"/>
    <w:rsid w:val="58CC01A5"/>
    <w:rsid w:val="58DF69D9"/>
    <w:rsid w:val="58E047BA"/>
    <w:rsid w:val="58E27F4A"/>
    <w:rsid w:val="59117AEB"/>
    <w:rsid w:val="59125E7B"/>
    <w:rsid w:val="59126D46"/>
    <w:rsid w:val="59154DEF"/>
    <w:rsid w:val="592207F9"/>
    <w:rsid w:val="59372DB8"/>
    <w:rsid w:val="594D7127"/>
    <w:rsid w:val="596A7975"/>
    <w:rsid w:val="596D4116"/>
    <w:rsid w:val="59892C39"/>
    <w:rsid w:val="59C073F0"/>
    <w:rsid w:val="59D83A5B"/>
    <w:rsid w:val="59E7087A"/>
    <w:rsid w:val="59E93F03"/>
    <w:rsid w:val="59F7710B"/>
    <w:rsid w:val="5A042649"/>
    <w:rsid w:val="5A082249"/>
    <w:rsid w:val="5A186745"/>
    <w:rsid w:val="5A226F07"/>
    <w:rsid w:val="5A244949"/>
    <w:rsid w:val="5A2548FC"/>
    <w:rsid w:val="5A3B2434"/>
    <w:rsid w:val="5A493A43"/>
    <w:rsid w:val="5A4C3D46"/>
    <w:rsid w:val="5A597C10"/>
    <w:rsid w:val="5A621742"/>
    <w:rsid w:val="5A84202D"/>
    <w:rsid w:val="5A893563"/>
    <w:rsid w:val="5A9A35FE"/>
    <w:rsid w:val="5AA601F5"/>
    <w:rsid w:val="5AA93841"/>
    <w:rsid w:val="5ACB110C"/>
    <w:rsid w:val="5ACE5056"/>
    <w:rsid w:val="5ADA5066"/>
    <w:rsid w:val="5ADE0739"/>
    <w:rsid w:val="5AE44879"/>
    <w:rsid w:val="5AF11096"/>
    <w:rsid w:val="5AF739A4"/>
    <w:rsid w:val="5AFC5E46"/>
    <w:rsid w:val="5B012CA3"/>
    <w:rsid w:val="5B026F23"/>
    <w:rsid w:val="5B34195F"/>
    <w:rsid w:val="5B3E6680"/>
    <w:rsid w:val="5B660D66"/>
    <w:rsid w:val="5B6A4DF5"/>
    <w:rsid w:val="5B7E6C81"/>
    <w:rsid w:val="5B865F53"/>
    <w:rsid w:val="5B867B73"/>
    <w:rsid w:val="5B8C22EE"/>
    <w:rsid w:val="5B913121"/>
    <w:rsid w:val="5B962018"/>
    <w:rsid w:val="5B9F2E04"/>
    <w:rsid w:val="5B9F3AD9"/>
    <w:rsid w:val="5BAC7A0D"/>
    <w:rsid w:val="5BC41AD1"/>
    <w:rsid w:val="5BC70423"/>
    <w:rsid w:val="5BE70AC5"/>
    <w:rsid w:val="5BEF797A"/>
    <w:rsid w:val="5C0253B8"/>
    <w:rsid w:val="5C0F04EA"/>
    <w:rsid w:val="5C116BAA"/>
    <w:rsid w:val="5C14278F"/>
    <w:rsid w:val="5C207B33"/>
    <w:rsid w:val="5C2A3FA5"/>
    <w:rsid w:val="5C395375"/>
    <w:rsid w:val="5C4464A2"/>
    <w:rsid w:val="5C6B2662"/>
    <w:rsid w:val="5C8E7EC3"/>
    <w:rsid w:val="5CAA4EB6"/>
    <w:rsid w:val="5CAA5EAF"/>
    <w:rsid w:val="5CAF41DA"/>
    <w:rsid w:val="5CB14ABB"/>
    <w:rsid w:val="5CBC04B8"/>
    <w:rsid w:val="5CC42BB4"/>
    <w:rsid w:val="5CD83553"/>
    <w:rsid w:val="5CDF79EE"/>
    <w:rsid w:val="5CFE60C6"/>
    <w:rsid w:val="5D161471"/>
    <w:rsid w:val="5D462327"/>
    <w:rsid w:val="5D462381"/>
    <w:rsid w:val="5D4C7F90"/>
    <w:rsid w:val="5D4D0865"/>
    <w:rsid w:val="5D550AA0"/>
    <w:rsid w:val="5D6D0B56"/>
    <w:rsid w:val="5D837FD9"/>
    <w:rsid w:val="5D8A7758"/>
    <w:rsid w:val="5DAA2A19"/>
    <w:rsid w:val="5DB84A7A"/>
    <w:rsid w:val="5DCF5028"/>
    <w:rsid w:val="5DE0235F"/>
    <w:rsid w:val="5DE329B8"/>
    <w:rsid w:val="5E003552"/>
    <w:rsid w:val="5E0D5F46"/>
    <w:rsid w:val="5E13027D"/>
    <w:rsid w:val="5E146A49"/>
    <w:rsid w:val="5E1D07CE"/>
    <w:rsid w:val="5E2E1C30"/>
    <w:rsid w:val="5E355C2E"/>
    <w:rsid w:val="5E413EB5"/>
    <w:rsid w:val="5E5C267F"/>
    <w:rsid w:val="5E6E258B"/>
    <w:rsid w:val="5E71737B"/>
    <w:rsid w:val="5E7B2869"/>
    <w:rsid w:val="5E8B41A1"/>
    <w:rsid w:val="5EC702B1"/>
    <w:rsid w:val="5EC82064"/>
    <w:rsid w:val="5EDA0DEF"/>
    <w:rsid w:val="5F204709"/>
    <w:rsid w:val="5F41229A"/>
    <w:rsid w:val="5F681F1D"/>
    <w:rsid w:val="5F8C79C1"/>
    <w:rsid w:val="5F9D6D7E"/>
    <w:rsid w:val="5FF94C0E"/>
    <w:rsid w:val="601B51D4"/>
    <w:rsid w:val="601E0904"/>
    <w:rsid w:val="60363DC9"/>
    <w:rsid w:val="60462042"/>
    <w:rsid w:val="607D14A1"/>
    <w:rsid w:val="608508AD"/>
    <w:rsid w:val="608525AA"/>
    <w:rsid w:val="608B4D49"/>
    <w:rsid w:val="609150B4"/>
    <w:rsid w:val="60940AF0"/>
    <w:rsid w:val="60AE3EA6"/>
    <w:rsid w:val="60B04C34"/>
    <w:rsid w:val="60B9405B"/>
    <w:rsid w:val="60BA0556"/>
    <w:rsid w:val="60C616C7"/>
    <w:rsid w:val="60CB5E0D"/>
    <w:rsid w:val="60D175C9"/>
    <w:rsid w:val="60EA6962"/>
    <w:rsid w:val="60FB2208"/>
    <w:rsid w:val="610A06ED"/>
    <w:rsid w:val="61226487"/>
    <w:rsid w:val="61246C95"/>
    <w:rsid w:val="61301057"/>
    <w:rsid w:val="61306A6A"/>
    <w:rsid w:val="613A45B3"/>
    <w:rsid w:val="61400116"/>
    <w:rsid w:val="614147D4"/>
    <w:rsid w:val="61435B8F"/>
    <w:rsid w:val="614B6C44"/>
    <w:rsid w:val="614E0764"/>
    <w:rsid w:val="61650C13"/>
    <w:rsid w:val="617E0FFA"/>
    <w:rsid w:val="61847FF1"/>
    <w:rsid w:val="619F3151"/>
    <w:rsid w:val="61A924B3"/>
    <w:rsid w:val="61B732D2"/>
    <w:rsid w:val="61B87723"/>
    <w:rsid w:val="61BB6B1F"/>
    <w:rsid w:val="61BF2B97"/>
    <w:rsid w:val="61CD355C"/>
    <w:rsid w:val="61D746FA"/>
    <w:rsid w:val="61EB26C7"/>
    <w:rsid w:val="61F0374E"/>
    <w:rsid w:val="61F07FA8"/>
    <w:rsid w:val="623440D9"/>
    <w:rsid w:val="62386C93"/>
    <w:rsid w:val="623F7E8B"/>
    <w:rsid w:val="625F47C7"/>
    <w:rsid w:val="62646BB1"/>
    <w:rsid w:val="6273044C"/>
    <w:rsid w:val="628339DA"/>
    <w:rsid w:val="628E1C9B"/>
    <w:rsid w:val="62907A4F"/>
    <w:rsid w:val="62A62DE6"/>
    <w:rsid w:val="62B23A43"/>
    <w:rsid w:val="62B31701"/>
    <w:rsid w:val="62B76B22"/>
    <w:rsid w:val="62DA3B9D"/>
    <w:rsid w:val="62DB0F29"/>
    <w:rsid w:val="62EA7681"/>
    <w:rsid w:val="63177590"/>
    <w:rsid w:val="631A445D"/>
    <w:rsid w:val="632A2715"/>
    <w:rsid w:val="63416863"/>
    <w:rsid w:val="635F090D"/>
    <w:rsid w:val="637C6AC0"/>
    <w:rsid w:val="637F4A5E"/>
    <w:rsid w:val="639E2124"/>
    <w:rsid w:val="63D434F9"/>
    <w:rsid w:val="63E500BA"/>
    <w:rsid w:val="63EE2E1F"/>
    <w:rsid w:val="63F26259"/>
    <w:rsid w:val="64046E46"/>
    <w:rsid w:val="64104931"/>
    <w:rsid w:val="644A7E43"/>
    <w:rsid w:val="645362EC"/>
    <w:rsid w:val="645B0956"/>
    <w:rsid w:val="646F3406"/>
    <w:rsid w:val="647A07CD"/>
    <w:rsid w:val="647E6AD7"/>
    <w:rsid w:val="64856C8E"/>
    <w:rsid w:val="649E1F3D"/>
    <w:rsid w:val="64A77A7A"/>
    <w:rsid w:val="64B67287"/>
    <w:rsid w:val="64E15121"/>
    <w:rsid w:val="64E477DA"/>
    <w:rsid w:val="6527529D"/>
    <w:rsid w:val="65374D33"/>
    <w:rsid w:val="654C5480"/>
    <w:rsid w:val="65520F1F"/>
    <w:rsid w:val="655E223D"/>
    <w:rsid w:val="657511FD"/>
    <w:rsid w:val="65764C68"/>
    <w:rsid w:val="65800396"/>
    <w:rsid w:val="65914F4E"/>
    <w:rsid w:val="659942F7"/>
    <w:rsid w:val="659B1FFD"/>
    <w:rsid w:val="65A45331"/>
    <w:rsid w:val="65B36B3E"/>
    <w:rsid w:val="65DF6369"/>
    <w:rsid w:val="65E17AD9"/>
    <w:rsid w:val="65F14020"/>
    <w:rsid w:val="65F77CEF"/>
    <w:rsid w:val="65F95E96"/>
    <w:rsid w:val="660E4EA0"/>
    <w:rsid w:val="66212E26"/>
    <w:rsid w:val="66245681"/>
    <w:rsid w:val="663F5E79"/>
    <w:rsid w:val="66430151"/>
    <w:rsid w:val="665A6E8D"/>
    <w:rsid w:val="666716AF"/>
    <w:rsid w:val="66713391"/>
    <w:rsid w:val="667543E6"/>
    <w:rsid w:val="66792A62"/>
    <w:rsid w:val="667E157E"/>
    <w:rsid w:val="66905B41"/>
    <w:rsid w:val="66AE2DC3"/>
    <w:rsid w:val="66B23A7E"/>
    <w:rsid w:val="66DB7F55"/>
    <w:rsid w:val="66DD57B5"/>
    <w:rsid w:val="66F26570"/>
    <w:rsid w:val="66FA0DA9"/>
    <w:rsid w:val="66FD6541"/>
    <w:rsid w:val="67125B26"/>
    <w:rsid w:val="672D0274"/>
    <w:rsid w:val="67472418"/>
    <w:rsid w:val="676D6EBA"/>
    <w:rsid w:val="676E3E49"/>
    <w:rsid w:val="676F3091"/>
    <w:rsid w:val="67741271"/>
    <w:rsid w:val="677449EA"/>
    <w:rsid w:val="67814616"/>
    <w:rsid w:val="67B57A9F"/>
    <w:rsid w:val="67BF46A4"/>
    <w:rsid w:val="67CA0BFE"/>
    <w:rsid w:val="67E6539C"/>
    <w:rsid w:val="67F665D6"/>
    <w:rsid w:val="680C4CB4"/>
    <w:rsid w:val="68165B69"/>
    <w:rsid w:val="682C6D27"/>
    <w:rsid w:val="683F1CEE"/>
    <w:rsid w:val="6867099B"/>
    <w:rsid w:val="687832EE"/>
    <w:rsid w:val="68815DFE"/>
    <w:rsid w:val="68821089"/>
    <w:rsid w:val="688335AE"/>
    <w:rsid w:val="68896CAC"/>
    <w:rsid w:val="688A2F04"/>
    <w:rsid w:val="68A11FFC"/>
    <w:rsid w:val="68AB5D9E"/>
    <w:rsid w:val="68B47F70"/>
    <w:rsid w:val="68C048E3"/>
    <w:rsid w:val="68DA37CE"/>
    <w:rsid w:val="68DE7078"/>
    <w:rsid w:val="68EA1D69"/>
    <w:rsid w:val="68EF4566"/>
    <w:rsid w:val="68F4037D"/>
    <w:rsid w:val="69124CA8"/>
    <w:rsid w:val="69137E62"/>
    <w:rsid w:val="69187A87"/>
    <w:rsid w:val="691B3B5C"/>
    <w:rsid w:val="691E3AB1"/>
    <w:rsid w:val="69207523"/>
    <w:rsid w:val="6922313D"/>
    <w:rsid w:val="69292082"/>
    <w:rsid w:val="6945700A"/>
    <w:rsid w:val="695451DB"/>
    <w:rsid w:val="698F62F8"/>
    <w:rsid w:val="6990578B"/>
    <w:rsid w:val="699305F8"/>
    <w:rsid w:val="699F7588"/>
    <w:rsid w:val="69AB5860"/>
    <w:rsid w:val="69EA1843"/>
    <w:rsid w:val="6A062568"/>
    <w:rsid w:val="6A51658B"/>
    <w:rsid w:val="6A75732D"/>
    <w:rsid w:val="6A857C51"/>
    <w:rsid w:val="6AD650D3"/>
    <w:rsid w:val="6AED1F8F"/>
    <w:rsid w:val="6B0D3978"/>
    <w:rsid w:val="6B4078AA"/>
    <w:rsid w:val="6B4E4BBA"/>
    <w:rsid w:val="6B7103E1"/>
    <w:rsid w:val="6B767479"/>
    <w:rsid w:val="6B7A0C09"/>
    <w:rsid w:val="6B8B1760"/>
    <w:rsid w:val="6B8F0A29"/>
    <w:rsid w:val="6BA658B8"/>
    <w:rsid w:val="6BB55966"/>
    <w:rsid w:val="6BB63F37"/>
    <w:rsid w:val="6BB63F85"/>
    <w:rsid w:val="6BBD25A2"/>
    <w:rsid w:val="6BBF3A8F"/>
    <w:rsid w:val="6BEF307E"/>
    <w:rsid w:val="6BFA3EFD"/>
    <w:rsid w:val="6C244830"/>
    <w:rsid w:val="6C2A4655"/>
    <w:rsid w:val="6C5B1843"/>
    <w:rsid w:val="6C733CAF"/>
    <w:rsid w:val="6C87570A"/>
    <w:rsid w:val="6C8A440F"/>
    <w:rsid w:val="6C8B077E"/>
    <w:rsid w:val="6C8D159D"/>
    <w:rsid w:val="6CB418A3"/>
    <w:rsid w:val="6CC12C6C"/>
    <w:rsid w:val="6CC87B57"/>
    <w:rsid w:val="6CCB6E60"/>
    <w:rsid w:val="6CD0637D"/>
    <w:rsid w:val="6CD26C28"/>
    <w:rsid w:val="6CD9325F"/>
    <w:rsid w:val="6CDC2594"/>
    <w:rsid w:val="6CEE0F3C"/>
    <w:rsid w:val="6CF541B1"/>
    <w:rsid w:val="6CFF0A62"/>
    <w:rsid w:val="6D211C5C"/>
    <w:rsid w:val="6D28139B"/>
    <w:rsid w:val="6D3035D1"/>
    <w:rsid w:val="6D3555AB"/>
    <w:rsid w:val="6D4D2752"/>
    <w:rsid w:val="6D52278B"/>
    <w:rsid w:val="6D5D6493"/>
    <w:rsid w:val="6D5E0BAF"/>
    <w:rsid w:val="6D65499E"/>
    <w:rsid w:val="6D803522"/>
    <w:rsid w:val="6D9F2BF8"/>
    <w:rsid w:val="6DAE3308"/>
    <w:rsid w:val="6DC2562A"/>
    <w:rsid w:val="6DD6304C"/>
    <w:rsid w:val="6DDB6257"/>
    <w:rsid w:val="6DE166C6"/>
    <w:rsid w:val="6DE52928"/>
    <w:rsid w:val="6DF130DE"/>
    <w:rsid w:val="6E147FD5"/>
    <w:rsid w:val="6E22598D"/>
    <w:rsid w:val="6E2C0197"/>
    <w:rsid w:val="6E334B81"/>
    <w:rsid w:val="6E3F4725"/>
    <w:rsid w:val="6E470749"/>
    <w:rsid w:val="6E533F7A"/>
    <w:rsid w:val="6E5F5709"/>
    <w:rsid w:val="6E6510F1"/>
    <w:rsid w:val="6E6869B6"/>
    <w:rsid w:val="6E6D76CF"/>
    <w:rsid w:val="6E8229A1"/>
    <w:rsid w:val="6E8368DD"/>
    <w:rsid w:val="6E8C2E06"/>
    <w:rsid w:val="6E8D4ADD"/>
    <w:rsid w:val="6E950308"/>
    <w:rsid w:val="6E965CFC"/>
    <w:rsid w:val="6EAB3BD4"/>
    <w:rsid w:val="6EAD452F"/>
    <w:rsid w:val="6EC5344E"/>
    <w:rsid w:val="6EC81378"/>
    <w:rsid w:val="6EE4389B"/>
    <w:rsid w:val="6EFA5544"/>
    <w:rsid w:val="6F033B32"/>
    <w:rsid w:val="6F131FFB"/>
    <w:rsid w:val="6F190F72"/>
    <w:rsid w:val="6F1B1730"/>
    <w:rsid w:val="6F2B261F"/>
    <w:rsid w:val="6F3736D3"/>
    <w:rsid w:val="6F5A758F"/>
    <w:rsid w:val="6F5E7018"/>
    <w:rsid w:val="6F623DB2"/>
    <w:rsid w:val="6F7D3FA6"/>
    <w:rsid w:val="6F81482B"/>
    <w:rsid w:val="6FC51DDA"/>
    <w:rsid w:val="6FDC0E5C"/>
    <w:rsid w:val="6FF00F28"/>
    <w:rsid w:val="6FF172CC"/>
    <w:rsid w:val="70055E50"/>
    <w:rsid w:val="70227EC6"/>
    <w:rsid w:val="70300DDC"/>
    <w:rsid w:val="703172D5"/>
    <w:rsid w:val="70362089"/>
    <w:rsid w:val="704F7853"/>
    <w:rsid w:val="705A3110"/>
    <w:rsid w:val="707158DE"/>
    <w:rsid w:val="709020A1"/>
    <w:rsid w:val="70981F36"/>
    <w:rsid w:val="70AE29D6"/>
    <w:rsid w:val="70B37DF9"/>
    <w:rsid w:val="70C034B7"/>
    <w:rsid w:val="70E12580"/>
    <w:rsid w:val="70F635CA"/>
    <w:rsid w:val="70F707D2"/>
    <w:rsid w:val="70FA5208"/>
    <w:rsid w:val="70FF260A"/>
    <w:rsid w:val="711128FF"/>
    <w:rsid w:val="711B223D"/>
    <w:rsid w:val="711E0555"/>
    <w:rsid w:val="712534A9"/>
    <w:rsid w:val="712D436E"/>
    <w:rsid w:val="71440E2B"/>
    <w:rsid w:val="714C1C7B"/>
    <w:rsid w:val="716360A0"/>
    <w:rsid w:val="71666764"/>
    <w:rsid w:val="71970711"/>
    <w:rsid w:val="719D6415"/>
    <w:rsid w:val="71BF1DD8"/>
    <w:rsid w:val="71C32FE3"/>
    <w:rsid w:val="71CC6DEE"/>
    <w:rsid w:val="71D13952"/>
    <w:rsid w:val="71D243FC"/>
    <w:rsid w:val="71D31746"/>
    <w:rsid w:val="71F15DA2"/>
    <w:rsid w:val="71FA409A"/>
    <w:rsid w:val="72042799"/>
    <w:rsid w:val="72090550"/>
    <w:rsid w:val="720F14B0"/>
    <w:rsid w:val="72181581"/>
    <w:rsid w:val="7227188E"/>
    <w:rsid w:val="72281C8F"/>
    <w:rsid w:val="72303BBA"/>
    <w:rsid w:val="723A1C27"/>
    <w:rsid w:val="725C2B75"/>
    <w:rsid w:val="726E7D0B"/>
    <w:rsid w:val="727A2838"/>
    <w:rsid w:val="727A5D97"/>
    <w:rsid w:val="728D30CD"/>
    <w:rsid w:val="72960CFA"/>
    <w:rsid w:val="729B5D0E"/>
    <w:rsid w:val="72A455C9"/>
    <w:rsid w:val="72A76461"/>
    <w:rsid w:val="72AD517D"/>
    <w:rsid w:val="72B32263"/>
    <w:rsid w:val="72BB015E"/>
    <w:rsid w:val="72DA6836"/>
    <w:rsid w:val="72F571CC"/>
    <w:rsid w:val="730F7812"/>
    <w:rsid w:val="7314447D"/>
    <w:rsid w:val="732C5ED6"/>
    <w:rsid w:val="733977C9"/>
    <w:rsid w:val="734640B2"/>
    <w:rsid w:val="7347064A"/>
    <w:rsid w:val="734E1CB7"/>
    <w:rsid w:val="735A7ADA"/>
    <w:rsid w:val="735E5447"/>
    <w:rsid w:val="738A4C4B"/>
    <w:rsid w:val="738F2EDB"/>
    <w:rsid w:val="738F699B"/>
    <w:rsid w:val="73975E8B"/>
    <w:rsid w:val="73A03599"/>
    <w:rsid w:val="73BD5FCC"/>
    <w:rsid w:val="73C05A2C"/>
    <w:rsid w:val="73C763C4"/>
    <w:rsid w:val="73E05899"/>
    <w:rsid w:val="73ED0973"/>
    <w:rsid w:val="74041A81"/>
    <w:rsid w:val="740A0EBD"/>
    <w:rsid w:val="741457CD"/>
    <w:rsid w:val="742424FF"/>
    <w:rsid w:val="74282515"/>
    <w:rsid w:val="743524BF"/>
    <w:rsid w:val="74424C40"/>
    <w:rsid w:val="74496B53"/>
    <w:rsid w:val="745E73A9"/>
    <w:rsid w:val="74634609"/>
    <w:rsid w:val="746F2434"/>
    <w:rsid w:val="747B166F"/>
    <w:rsid w:val="74A11F8C"/>
    <w:rsid w:val="74A271EF"/>
    <w:rsid w:val="74C33904"/>
    <w:rsid w:val="74E2629B"/>
    <w:rsid w:val="74F4480B"/>
    <w:rsid w:val="75000F61"/>
    <w:rsid w:val="75034AD2"/>
    <w:rsid w:val="75195D3E"/>
    <w:rsid w:val="751B2458"/>
    <w:rsid w:val="752B30BF"/>
    <w:rsid w:val="75432501"/>
    <w:rsid w:val="75454A01"/>
    <w:rsid w:val="75491A51"/>
    <w:rsid w:val="754D42E6"/>
    <w:rsid w:val="757F7F54"/>
    <w:rsid w:val="758130F2"/>
    <w:rsid w:val="7596500B"/>
    <w:rsid w:val="759727BC"/>
    <w:rsid w:val="75B24523"/>
    <w:rsid w:val="76006E7A"/>
    <w:rsid w:val="76200A04"/>
    <w:rsid w:val="7626170A"/>
    <w:rsid w:val="764C3157"/>
    <w:rsid w:val="765400EB"/>
    <w:rsid w:val="76592C2E"/>
    <w:rsid w:val="76662AF9"/>
    <w:rsid w:val="7667576B"/>
    <w:rsid w:val="76716AFB"/>
    <w:rsid w:val="769F7133"/>
    <w:rsid w:val="76A719FE"/>
    <w:rsid w:val="76B809EB"/>
    <w:rsid w:val="76C07AF1"/>
    <w:rsid w:val="76D04B8D"/>
    <w:rsid w:val="76E86393"/>
    <w:rsid w:val="76EC328B"/>
    <w:rsid w:val="770245AD"/>
    <w:rsid w:val="77036918"/>
    <w:rsid w:val="770C71DA"/>
    <w:rsid w:val="77112A42"/>
    <w:rsid w:val="77486480"/>
    <w:rsid w:val="77530E9E"/>
    <w:rsid w:val="775C2F06"/>
    <w:rsid w:val="77752FD1"/>
    <w:rsid w:val="777C525C"/>
    <w:rsid w:val="777E685F"/>
    <w:rsid w:val="779D1DD6"/>
    <w:rsid w:val="77CE088D"/>
    <w:rsid w:val="77EB14F6"/>
    <w:rsid w:val="78030C0D"/>
    <w:rsid w:val="78186DD1"/>
    <w:rsid w:val="782C4A2E"/>
    <w:rsid w:val="782E4559"/>
    <w:rsid w:val="78595EBE"/>
    <w:rsid w:val="786A0221"/>
    <w:rsid w:val="787D04A1"/>
    <w:rsid w:val="788B290E"/>
    <w:rsid w:val="78A376CA"/>
    <w:rsid w:val="78A858B1"/>
    <w:rsid w:val="78AB0CE6"/>
    <w:rsid w:val="78AD2E6C"/>
    <w:rsid w:val="78BF6AF9"/>
    <w:rsid w:val="78C665CC"/>
    <w:rsid w:val="78D64D43"/>
    <w:rsid w:val="78F24AF8"/>
    <w:rsid w:val="79085003"/>
    <w:rsid w:val="795F37FC"/>
    <w:rsid w:val="79633332"/>
    <w:rsid w:val="79836F11"/>
    <w:rsid w:val="799A4031"/>
    <w:rsid w:val="79AA6B72"/>
    <w:rsid w:val="79B25E17"/>
    <w:rsid w:val="79BC186F"/>
    <w:rsid w:val="79C1769F"/>
    <w:rsid w:val="79DE12CA"/>
    <w:rsid w:val="79EC3BED"/>
    <w:rsid w:val="7A017B76"/>
    <w:rsid w:val="7A102B3D"/>
    <w:rsid w:val="7A1A4532"/>
    <w:rsid w:val="7A1C14E2"/>
    <w:rsid w:val="7A226B24"/>
    <w:rsid w:val="7A2A4F46"/>
    <w:rsid w:val="7A776449"/>
    <w:rsid w:val="7A7C2A04"/>
    <w:rsid w:val="7A977085"/>
    <w:rsid w:val="7AA03EC1"/>
    <w:rsid w:val="7ABB51EE"/>
    <w:rsid w:val="7AC2753C"/>
    <w:rsid w:val="7AD14631"/>
    <w:rsid w:val="7AD22D7E"/>
    <w:rsid w:val="7ADC200E"/>
    <w:rsid w:val="7AE75A69"/>
    <w:rsid w:val="7AEF4A86"/>
    <w:rsid w:val="7AF8387E"/>
    <w:rsid w:val="7B034EB4"/>
    <w:rsid w:val="7B1B63ED"/>
    <w:rsid w:val="7B205786"/>
    <w:rsid w:val="7B236FEB"/>
    <w:rsid w:val="7B2E73E6"/>
    <w:rsid w:val="7B474E41"/>
    <w:rsid w:val="7B4D4519"/>
    <w:rsid w:val="7B595013"/>
    <w:rsid w:val="7B773ED4"/>
    <w:rsid w:val="7B9B28DB"/>
    <w:rsid w:val="7B9F13CE"/>
    <w:rsid w:val="7BC212BE"/>
    <w:rsid w:val="7BC2464B"/>
    <w:rsid w:val="7BC360EC"/>
    <w:rsid w:val="7BCD518A"/>
    <w:rsid w:val="7BD140FF"/>
    <w:rsid w:val="7BEC79D6"/>
    <w:rsid w:val="7BED5D99"/>
    <w:rsid w:val="7BFE7405"/>
    <w:rsid w:val="7C0A6842"/>
    <w:rsid w:val="7C1276CB"/>
    <w:rsid w:val="7C14204D"/>
    <w:rsid w:val="7C24093C"/>
    <w:rsid w:val="7C3A0345"/>
    <w:rsid w:val="7C3E5F8B"/>
    <w:rsid w:val="7C604B68"/>
    <w:rsid w:val="7C947A56"/>
    <w:rsid w:val="7CC0123F"/>
    <w:rsid w:val="7CD2674A"/>
    <w:rsid w:val="7CD507DD"/>
    <w:rsid w:val="7CD73DE6"/>
    <w:rsid w:val="7CE30308"/>
    <w:rsid w:val="7CE961B2"/>
    <w:rsid w:val="7CEF7035"/>
    <w:rsid w:val="7D145A4A"/>
    <w:rsid w:val="7D2449FF"/>
    <w:rsid w:val="7D4E22FA"/>
    <w:rsid w:val="7D4F7F2F"/>
    <w:rsid w:val="7D6A7039"/>
    <w:rsid w:val="7D7E6CD0"/>
    <w:rsid w:val="7D8D0662"/>
    <w:rsid w:val="7D924B98"/>
    <w:rsid w:val="7D9A51EF"/>
    <w:rsid w:val="7DAE153E"/>
    <w:rsid w:val="7DAE3297"/>
    <w:rsid w:val="7DBC4E1E"/>
    <w:rsid w:val="7DC7260C"/>
    <w:rsid w:val="7DDA769F"/>
    <w:rsid w:val="7DF74740"/>
    <w:rsid w:val="7E180CF6"/>
    <w:rsid w:val="7E1A52F9"/>
    <w:rsid w:val="7E2D7890"/>
    <w:rsid w:val="7E327009"/>
    <w:rsid w:val="7E4B5CE5"/>
    <w:rsid w:val="7E4E5F3E"/>
    <w:rsid w:val="7E517D14"/>
    <w:rsid w:val="7E5232ED"/>
    <w:rsid w:val="7E533FE2"/>
    <w:rsid w:val="7E5B33F6"/>
    <w:rsid w:val="7E5E4726"/>
    <w:rsid w:val="7E795155"/>
    <w:rsid w:val="7E7E1C81"/>
    <w:rsid w:val="7E8A5B44"/>
    <w:rsid w:val="7EA557DA"/>
    <w:rsid w:val="7EBB4162"/>
    <w:rsid w:val="7EBF4B32"/>
    <w:rsid w:val="7ED1109C"/>
    <w:rsid w:val="7ED5013C"/>
    <w:rsid w:val="7EE3566C"/>
    <w:rsid w:val="7EE77F4A"/>
    <w:rsid w:val="7EF40C80"/>
    <w:rsid w:val="7F0437D0"/>
    <w:rsid w:val="7F2467F5"/>
    <w:rsid w:val="7F267E2A"/>
    <w:rsid w:val="7F4C4618"/>
    <w:rsid w:val="7F7E5A9E"/>
    <w:rsid w:val="7F7F692F"/>
    <w:rsid w:val="7F83718F"/>
    <w:rsid w:val="7F8600E6"/>
    <w:rsid w:val="7F90334A"/>
    <w:rsid w:val="7FC57E92"/>
    <w:rsid w:val="7FC93242"/>
    <w:rsid w:val="7FCD7330"/>
    <w:rsid w:val="7FE11934"/>
    <w:rsid w:val="7FE553A1"/>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99"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6"/>
    <w:autoRedefine/>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67"/>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68"/>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9"/>
    <w:autoRedefine/>
    <w:qFormat/>
    <w:uiPriority w:val="0"/>
    <w:pPr>
      <w:keepNext/>
      <w:keepLines/>
      <w:numPr>
        <w:ilvl w:val="4"/>
        <w:numId w:val="1"/>
      </w:numPr>
      <w:spacing w:before="280" w:after="290" w:line="376" w:lineRule="auto"/>
      <w:outlineLvl w:val="4"/>
    </w:pPr>
    <w:rPr>
      <w:b/>
      <w:sz w:val="28"/>
    </w:rPr>
  </w:style>
  <w:style w:type="paragraph" w:styleId="9">
    <w:name w:val="heading 6"/>
    <w:basedOn w:val="1"/>
    <w:next w:val="1"/>
    <w:link w:val="71"/>
    <w:autoRedefine/>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72"/>
    <w:autoRedefine/>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73"/>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74"/>
    <w:autoRedefine/>
    <w:qFormat/>
    <w:uiPriority w:val="0"/>
    <w:pPr>
      <w:keepNext/>
      <w:keepLines/>
      <w:numPr>
        <w:ilvl w:val="8"/>
        <w:numId w:val="1"/>
      </w:numPr>
      <w:spacing w:before="240" w:after="64" w:line="320" w:lineRule="auto"/>
      <w:outlineLvl w:val="8"/>
    </w:pPr>
    <w:rPr>
      <w:rFonts w:ascii="Arial" w:hAnsi="Arial" w:eastAsia="黑体"/>
    </w:rPr>
  </w:style>
  <w:style w:type="character" w:default="1" w:styleId="54">
    <w:name w:val="Default Paragraph Font"/>
    <w:autoRedefine/>
    <w:unhideWhenUsed/>
    <w:qFormat/>
    <w:uiPriority w:val="1"/>
  </w:style>
  <w:style w:type="table" w:default="1" w:styleId="52">
    <w:name w:val="Normal Table"/>
    <w:autoRedefine/>
    <w:semiHidden/>
    <w:unhideWhenUsed/>
    <w:qFormat/>
    <w:uiPriority w:val="99"/>
    <w:tblPr>
      <w:tblCellMar>
        <w:top w:w="0" w:type="dxa"/>
        <w:left w:w="108" w:type="dxa"/>
        <w:bottom w:w="0" w:type="dxa"/>
        <w:right w:w="108" w:type="dxa"/>
      </w:tblCellMar>
    </w:tblPr>
  </w:style>
  <w:style w:type="paragraph" w:styleId="2">
    <w:name w:val="macro"/>
    <w:link w:val="64"/>
    <w:autoRedefine/>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70"/>
    <w:autoRedefine/>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autoRedefine/>
    <w:qFormat/>
    <w:uiPriority w:val="39"/>
    <w:pPr>
      <w:ind w:left="1260"/>
      <w:jc w:val="left"/>
    </w:pPr>
    <w:rPr>
      <w:rFonts w:ascii="Calibri" w:hAnsi="Calibri"/>
      <w:sz w:val="18"/>
      <w:szCs w:val="18"/>
    </w:rPr>
  </w:style>
  <w:style w:type="paragraph" w:styleId="14">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link w:val="75"/>
    <w:autoRedefine/>
    <w:qFormat/>
    <w:uiPriority w:val="0"/>
    <w:pPr>
      <w:spacing w:before="152" w:after="160"/>
    </w:pPr>
    <w:rPr>
      <w:rFonts w:ascii="Arial" w:hAnsi="Arial" w:eastAsia="黑体"/>
      <w:sz w:val="20"/>
      <w:szCs w:val="20"/>
    </w:rPr>
  </w:style>
  <w:style w:type="paragraph" w:styleId="16">
    <w:name w:val="Document Map"/>
    <w:basedOn w:val="1"/>
    <w:link w:val="76"/>
    <w:autoRedefine/>
    <w:qFormat/>
    <w:uiPriority w:val="0"/>
    <w:pPr>
      <w:shd w:val="clear" w:color="auto" w:fill="000080"/>
    </w:pPr>
  </w:style>
  <w:style w:type="paragraph" w:styleId="17">
    <w:name w:val="annotation text"/>
    <w:basedOn w:val="1"/>
    <w:link w:val="77"/>
    <w:autoRedefine/>
    <w:unhideWhenUsed/>
    <w:qFormat/>
    <w:uiPriority w:val="99"/>
    <w:pPr>
      <w:jc w:val="left"/>
    </w:pPr>
  </w:style>
  <w:style w:type="paragraph" w:styleId="18">
    <w:name w:val="Body Text 3"/>
    <w:basedOn w:val="1"/>
    <w:link w:val="78"/>
    <w:autoRedefine/>
    <w:qFormat/>
    <w:uiPriority w:val="0"/>
    <w:pPr>
      <w:spacing w:line="500" w:lineRule="exact"/>
    </w:pPr>
    <w:rPr>
      <w:b/>
      <w:bCs/>
      <w:kern w:val="0"/>
      <w:sz w:val="24"/>
    </w:rPr>
  </w:style>
  <w:style w:type="paragraph" w:styleId="19">
    <w:name w:val="Body Text"/>
    <w:basedOn w:val="1"/>
    <w:next w:val="20"/>
    <w:link w:val="79"/>
    <w:autoRedefine/>
    <w:qFormat/>
    <w:uiPriority w:val="0"/>
    <w:pPr>
      <w:spacing w:line="420" w:lineRule="exact"/>
    </w:pPr>
    <w:rPr>
      <w:sz w:val="24"/>
    </w:rPr>
  </w:style>
  <w:style w:type="paragraph" w:customStyle="1" w:styleId="20">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21">
    <w:name w:val="Body Text Indent"/>
    <w:basedOn w:val="1"/>
    <w:next w:val="22"/>
    <w:link w:val="80"/>
    <w:autoRedefine/>
    <w:qFormat/>
    <w:uiPriority w:val="0"/>
    <w:pPr>
      <w:spacing w:after="120"/>
      <w:ind w:left="420" w:leftChars="200"/>
    </w:pPr>
  </w:style>
  <w:style w:type="paragraph" w:customStyle="1" w:styleId="22">
    <w:name w:val="Default"/>
    <w:basedOn w:val="23"/>
    <w:next w:val="1"/>
    <w:autoRedefine/>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styleId="23">
    <w:name w:val="Title"/>
    <w:basedOn w:val="1"/>
    <w:next w:val="1"/>
    <w:link w:val="90"/>
    <w:autoRedefine/>
    <w:qFormat/>
    <w:uiPriority w:val="0"/>
    <w:pPr>
      <w:jc w:val="center"/>
    </w:pPr>
    <w:rPr>
      <w:rFonts w:ascii="宋体"/>
      <w:b/>
      <w:snapToGrid w:val="0"/>
      <w:kern w:val="0"/>
      <w:sz w:val="36"/>
      <w:szCs w:val="20"/>
    </w:rPr>
  </w:style>
  <w:style w:type="paragraph" w:styleId="24">
    <w:name w:val="List Number 3"/>
    <w:basedOn w:val="1"/>
    <w:autoRedefine/>
    <w:qFormat/>
    <w:uiPriority w:val="0"/>
    <w:pPr>
      <w:tabs>
        <w:tab w:val="left" w:pos="1200"/>
      </w:tabs>
      <w:ind w:left="900" w:hanging="420"/>
    </w:pPr>
  </w:style>
  <w:style w:type="paragraph" w:styleId="25">
    <w:name w:val="List 2"/>
    <w:basedOn w:val="1"/>
    <w:autoRedefine/>
    <w:qFormat/>
    <w:uiPriority w:val="0"/>
    <w:pPr>
      <w:ind w:left="100" w:leftChars="200" w:hanging="200" w:hangingChars="200"/>
    </w:pPr>
    <w:rPr>
      <w:sz w:val="28"/>
    </w:rPr>
  </w:style>
  <w:style w:type="paragraph" w:styleId="26">
    <w:name w:val="Block Text"/>
    <w:basedOn w:val="1"/>
    <w:autoRedefine/>
    <w:qFormat/>
    <w:uiPriority w:val="0"/>
    <w:pPr>
      <w:adjustRightInd w:val="0"/>
      <w:ind w:left="420" w:right="33"/>
      <w:jc w:val="left"/>
      <w:textAlignment w:val="baseline"/>
    </w:pPr>
    <w:rPr>
      <w:kern w:val="0"/>
      <w:sz w:val="24"/>
      <w:szCs w:val="20"/>
    </w:rPr>
  </w:style>
  <w:style w:type="paragraph" w:styleId="27">
    <w:name w:val="toc 5"/>
    <w:basedOn w:val="1"/>
    <w:next w:val="1"/>
    <w:autoRedefine/>
    <w:qFormat/>
    <w:uiPriority w:val="39"/>
    <w:pPr>
      <w:ind w:left="840"/>
      <w:jc w:val="left"/>
    </w:pPr>
    <w:rPr>
      <w:rFonts w:ascii="Calibri" w:hAnsi="Calibri"/>
      <w:sz w:val="18"/>
      <w:szCs w:val="18"/>
    </w:rPr>
  </w:style>
  <w:style w:type="paragraph" w:styleId="28">
    <w:name w:val="toc 3"/>
    <w:basedOn w:val="1"/>
    <w:next w:val="1"/>
    <w:autoRedefine/>
    <w:qFormat/>
    <w:uiPriority w:val="39"/>
    <w:pPr>
      <w:ind w:left="420"/>
      <w:jc w:val="left"/>
    </w:pPr>
    <w:rPr>
      <w:rFonts w:ascii="Calibri" w:hAnsi="Calibri"/>
      <w:i/>
      <w:iCs/>
      <w:sz w:val="20"/>
      <w:szCs w:val="20"/>
    </w:rPr>
  </w:style>
  <w:style w:type="paragraph" w:styleId="29">
    <w:name w:val="Plain Text"/>
    <w:basedOn w:val="1"/>
    <w:next w:val="30"/>
    <w:link w:val="81"/>
    <w:autoRedefine/>
    <w:qFormat/>
    <w:uiPriority w:val="0"/>
    <w:rPr>
      <w:rFonts w:ascii="宋体" w:hAnsi="Courier New" w:cs="Courier New"/>
      <w:szCs w:val="21"/>
    </w:rPr>
  </w:style>
  <w:style w:type="paragraph" w:styleId="30">
    <w:name w:val="Date"/>
    <w:basedOn w:val="1"/>
    <w:next w:val="1"/>
    <w:link w:val="82"/>
    <w:autoRedefine/>
    <w:qFormat/>
    <w:uiPriority w:val="0"/>
    <w:pPr>
      <w:ind w:left="100" w:leftChars="2500"/>
    </w:pPr>
    <w:rPr>
      <w:sz w:val="24"/>
    </w:rPr>
  </w:style>
  <w:style w:type="paragraph" w:styleId="31">
    <w:name w:val="toc 8"/>
    <w:basedOn w:val="1"/>
    <w:next w:val="1"/>
    <w:autoRedefine/>
    <w:qFormat/>
    <w:uiPriority w:val="39"/>
    <w:pPr>
      <w:ind w:left="1470"/>
      <w:jc w:val="left"/>
    </w:pPr>
    <w:rPr>
      <w:rFonts w:ascii="Calibri" w:hAnsi="Calibri"/>
      <w:sz w:val="18"/>
      <w:szCs w:val="18"/>
    </w:rPr>
  </w:style>
  <w:style w:type="paragraph" w:styleId="32">
    <w:name w:val="Body Text Indent 2"/>
    <w:basedOn w:val="1"/>
    <w:link w:val="83"/>
    <w:autoRedefine/>
    <w:qFormat/>
    <w:uiPriority w:val="0"/>
    <w:pPr>
      <w:spacing w:after="120" w:line="480" w:lineRule="auto"/>
      <w:ind w:left="420" w:leftChars="200"/>
    </w:pPr>
  </w:style>
  <w:style w:type="paragraph" w:styleId="33">
    <w:name w:val="Balloon Text"/>
    <w:basedOn w:val="1"/>
    <w:link w:val="84"/>
    <w:autoRedefine/>
    <w:qFormat/>
    <w:uiPriority w:val="0"/>
    <w:rPr>
      <w:sz w:val="18"/>
      <w:szCs w:val="18"/>
    </w:rPr>
  </w:style>
  <w:style w:type="paragraph" w:styleId="34">
    <w:name w:val="footer"/>
    <w:basedOn w:val="1"/>
    <w:link w:val="85"/>
    <w:autoRedefine/>
    <w:qFormat/>
    <w:uiPriority w:val="99"/>
    <w:pPr>
      <w:tabs>
        <w:tab w:val="center" w:pos="4153"/>
        <w:tab w:val="right" w:pos="8306"/>
      </w:tabs>
      <w:snapToGrid w:val="0"/>
      <w:jc w:val="left"/>
    </w:pPr>
    <w:rPr>
      <w:sz w:val="18"/>
      <w:szCs w:val="18"/>
    </w:rPr>
  </w:style>
  <w:style w:type="paragraph" w:styleId="35">
    <w:name w:val="header"/>
    <w:basedOn w:val="1"/>
    <w:link w:val="86"/>
    <w:autoRedefine/>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autoRedefine/>
    <w:qFormat/>
    <w:uiPriority w:val="39"/>
    <w:pPr>
      <w:spacing w:before="120" w:after="120"/>
      <w:jc w:val="left"/>
    </w:pPr>
    <w:rPr>
      <w:rFonts w:ascii="Calibri" w:hAnsi="Calibri"/>
      <w:b/>
      <w:bCs/>
      <w:caps/>
      <w:sz w:val="20"/>
      <w:szCs w:val="20"/>
    </w:rPr>
  </w:style>
  <w:style w:type="paragraph" w:styleId="37">
    <w:name w:val="toc 4"/>
    <w:basedOn w:val="1"/>
    <w:next w:val="1"/>
    <w:autoRedefine/>
    <w:qFormat/>
    <w:uiPriority w:val="39"/>
    <w:pPr>
      <w:ind w:left="630"/>
      <w:jc w:val="left"/>
    </w:pPr>
    <w:rPr>
      <w:rFonts w:ascii="Calibri" w:hAnsi="Calibri"/>
      <w:sz w:val="18"/>
      <w:szCs w:val="18"/>
    </w:rPr>
  </w:style>
  <w:style w:type="paragraph" w:styleId="38">
    <w:name w:val="List"/>
    <w:basedOn w:val="1"/>
    <w:autoRedefine/>
    <w:qFormat/>
    <w:uiPriority w:val="0"/>
    <w:pPr>
      <w:ind w:left="200" w:hanging="200" w:hangingChars="200"/>
    </w:pPr>
    <w:rPr>
      <w:sz w:val="28"/>
    </w:rPr>
  </w:style>
  <w:style w:type="paragraph" w:styleId="39">
    <w:name w:val="toc 6"/>
    <w:basedOn w:val="1"/>
    <w:next w:val="1"/>
    <w:autoRedefine/>
    <w:qFormat/>
    <w:uiPriority w:val="39"/>
    <w:pPr>
      <w:ind w:left="1050"/>
      <w:jc w:val="left"/>
    </w:pPr>
    <w:rPr>
      <w:rFonts w:ascii="Calibri" w:hAnsi="Calibri"/>
      <w:sz w:val="18"/>
      <w:szCs w:val="18"/>
    </w:rPr>
  </w:style>
  <w:style w:type="paragraph" w:styleId="40">
    <w:name w:val="List 5"/>
    <w:basedOn w:val="1"/>
    <w:autoRedefine/>
    <w:qFormat/>
    <w:uiPriority w:val="0"/>
    <w:pPr>
      <w:ind w:left="2100" w:hanging="420"/>
    </w:pPr>
    <w:rPr>
      <w:szCs w:val="20"/>
    </w:rPr>
  </w:style>
  <w:style w:type="paragraph" w:styleId="41">
    <w:name w:val="Body Text Indent 3"/>
    <w:basedOn w:val="1"/>
    <w:link w:val="87"/>
    <w:autoRedefine/>
    <w:qFormat/>
    <w:uiPriority w:val="0"/>
    <w:pPr>
      <w:spacing w:after="120"/>
      <w:ind w:left="420" w:leftChars="200"/>
    </w:pPr>
    <w:rPr>
      <w:sz w:val="16"/>
      <w:szCs w:val="16"/>
    </w:rPr>
  </w:style>
  <w:style w:type="paragraph" w:styleId="42">
    <w:name w:val="toc 2"/>
    <w:basedOn w:val="1"/>
    <w:next w:val="1"/>
    <w:autoRedefine/>
    <w:qFormat/>
    <w:uiPriority w:val="39"/>
    <w:pPr>
      <w:ind w:left="210"/>
      <w:jc w:val="left"/>
    </w:pPr>
    <w:rPr>
      <w:rFonts w:ascii="Calibri" w:hAnsi="Calibri"/>
      <w:smallCaps/>
      <w:sz w:val="20"/>
      <w:szCs w:val="20"/>
    </w:rPr>
  </w:style>
  <w:style w:type="paragraph" w:styleId="43">
    <w:name w:val="toc 9"/>
    <w:basedOn w:val="1"/>
    <w:next w:val="1"/>
    <w:autoRedefine/>
    <w:qFormat/>
    <w:uiPriority w:val="0"/>
    <w:pPr>
      <w:ind w:left="1680"/>
      <w:jc w:val="left"/>
    </w:pPr>
    <w:rPr>
      <w:rFonts w:ascii="Calibri" w:hAnsi="Calibri"/>
      <w:sz w:val="18"/>
      <w:szCs w:val="18"/>
    </w:rPr>
  </w:style>
  <w:style w:type="paragraph" w:styleId="44">
    <w:name w:val="Body Text 2"/>
    <w:basedOn w:val="1"/>
    <w:link w:val="88"/>
    <w:autoRedefine/>
    <w:qFormat/>
    <w:uiPriority w:val="0"/>
    <w:pPr>
      <w:spacing w:after="120" w:line="480" w:lineRule="auto"/>
    </w:pPr>
    <w:rPr>
      <w:kern w:val="0"/>
      <w:sz w:val="20"/>
    </w:rPr>
  </w:style>
  <w:style w:type="paragraph" w:styleId="45">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6">
    <w:name w:val="HTML Preformatted"/>
    <w:basedOn w:val="1"/>
    <w:link w:val="89"/>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7">
    <w:name w:val="Normal (Web)"/>
    <w:basedOn w:val="1"/>
    <w:autoRedefine/>
    <w:qFormat/>
    <w:uiPriority w:val="0"/>
    <w:pPr>
      <w:widowControl/>
      <w:spacing w:before="100" w:beforeAutospacing="1" w:after="100" w:afterAutospacing="1"/>
      <w:jc w:val="left"/>
    </w:pPr>
    <w:rPr>
      <w:rFonts w:hint="eastAsia" w:ascii="宋体" w:hAnsi="宋体"/>
      <w:kern w:val="0"/>
      <w:sz w:val="24"/>
      <w:szCs w:val="20"/>
    </w:rPr>
  </w:style>
  <w:style w:type="paragraph" w:styleId="48">
    <w:name w:val="index 1"/>
    <w:basedOn w:val="1"/>
    <w:next w:val="1"/>
    <w:autoRedefine/>
    <w:qFormat/>
    <w:uiPriority w:val="0"/>
    <w:pPr>
      <w:spacing w:line="360" w:lineRule="auto"/>
    </w:pPr>
    <w:rPr>
      <w:rFonts w:ascii="宋体" w:hAnsi="宋体"/>
      <w:bCs/>
      <w:szCs w:val="21"/>
    </w:rPr>
  </w:style>
  <w:style w:type="paragraph" w:styleId="49">
    <w:name w:val="annotation subject"/>
    <w:basedOn w:val="17"/>
    <w:next w:val="17"/>
    <w:link w:val="91"/>
    <w:autoRedefine/>
    <w:unhideWhenUsed/>
    <w:qFormat/>
    <w:uiPriority w:val="0"/>
    <w:rPr>
      <w:b/>
      <w:bCs/>
    </w:rPr>
  </w:style>
  <w:style w:type="paragraph" w:styleId="50">
    <w:name w:val="Body Text First Indent"/>
    <w:basedOn w:val="19"/>
    <w:autoRedefine/>
    <w:qFormat/>
    <w:uiPriority w:val="99"/>
    <w:pPr>
      <w:ind w:firstLine="420" w:firstLineChars="100"/>
    </w:pPr>
  </w:style>
  <w:style w:type="paragraph" w:styleId="51">
    <w:name w:val="Body Text First Indent 2"/>
    <w:basedOn w:val="21"/>
    <w:next w:val="26"/>
    <w:link w:val="263"/>
    <w:autoRedefine/>
    <w:qFormat/>
    <w:uiPriority w:val="0"/>
    <w:pPr>
      <w:ind w:firstLine="420" w:firstLineChars="200"/>
    </w:pPr>
  </w:style>
  <w:style w:type="table" w:styleId="53">
    <w:name w:val="Table Grid"/>
    <w:basedOn w:val="5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5">
    <w:name w:val="Strong"/>
    <w:autoRedefine/>
    <w:qFormat/>
    <w:uiPriority w:val="0"/>
    <w:rPr>
      <w:b/>
      <w:bCs/>
    </w:rPr>
  </w:style>
  <w:style w:type="character" w:styleId="56">
    <w:name w:val="page number"/>
    <w:basedOn w:val="54"/>
    <w:autoRedefine/>
    <w:qFormat/>
    <w:uiPriority w:val="0"/>
  </w:style>
  <w:style w:type="character" w:styleId="57">
    <w:name w:val="FollowedHyperlink"/>
    <w:autoRedefine/>
    <w:qFormat/>
    <w:uiPriority w:val="99"/>
    <w:rPr>
      <w:color w:val="333333"/>
      <w:u w:val="none"/>
    </w:rPr>
  </w:style>
  <w:style w:type="character" w:styleId="58">
    <w:name w:val="Emphasis"/>
    <w:autoRedefine/>
    <w:qFormat/>
    <w:uiPriority w:val="0"/>
    <w:rPr>
      <w:color w:val="CC0000"/>
    </w:rPr>
  </w:style>
  <w:style w:type="character" w:styleId="59">
    <w:name w:val="Hyperlink"/>
    <w:autoRedefine/>
    <w:qFormat/>
    <w:uiPriority w:val="99"/>
    <w:rPr>
      <w:color w:val="333333"/>
      <w:u w:val="none"/>
    </w:rPr>
  </w:style>
  <w:style w:type="character" w:styleId="60">
    <w:name w:val="HTML Code"/>
    <w:autoRedefine/>
    <w:qFormat/>
    <w:uiPriority w:val="0"/>
    <w:rPr>
      <w:rFonts w:ascii="Lucida Console" w:hAnsi="Lucida Console" w:eastAsia="Lucida Console" w:cs="Lucida Console"/>
      <w:sz w:val="20"/>
    </w:rPr>
  </w:style>
  <w:style w:type="character" w:styleId="61">
    <w:name w:val="annotation reference"/>
    <w:autoRedefine/>
    <w:unhideWhenUsed/>
    <w:qFormat/>
    <w:uiPriority w:val="99"/>
    <w:rPr>
      <w:sz w:val="21"/>
      <w:szCs w:val="21"/>
    </w:rPr>
  </w:style>
  <w:style w:type="character" w:styleId="62">
    <w:name w:val="HTML Sample"/>
    <w:autoRedefine/>
    <w:qFormat/>
    <w:uiPriority w:val="0"/>
    <w:rPr>
      <w:rFonts w:ascii="Courier New" w:hAnsi="Courier New"/>
    </w:rPr>
  </w:style>
  <w:style w:type="paragraph" w:customStyle="1" w:styleId="63">
    <w:name w:val="表格文字"/>
    <w:basedOn w:val="1"/>
    <w:autoRedefine/>
    <w:qFormat/>
    <w:uiPriority w:val="99"/>
    <w:pPr>
      <w:spacing w:before="25" w:after="25"/>
      <w:jc w:val="left"/>
    </w:pPr>
    <w:rPr>
      <w:bCs/>
      <w:spacing w:val="10"/>
      <w:kern w:val="0"/>
      <w:sz w:val="24"/>
    </w:rPr>
  </w:style>
  <w:style w:type="character" w:customStyle="1" w:styleId="64">
    <w:name w:val="宏文本 Char"/>
    <w:link w:val="2"/>
    <w:autoRedefine/>
    <w:qFormat/>
    <w:uiPriority w:val="99"/>
    <w:rPr>
      <w:rFonts w:ascii="Courier New" w:hAnsi="Courier New"/>
      <w:kern w:val="2"/>
      <w:sz w:val="24"/>
      <w:szCs w:val="24"/>
      <w:lang w:val="en-US" w:eastAsia="zh-CN" w:bidi="ar-SA"/>
    </w:rPr>
  </w:style>
  <w:style w:type="character" w:customStyle="1" w:styleId="65">
    <w:name w:val="标题 1 Char1"/>
    <w:link w:val="3"/>
    <w:autoRedefine/>
    <w:qFormat/>
    <w:uiPriority w:val="0"/>
    <w:rPr>
      <w:b/>
      <w:bCs/>
      <w:kern w:val="44"/>
      <w:sz w:val="44"/>
      <w:szCs w:val="44"/>
    </w:rPr>
  </w:style>
  <w:style w:type="character" w:customStyle="1" w:styleId="66">
    <w:name w:val="标题 2 Char"/>
    <w:link w:val="4"/>
    <w:autoRedefine/>
    <w:qFormat/>
    <w:uiPriority w:val="0"/>
    <w:rPr>
      <w:rFonts w:eastAsia="隶书"/>
      <w:b/>
      <w:sz w:val="44"/>
    </w:rPr>
  </w:style>
  <w:style w:type="character" w:customStyle="1" w:styleId="67">
    <w:name w:val="标题 3 Char"/>
    <w:link w:val="5"/>
    <w:autoRedefine/>
    <w:qFormat/>
    <w:uiPriority w:val="0"/>
    <w:rPr>
      <w:b/>
      <w:bCs/>
      <w:kern w:val="2"/>
      <w:sz w:val="32"/>
      <w:szCs w:val="32"/>
    </w:rPr>
  </w:style>
  <w:style w:type="character" w:customStyle="1" w:styleId="68">
    <w:name w:val="标题 4 Char"/>
    <w:link w:val="6"/>
    <w:autoRedefine/>
    <w:qFormat/>
    <w:uiPriority w:val="0"/>
    <w:rPr>
      <w:rFonts w:ascii="Arial" w:hAnsi="Arial" w:eastAsia="黑体"/>
      <w:b/>
      <w:bCs/>
      <w:kern w:val="2"/>
      <w:sz w:val="28"/>
      <w:szCs w:val="28"/>
    </w:rPr>
  </w:style>
  <w:style w:type="character" w:customStyle="1" w:styleId="69">
    <w:name w:val="标题 5 Char"/>
    <w:link w:val="7"/>
    <w:autoRedefine/>
    <w:qFormat/>
    <w:uiPriority w:val="0"/>
    <w:rPr>
      <w:b/>
      <w:kern w:val="2"/>
      <w:sz w:val="28"/>
      <w:szCs w:val="24"/>
    </w:rPr>
  </w:style>
  <w:style w:type="character" w:customStyle="1" w:styleId="70">
    <w:name w:val="正文缩进 Char"/>
    <w:link w:val="8"/>
    <w:autoRedefine/>
    <w:qFormat/>
    <w:uiPriority w:val="0"/>
    <w:rPr>
      <w:rFonts w:ascii="宋体"/>
      <w:snapToGrid w:val="0"/>
    </w:rPr>
  </w:style>
  <w:style w:type="character" w:customStyle="1" w:styleId="71">
    <w:name w:val="标题 6 Char"/>
    <w:link w:val="9"/>
    <w:autoRedefine/>
    <w:qFormat/>
    <w:uiPriority w:val="0"/>
    <w:rPr>
      <w:rFonts w:ascii="Arial" w:hAnsi="Arial" w:eastAsia="黑体"/>
      <w:b/>
      <w:kern w:val="2"/>
      <w:sz w:val="24"/>
      <w:szCs w:val="24"/>
    </w:rPr>
  </w:style>
  <w:style w:type="character" w:customStyle="1" w:styleId="72">
    <w:name w:val="标题 7 Char"/>
    <w:link w:val="10"/>
    <w:autoRedefine/>
    <w:qFormat/>
    <w:uiPriority w:val="0"/>
    <w:rPr>
      <w:b/>
      <w:kern w:val="2"/>
      <w:sz w:val="24"/>
      <w:szCs w:val="24"/>
    </w:rPr>
  </w:style>
  <w:style w:type="character" w:customStyle="1" w:styleId="73">
    <w:name w:val="标题 8 Char"/>
    <w:link w:val="11"/>
    <w:autoRedefine/>
    <w:qFormat/>
    <w:uiPriority w:val="0"/>
    <w:rPr>
      <w:rFonts w:ascii="Arial" w:hAnsi="Arial" w:eastAsia="黑体"/>
      <w:kern w:val="2"/>
      <w:sz w:val="24"/>
      <w:szCs w:val="24"/>
    </w:rPr>
  </w:style>
  <w:style w:type="character" w:customStyle="1" w:styleId="74">
    <w:name w:val="标题 9 Char"/>
    <w:link w:val="12"/>
    <w:autoRedefine/>
    <w:qFormat/>
    <w:uiPriority w:val="0"/>
    <w:rPr>
      <w:rFonts w:ascii="Arial" w:hAnsi="Arial" w:eastAsia="黑体"/>
      <w:kern w:val="2"/>
      <w:sz w:val="21"/>
      <w:szCs w:val="24"/>
    </w:rPr>
  </w:style>
  <w:style w:type="character" w:customStyle="1" w:styleId="75">
    <w:name w:val="题注 Char"/>
    <w:link w:val="15"/>
    <w:autoRedefine/>
    <w:qFormat/>
    <w:uiPriority w:val="0"/>
    <w:rPr>
      <w:rFonts w:ascii="Arial" w:hAnsi="Arial" w:eastAsia="黑体" w:cs="Arial"/>
      <w:kern w:val="2"/>
    </w:rPr>
  </w:style>
  <w:style w:type="character" w:customStyle="1" w:styleId="76">
    <w:name w:val="文档结构图 Char"/>
    <w:link w:val="16"/>
    <w:autoRedefine/>
    <w:qFormat/>
    <w:uiPriority w:val="0"/>
    <w:rPr>
      <w:kern w:val="2"/>
      <w:sz w:val="21"/>
      <w:szCs w:val="24"/>
      <w:shd w:val="clear" w:color="auto" w:fill="000080"/>
    </w:rPr>
  </w:style>
  <w:style w:type="character" w:customStyle="1" w:styleId="77">
    <w:name w:val="批注文字 Char"/>
    <w:link w:val="17"/>
    <w:autoRedefine/>
    <w:qFormat/>
    <w:uiPriority w:val="99"/>
    <w:rPr>
      <w:kern w:val="2"/>
      <w:sz w:val="21"/>
      <w:szCs w:val="24"/>
    </w:rPr>
  </w:style>
  <w:style w:type="character" w:customStyle="1" w:styleId="78">
    <w:name w:val="正文文本 3 Char"/>
    <w:link w:val="18"/>
    <w:autoRedefine/>
    <w:qFormat/>
    <w:uiPriority w:val="0"/>
    <w:rPr>
      <w:b/>
      <w:bCs/>
      <w:sz w:val="24"/>
      <w:szCs w:val="24"/>
    </w:rPr>
  </w:style>
  <w:style w:type="character" w:customStyle="1" w:styleId="79">
    <w:name w:val="正文文本 Char"/>
    <w:link w:val="19"/>
    <w:autoRedefine/>
    <w:qFormat/>
    <w:uiPriority w:val="0"/>
    <w:rPr>
      <w:kern w:val="2"/>
      <w:sz w:val="24"/>
      <w:szCs w:val="24"/>
    </w:rPr>
  </w:style>
  <w:style w:type="character" w:customStyle="1" w:styleId="80">
    <w:name w:val="正文文本缩进 Char"/>
    <w:link w:val="21"/>
    <w:autoRedefine/>
    <w:qFormat/>
    <w:uiPriority w:val="0"/>
    <w:rPr>
      <w:kern w:val="2"/>
      <w:sz w:val="21"/>
      <w:szCs w:val="24"/>
    </w:rPr>
  </w:style>
  <w:style w:type="character" w:customStyle="1" w:styleId="81">
    <w:name w:val="纯文本 Char4"/>
    <w:link w:val="29"/>
    <w:autoRedefine/>
    <w:qFormat/>
    <w:uiPriority w:val="0"/>
    <w:rPr>
      <w:rFonts w:ascii="宋体" w:hAnsi="Courier New" w:eastAsia="宋体" w:cs="Courier New"/>
      <w:kern w:val="2"/>
      <w:sz w:val="21"/>
      <w:szCs w:val="21"/>
      <w:lang w:val="en-US" w:eastAsia="zh-CN" w:bidi="ar-SA"/>
    </w:rPr>
  </w:style>
  <w:style w:type="character" w:customStyle="1" w:styleId="82">
    <w:name w:val="日期 Char"/>
    <w:link w:val="30"/>
    <w:autoRedefine/>
    <w:qFormat/>
    <w:uiPriority w:val="0"/>
    <w:rPr>
      <w:kern w:val="2"/>
      <w:sz w:val="24"/>
      <w:szCs w:val="24"/>
    </w:rPr>
  </w:style>
  <w:style w:type="character" w:customStyle="1" w:styleId="83">
    <w:name w:val="正文文本缩进 2 Char"/>
    <w:link w:val="32"/>
    <w:autoRedefine/>
    <w:qFormat/>
    <w:uiPriority w:val="0"/>
    <w:rPr>
      <w:kern w:val="2"/>
      <w:sz w:val="21"/>
      <w:szCs w:val="24"/>
    </w:rPr>
  </w:style>
  <w:style w:type="character" w:customStyle="1" w:styleId="84">
    <w:name w:val="批注框文本 Char"/>
    <w:link w:val="33"/>
    <w:autoRedefine/>
    <w:qFormat/>
    <w:uiPriority w:val="0"/>
    <w:rPr>
      <w:kern w:val="2"/>
      <w:sz w:val="18"/>
      <w:szCs w:val="18"/>
    </w:rPr>
  </w:style>
  <w:style w:type="character" w:customStyle="1" w:styleId="85">
    <w:name w:val="页脚 Char"/>
    <w:link w:val="34"/>
    <w:autoRedefine/>
    <w:qFormat/>
    <w:uiPriority w:val="99"/>
    <w:rPr>
      <w:kern w:val="2"/>
      <w:sz w:val="18"/>
      <w:szCs w:val="18"/>
    </w:rPr>
  </w:style>
  <w:style w:type="character" w:customStyle="1" w:styleId="86">
    <w:name w:val="页眉 Char"/>
    <w:link w:val="35"/>
    <w:autoRedefine/>
    <w:qFormat/>
    <w:uiPriority w:val="0"/>
    <w:rPr>
      <w:kern w:val="2"/>
      <w:sz w:val="18"/>
      <w:szCs w:val="18"/>
    </w:rPr>
  </w:style>
  <w:style w:type="character" w:customStyle="1" w:styleId="87">
    <w:name w:val="正文文本缩进 3 Char"/>
    <w:link w:val="41"/>
    <w:autoRedefine/>
    <w:qFormat/>
    <w:uiPriority w:val="0"/>
    <w:rPr>
      <w:kern w:val="2"/>
      <w:sz w:val="16"/>
      <w:szCs w:val="16"/>
    </w:rPr>
  </w:style>
  <w:style w:type="character" w:customStyle="1" w:styleId="88">
    <w:name w:val="正文文本 2 Char"/>
    <w:link w:val="44"/>
    <w:autoRedefine/>
    <w:qFormat/>
    <w:uiPriority w:val="0"/>
    <w:rPr>
      <w:szCs w:val="24"/>
    </w:rPr>
  </w:style>
  <w:style w:type="character" w:customStyle="1" w:styleId="89">
    <w:name w:val="HTML 预设格式 Char"/>
    <w:link w:val="46"/>
    <w:autoRedefine/>
    <w:qFormat/>
    <w:uiPriority w:val="99"/>
    <w:rPr>
      <w:rFonts w:ascii="宋体" w:hAnsi="宋体" w:cs="宋体"/>
      <w:sz w:val="24"/>
      <w:szCs w:val="24"/>
    </w:rPr>
  </w:style>
  <w:style w:type="character" w:customStyle="1" w:styleId="90">
    <w:name w:val="标题 Char"/>
    <w:link w:val="23"/>
    <w:autoRedefine/>
    <w:qFormat/>
    <w:uiPriority w:val="0"/>
    <w:rPr>
      <w:rFonts w:ascii="宋体"/>
      <w:b/>
      <w:snapToGrid w:val="0"/>
      <w:sz w:val="36"/>
    </w:rPr>
  </w:style>
  <w:style w:type="character" w:customStyle="1" w:styleId="91">
    <w:name w:val="批注主题 Char"/>
    <w:link w:val="49"/>
    <w:autoRedefine/>
    <w:qFormat/>
    <w:uiPriority w:val="0"/>
    <w:rPr>
      <w:b/>
      <w:bCs/>
      <w:kern w:val="2"/>
      <w:sz w:val="21"/>
      <w:szCs w:val="24"/>
    </w:rPr>
  </w:style>
  <w:style w:type="character" w:customStyle="1" w:styleId="92">
    <w:name w:val="样式1"/>
    <w:autoRedefine/>
    <w:qFormat/>
    <w:uiPriority w:val="0"/>
    <w:rPr>
      <w:rFonts w:ascii="宋体" w:hAnsi="宋体"/>
      <w:szCs w:val="21"/>
    </w:rPr>
  </w:style>
  <w:style w:type="character" w:customStyle="1" w:styleId="93">
    <w:name w:val="A15"/>
    <w:autoRedefine/>
    <w:qFormat/>
    <w:uiPriority w:val="0"/>
    <w:rPr>
      <w:rFonts w:ascii="Times New Roman" w:hAnsi="Times New Roman"/>
      <w:color w:val="000000"/>
      <w:sz w:val="14"/>
      <w:szCs w:val="14"/>
    </w:rPr>
  </w:style>
  <w:style w:type="character" w:customStyle="1" w:styleId="94">
    <w:name w:val="文档结构图 Char1"/>
    <w:autoRedefine/>
    <w:qFormat/>
    <w:uiPriority w:val="99"/>
    <w:rPr>
      <w:rFonts w:ascii="宋体"/>
      <w:kern w:val="2"/>
      <w:sz w:val="18"/>
      <w:szCs w:val="18"/>
    </w:rPr>
  </w:style>
  <w:style w:type="character" w:customStyle="1" w:styleId="95">
    <w:name w:val="无间隔 Char"/>
    <w:link w:val="96"/>
    <w:autoRedefine/>
    <w:qFormat/>
    <w:uiPriority w:val="1"/>
    <w:rPr>
      <w:rFonts w:ascii="宋体" w:hAnsi="Courier New"/>
      <w:kern w:val="2"/>
      <w:sz w:val="21"/>
      <w:lang w:val="en-US" w:eastAsia="zh-CN" w:bidi="ar-SA"/>
    </w:rPr>
  </w:style>
  <w:style w:type="paragraph" w:styleId="96">
    <w:name w:val="No Spacing"/>
    <w:link w:val="95"/>
    <w:autoRedefine/>
    <w:qFormat/>
    <w:uiPriority w:val="1"/>
    <w:pPr>
      <w:widowControl w:val="0"/>
      <w:jc w:val="both"/>
    </w:pPr>
    <w:rPr>
      <w:rFonts w:ascii="宋体" w:hAnsi="Courier New" w:eastAsia="宋体" w:cs="Times New Roman"/>
      <w:kern w:val="2"/>
      <w:sz w:val="21"/>
      <w:lang w:val="en-US" w:eastAsia="zh-CN" w:bidi="ar-SA"/>
    </w:rPr>
  </w:style>
  <w:style w:type="character" w:customStyle="1" w:styleId="97">
    <w:name w:val="lmain1"/>
    <w:autoRedefine/>
    <w:qFormat/>
    <w:uiPriority w:val="0"/>
    <w:rPr>
      <w:color w:val="407AAB"/>
      <w:sz w:val="30"/>
      <w:szCs w:val="30"/>
    </w:rPr>
  </w:style>
  <w:style w:type="character" w:customStyle="1" w:styleId="98">
    <w:name w:val="标题 1 Char"/>
    <w:autoRedefine/>
    <w:qFormat/>
    <w:uiPriority w:val="0"/>
    <w:rPr>
      <w:b/>
      <w:bCs/>
      <w:kern w:val="44"/>
      <w:sz w:val="44"/>
      <w:szCs w:val="44"/>
    </w:rPr>
  </w:style>
  <w:style w:type="character" w:customStyle="1" w:styleId="99">
    <w:name w:val="A4"/>
    <w:autoRedefine/>
    <w:qFormat/>
    <w:uiPriority w:val="0"/>
    <w:rPr>
      <w:rFonts w:ascii="新宋体" w:eastAsia="新宋体" w:cs="新宋体"/>
      <w:color w:val="000000"/>
      <w:lang w:bidi="ar-SA"/>
    </w:rPr>
  </w:style>
  <w:style w:type="character" w:customStyle="1" w:styleId="100">
    <w:name w:val="纯文本 Char"/>
    <w:autoRedefine/>
    <w:qFormat/>
    <w:uiPriority w:val="0"/>
    <w:rPr>
      <w:rFonts w:ascii="宋体" w:hAnsi="Courier New" w:eastAsia="宋体" w:cs="Courier New"/>
      <w:kern w:val="2"/>
      <w:sz w:val="21"/>
      <w:szCs w:val="21"/>
      <w:lang w:val="en-US" w:eastAsia="zh-CN" w:bidi="ar-SA"/>
    </w:rPr>
  </w:style>
  <w:style w:type="character" w:customStyle="1" w:styleId="101">
    <w:name w:val="style1"/>
    <w:basedOn w:val="54"/>
    <w:autoRedefine/>
    <w:qFormat/>
    <w:uiPriority w:val="0"/>
  </w:style>
  <w:style w:type="character" w:customStyle="1" w:styleId="102">
    <w:name w:val="mark"/>
    <w:basedOn w:val="54"/>
    <w:autoRedefine/>
    <w:qFormat/>
    <w:uiPriority w:val="0"/>
  </w:style>
  <w:style w:type="character" w:customStyle="1" w:styleId="103">
    <w:name w:val="正文文本 Char2"/>
    <w:autoRedefine/>
    <w:semiHidden/>
    <w:qFormat/>
    <w:uiPriority w:val="99"/>
    <w:rPr>
      <w:kern w:val="2"/>
      <w:sz w:val="21"/>
      <w:szCs w:val="24"/>
    </w:rPr>
  </w:style>
  <w:style w:type="character" w:customStyle="1" w:styleId="104">
    <w:name w:val="Plain Text Char"/>
    <w:autoRedefine/>
    <w:qFormat/>
    <w:locked/>
    <w:uiPriority w:val="0"/>
    <w:rPr>
      <w:rFonts w:ascii="宋体" w:hAnsi="Courier New" w:eastAsia="宋体"/>
    </w:rPr>
  </w:style>
  <w:style w:type="character" w:customStyle="1" w:styleId="105">
    <w:name w:val="Char Char1"/>
    <w:autoRedefine/>
    <w:qFormat/>
    <w:uiPriority w:val="0"/>
    <w:rPr>
      <w:rFonts w:eastAsia="宋体"/>
      <w:kern w:val="2"/>
      <w:sz w:val="21"/>
      <w:szCs w:val="24"/>
      <w:lang w:bidi="ar-SA"/>
    </w:rPr>
  </w:style>
  <w:style w:type="character" w:customStyle="1" w:styleId="106">
    <w:name w:val="1ji Char"/>
    <w:link w:val="107"/>
    <w:autoRedefine/>
    <w:qFormat/>
    <w:uiPriority w:val="0"/>
    <w:rPr>
      <w:rFonts w:ascii="宋体" w:hAnsi="宋体"/>
      <w:b/>
      <w:bCs/>
      <w:kern w:val="44"/>
      <w:sz w:val="36"/>
      <w:szCs w:val="44"/>
    </w:rPr>
  </w:style>
  <w:style w:type="paragraph" w:customStyle="1" w:styleId="107">
    <w:name w:val="1ji"/>
    <w:basedOn w:val="3"/>
    <w:link w:val="106"/>
    <w:autoRedefine/>
    <w:qFormat/>
    <w:uiPriority w:val="0"/>
    <w:pPr>
      <w:keepLines w:val="0"/>
      <w:widowControl/>
      <w:spacing w:before="0" w:after="0" w:line="240" w:lineRule="auto"/>
      <w:jc w:val="center"/>
    </w:pPr>
    <w:rPr>
      <w:rFonts w:ascii="宋体" w:hAnsi="宋体"/>
      <w:sz w:val="36"/>
    </w:rPr>
  </w:style>
  <w:style w:type="character" w:customStyle="1" w:styleId="108">
    <w:name w:val="z-窗体顶端 Char"/>
    <w:link w:val="109"/>
    <w:autoRedefine/>
    <w:qFormat/>
    <w:uiPriority w:val="0"/>
    <w:rPr>
      <w:rFonts w:ascii="Arial" w:hAnsi="Arial" w:cs="Arial"/>
      <w:vanish/>
      <w:sz w:val="16"/>
      <w:szCs w:val="16"/>
    </w:rPr>
  </w:style>
  <w:style w:type="paragraph" w:customStyle="1" w:styleId="109">
    <w:name w:val="_Style 102"/>
    <w:basedOn w:val="1"/>
    <w:next w:val="1"/>
    <w:link w:val="108"/>
    <w:autoRedefine/>
    <w:qFormat/>
    <w:uiPriority w:val="0"/>
    <w:pPr>
      <w:widowControl/>
      <w:pBdr>
        <w:bottom w:val="single" w:color="auto" w:sz="6" w:space="1"/>
      </w:pBdr>
      <w:jc w:val="center"/>
    </w:pPr>
    <w:rPr>
      <w:rFonts w:ascii="Arial" w:hAnsi="Arial"/>
      <w:vanish/>
      <w:kern w:val="0"/>
      <w:sz w:val="16"/>
      <w:szCs w:val="16"/>
    </w:rPr>
  </w:style>
  <w:style w:type="character" w:customStyle="1" w:styleId="110">
    <w:name w:val="apple-converted-space"/>
    <w:basedOn w:val="54"/>
    <w:autoRedefine/>
    <w:qFormat/>
    <w:uiPriority w:val="0"/>
  </w:style>
  <w:style w:type="character" w:customStyle="1" w:styleId="111">
    <w:name w:val="正文文本缩进 Char1"/>
    <w:autoRedefine/>
    <w:semiHidden/>
    <w:qFormat/>
    <w:uiPriority w:val="99"/>
    <w:rPr>
      <w:kern w:val="2"/>
      <w:sz w:val="21"/>
      <w:szCs w:val="24"/>
    </w:rPr>
  </w:style>
  <w:style w:type="character" w:customStyle="1" w:styleId="112">
    <w:name w:val="正文文本缩进 3 Char1"/>
    <w:autoRedefine/>
    <w:semiHidden/>
    <w:qFormat/>
    <w:uiPriority w:val="99"/>
    <w:rPr>
      <w:rFonts w:ascii="Times New Roman" w:hAnsi="Times New Roman" w:eastAsia="宋体" w:cs="Times New Roman"/>
      <w:sz w:val="16"/>
      <w:szCs w:val="16"/>
    </w:rPr>
  </w:style>
  <w:style w:type="character" w:customStyle="1" w:styleId="113">
    <w:name w:val="纯文本 Char3"/>
    <w:autoRedefine/>
    <w:qFormat/>
    <w:uiPriority w:val="0"/>
    <w:rPr>
      <w:rFonts w:ascii="宋体" w:hAnsi="Courier New" w:eastAsia="宋体" w:cs="Courier New"/>
      <w:szCs w:val="21"/>
    </w:rPr>
  </w:style>
  <w:style w:type="character" w:customStyle="1" w:styleId="114">
    <w:name w:val="ca-41"/>
    <w:autoRedefine/>
    <w:qFormat/>
    <w:uiPriority w:val="0"/>
    <w:rPr>
      <w:rFonts w:hint="eastAsia" w:ascii="宋体" w:hAnsi="宋体" w:eastAsia="宋体"/>
      <w:color w:val="FF0000"/>
      <w:sz w:val="21"/>
      <w:szCs w:val="21"/>
    </w:rPr>
  </w:style>
  <w:style w:type="character" w:customStyle="1" w:styleId="115">
    <w:name w:val="引用 Char"/>
    <w:link w:val="116"/>
    <w:autoRedefine/>
    <w:qFormat/>
    <w:uiPriority w:val="29"/>
    <w:rPr>
      <w:i/>
      <w:iCs/>
      <w:color w:val="404040"/>
      <w:kern w:val="2"/>
      <w:sz w:val="21"/>
      <w:szCs w:val="24"/>
    </w:rPr>
  </w:style>
  <w:style w:type="paragraph" w:styleId="116">
    <w:name w:val="Quote"/>
    <w:basedOn w:val="1"/>
    <w:next w:val="1"/>
    <w:link w:val="115"/>
    <w:autoRedefine/>
    <w:qFormat/>
    <w:uiPriority w:val="29"/>
    <w:pPr>
      <w:spacing w:before="200" w:after="160"/>
      <w:ind w:left="864" w:right="864"/>
      <w:jc w:val="center"/>
    </w:pPr>
    <w:rPr>
      <w:i/>
      <w:iCs/>
      <w:color w:val="404040"/>
    </w:rPr>
  </w:style>
  <w:style w:type="character" w:customStyle="1" w:styleId="117">
    <w:name w:val="hei16b"/>
    <w:basedOn w:val="54"/>
    <w:autoRedefine/>
    <w:qFormat/>
    <w:uiPriority w:val="0"/>
  </w:style>
  <w:style w:type="character" w:customStyle="1" w:styleId="118">
    <w:name w:val="f161"/>
    <w:autoRedefine/>
    <w:qFormat/>
    <w:uiPriority w:val="0"/>
    <w:rPr>
      <w:b/>
      <w:bCs/>
      <w:sz w:val="24"/>
      <w:szCs w:val="24"/>
    </w:rPr>
  </w:style>
  <w:style w:type="character" w:customStyle="1" w:styleId="119">
    <w:name w:val="日期 Char1"/>
    <w:autoRedefine/>
    <w:semiHidden/>
    <w:qFormat/>
    <w:uiPriority w:val="99"/>
    <w:rPr>
      <w:rFonts w:ascii="Times New Roman" w:hAnsi="Times New Roman" w:eastAsia="宋体" w:cs="Times New Roman"/>
      <w:szCs w:val="24"/>
    </w:rPr>
  </w:style>
  <w:style w:type="character" w:customStyle="1" w:styleId="120">
    <w:name w:val="HTML 预设格式 Char1"/>
    <w:autoRedefine/>
    <w:qFormat/>
    <w:uiPriority w:val="99"/>
    <w:rPr>
      <w:rFonts w:ascii="Courier New" w:hAnsi="Courier New" w:cs="Courier New"/>
      <w:kern w:val="2"/>
    </w:rPr>
  </w:style>
  <w:style w:type="character" w:customStyle="1" w:styleId="121">
    <w:name w:val="ca-11"/>
    <w:basedOn w:val="54"/>
    <w:autoRedefine/>
    <w:qFormat/>
    <w:uiPriority w:val="0"/>
    <w:rPr>
      <w:rFonts w:ascii="宋体" w:hAnsi="宋体" w:eastAsia="宋体"/>
      <w:b/>
      <w:spacing w:val="-20"/>
      <w:w w:val="100"/>
      <w:sz w:val="21"/>
      <w:szCs w:val="21"/>
      <w:shd w:val="clear" w:color="auto" w:fill="auto"/>
    </w:rPr>
  </w:style>
  <w:style w:type="character" w:customStyle="1" w:styleId="122">
    <w:name w:val="批注主题 Char1"/>
    <w:autoRedefine/>
    <w:qFormat/>
    <w:uiPriority w:val="99"/>
    <w:rPr>
      <w:b/>
      <w:bCs/>
      <w:kern w:val="2"/>
      <w:sz w:val="21"/>
      <w:szCs w:val="24"/>
    </w:rPr>
  </w:style>
  <w:style w:type="character" w:customStyle="1" w:styleId="123">
    <w:name w:val="纯文本 Char2"/>
    <w:autoRedefine/>
    <w:qFormat/>
    <w:uiPriority w:val="0"/>
    <w:rPr>
      <w:rFonts w:ascii="宋体" w:hAnsi="Courier New" w:eastAsia="宋体" w:cs="Courier New"/>
      <w:kern w:val="2"/>
      <w:sz w:val="21"/>
      <w:szCs w:val="21"/>
      <w:lang w:val="en-US" w:eastAsia="zh-CN" w:bidi="ar-SA"/>
    </w:rPr>
  </w:style>
  <w:style w:type="character" w:customStyle="1" w:styleId="124">
    <w:name w:val="font91"/>
    <w:autoRedefine/>
    <w:qFormat/>
    <w:uiPriority w:val="0"/>
    <w:rPr>
      <w:rFonts w:hint="default" w:ascii="Times New Roman" w:hAnsi="Times New Roman" w:cs="Times New Roman"/>
      <w:color w:val="000000"/>
      <w:sz w:val="20"/>
      <w:szCs w:val="20"/>
      <w:u w:val="none"/>
    </w:rPr>
  </w:style>
  <w:style w:type="character" w:customStyle="1" w:styleId="125">
    <w:name w:val="正文文本 3 Char1"/>
    <w:autoRedefine/>
    <w:qFormat/>
    <w:uiPriority w:val="99"/>
    <w:rPr>
      <w:kern w:val="2"/>
      <w:sz w:val="16"/>
      <w:szCs w:val="16"/>
    </w:rPr>
  </w:style>
  <w:style w:type="character" w:customStyle="1" w:styleId="126">
    <w:name w:val="纯文本 字符1"/>
    <w:basedOn w:val="54"/>
    <w:autoRedefine/>
    <w:qFormat/>
    <w:uiPriority w:val="0"/>
    <w:rPr>
      <w:rFonts w:hint="eastAsia" w:ascii="宋体" w:hAnsi="Courier New" w:eastAsia="宋体" w:cs="宋体"/>
      <w:kern w:val="2"/>
      <w:sz w:val="21"/>
      <w:szCs w:val="21"/>
    </w:rPr>
  </w:style>
  <w:style w:type="character" w:customStyle="1" w:styleId="127">
    <w:name w:val="text1"/>
    <w:basedOn w:val="54"/>
    <w:autoRedefine/>
    <w:qFormat/>
    <w:uiPriority w:val="0"/>
  </w:style>
  <w:style w:type="character" w:customStyle="1" w:styleId="128">
    <w:name w:val="Strong_file_785"/>
    <w:basedOn w:val="54"/>
    <w:autoRedefine/>
    <w:qFormat/>
    <w:uiPriority w:val="0"/>
    <w:rPr>
      <w:b/>
    </w:rPr>
  </w:style>
  <w:style w:type="character" w:customStyle="1" w:styleId="129">
    <w:name w:val="正文文本 2 Char2"/>
    <w:autoRedefine/>
    <w:qFormat/>
    <w:uiPriority w:val="99"/>
    <w:rPr>
      <w:kern w:val="2"/>
      <w:sz w:val="21"/>
      <w:szCs w:val="24"/>
    </w:rPr>
  </w:style>
  <w:style w:type="character" w:customStyle="1" w:styleId="130">
    <w:name w:val="页眉 Char1"/>
    <w:autoRedefine/>
    <w:semiHidden/>
    <w:qFormat/>
    <w:uiPriority w:val="99"/>
    <w:rPr>
      <w:kern w:val="2"/>
      <w:sz w:val="18"/>
      <w:szCs w:val="18"/>
    </w:rPr>
  </w:style>
  <w:style w:type="character" w:customStyle="1" w:styleId="131">
    <w:name w:val="超链接2"/>
    <w:autoRedefine/>
    <w:qFormat/>
    <w:uiPriority w:val="0"/>
    <w:rPr>
      <w:rFonts w:hint="eastAsia" w:ascii="宋体" w:hAnsi="宋体" w:eastAsia="宋体"/>
      <w:color w:val="FFFFFF"/>
      <w:sz w:val="18"/>
      <w:szCs w:val="18"/>
      <w:u w:val="none"/>
    </w:rPr>
  </w:style>
  <w:style w:type="character" w:customStyle="1" w:styleId="132">
    <w:name w:val="正文文本 Char1"/>
    <w:autoRedefine/>
    <w:semiHidden/>
    <w:qFormat/>
    <w:uiPriority w:val="99"/>
    <w:rPr>
      <w:rFonts w:ascii="Times New Roman" w:hAnsi="Times New Roman" w:eastAsia="宋体" w:cs="Times New Roman"/>
      <w:szCs w:val="24"/>
    </w:rPr>
  </w:style>
  <w:style w:type="character" w:customStyle="1" w:styleId="133">
    <w:name w:val="font51"/>
    <w:autoRedefine/>
    <w:qFormat/>
    <w:uiPriority w:val="0"/>
    <w:rPr>
      <w:rFonts w:hint="eastAsia" w:ascii="宋体" w:hAnsi="宋体" w:eastAsia="宋体" w:cs="宋体"/>
      <w:color w:val="000000"/>
      <w:sz w:val="20"/>
      <w:szCs w:val="20"/>
      <w:u w:val="none"/>
    </w:rPr>
  </w:style>
  <w:style w:type="character" w:customStyle="1" w:styleId="134">
    <w:name w:val="text11"/>
    <w:autoRedefine/>
    <w:qFormat/>
    <w:uiPriority w:val="0"/>
    <w:rPr>
      <w:rFonts w:hint="default" w:ascii="Verdana" w:hAnsi="Verdana"/>
      <w:color w:val="4E4E4E"/>
      <w:sz w:val="18"/>
      <w:szCs w:val="18"/>
    </w:rPr>
  </w:style>
  <w:style w:type="character" w:customStyle="1" w:styleId="135">
    <w:name w:val="font12-blue-bold1"/>
    <w:autoRedefine/>
    <w:qFormat/>
    <w:uiPriority w:val="0"/>
    <w:rPr>
      <w:b/>
      <w:bCs/>
      <w:color w:val="0249A5"/>
      <w:sz w:val="14"/>
      <w:szCs w:val="14"/>
      <w:u w:val="none"/>
    </w:rPr>
  </w:style>
  <w:style w:type="character" w:customStyle="1" w:styleId="136">
    <w:name w:val="062"/>
    <w:autoRedefine/>
    <w:qFormat/>
    <w:uiPriority w:val="0"/>
    <w:rPr>
      <w:rFonts w:ascii="宋体" w:hAnsi="宋体"/>
      <w:b/>
      <w:bCs/>
      <w:sz w:val="32"/>
    </w:rPr>
  </w:style>
  <w:style w:type="character" w:customStyle="1" w:styleId="137">
    <w:name w:val="Body Text Indent 3 Char"/>
    <w:autoRedefine/>
    <w:qFormat/>
    <w:locked/>
    <w:uiPriority w:val="99"/>
    <w:rPr>
      <w:rFonts w:eastAsia="宋体"/>
      <w:sz w:val="16"/>
    </w:rPr>
  </w:style>
  <w:style w:type="character" w:customStyle="1" w:styleId="138">
    <w:name w:val="引用 Char1"/>
    <w:autoRedefine/>
    <w:qFormat/>
    <w:uiPriority w:val="99"/>
    <w:rPr>
      <w:rFonts w:ascii="Times New Roman" w:hAnsi="Times New Roman"/>
      <w:i/>
      <w:iCs/>
      <w:color w:val="000000"/>
      <w:kern w:val="2"/>
      <w:sz w:val="21"/>
      <w:szCs w:val="24"/>
    </w:rPr>
  </w:style>
  <w:style w:type="character" w:customStyle="1" w:styleId="139">
    <w:name w:val="正文文本缩进 2 Char1"/>
    <w:autoRedefine/>
    <w:semiHidden/>
    <w:qFormat/>
    <w:uiPriority w:val="99"/>
    <w:rPr>
      <w:rFonts w:ascii="Times New Roman" w:hAnsi="Times New Roman" w:eastAsia="宋体" w:cs="Times New Roman"/>
      <w:szCs w:val="24"/>
    </w:rPr>
  </w:style>
  <w:style w:type="character" w:customStyle="1" w:styleId="140">
    <w:name w:val="纯文本 Char1"/>
    <w:autoRedefine/>
    <w:qFormat/>
    <w:uiPriority w:val="0"/>
    <w:rPr>
      <w:rFonts w:ascii="宋体" w:hAnsi="Courier New" w:eastAsia="宋体" w:cs="Courier New"/>
      <w:szCs w:val="21"/>
    </w:rPr>
  </w:style>
  <w:style w:type="character" w:customStyle="1" w:styleId="141">
    <w:name w:val="纯文本 字符11"/>
    <w:autoRedefine/>
    <w:qFormat/>
    <w:uiPriority w:val="0"/>
    <w:rPr>
      <w:rFonts w:ascii="宋体" w:hAnsi="Courier New" w:cs="Courier New"/>
      <w:kern w:val="2"/>
      <w:sz w:val="21"/>
      <w:szCs w:val="21"/>
    </w:rPr>
  </w:style>
  <w:style w:type="character" w:customStyle="1" w:styleId="142">
    <w:name w:val="case31"/>
    <w:autoRedefine/>
    <w:qFormat/>
    <w:uiPriority w:val="0"/>
    <w:rPr>
      <w:rFonts w:hint="default" w:ascii="_x000B__x000C_" w:hAnsi="_x000B__x000C_"/>
      <w:sz w:val="21"/>
      <w:szCs w:val="21"/>
    </w:rPr>
  </w:style>
  <w:style w:type="character" w:customStyle="1" w:styleId="143">
    <w:name w:val="Char Char4"/>
    <w:autoRedefine/>
    <w:semiHidden/>
    <w:qFormat/>
    <w:uiPriority w:val="0"/>
    <w:rPr>
      <w:rFonts w:ascii="Times New Roman" w:hAnsi="Times New Roman" w:eastAsia="宋体" w:cs="Times New Roman"/>
      <w:sz w:val="16"/>
      <w:szCs w:val="16"/>
    </w:rPr>
  </w:style>
  <w:style w:type="character" w:customStyle="1" w:styleId="144">
    <w:name w:val="gray"/>
    <w:autoRedefine/>
    <w:qFormat/>
    <w:uiPriority w:val="0"/>
    <w:rPr>
      <w:rFonts w:ascii="Tahoma" w:hAnsi="Tahoma" w:eastAsia="宋体"/>
      <w:kern w:val="2"/>
      <w:sz w:val="24"/>
      <w:szCs w:val="24"/>
      <w:lang w:val="en-US" w:eastAsia="zh-CN" w:bidi="ar-SA"/>
    </w:rPr>
  </w:style>
  <w:style w:type="character" w:customStyle="1" w:styleId="145">
    <w:name w:val="Char Char11"/>
    <w:autoRedefine/>
    <w:qFormat/>
    <w:uiPriority w:val="0"/>
    <w:rPr>
      <w:rFonts w:ascii="宋体" w:hAnsi="Courier New" w:eastAsia="宋体" w:cs="Courier New"/>
      <w:szCs w:val="21"/>
    </w:rPr>
  </w:style>
  <w:style w:type="character" w:customStyle="1" w:styleId="146">
    <w:name w:val="表正文 Char2"/>
    <w:autoRedefine/>
    <w:qFormat/>
    <w:uiPriority w:val="0"/>
    <w:rPr>
      <w:rFonts w:ascii="Times New Roman" w:hAnsi="Times New Roman"/>
      <w:kern w:val="2"/>
      <w:sz w:val="21"/>
    </w:rPr>
  </w:style>
  <w:style w:type="character" w:customStyle="1" w:styleId="147">
    <w:name w:val="正文文本缩进 2 Char2"/>
    <w:autoRedefine/>
    <w:semiHidden/>
    <w:qFormat/>
    <w:uiPriority w:val="99"/>
    <w:rPr>
      <w:kern w:val="2"/>
      <w:sz w:val="21"/>
      <w:szCs w:val="24"/>
    </w:rPr>
  </w:style>
  <w:style w:type="character" w:customStyle="1" w:styleId="148">
    <w:name w:val="普通文字 Char Char4"/>
    <w:autoRedefine/>
    <w:qFormat/>
    <w:uiPriority w:val="0"/>
    <w:rPr>
      <w:rFonts w:ascii="宋体" w:hAnsi="Courier New" w:eastAsia="宋体" w:cs="Courier New"/>
      <w:szCs w:val="21"/>
    </w:rPr>
  </w:style>
  <w:style w:type="character" w:customStyle="1" w:styleId="149">
    <w:name w:val="正文文本缩进 3 Char2"/>
    <w:autoRedefine/>
    <w:semiHidden/>
    <w:qFormat/>
    <w:uiPriority w:val="99"/>
    <w:rPr>
      <w:kern w:val="2"/>
      <w:sz w:val="16"/>
      <w:szCs w:val="16"/>
    </w:rPr>
  </w:style>
  <w:style w:type="character" w:customStyle="1" w:styleId="150">
    <w:name w:val="批注框文本 Char1"/>
    <w:autoRedefine/>
    <w:semiHidden/>
    <w:qFormat/>
    <w:uiPriority w:val="99"/>
    <w:rPr>
      <w:kern w:val="2"/>
      <w:sz w:val="18"/>
      <w:szCs w:val="18"/>
    </w:rPr>
  </w:style>
  <w:style w:type="character" w:customStyle="1" w:styleId="151">
    <w:name w:val="z-窗体底端 Char"/>
    <w:link w:val="152"/>
    <w:autoRedefine/>
    <w:qFormat/>
    <w:uiPriority w:val="0"/>
    <w:rPr>
      <w:rFonts w:ascii="Arial" w:hAnsi="Arial" w:cs="Arial"/>
      <w:vanish/>
      <w:sz w:val="16"/>
      <w:szCs w:val="16"/>
    </w:rPr>
  </w:style>
  <w:style w:type="paragraph" w:customStyle="1" w:styleId="152">
    <w:name w:val="_Style 145"/>
    <w:basedOn w:val="1"/>
    <w:next w:val="1"/>
    <w:link w:val="151"/>
    <w:autoRedefine/>
    <w:qFormat/>
    <w:uiPriority w:val="0"/>
    <w:pPr>
      <w:widowControl/>
      <w:pBdr>
        <w:top w:val="single" w:color="auto" w:sz="6" w:space="1"/>
      </w:pBdr>
      <w:jc w:val="center"/>
    </w:pPr>
    <w:rPr>
      <w:rFonts w:ascii="Arial" w:hAnsi="Arial"/>
      <w:vanish/>
      <w:kern w:val="0"/>
      <w:sz w:val="16"/>
      <w:szCs w:val="16"/>
    </w:rPr>
  </w:style>
  <w:style w:type="character" w:customStyle="1" w:styleId="153">
    <w:name w:val="正文文本 2 Char1"/>
    <w:autoRedefine/>
    <w:semiHidden/>
    <w:qFormat/>
    <w:uiPriority w:val="99"/>
    <w:rPr>
      <w:rFonts w:ascii="Times New Roman" w:hAnsi="Times New Roman" w:eastAsia="宋体" w:cs="Times New Roman"/>
      <w:szCs w:val="24"/>
    </w:rPr>
  </w:style>
  <w:style w:type="character" w:customStyle="1" w:styleId="154">
    <w:name w:val="正文缩进 Char1"/>
    <w:autoRedefine/>
    <w:qFormat/>
    <w:uiPriority w:val="0"/>
    <w:rPr>
      <w:rFonts w:ascii="Times New Roman" w:hAnsi="Times New Roman"/>
      <w:kern w:val="2"/>
      <w:sz w:val="21"/>
    </w:rPr>
  </w:style>
  <w:style w:type="character" w:customStyle="1" w:styleId="155">
    <w:name w:val="style21"/>
    <w:autoRedefine/>
    <w:qFormat/>
    <w:uiPriority w:val="0"/>
    <w:rPr>
      <w:sz w:val="22"/>
      <w:szCs w:val="22"/>
    </w:rPr>
  </w:style>
  <w:style w:type="character" w:customStyle="1" w:styleId="156">
    <w:name w:val="样式2"/>
    <w:autoRedefine/>
    <w:qFormat/>
    <w:uiPriority w:val="0"/>
    <w:rPr>
      <w:rFonts w:ascii="宋体" w:hAnsi="宋体"/>
      <w:b/>
      <w:szCs w:val="21"/>
    </w:rPr>
  </w:style>
  <w:style w:type="character" w:customStyle="1" w:styleId="157">
    <w:name w:val="_Style 150"/>
    <w:autoRedefine/>
    <w:qFormat/>
    <w:uiPriority w:val="19"/>
    <w:rPr>
      <w:i/>
      <w:iCs/>
      <w:color w:val="808080"/>
    </w:rPr>
  </w:style>
  <w:style w:type="character" w:customStyle="1" w:styleId="158">
    <w:name w:val="apple-style-span"/>
    <w:autoRedefine/>
    <w:qFormat/>
    <w:uiPriority w:val="0"/>
  </w:style>
  <w:style w:type="character" w:customStyle="1" w:styleId="159">
    <w:name w:val="文档正文 Char Char"/>
    <w:link w:val="160"/>
    <w:autoRedefine/>
    <w:qFormat/>
    <w:locked/>
    <w:uiPriority w:val="0"/>
    <w:rPr>
      <w:rFonts w:ascii="华文细黑" w:hAnsi="华文细黑" w:eastAsia="华文细黑"/>
      <w:color w:val="000000"/>
      <w:sz w:val="24"/>
    </w:rPr>
  </w:style>
  <w:style w:type="paragraph" w:customStyle="1" w:styleId="160">
    <w:name w:val="文档正文"/>
    <w:basedOn w:val="1"/>
    <w:link w:val="159"/>
    <w:autoRedefine/>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61">
    <w:name w:val="引用 Char2"/>
    <w:autoRedefine/>
    <w:qFormat/>
    <w:uiPriority w:val="29"/>
    <w:rPr>
      <w:i/>
      <w:iCs/>
      <w:color w:val="000000"/>
      <w:kern w:val="2"/>
      <w:sz w:val="21"/>
      <w:szCs w:val="24"/>
    </w:rPr>
  </w:style>
  <w:style w:type="character" w:customStyle="1" w:styleId="162">
    <w:name w:val="列表段落 字符"/>
    <w:link w:val="163"/>
    <w:autoRedefine/>
    <w:qFormat/>
    <w:locked/>
    <w:uiPriority w:val="34"/>
    <w:rPr>
      <w:rFonts w:ascii="Calibri" w:hAnsi="Calibri"/>
      <w:kern w:val="2"/>
      <w:sz w:val="21"/>
      <w:szCs w:val="22"/>
    </w:rPr>
  </w:style>
  <w:style w:type="paragraph" w:customStyle="1" w:styleId="163">
    <w:name w:val="_Style 124"/>
    <w:basedOn w:val="1"/>
    <w:next w:val="164"/>
    <w:link w:val="162"/>
    <w:autoRedefine/>
    <w:qFormat/>
    <w:uiPriority w:val="34"/>
    <w:pPr>
      <w:ind w:firstLine="420" w:firstLineChars="200"/>
    </w:pPr>
    <w:rPr>
      <w:rFonts w:ascii="Calibri" w:hAnsi="Calibri"/>
      <w:szCs w:val="22"/>
    </w:rPr>
  </w:style>
  <w:style w:type="paragraph" w:styleId="164">
    <w:name w:val="List Paragraph"/>
    <w:basedOn w:val="1"/>
    <w:link w:val="165"/>
    <w:autoRedefine/>
    <w:qFormat/>
    <w:uiPriority w:val="34"/>
    <w:pPr>
      <w:ind w:firstLine="420" w:firstLineChars="200"/>
    </w:pPr>
    <w:rPr>
      <w:rFonts w:ascii="Calibri" w:hAnsi="Calibri"/>
      <w:szCs w:val="22"/>
    </w:rPr>
  </w:style>
  <w:style w:type="character" w:customStyle="1" w:styleId="165">
    <w:name w:val="列出段落 Char"/>
    <w:link w:val="164"/>
    <w:autoRedefine/>
    <w:qFormat/>
    <w:locked/>
    <w:uiPriority w:val="34"/>
    <w:rPr>
      <w:rFonts w:ascii="Calibri" w:hAnsi="Calibri"/>
      <w:kern w:val="2"/>
      <w:sz w:val="21"/>
      <w:szCs w:val="22"/>
    </w:rPr>
  </w:style>
  <w:style w:type="character" w:customStyle="1" w:styleId="166">
    <w:name w:val="页脚 Char2"/>
    <w:autoRedefine/>
    <w:semiHidden/>
    <w:qFormat/>
    <w:uiPriority w:val="99"/>
    <w:rPr>
      <w:kern w:val="2"/>
      <w:sz w:val="18"/>
      <w:szCs w:val="18"/>
    </w:rPr>
  </w:style>
  <w:style w:type="character" w:customStyle="1" w:styleId="167">
    <w:name w:val="项目排列 Char Char"/>
    <w:link w:val="168"/>
    <w:autoRedefine/>
    <w:qFormat/>
    <w:uiPriority w:val="0"/>
    <w:rPr>
      <w:kern w:val="2"/>
      <w:sz w:val="24"/>
      <w:szCs w:val="24"/>
    </w:rPr>
  </w:style>
  <w:style w:type="paragraph" w:customStyle="1" w:styleId="168">
    <w:name w:val="项目排列"/>
    <w:basedOn w:val="1"/>
    <w:link w:val="167"/>
    <w:autoRedefine/>
    <w:qFormat/>
    <w:uiPriority w:val="0"/>
    <w:pPr>
      <w:numPr>
        <w:ilvl w:val="0"/>
        <w:numId w:val="1"/>
      </w:numPr>
      <w:tabs>
        <w:tab w:val="left" w:pos="1200"/>
      </w:tabs>
      <w:spacing w:beforeLines="50" w:afterLines="50" w:line="300" w:lineRule="auto"/>
    </w:pPr>
    <w:rPr>
      <w:sz w:val="24"/>
    </w:rPr>
  </w:style>
  <w:style w:type="character" w:customStyle="1" w:styleId="169">
    <w:name w:val="ca-21"/>
    <w:basedOn w:val="54"/>
    <w:autoRedefine/>
    <w:qFormat/>
    <w:uiPriority w:val="0"/>
    <w:rPr>
      <w:rFonts w:ascii="宋体" w:hAnsi="宋体" w:eastAsia="宋体"/>
      <w:w w:val="100"/>
      <w:sz w:val="21"/>
      <w:szCs w:val="21"/>
      <w:shd w:val="clear" w:color="auto" w:fill="auto"/>
    </w:rPr>
  </w:style>
  <w:style w:type="character" w:customStyle="1" w:styleId="170">
    <w:name w:val="宏文本 Char1"/>
    <w:autoRedefine/>
    <w:qFormat/>
    <w:uiPriority w:val="99"/>
    <w:rPr>
      <w:rFonts w:ascii="Courier New" w:hAnsi="Courier New" w:cs="Courier New"/>
      <w:kern w:val="2"/>
      <w:sz w:val="24"/>
      <w:szCs w:val="24"/>
    </w:rPr>
  </w:style>
  <w:style w:type="character" w:customStyle="1" w:styleId="171">
    <w:name w:val="ca-2"/>
    <w:basedOn w:val="54"/>
    <w:autoRedefine/>
    <w:qFormat/>
    <w:uiPriority w:val="0"/>
  </w:style>
  <w:style w:type="character" w:customStyle="1" w:styleId="172">
    <w:name w:val="标题 2 字符"/>
    <w:autoRedefine/>
    <w:qFormat/>
    <w:uiPriority w:val="0"/>
    <w:rPr>
      <w:rFonts w:eastAsia="隶书"/>
      <w:b/>
      <w:sz w:val="44"/>
    </w:rPr>
  </w:style>
  <w:style w:type="character" w:customStyle="1" w:styleId="173">
    <w:name w:val="页脚 Char1"/>
    <w:autoRedefine/>
    <w:semiHidden/>
    <w:qFormat/>
    <w:uiPriority w:val="99"/>
    <w:rPr>
      <w:rFonts w:ascii="Times New Roman" w:hAnsi="Times New Roman" w:eastAsia="宋体" w:cs="Times New Roman"/>
      <w:sz w:val="18"/>
      <w:szCs w:val="18"/>
    </w:rPr>
  </w:style>
  <w:style w:type="character" w:customStyle="1" w:styleId="174">
    <w:name w:val="日期 Char2"/>
    <w:autoRedefine/>
    <w:semiHidden/>
    <w:qFormat/>
    <w:uiPriority w:val="99"/>
    <w:rPr>
      <w:kern w:val="2"/>
      <w:sz w:val="21"/>
      <w:szCs w:val="24"/>
    </w:rPr>
  </w:style>
  <w:style w:type="character" w:customStyle="1" w:styleId="175">
    <w:name w:val="bold1"/>
    <w:autoRedefine/>
    <w:qFormat/>
    <w:uiPriority w:val="0"/>
    <w:rPr>
      <w:rFonts w:hint="default" w:ascii="_x000B__x000C_" w:hAnsi="_x000B__x000C_"/>
      <w:b/>
      <w:bCs/>
      <w:color w:val="000000"/>
      <w:sz w:val="18"/>
      <w:szCs w:val="18"/>
    </w:rPr>
  </w:style>
  <w:style w:type="character" w:customStyle="1" w:styleId="176">
    <w:name w:val="标题3 Char Char"/>
    <w:link w:val="177"/>
    <w:autoRedefine/>
    <w:qFormat/>
    <w:uiPriority w:val="0"/>
    <w:rPr>
      <w:rFonts w:eastAsia="仿宋_GB2312"/>
      <w:bCs/>
      <w:kern w:val="2"/>
      <w:sz w:val="30"/>
      <w:szCs w:val="32"/>
    </w:rPr>
  </w:style>
  <w:style w:type="paragraph" w:customStyle="1" w:styleId="177">
    <w:name w:val="标题3"/>
    <w:basedOn w:val="5"/>
    <w:link w:val="176"/>
    <w:autoRedefine/>
    <w:qFormat/>
    <w:uiPriority w:val="0"/>
    <w:pPr>
      <w:keepNext w:val="0"/>
      <w:keepLines w:val="0"/>
      <w:spacing w:before="0" w:after="0" w:line="360" w:lineRule="auto"/>
    </w:pPr>
    <w:rPr>
      <w:rFonts w:eastAsia="仿宋_GB2312"/>
      <w:b w:val="0"/>
      <w:sz w:val="30"/>
    </w:rPr>
  </w:style>
  <w:style w:type="paragraph" w:customStyle="1" w:styleId="178">
    <w:name w:val="Char"/>
    <w:basedOn w:val="1"/>
    <w:autoRedefine/>
    <w:qFormat/>
    <w:uiPriority w:val="0"/>
  </w:style>
  <w:style w:type="paragraph" w:customStyle="1" w:styleId="179">
    <w:name w:val="样式 首行缩进:  2 字符"/>
    <w:basedOn w:val="1"/>
    <w:autoRedefine/>
    <w:qFormat/>
    <w:uiPriority w:val="0"/>
    <w:pPr>
      <w:spacing w:line="400" w:lineRule="exact"/>
      <w:ind w:firstLine="200" w:firstLineChars="200"/>
    </w:pPr>
    <w:rPr>
      <w:rFonts w:cs="宋体"/>
      <w:sz w:val="24"/>
    </w:rPr>
  </w:style>
  <w:style w:type="paragraph" w:customStyle="1" w:styleId="180">
    <w:name w:val="规范正文"/>
    <w:basedOn w:val="1"/>
    <w:autoRedefine/>
    <w:qFormat/>
    <w:uiPriority w:val="0"/>
    <w:pPr>
      <w:adjustRightInd w:val="0"/>
      <w:spacing w:line="360" w:lineRule="auto"/>
      <w:ind w:left="480"/>
      <w:textAlignment w:val="baseline"/>
    </w:pPr>
    <w:rPr>
      <w:kern w:val="0"/>
      <w:sz w:val="24"/>
      <w:szCs w:val="20"/>
    </w:rPr>
  </w:style>
  <w:style w:type="paragraph" w:customStyle="1" w:styleId="181">
    <w:name w:val="正文段"/>
    <w:basedOn w:val="1"/>
    <w:autoRedefine/>
    <w:qFormat/>
    <w:uiPriority w:val="0"/>
    <w:pPr>
      <w:widowControl/>
      <w:snapToGrid w:val="0"/>
      <w:spacing w:afterLines="50"/>
      <w:ind w:firstLine="200" w:firstLineChars="200"/>
    </w:pPr>
    <w:rPr>
      <w:kern w:val="0"/>
      <w:sz w:val="24"/>
      <w:szCs w:val="20"/>
    </w:rPr>
  </w:style>
  <w:style w:type="paragraph" w:customStyle="1" w:styleId="182">
    <w:name w:val="默认段落字体 Para Char Char Char1 Char"/>
    <w:basedOn w:val="1"/>
    <w:autoRedefine/>
    <w:qFormat/>
    <w:uiPriority w:val="0"/>
    <w:rPr>
      <w:rFonts w:ascii="Tahoma" w:hAnsi="Tahoma"/>
      <w:sz w:val="24"/>
      <w:szCs w:val="20"/>
    </w:rPr>
  </w:style>
  <w:style w:type="paragraph" w:customStyle="1" w:styleId="183">
    <w:name w:val="List Paragraph1"/>
    <w:basedOn w:val="1"/>
    <w:autoRedefine/>
    <w:qFormat/>
    <w:uiPriority w:val="0"/>
    <w:pPr>
      <w:ind w:firstLine="420" w:firstLineChars="200"/>
    </w:pPr>
    <w:rPr>
      <w:rFonts w:ascii="Calibri" w:hAnsi="Calibri"/>
      <w:szCs w:val="22"/>
    </w:rPr>
  </w:style>
  <w:style w:type="paragraph" w:customStyle="1" w:styleId="184">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kern w:val="0"/>
      <w:sz w:val="24"/>
      <w:szCs w:val="20"/>
    </w:rPr>
  </w:style>
  <w:style w:type="paragraph" w:customStyle="1" w:styleId="185">
    <w:name w:val="前言、引言标题"/>
    <w:next w:val="1"/>
    <w:autoRedefine/>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186">
    <w:name w:val="_Style 65"/>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msolistparagraph"/>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8">
    <w:name w:val="Char Char Char Char"/>
    <w:basedOn w:val="1"/>
    <w:autoRedefine/>
    <w:qFormat/>
    <w:uiPriority w:val="0"/>
  </w:style>
  <w:style w:type="paragraph" w:customStyle="1" w:styleId="189">
    <w:name w:val="列表1"/>
    <w:basedOn w:val="190"/>
    <w:autoRedefine/>
    <w:qFormat/>
    <w:uiPriority w:val="0"/>
    <w:pPr>
      <w:tabs>
        <w:tab w:val="left" w:pos="900"/>
      </w:tabs>
      <w:ind w:left="900" w:hanging="420"/>
    </w:pPr>
    <w:rPr>
      <w:rFonts w:ascii="Times New Roman" w:hAnsi="Times New Roman"/>
      <w:szCs w:val="20"/>
    </w:rPr>
  </w:style>
  <w:style w:type="paragraph" w:customStyle="1" w:styleId="190">
    <w:name w:val="标准正文"/>
    <w:basedOn w:val="21"/>
    <w:autoRedefine/>
    <w:qFormat/>
    <w:uiPriority w:val="0"/>
    <w:pPr>
      <w:spacing w:before="60" w:after="60" w:line="360" w:lineRule="auto"/>
      <w:ind w:left="0" w:leftChars="0" w:firstLine="482"/>
    </w:pPr>
    <w:rPr>
      <w:rFonts w:ascii="宋体" w:hAnsi="宋体"/>
      <w:kern w:val="0"/>
      <w:sz w:val="24"/>
      <w:szCs w:val="28"/>
    </w:rPr>
  </w:style>
  <w:style w:type="paragraph" w:customStyle="1" w:styleId="191">
    <w:name w:val="正文首行缩进两字符"/>
    <w:basedOn w:val="1"/>
    <w:autoRedefine/>
    <w:qFormat/>
    <w:uiPriority w:val="0"/>
    <w:pPr>
      <w:spacing w:line="360" w:lineRule="auto"/>
      <w:ind w:firstLine="200" w:firstLineChars="200"/>
    </w:pPr>
  </w:style>
  <w:style w:type="paragraph" w:customStyle="1" w:styleId="192">
    <w:name w:val="样式6"/>
    <w:basedOn w:val="7"/>
    <w:autoRedefine/>
    <w:qFormat/>
    <w:uiPriority w:val="0"/>
    <w:pPr>
      <w:numPr>
        <w:numId w:val="0"/>
      </w:numPr>
      <w:spacing w:line="360" w:lineRule="auto"/>
      <w:ind w:left="210" w:leftChars="100"/>
    </w:pPr>
    <w:rPr>
      <w:rFonts w:ascii="宋体" w:hAnsi="宋体" w:cs="Arial"/>
      <w:bCs/>
      <w:sz w:val="24"/>
    </w:rPr>
  </w:style>
  <w:style w:type="paragraph" w:customStyle="1" w:styleId="193">
    <w:name w:val="Char1"/>
    <w:basedOn w:val="1"/>
    <w:autoRedefine/>
    <w:qFormat/>
    <w:uiPriority w:val="0"/>
    <w:rPr>
      <w:szCs w:val="21"/>
    </w:rPr>
  </w:style>
  <w:style w:type="paragraph" w:customStyle="1" w:styleId="19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5">
    <w:name w:val="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96">
    <w:name w:val="样式 标题 2 + Times New Roman 四号 非加粗 段前: 5 磅 段后: 0 磅 行距: 固定值 20..."/>
    <w:basedOn w:val="4"/>
    <w:autoRedefine/>
    <w:qFormat/>
    <w:uiPriority w:val="0"/>
    <w:pPr>
      <w:keepLines/>
      <w:adjustRightInd/>
      <w:spacing w:before="100" w:line="400" w:lineRule="exact"/>
      <w:jc w:val="both"/>
    </w:pPr>
    <w:rPr>
      <w:rFonts w:eastAsia="黑体" w:cs="宋体"/>
      <w:b w:val="0"/>
      <w:sz w:val="28"/>
    </w:rPr>
  </w:style>
  <w:style w:type="paragraph" w:customStyle="1" w:styleId="197">
    <w:name w:val="Char11"/>
    <w:basedOn w:val="1"/>
    <w:autoRedefine/>
    <w:qFormat/>
    <w:uiPriority w:val="0"/>
    <w:rPr>
      <w:szCs w:val="21"/>
    </w:rPr>
  </w:style>
  <w:style w:type="paragraph" w:customStyle="1" w:styleId="198">
    <w:name w:val="列项——"/>
    <w:autoRedefine/>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199">
    <w:name w:val="n-正文级"/>
    <w:basedOn w:val="1"/>
    <w:autoRedefine/>
    <w:qFormat/>
    <w:uiPriority w:val="0"/>
    <w:pPr>
      <w:spacing w:line="360" w:lineRule="auto"/>
      <w:ind w:firstLine="480" w:firstLineChars="200"/>
    </w:pPr>
    <w:rPr>
      <w:rFonts w:ascii="仿宋_GB2312" w:hAnsi="宋体" w:eastAsia="仿宋_GB2312"/>
      <w:sz w:val="24"/>
    </w:rPr>
  </w:style>
  <w:style w:type="paragraph" w:customStyle="1" w:styleId="200">
    <w:name w:val="表格"/>
    <w:basedOn w:val="1"/>
    <w:autoRedefine/>
    <w:qFormat/>
    <w:uiPriority w:val="0"/>
    <w:pPr>
      <w:spacing w:line="400" w:lineRule="exact"/>
    </w:pPr>
    <w:rPr>
      <w:sz w:val="24"/>
    </w:rPr>
  </w:style>
  <w:style w:type="paragraph" w:customStyle="1" w:styleId="201">
    <w:name w:val="F2"/>
    <w:basedOn w:val="1"/>
    <w:autoRedefine/>
    <w:qFormat/>
    <w:uiPriority w:val="0"/>
    <w:pPr>
      <w:autoSpaceDE w:val="0"/>
      <w:autoSpaceDN w:val="0"/>
      <w:adjustRightInd w:val="0"/>
      <w:ind w:firstLine="601"/>
      <w:textAlignment w:val="baseline"/>
    </w:pPr>
    <w:rPr>
      <w:kern w:val="0"/>
      <w:sz w:val="24"/>
      <w:szCs w:val="20"/>
    </w:rPr>
  </w:style>
  <w:style w:type="paragraph" w:customStyle="1" w:styleId="202">
    <w:name w:val="四级条标题"/>
    <w:basedOn w:val="203"/>
    <w:next w:val="194"/>
    <w:autoRedefine/>
    <w:qFormat/>
    <w:uiPriority w:val="0"/>
    <w:pPr>
      <w:outlineLvl w:val="5"/>
    </w:pPr>
  </w:style>
  <w:style w:type="paragraph" w:customStyle="1" w:styleId="203">
    <w:name w:val="三级条标题"/>
    <w:basedOn w:val="204"/>
    <w:next w:val="194"/>
    <w:autoRedefine/>
    <w:qFormat/>
    <w:uiPriority w:val="0"/>
    <w:pPr>
      <w:outlineLvl w:val="4"/>
    </w:pPr>
  </w:style>
  <w:style w:type="paragraph" w:customStyle="1" w:styleId="204">
    <w:name w:val="二级条标题"/>
    <w:basedOn w:val="1"/>
    <w:next w:val="1"/>
    <w:autoRedefine/>
    <w:qFormat/>
    <w:uiPriority w:val="0"/>
    <w:pPr>
      <w:widowControl/>
      <w:jc w:val="left"/>
      <w:outlineLvl w:val="3"/>
    </w:pPr>
    <w:rPr>
      <w:rFonts w:ascii="宋体" w:hAnsi="宋体"/>
      <w:color w:val="000000"/>
      <w:kern w:val="0"/>
      <w:szCs w:val="20"/>
    </w:rPr>
  </w:style>
  <w:style w:type="paragraph" w:customStyle="1" w:styleId="205">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06">
    <w:name w:val="pa-3"/>
    <w:basedOn w:val="1"/>
    <w:autoRedefine/>
    <w:qFormat/>
    <w:uiPriority w:val="0"/>
    <w:pPr>
      <w:widowControl/>
      <w:spacing w:line="240" w:lineRule="atLeast"/>
    </w:pPr>
    <w:rPr>
      <w:rFonts w:ascii="宋体" w:hAnsi="宋体" w:cs="宋体"/>
      <w:kern w:val="0"/>
      <w:sz w:val="24"/>
    </w:rPr>
  </w:style>
  <w:style w:type="paragraph" w:customStyle="1" w:styleId="207">
    <w:name w:val="2-2ji"/>
    <w:basedOn w:val="4"/>
    <w:autoRedefine/>
    <w:qFormat/>
    <w:uiPriority w:val="0"/>
    <w:pPr>
      <w:keepLines/>
      <w:spacing w:before="0"/>
      <w:textAlignment w:val="baseline"/>
    </w:pPr>
    <w:rPr>
      <w:rFonts w:ascii="宋体" w:hAnsi="宋体" w:eastAsia="宋体"/>
      <w:sz w:val="36"/>
      <w:szCs w:val="32"/>
    </w:rPr>
  </w:style>
  <w:style w:type="paragraph" w:customStyle="1" w:styleId="208">
    <w:name w:val="默认段落字体 Para Char Char Char Char Char Char Char Char Char1 Char Char Char Char"/>
    <w:basedOn w:val="1"/>
    <w:autoRedefine/>
    <w:qFormat/>
    <w:uiPriority w:val="0"/>
    <w:rPr>
      <w:rFonts w:ascii="Tahoma" w:hAnsi="Tahoma"/>
      <w:sz w:val="24"/>
      <w:szCs w:val="20"/>
    </w:rPr>
  </w:style>
  <w:style w:type="paragraph" w:customStyle="1" w:styleId="209">
    <w:name w:val="1"/>
    <w:basedOn w:val="1"/>
    <w:next w:val="29"/>
    <w:autoRedefine/>
    <w:qFormat/>
    <w:uiPriority w:val="0"/>
    <w:rPr>
      <w:rFonts w:ascii="宋体" w:hAnsi="Courier New"/>
      <w:szCs w:val="20"/>
    </w:rPr>
  </w:style>
  <w:style w:type="paragraph" w:customStyle="1" w:styleId="210">
    <w:name w:val="正文--2字符首行缩进"/>
    <w:basedOn w:val="1"/>
    <w:autoRedefine/>
    <w:qFormat/>
    <w:uiPriority w:val="0"/>
    <w:pPr>
      <w:snapToGrid w:val="0"/>
      <w:spacing w:line="360" w:lineRule="auto"/>
      <w:ind w:firstLine="560" w:firstLineChars="200"/>
      <w:contextualSpacing/>
    </w:pPr>
    <w:rPr>
      <w:rFonts w:ascii="仿宋_GB2312" w:eastAsia="仿宋_GB2312"/>
      <w:sz w:val="28"/>
    </w:rPr>
  </w:style>
  <w:style w:type="paragraph" w:customStyle="1" w:styleId="211">
    <w:name w:val="列出段落1"/>
    <w:basedOn w:val="1"/>
    <w:autoRedefine/>
    <w:qFormat/>
    <w:uiPriority w:val="0"/>
    <w:pPr>
      <w:ind w:firstLine="420" w:firstLineChars="200"/>
    </w:pPr>
    <w:rPr>
      <w:rFonts w:ascii="Calibri" w:hAnsi="Calibri"/>
      <w:szCs w:val="22"/>
    </w:rPr>
  </w:style>
  <w:style w:type="paragraph" w:customStyle="1" w:styleId="212">
    <w:name w:val="pa-2"/>
    <w:basedOn w:val="1"/>
    <w:autoRedefine/>
    <w:qFormat/>
    <w:uiPriority w:val="0"/>
    <w:pPr>
      <w:widowControl/>
      <w:ind w:firstLine="420"/>
    </w:pPr>
    <w:rPr>
      <w:rFonts w:ascii="宋体" w:hAnsi="宋体"/>
      <w:kern w:val="0"/>
      <w:sz w:val="24"/>
    </w:rPr>
  </w:style>
  <w:style w:type="paragraph" w:customStyle="1" w:styleId="213">
    <w:name w:val="一级条标题"/>
    <w:next w:val="194"/>
    <w:autoRedefine/>
    <w:qFormat/>
    <w:uiPriority w:val="0"/>
    <w:pPr>
      <w:ind w:left="284"/>
      <w:outlineLvl w:val="2"/>
    </w:pPr>
    <w:rPr>
      <w:rFonts w:ascii="Times New Roman" w:hAnsi="Times New Roman" w:eastAsia="黑体" w:cs="Times New Roman"/>
      <w:sz w:val="21"/>
      <w:lang w:val="en-US" w:eastAsia="zh-CN" w:bidi="ar-SA"/>
    </w:rPr>
  </w:style>
  <w:style w:type="paragraph" w:customStyle="1" w:styleId="214">
    <w:name w:val="No Spacing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444"/>
    <w:basedOn w:val="1"/>
    <w:autoRedefine/>
    <w:qFormat/>
    <w:uiPriority w:val="0"/>
    <w:pPr>
      <w:adjustRightInd w:val="0"/>
      <w:spacing w:line="312" w:lineRule="atLeast"/>
      <w:jc w:val="center"/>
      <w:textAlignment w:val="baseline"/>
    </w:pPr>
    <w:rPr>
      <w:b/>
      <w:kern w:val="0"/>
      <w:sz w:val="36"/>
      <w:szCs w:val="36"/>
    </w:rPr>
  </w:style>
  <w:style w:type="paragraph" w:customStyle="1" w:styleId="216">
    <w:name w:val="pa-1"/>
    <w:basedOn w:val="1"/>
    <w:autoRedefine/>
    <w:qFormat/>
    <w:uiPriority w:val="0"/>
    <w:pPr>
      <w:widowControl/>
      <w:spacing w:line="280" w:lineRule="atLeast"/>
    </w:pPr>
    <w:rPr>
      <w:rFonts w:ascii="宋体" w:hAnsi="宋体" w:cs="宋体"/>
      <w:kern w:val="0"/>
      <w:sz w:val="24"/>
    </w:rPr>
  </w:style>
  <w:style w:type="paragraph" w:customStyle="1" w:styleId="217">
    <w:name w:val="about_main1"/>
    <w:basedOn w:val="1"/>
    <w:autoRedefine/>
    <w:qFormat/>
    <w:uiPriority w:val="0"/>
    <w:pPr>
      <w:widowControl/>
      <w:spacing w:before="30" w:after="100" w:afterAutospacing="1"/>
      <w:jc w:val="left"/>
    </w:pPr>
    <w:rPr>
      <w:rFonts w:ascii="宋体" w:hAnsi="宋体" w:cs="宋体"/>
      <w:kern w:val="0"/>
      <w:sz w:val="24"/>
    </w:rPr>
  </w:style>
  <w:style w:type="paragraph" w:customStyle="1" w:styleId="218">
    <w:name w:val="Char2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19">
    <w:name w:val="Char12"/>
    <w:basedOn w:val="16"/>
    <w:autoRedefine/>
    <w:qFormat/>
    <w:uiPriority w:val="0"/>
    <w:pPr>
      <w:widowControl/>
      <w:ind w:firstLine="454"/>
      <w:jc w:val="left"/>
    </w:pPr>
    <w:rPr>
      <w:rFonts w:ascii="Tahoma" w:hAnsi="Tahoma" w:cs="宋体"/>
      <w:kern w:val="0"/>
      <w:sz w:val="24"/>
      <w:szCs w:val="20"/>
    </w:rPr>
  </w:style>
  <w:style w:type="paragraph" w:customStyle="1" w:styleId="220">
    <w:name w:val="2ji"/>
    <w:basedOn w:val="4"/>
    <w:autoRedefine/>
    <w:qFormat/>
    <w:uiPriority w:val="0"/>
    <w:pPr>
      <w:keepLines/>
      <w:spacing w:before="0"/>
      <w:jc w:val="both"/>
      <w:textAlignment w:val="baseline"/>
    </w:pPr>
    <w:rPr>
      <w:rFonts w:ascii="宋体" w:hAnsi="宋体" w:eastAsia="宋体"/>
      <w:bCs/>
      <w:sz w:val="21"/>
      <w:szCs w:val="21"/>
    </w:rPr>
  </w:style>
  <w:style w:type="paragraph" w:customStyle="1" w:styleId="221">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222">
    <w:name w:val="1."/>
    <w:basedOn w:val="1"/>
    <w:autoRedefine/>
    <w:qFormat/>
    <w:uiPriority w:val="0"/>
    <w:pPr>
      <w:spacing w:line="360" w:lineRule="auto"/>
      <w:ind w:firstLine="480" w:firstLineChars="200"/>
    </w:pPr>
    <w:rPr>
      <w:rFonts w:ascii="宋体" w:hAnsi="宋体"/>
      <w:sz w:val="24"/>
    </w:rPr>
  </w:style>
  <w:style w:type="paragraph" w:customStyle="1" w:styleId="223">
    <w:name w:val="p0"/>
    <w:basedOn w:val="1"/>
    <w:autoRedefine/>
    <w:qFormat/>
    <w:uiPriority w:val="0"/>
    <w:pPr>
      <w:widowControl/>
    </w:pPr>
    <w:rPr>
      <w:kern w:val="0"/>
      <w:szCs w:val="21"/>
    </w:rPr>
  </w:style>
  <w:style w:type="paragraph" w:customStyle="1" w:styleId="224">
    <w:name w:val="Plain Text_file_1222"/>
    <w:basedOn w:val="1"/>
    <w:autoRedefine/>
    <w:qFormat/>
    <w:uiPriority w:val="0"/>
    <w:rPr>
      <w:rFonts w:hint="eastAsia" w:ascii="宋体" w:hAnsi="Courier New"/>
      <w:szCs w:val="21"/>
    </w:rPr>
  </w:style>
  <w:style w:type="paragraph" w:customStyle="1" w:styleId="225">
    <w:name w:val="Char1 Char Char Char Char Char Char Char Char Char Char Char Char"/>
    <w:basedOn w:val="1"/>
    <w:autoRedefine/>
    <w:qFormat/>
    <w:uiPriority w:val="0"/>
    <w:rPr>
      <w:rFonts w:ascii="Tahoma" w:hAnsi="Tahoma"/>
      <w:sz w:val="24"/>
      <w:szCs w:val="20"/>
    </w:rPr>
  </w:style>
  <w:style w:type="paragraph" w:customStyle="1" w:styleId="226">
    <w:name w:val="样式5"/>
    <w:basedOn w:val="4"/>
    <w:autoRedefine/>
    <w:qFormat/>
    <w:uiPriority w:val="0"/>
    <w:pPr>
      <w:keepLines/>
      <w:adjustRightInd/>
      <w:spacing w:before="260" w:after="260"/>
      <w:ind w:left="420" w:leftChars="200"/>
      <w:jc w:val="both"/>
    </w:pPr>
    <w:rPr>
      <w:rFonts w:ascii="宋体" w:hAnsi="宋体" w:eastAsia="宋体"/>
      <w:bCs/>
      <w:sz w:val="24"/>
      <w:szCs w:val="24"/>
    </w:rPr>
  </w:style>
  <w:style w:type="paragraph" w:customStyle="1" w:styleId="227">
    <w:name w:val="style2"/>
    <w:basedOn w:val="1"/>
    <w:autoRedefine/>
    <w:qFormat/>
    <w:uiPriority w:val="0"/>
    <w:pPr>
      <w:widowControl/>
      <w:spacing w:before="100" w:beforeAutospacing="1" w:after="100" w:afterAutospacing="1"/>
    </w:pPr>
    <w:rPr>
      <w:rFonts w:hint="eastAsia" w:ascii="宋体" w:hAnsi="宋体" w:cs="Arial"/>
      <w:kern w:val="0"/>
      <w:sz w:val="18"/>
      <w:szCs w:val="18"/>
    </w:rPr>
  </w:style>
  <w:style w:type="paragraph" w:customStyle="1" w:styleId="228">
    <w:name w:val="五级条标题"/>
    <w:basedOn w:val="202"/>
    <w:next w:val="194"/>
    <w:autoRedefine/>
    <w:qFormat/>
    <w:uiPriority w:val="0"/>
    <w:pPr>
      <w:outlineLvl w:val="6"/>
    </w:pPr>
  </w:style>
  <w:style w:type="paragraph" w:customStyle="1" w:styleId="229">
    <w:name w:val="xl24"/>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30">
    <w:name w:val="Tabletext"/>
    <w:basedOn w:val="1"/>
    <w:autoRedefine/>
    <w:qFormat/>
    <w:uiPriority w:val="0"/>
    <w:pPr>
      <w:keepLines/>
      <w:spacing w:after="120" w:line="240" w:lineRule="atLeast"/>
      <w:jc w:val="left"/>
    </w:pPr>
    <w:rPr>
      <w:rFonts w:ascii="宋体"/>
      <w:snapToGrid w:val="0"/>
      <w:kern w:val="0"/>
      <w:sz w:val="20"/>
      <w:szCs w:val="20"/>
    </w:rPr>
  </w:style>
  <w:style w:type="paragraph" w:customStyle="1" w:styleId="231">
    <w:name w:val="_Style 86"/>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
    <w:name w:val="Char Char Char Char1"/>
    <w:basedOn w:val="1"/>
    <w:autoRedefine/>
    <w:qFormat/>
    <w:uiPriority w:val="0"/>
  </w:style>
  <w:style w:type="paragraph" w:customStyle="1" w:styleId="233">
    <w:name w:val="1 Char"/>
    <w:basedOn w:val="8"/>
    <w:autoRedefine/>
    <w:qFormat/>
    <w:uiPriority w:val="0"/>
    <w:pPr>
      <w:spacing w:line="360" w:lineRule="auto"/>
      <w:ind w:left="0" w:firstLine="200" w:firstLineChars="200"/>
      <w:jc w:val="both"/>
    </w:pPr>
    <w:rPr>
      <w:rFonts w:ascii="Times New Roman"/>
      <w:snapToGrid/>
      <w:kern w:val="2"/>
      <w:sz w:val="21"/>
    </w:rPr>
  </w:style>
  <w:style w:type="paragraph" w:customStyle="1" w:styleId="234">
    <w:name w:val="Char Char3 Char Char"/>
    <w:basedOn w:val="1"/>
    <w:autoRedefine/>
    <w:qFormat/>
    <w:uiPriority w:val="0"/>
  </w:style>
  <w:style w:type="paragraph" w:customStyle="1" w:styleId="235">
    <w:name w:val="正文 A"/>
    <w:autoRedefine/>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36">
    <w:name w:val="Char Char Char1"/>
    <w:basedOn w:val="1"/>
    <w:autoRedefine/>
    <w:qFormat/>
    <w:uiPriority w:val="0"/>
    <w:rPr>
      <w:rFonts w:ascii="Tahoma" w:hAnsi="Tahoma"/>
      <w:sz w:val="24"/>
      <w:szCs w:val="20"/>
    </w:rPr>
  </w:style>
  <w:style w:type="paragraph" w:customStyle="1" w:styleId="237">
    <w:name w:val="ÕýÎÄ"/>
    <w:autoRedefine/>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38">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39">
    <w:name w:val="_Style 861"/>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41">
    <w:name w:val="正文1"/>
    <w:basedOn w:val="1"/>
    <w:autoRedefine/>
    <w:qFormat/>
    <w:uiPriority w:val="0"/>
    <w:pPr>
      <w:widowControl/>
      <w:overflowPunct w:val="0"/>
      <w:autoSpaceDE w:val="0"/>
      <w:autoSpaceDN w:val="0"/>
      <w:adjustRightInd w:val="0"/>
    </w:pPr>
    <w:rPr>
      <w:rFonts w:ascii="宋体"/>
      <w:kern w:val="0"/>
      <w:szCs w:val="20"/>
    </w:rPr>
  </w:style>
  <w:style w:type="paragraph" w:customStyle="1" w:styleId="242">
    <w:name w:val="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43">
    <w:name w:val="默认段落字体 Para Char Char Char Char Char Char Char Char Char Char Char Char Char Char Char Char Char Char Char"/>
    <w:basedOn w:val="1"/>
    <w:autoRedefine/>
    <w:qFormat/>
    <w:uiPriority w:val="0"/>
    <w:rPr>
      <w:rFonts w:ascii="Calibri" w:hAnsi="Calibri"/>
      <w:szCs w:val="22"/>
    </w:rPr>
  </w:style>
  <w:style w:type="paragraph" w:customStyle="1" w:styleId="244">
    <w:name w:val="默认段落字体 Para Char1"/>
    <w:next w:val="1"/>
    <w:autoRedefine/>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45">
    <w:name w:val="样式 Verdana 首行缩进:  0.74 厘米"/>
    <w:basedOn w:val="1"/>
    <w:autoRedefine/>
    <w:qFormat/>
    <w:uiPriority w:val="0"/>
    <w:pPr>
      <w:spacing w:line="360" w:lineRule="auto"/>
      <w:ind w:firstLine="420"/>
    </w:pPr>
    <w:rPr>
      <w:rFonts w:ascii="Verdana" w:hAnsi="Verdana"/>
      <w:sz w:val="24"/>
      <w:szCs w:val="20"/>
    </w:rPr>
  </w:style>
  <w:style w:type="table" w:customStyle="1" w:styleId="246">
    <w:name w:val="Normal Table_file_1222"/>
    <w:basedOn w:val="52"/>
    <w:autoRedefine/>
    <w:semiHidden/>
    <w:qFormat/>
    <w:uiPriority w:val="0"/>
    <w:tblPr>
      <w:tblCellMar>
        <w:top w:w="0" w:type="dxa"/>
        <w:left w:w="108" w:type="dxa"/>
        <w:bottom w:w="0" w:type="dxa"/>
        <w:right w:w="108" w:type="dxa"/>
      </w:tblCellMar>
    </w:tblPr>
  </w:style>
  <w:style w:type="paragraph" w:customStyle="1" w:styleId="247">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248">
    <w:name w:val="ca-21_file_3393_file_915"/>
    <w:basedOn w:val="249"/>
    <w:autoRedefine/>
    <w:qFormat/>
    <w:uiPriority w:val="0"/>
    <w:rPr>
      <w:rFonts w:ascii="宋体" w:hAnsi="宋体" w:eastAsia="宋体"/>
      <w:w w:val="100"/>
      <w:sz w:val="21"/>
      <w:szCs w:val="21"/>
      <w:shd w:val="clear" w:color="auto" w:fill="auto"/>
    </w:rPr>
  </w:style>
  <w:style w:type="character" w:customStyle="1" w:styleId="249">
    <w:name w:val="Default Paragraph Font_file_3393_file_915"/>
    <w:autoRedefine/>
    <w:semiHidden/>
    <w:qFormat/>
    <w:uiPriority w:val="0"/>
  </w:style>
  <w:style w:type="character" w:customStyle="1" w:styleId="250">
    <w:name w:val="ca-21_file_1878_file_4304"/>
    <w:autoRedefine/>
    <w:qFormat/>
    <w:uiPriority w:val="0"/>
    <w:rPr>
      <w:rFonts w:hint="eastAsia" w:ascii="宋体" w:hAnsi="宋体" w:eastAsia="宋体"/>
      <w:sz w:val="21"/>
      <w:szCs w:val="21"/>
    </w:rPr>
  </w:style>
  <w:style w:type="table" w:customStyle="1" w:styleId="251">
    <w:name w:val="Normal Table_file_121"/>
    <w:autoRedefine/>
    <w:semiHidden/>
    <w:qFormat/>
    <w:uiPriority w:val="0"/>
    <w:tblPr>
      <w:tblCellMar>
        <w:top w:w="0" w:type="dxa"/>
        <w:left w:w="108" w:type="dxa"/>
        <w:bottom w:w="0" w:type="dxa"/>
        <w:right w:w="108" w:type="dxa"/>
      </w:tblCellMar>
    </w:tblPr>
  </w:style>
  <w:style w:type="paragraph" w:customStyle="1" w:styleId="252">
    <w:name w:val="pa-1_file_121"/>
    <w:basedOn w:val="1"/>
    <w:autoRedefine/>
    <w:qFormat/>
    <w:uiPriority w:val="0"/>
    <w:pPr>
      <w:widowControl/>
      <w:spacing w:line="280" w:lineRule="atLeast"/>
    </w:pPr>
    <w:rPr>
      <w:rFonts w:ascii="宋体" w:hAnsi="宋体" w:cs="宋体"/>
      <w:kern w:val="0"/>
      <w:sz w:val="24"/>
    </w:rPr>
  </w:style>
  <w:style w:type="character" w:customStyle="1" w:styleId="253">
    <w:name w:val="ca-21_file_121"/>
    <w:basedOn w:val="54"/>
    <w:autoRedefine/>
    <w:qFormat/>
    <w:uiPriority w:val="0"/>
    <w:rPr>
      <w:rFonts w:ascii="宋体" w:hAnsi="宋体" w:eastAsia="宋体"/>
      <w:w w:val="100"/>
      <w:sz w:val="21"/>
      <w:szCs w:val="21"/>
      <w:shd w:val="clear" w:color="auto" w:fill="auto"/>
    </w:rPr>
  </w:style>
  <w:style w:type="paragraph" w:customStyle="1" w:styleId="254">
    <w:name w:val="Normal (Web)_file_430_file_439"/>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customStyle="1" w:styleId="255">
    <w:name w:val="Normal (Web)_file_119_file_124"/>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paragraph" w:customStyle="1" w:styleId="256">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57">
    <w:name w:val="修订3"/>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58">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59">
    <w:name w:val="Normal (Web)_file_2865"/>
    <w:basedOn w:val="260"/>
    <w:autoRedefine/>
    <w:unhideWhenUsed/>
    <w:qFormat/>
    <w:uiPriority w:val="99"/>
    <w:pPr>
      <w:spacing w:before="100" w:beforeAutospacing="1" w:after="100" w:afterAutospacing="1"/>
    </w:pPr>
  </w:style>
  <w:style w:type="paragraph" w:customStyle="1" w:styleId="260">
    <w:name w:val="Normal_file_2865"/>
    <w:autoRedefine/>
    <w:qFormat/>
    <w:uiPriority w:val="0"/>
    <w:rPr>
      <w:rFonts w:ascii="宋体" w:hAnsi="宋体" w:eastAsia="宋体" w:cs="宋体"/>
      <w:sz w:val="24"/>
      <w:szCs w:val="24"/>
      <w:lang w:val="en-US" w:eastAsia="zh-CN" w:bidi="ar-SA"/>
    </w:rPr>
  </w:style>
  <w:style w:type="paragraph" w:customStyle="1" w:styleId="261">
    <w:name w:val="Normal (Web)_file_2864_file_2871"/>
    <w:basedOn w:val="262"/>
    <w:autoRedefine/>
    <w:unhideWhenUsed/>
    <w:qFormat/>
    <w:uiPriority w:val="99"/>
    <w:pPr>
      <w:spacing w:before="100" w:beforeAutospacing="1" w:after="100" w:afterAutospacing="1"/>
    </w:pPr>
  </w:style>
  <w:style w:type="paragraph" w:customStyle="1" w:styleId="262">
    <w:name w:val="Normal_file_2864_file_2871"/>
    <w:autoRedefine/>
    <w:qFormat/>
    <w:uiPriority w:val="0"/>
    <w:rPr>
      <w:rFonts w:ascii="宋体" w:hAnsi="宋体" w:eastAsia="宋体" w:cs="宋体"/>
      <w:sz w:val="24"/>
      <w:szCs w:val="24"/>
      <w:lang w:val="en-US" w:eastAsia="zh-CN" w:bidi="ar-SA"/>
    </w:rPr>
  </w:style>
  <w:style w:type="character" w:customStyle="1" w:styleId="263">
    <w:name w:val="正文首行缩进 2 Char"/>
    <w:basedOn w:val="80"/>
    <w:link w:val="51"/>
    <w:autoRedefine/>
    <w:qFormat/>
    <w:uiPriority w:val="0"/>
    <w:rPr>
      <w:kern w:val="2"/>
      <w:sz w:val="21"/>
      <w:szCs w:val="24"/>
    </w:rPr>
  </w:style>
  <w:style w:type="paragraph" w:customStyle="1" w:styleId="264">
    <w:name w:val="Revision"/>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265">
    <w:name w:val="Heading4"/>
    <w:basedOn w:val="1"/>
    <w:next w:val="1"/>
    <w:autoRedefine/>
    <w:qFormat/>
    <w:uiPriority w:val="0"/>
    <w:pPr>
      <w:keepNext/>
      <w:keepLines/>
      <w:widowControl/>
      <w:spacing w:before="120" w:after="120" w:line="360" w:lineRule="auto"/>
      <w:jc w:val="center"/>
      <w:textAlignment w:val="baseline"/>
    </w:pPr>
    <w:rPr>
      <w:rFonts w:ascii="Arial" w:hAnsi="Arial" w:eastAsia="黑体"/>
      <w:kern w:val="0"/>
      <w:sz w:val="28"/>
      <w:szCs w:val="20"/>
    </w:rPr>
  </w:style>
  <w:style w:type="paragraph" w:customStyle="1" w:styleId="266">
    <w:name w:val="Table Text"/>
    <w:basedOn w:val="1"/>
    <w:autoRedefine/>
    <w:semiHidden/>
    <w:qFormat/>
    <w:uiPriority w:val="0"/>
    <w:rPr>
      <w:rFonts w:ascii="宋体" w:hAnsi="宋体" w:eastAsia="宋体" w:cs="宋体"/>
      <w:sz w:val="20"/>
      <w:szCs w:val="20"/>
      <w:lang w:val="en-US" w:eastAsia="en-US" w:bidi="ar-SA"/>
    </w:rPr>
  </w:style>
  <w:style w:type="table" w:customStyle="1" w:styleId="267">
    <w:name w:val="Table Normal"/>
    <w:autoRedefine/>
    <w:semiHidden/>
    <w:unhideWhenUsed/>
    <w:qFormat/>
    <w:uiPriority w:val="0"/>
    <w:tblPr>
      <w:tblCellMar>
        <w:top w:w="0" w:type="dxa"/>
        <w:left w:w="0" w:type="dxa"/>
        <w:bottom w:w="0" w:type="dxa"/>
        <w:right w:w="0" w:type="dxa"/>
      </w:tblCellMar>
    </w:tblPr>
  </w:style>
  <w:style w:type="paragraph" w:customStyle="1" w:styleId="268">
    <w:name w:val="Normal (Web)_file_267"/>
    <w:basedOn w:val="269"/>
    <w:autoRedefine/>
    <w:semiHidden/>
    <w:unhideWhenUsed/>
    <w:qFormat/>
    <w:uiPriority w:val="99"/>
  </w:style>
  <w:style w:type="paragraph" w:customStyle="1" w:styleId="269">
    <w:name w:val="Normal_file_267"/>
    <w:autoRedefine/>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270">
    <w:name w:val="Strong_file_267"/>
    <w:basedOn w:val="271"/>
    <w:autoRedefine/>
    <w:qFormat/>
    <w:uiPriority w:val="22"/>
    <w:rPr>
      <w:b/>
      <w:bCs/>
    </w:rPr>
  </w:style>
  <w:style w:type="character" w:customStyle="1" w:styleId="271">
    <w:name w:val="Default Paragraph Font_file_267"/>
    <w:autoRedefine/>
    <w:semiHidden/>
    <w:unhideWhenUsed/>
    <w:qFormat/>
    <w:uiPriority w:val="1"/>
  </w:style>
  <w:style w:type="paragraph" w:customStyle="1" w:styleId="272">
    <w:name w:val="Normal (Web)_file_268"/>
    <w:basedOn w:val="273"/>
    <w:autoRedefine/>
    <w:semiHidden/>
    <w:unhideWhenUsed/>
    <w:qFormat/>
    <w:uiPriority w:val="99"/>
  </w:style>
  <w:style w:type="paragraph" w:customStyle="1" w:styleId="273">
    <w:name w:val="Normal_file_268"/>
    <w:autoRedefine/>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274">
    <w:name w:val="Strong_file_268"/>
    <w:basedOn w:val="275"/>
    <w:autoRedefine/>
    <w:qFormat/>
    <w:uiPriority w:val="22"/>
    <w:rPr>
      <w:b/>
      <w:bCs/>
    </w:rPr>
  </w:style>
  <w:style w:type="character" w:customStyle="1" w:styleId="275">
    <w:name w:val="Default Paragraph Font_file_268"/>
    <w:autoRedefine/>
    <w:semiHidden/>
    <w:unhideWhenUsed/>
    <w:qFormat/>
    <w:uiPriority w:val="1"/>
  </w:style>
  <w:style w:type="paragraph" w:customStyle="1" w:styleId="276">
    <w:name w:val="Normal (Web)_file_257"/>
    <w:basedOn w:val="277"/>
    <w:autoRedefine/>
    <w:semiHidden/>
    <w:unhideWhenUsed/>
    <w:qFormat/>
    <w:uiPriority w:val="99"/>
  </w:style>
  <w:style w:type="paragraph" w:customStyle="1" w:styleId="277">
    <w:name w:val="Normal_file_257"/>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8">
    <w:name w:val="Normal (Web)_file_281"/>
    <w:basedOn w:val="279"/>
    <w:autoRedefine/>
    <w:semiHidden/>
    <w:unhideWhenUsed/>
    <w:qFormat/>
    <w:uiPriority w:val="99"/>
  </w:style>
  <w:style w:type="paragraph" w:customStyle="1" w:styleId="279">
    <w:name w:val="Normal_file_281"/>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80">
    <w:name w:val="Normal (Web)_file_262"/>
    <w:basedOn w:val="281"/>
    <w:autoRedefine/>
    <w:semiHidden/>
    <w:unhideWhenUsed/>
    <w:qFormat/>
    <w:uiPriority w:val="99"/>
  </w:style>
  <w:style w:type="paragraph" w:customStyle="1" w:styleId="281">
    <w:name w:val="Normal_file_262"/>
    <w:autoRedefine/>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282">
    <w:name w:val="Strong_file_177"/>
    <w:basedOn w:val="283"/>
    <w:autoRedefine/>
    <w:qFormat/>
    <w:uiPriority w:val="22"/>
    <w:rPr>
      <w:b/>
      <w:bCs/>
    </w:rPr>
  </w:style>
  <w:style w:type="character" w:customStyle="1" w:styleId="283">
    <w:name w:val="Default Paragraph Font_file_177"/>
    <w:autoRedefine/>
    <w:semiHidden/>
    <w:unhideWhenUsed/>
    <w:qFormat/>
    <w:uiPriority w:val="1"/>
  </w:style>
  <w:style w:type="paragraph" w:customStyle="1" w:styleId="284">
    <w:name w:val="正文_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5">
    <w:name w:val="正文_3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6">
    <w:name w:val="正文_3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7">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8">
    <w:name w:val="标题 4_1"/>
    <w:basedOn w:val="287"/>
    <w:next w:val="287"/>
    <w:autoRedefine/>
    <w:qFormat/>
    <w:uiPriority w:val="0"/>
    <w:pPr>
      <w:keepNext/>
      <w:keepLines/>
      <w:spacing w:before="280" w:after="290" w:line="372" w:lineRule="auto"/>
      <w:outlineLvl w:val="3"/>
    </w:pPr>
    <w:rPr>
      <w:rFonts w:ascii="Cambria" w:hAnsi="Cambria"/>
      <w:b/>
      <w:bCs/>
      <w:sz w:val="28"/>
      <w:szCs w:val="28"/>
    </w:rPr>
  </w:style>
  <w:style w:type="paragraph" w:customStyle="1" w:styleId="289">
    <w:name w:val="正文_3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0">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91">
    <w:name w:val="Other|1"/>
    <w:basedOn w:val="1"/>
    <w:autoRedefine/>
    <w:qFormat/>
    <w:uiPriority w:val="0"/>
    <w:pPr>
      <w:spacing w:line="360" w:lineRule="auto"/>
      <w:ind w:firstLine="400"/>
      <w:jc w:val="left"/>
    </w:pPr>
    <w:rPr>
      <w:rFonts w:ascii="宋体" w:hAnsi="宋体" w:cs="宋体"/>
      <w:kern w:val="0"/>
      <w:sz w:val="20"/>
      <w:szCs w:val="20"/>
      <w:lang w:val="zh-CN" w:bidi="zh-CN"/>
    </w:rPr>
  </w:style>
  <w:style w:type="table" w:customStyle="1" w:styleId="292">
    <w:name w:val="Normal Table_file_457_file_528"/>
    <w:autoRedefine/>
    <w:semiHidden/>
    <w:qFormat/>
    <w:uiPriority w:val="0"/>
    <w:tblPr>
      <w:tblCellMar>
        <w:top w:w="0" w:type="dxa"/>
        <w:left w:w="108" w:type="dxa"/>
        <w:bottom w:w="0" w:type="dxa"/>
        <w:right w:w="108" w:type="dxa"/>
      </w:tblCellMar>
    </w:tblPr>
  </w:style>
  <w:style w:type="paragraph" w:customStyle="1" w:styleId="293">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4">
    <w:name w:val="标题 1_2"/>
    <w:basedOn w:val="295"/>
    <w:next w:val="295"/>
    <w:qFormat/>
    <w:uiPriority w:val="0"/>
    <w:pPr>
      <w:keepNext/>
      <w:keepLines/>
      <w:spacing w:line="360" w:lineRule="auto"/>
      <w:outlineLvl w:val="0"/>
    </w:pPr>
    <w:rPr>
      <w:b/>
      <w:bCs/>
      <w:kern w:val="44"/>
      <w:sz w:val="32"/>
      <w:szCs w:val="44"/>
    </w:rPr>
  </w:style>
  <w:style w:type="paragraph" w:customStyle="1" w:styleId="295">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正文_5"/>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112</Pages>
  <Words>19149</Words>
  <Characters>21100</Characters>
  <Lines>73</Lines>
  <Paragraphs>82</Paragraphs>
  <TotalTime>97</TotalTime>
  <ScaleCrop>false</ScaleCrop>
  <LinksUpToDate>false</LinksUpToDate>
  <CharactersWithSpaces>21160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2021-08-25T09:04:00Z</dcterms:created>
  <dc:creator>柳州市政府集中采购中心</dc:creator>
  <cp:lastModifiedBy>金良</cp:lastModifiedBy>
  <cp:lastPrinted>2025-05-29T08:20:00Z</cp:lastPrinted>
  <dcterms:modified xsi:type="dcterms:W3CDTF">2025-06-03T01:35:37Z</dcterms:modified>
  <dc:title>竞争性磋商文件</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92699BD397FC4E80BB6D15E2D0DCFB0A</vt:lpwstr>
  </property>
  <property fmtid="{D5CDD505-2E9C-101B-9397-08002B2CF9AE}" pid="4" name="KSOTemplateDocerSaveRecord">
    <vt:lpwstr>eyJoZGlkIjoiOWQyNjk2ODViMzVjZDAyZDMwZWEwMTU2ODI2YzA5YmQiLCJ1c2VySWQiOiI3MDg5ODU5NDEifQ==</vt:lpwstr>
  </property>
</Properties>
</file>