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lang w:eastAsia="zh-CN"/>
        </w:rPr>
        <w:t>广西双科建设工程咨询有限公司</w:t>
      </w:r>
    </w:p>
    <w:p>
      <w:pPr>
        <w:spacing w:after="120"/>
        <w:ind w:firstLine="404"/>
        <w:rPr>
          <w:rFonts w:ascii="宋体" w:hAnsi="宋体" w:cs="宋体"/>
          <w:b/>
          <w:bCs/>
          <w:sz w:val="10"/>
          <w:highlight w:val="none"/>
        </w:rPr>
      </w:pPr>
      <w:r>
        <w:rPr>
          <w:rFonts w:ascii="宋体" w:hAnsi="宋体" w:cs="宋体"/>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57785</wp:posOffset>
                </wp:positionV>
                <wp:extent cx="6282055" cy="0"/>
                <wp:effectExtent l="0" t="13970" r="4445" b="24130"/>
                <wp:wrapNone/>
                <wp:docPr id="6" name="直接连接符 6"/>
                <wp:cNvGraphicFramePr/>
                <a:graphic xmlns:a="http://schemas.openxmlformats.org/drawingml/2006/main">
                  <a:graphicData uri="http://schemas.microsoft.com/office/word/2010/wordprocessingShape">
                    <wps:wsp>
                      <wps:cNvCnPr/>
                      <wps:spPr>
                        <a:xfrm flipV="1">
                          <a:off x="0" y="0"/>
                          <a:ext cx="628205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8pt;margin-top:4.55pt;height:0pt;width:494.65pt;z-index:251659264;mso-width-relative:page;mso-height-relative:page;" filled="f" stroked="t" coordsize="21600,21600" o:gfxdata="UEsDBAoAAAAAAIdO4kAAAAAAAAAAAAAAAAAEAAAAZHJzL1BLAwQUAAAACACHTuJA9X2pfNUAAAAH&#10;AQAADwAAAGRycy9kb3ducmV2LnhtbE2OwU7DMBBE70j8g7VIXFBrB0rahjg9IIE4cGngAzbxNomI&#10;1yF2m7Zfj+FSjqMZvXn55mh7caDRd441JHMFgrh2puNGw+fHy2wFwgdkg71j0nAiD5vi+irHzLiJ&#10;t3QoQyMihH2GGtoQhkxKX7dk0c/dQBy7nRsthhjHRpoRpwi3vbxXKpUWO44PLQ703FL9Ve6thm21&#10;wvc39V26E6fn6Vz617uh1vr2JlFPIAIdw2UMv/pRHYroVLk9Gy96DbPFYxqnGtYJiNivFw9LENVf&#10;lkUu//sXP1BLAwQUAAAACACHTuJAMc+Nz/QBAADjAwAADgAAAGRycy9lMm9Eb2MueG1srVO9jhMx&#10;EO6ReAfLPdlcpIRolc0VF44GQSR++onXzlrynzy+bPISvAASHVSU9LwNd4/B2JsL3F2TAhfWeGb8&#10;zXyfx4vLvTVsJyNq7xp+MRpzJp3wrXbbhn/8cP1izhkmcC0Y72TDDxL55fL5s0UfajnxnTetjIxA&#10;HNZ9aHiXUqirCkUnLeDIB+koqHy0kOgYt1UboSd0a6rJeDyreh/bEL2QiORdDUF+RIznAHqltJAr&#10;L26sdGlAjdJAIkrY6YB8WbpVSor0TimUiZmGE9NUdipC9ibv1XIB9TZC6LQ4tgDntPCIkwXtqOgJ&#10;agUJ2E3UT6CsFtGjV2kkvK0GIkURYnExfqTN+w6CLFxIagwn0fH/wYq3u3Vkum34jDMHlh789svP&#10;35+/3f36Svvtj+9slkXqA9aUe+XW8XjCsI6Z8V5Fy5TR4RNNU9GAWLF9kfhwkljuExPknE3mk/F0&#10;ypm4j1UDRIYKEdNr6S3LRsONdpk91LB7g4nKUup9SnYbx/qGT+bTlxkPaBYVzQCZNhAfdNtyGb3R&#10;7bU2Jl/BuN1cmch2kOehrMyOgB+k5SorwG7IK6FhUjoJ7SvXsnQIpJSjD8JzD1a2nBlJ/ylbBAh1&#10;Am3OyaTSxlEHWeBB0mxtfHsoShc/vX3p8Tinebj+PZfbf//m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fal81QAAAAcBAAAPAAAAAAAAAAEAIAAAACIAAABkcnMvZG93bnJldi54bWxQSwECFAAU&#10;AAAACACHTuJAMc+Nz/QBAADjAwAADgAAAAAAAAABACAAAAAkAQAAZHJzL2Uyb0RvYy54bWxQSwUG&#10;AAAAAAYABgBZAQAAigUAAAAA&#10;">
                <v:fill on="f" focussize="0,0"/>
                <v:stroke weight="2.25pt" color="#000000" joinstyle="round"/>
                <v:imagedata o:title=""/>
                <o:lock v:ext="edit" aspectratio="f"/>
              </v:line>
            </w:pict>
          </mc:Fallback>
        </mc:AlternateContent>
      </w:r>
      <w:r>
        <w:rPr>
          <w:rFonts w:hint="eastAsia" w:ascii="宋体" w:hAnsi="宋体" w:cs="宋体"/>
          <w:b/>
          <w:bCs/>
          <w:sz w:val="10"/>
          <w:highlight w:val="none"/>
        </w:rPr>
        <w:t xml:space="preserve">                                                                                                                                                                                       </w:t>
      </w:r>
    </w:p>
    <w:p>
      <w:pPr>
        <w:spacing w:before="120" w:beforeLines="50" w:line="360" w:lineRule="auto"/>
        <w:jc w:val="center"/>
        <w:rPr>
          <w:rFonts w:ascii="宋体" w:hAnsi="宋体"/>
          <w:sz w:val="52"/>
          <w:szCs w:val="52"/>
          <w:highlight w:val="none"/>
        </w:rPr>
      </w:pPr>
    </w:p>
    <w:p>
      <w:pPr>
        <w:pStyle w:val="11"/>
        <w:jc w:val="center"/>
        <w:rPr>
          <w:rFonts w:hint="eastAsia" w:hAnsi="宋体"/>
          <w:spacing w:val="30"/>
          <w:kern w:val="52"/>
          <w:sz w:val="64"/>
          <w:szCs w:val="64"/>
          <w:highlight w:val="none"/>
        </w:rPr>
      </w:pPr>
    </w:p>
    <w:p>
      <w:pPr>
        <w:snapToGrid w:val="0"/>
        <w:spacing w:before="156" w:beforeLines="50" w:line="360" w:lineRule="auto"/>
        <w:jc w:val="center"/>
        <w:rPr>
          <w:rFonts w:ascii="宋体" w:hAnsi="宋体"/>
          <w:highlight w:val="none"/>
        </w:rPr>
      </w:pPr>
    </w:p>
    <w:p>
      <w:pPr>
        <w:snapToGrid w:val="0"/>
        <w:spacing w:before="156" w:beforeLines="50" w:line="360" w:lineRule="auto"/>
        <w:jc w:val="center"/>
        <w:rPr>
          <w:rFonts w:hint="eastAsia" w:ascii="华文新魏" w:hAnsi="宋体" w:eastAsia="华文新魏"/>
          <w:sz w:val="120"/>
          <w:szCs w:val="120"/>
          <w:highlight w:val="none"/>
        </w:rPr>
      </w:pPr>
      <w:r>
        <w:rPr>
          <w:rFonts w:hint="eastAsia" w:ascii="华文新魏" w:hAnsi="宋体" w:eastAsia="华文新魏"/>
          <w:sz w:val="120"/>
          <w:szCs w:val="120"/>
          <w:highlight w:val="none"/>
        </w:rPr>
        <w:t>竞争性磋商文件</w:t>
      </w:r>
    </w:p>
    <w:p>
      <w:pPr>
        <w:snapToGrid w:val="0"/>
        <w:spacing w:before="156" w:beforeLines="50" w:line="360" w:lineRule="auto"/>
        <w:jc w:val="center"/>
        <w:rPr>
          <w:rFonts w:hint="eastAsia" w:ascii="宋体" w:hAnsi="宋体"/>
          <w:sz w:val="120"/>
          <w:szCs w:val="120"/>
          <w:highlight w:val="none"/>
        </w:rPr>
      </w:pPr>
      <w:r>
        <w:rPr>
          <w:rFonts w:hint="eastAsia" w:ascii="宋体" w:hAnsi="宋体"/>
          <w:b/>
          <w:sz w:val="48"/>
          <w:szCs w:val="48"/>
          <w:highlight w:val="none"/>
        </w:rPr>
        <w:t>（全流程电子化采购）</w:t>
      </w:r>
    </w:p>
    <w:p>
      <w:pPr>
        <w:snapToGrid w:val="0"/>
        <w:spacing w:line="360" w:lineRule="auto"/>
        <w:rPr>
          <w:rFonts w:hint="eastAsia" w:ascii="宋体" w:hAnsi="宋体"/>
          <w:sz w:val="30"/>
          <w:szCs w:val="72"/>
          <w:highlight w:val="none"/>
        </w:rPr>
      </w:pPr>
    </w:p>
    <w:p>
      <w:pPr>
        <w:pStyle w:val="11"/>
        <w:snapToGrid w:val="0"/>
        <w:spacing w:line="360" w:lineRule="auto"/>
        <w:ind w:firstLine="1807" w:firstLineChars="600"/>
        <w:rPr>
          <w:rFonts w:hAnsi="宋体"/>
          <w:b/>
          <w:bCs/>
          <w:sz w:val="30"/>
          <w:szCs w:val="30"/>
          <w:highlight w:val="none"/>
        </w:rPr>
      </w:pPr>
    </w:p>
    <w:p>
      <w:pPr>
        <w:pStyle w:val="11"/>
        <w:snapToGrid w:val="0"/>
        <w:spacing w:line="360" w:lineRule="auto"/>
        <w:ind w:firstLine="1807" w:firstLineChars="600"/>
        <w:rPr>
          <w:rFonts w:hAnsi="宋体"/>
          <w:b/>
          <w:bCs/>
          <w:sz w:val="30"/>
          <w:szCs w:val="30"/>
          <w:highlight w:val="none"/>
        </w:rPr>
      </w:pPr>
    </w:p>
    <w:p>
      <w:pPr>
        <w:pStyle w:val="11"/>
        <w:snapToGrid w:val="0"/>
        <w:spacing w:line="360" w:lineRule="auto"/>
        <w:ind w:firstLine="1807" w:firstLineChars="600"/>
        <w:rPr>
          <w:rFonts w:hAnsi="宋体"/>
          <w:b/>
          <w:bCs/>
          <w:sz w:val="30"/>
          <w:szCs w:val="30"/>
          <w:highlight w:val="none"/>
        </w:rPr>
      </w:pPr>
    </w:p>
    <w:p>
      <w:pPr>
        <w:pStyle w:val="11"/>
        <w:snapToGrid w:val="0"/>
        <w:spacing w:line="360" w:lineRule="auto"/>
        <w:jc w:val="left"/>
        <w:rPr>
          <w:rFonts w:hint="eastAsia" w:hAnsi="宋体" w:eastAsia="宋体" w:cs="宋体"/>
          <w:b/>
          <w:bCs/>
          <w:sz w:val="30"/>
          <w:szCs w:val="30"/>
          <w:highlight w:val="none"/>
          <w:lang w:eastAsia="zh-CN"/>
        </w:rPr>
      </w:pPr>
      <w:r>
        <w:rPr>
          <w:rFonts w:hint="eastAsia" w:hAnsi="宋体" w:cs="宋体"/>
          <w:b/>
          <w:bCs/>
          <w:sz w:val="30"/>
          <w:szCs w:val="30"/>
          <w:highlight w:val="none"/>
        </w:rPr>
        <w:t>项目名称：</w:t>
      </w:r>
      <w:r>
        <w:rPr>
          <w:rFonts w:hint="eastAsia" w:hAnsi="宋体" w:cs="宋体"/>
          <w:b/>
          <w:bCs/>
          <w:sz w:val="30"/>
          <w:szCs w:val="30"/>
          <w:highlight w:val="none"/>
          <w:lang w:eastAsia="zh-CN"/>
        </w:rPr>
        <w:t>2025年广西无线电管理信息化提升项目（一）</w:t>
      </w:r>
    </w:p>
    <w:p>
      <w:pPr>
        <w:pStyle w:val="11"/>
        <w:snapToGrid w:val="0"/>
        <w:spacing w:line="360" w:lineRule="auto"/>
        <w:jc w:val="left"/>
        <w:rPr>
          <w:rFonts w:hint="eastAsia" w:hAnsi="宋体" w:eastAsia="宋体" w:cs="宋体"/>
          <w:b/>
          <w:bCs/>
          <w:sz w:val="30"/>
          <w:szCs w:val="30"/>
          <w:highlight w:val="none"/>
          <w:lang w:eastAsia="zh-CN"/>
        </w:rPr>
      </w:pPr>
      <w:r>
        <w:rPr>
          <w:rFonts w:hint="eastAsia" w:hAnsi="宋体" w:cs="宋体"/>
          <w:b/>
          <w:bCs/>
          <w:sz w:val="30"/>
          <w:szCs w:val="30"/>
          <w:highlight w:val="none"/>
        </w:rPr>
        <w:t>项目编号：GXZC2025-C3-001788-SKGS</w:t>
      </w:r>
    </w:p>
    <w:p>
      <w:pPr>
        <w:pStyle w:val="11"/>
        <w:snapToGrid w:val="0"/>
        <w:spacing w:line="360" w:lineRule="auto"/>
        <w:jc w:val="left"/>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采 购 人：</w:t>
      </w:r>
      <w:r>
        <w:rPr>
          <w:rFonts w:hint="eastAsia" w:hAnsi="宋体" w:cs="宋体"/>
          <w:b/>
          <w:bCs/>
          <w:w w:val="95"/>
          <w:sz w:val="30"/>
          <w:szCs w:val="30"/>
          <w:highlight w:val="none"/>
          <w:lang w:eastAsia="zh-CN"/>
        </w:rPr>
        <w:t>广西壮族自治区工业和信息化厅</w:t>
      </w:r>
    </w:p>
    <w:p>
      <w:pPr>
        <w:pStyle w:val="11"/>
        <w:snapToGrid w:val="0"/>
        <w:spacing w:line="360" w:lineRule="auto"/>
        <w:jc w:val="left"/>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采购代理机构：</w:t>
      </w:r>
      <w:r>
        <w:rPr>
          <w:rFonts w:hint="eastAsia" w:hAnsi="宋体" w:cs="宋体"/>
          <w:b/>
          <w:bCs/>
          <w:w w:val="95"/>
          <w:sz w:val="30"/>
          <w:szCs w:val="30"/>
          <w:highlight w:val="none"/>
          <w:lang w:eastAsia="zh-CN"/>
        </w:rPr>
        <w:t>广西双科建设工程咨询有限公司</w:t>
      </w:r>
    </w:p>
    <w:p>
      <w:pPr>
        <w:pStyle w:val="11"/>
        <w:snapToGrid w:val="0"/>
        <w:spacing w:line="360" w:lineRule="auto"/>
        <w:jc w:val="center"/>
        <w:rPr>
          <w:rFonts w:hAnsi="宋体" w:cs="宋体"/>
          <w:b/>
          <w:bCs/>
          <w:w w:val="95"/>
          <w:sz w:val="30"/>
          <w:szCs w:val="30"/>
          <w:highlight w:val="none"/>
        </w:rPr>
      </w:pPr>
      <w:r>
        <w:rPr>
          <w:rFonts w:hint="eastAsia" w:hAnsi="宋体" w:cs="宋体"/>
          <w:b/>
          <w:bCs/>
          <w:w w:val="95"/>
          <w:sz w:val="30"/>
          <w:szCs w:val="30"/>
          <w:highlight w:val="none"/>
        </w:rPr>
        <w:t>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6</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26</w:t>
      </w:r>
      <w:r>
        <w:rPr>
          <w:rFonts w:hint="eastAsia" w:hAnsi="宋体" w:cs="宋体"/>
          <w:b/>
          <w:bCs/>
          <w:w w:val="95"/>
          <w:sz w:val="30"/>
          <w:szCs w:val="30"/>
          <w:highlight w:val="none"/>
        </w:rPr>
        <w:t>日</w:t>
      </w:r>
    </w:p>
    <w:p>
      <w:pPr>
        <w:rPr>
          <w:rFonts w:hint="eastAsia" w:hAnsi="宋体" w:cs="宋体"/>
          <w:b/>
          <w:sz w:val="44"/>
          <w:szCs w:val="44"/>
          <w:highlight w:val="none"/>
        </w:rPr>
      </w:pPr>
      <w:r>
        <w:rPr>
          <w:rFonts w:hint="eastAsia" w:hAnsi="宋体" w:cs="宋体"/>
          <w:b/>
          <w:sz w:val="44"/>
          <w:szCs w:val="44"/>
          <w:highlight w:val="none"/>
        </w:rPr>
        <w:br w:type="page"/>
      </w:r>
    </w:p>
    <w:p>
      <w:pPr>
        <w:pStyle w:val="11"/>
        <w:snapToGrid w:val="0"/>
        <w:spacing w:line="360" w:lineRule="auto"/>
        <w:ind w:left="420"/>
        <w:jc w:val="center"/>
        <w:rPr>
          <w:rFonts w:hint="eastAsia" w:hAnsi="宋体" w:cs="宋体"/>
          <w:b/>
          <w:sz w:val="44"/>
          <w:szCs w:val="44"/>
          <w:highlight w:val="none"/>
        </w:rPr>
      </w:pPr>
      <w:r>
        <w:rPr>
          <w:rFonts w:hint="eastAsia" w:hAnsi="宋体" w:cs="宋体"/>
          <w:b/>
          <w:sz w:val="44"/>
          <w:szCs w:val="44"/>
          <w:highlight w:val="none"/>
        </w:rPr>
        <w:t>目  录</w:t>
      </w:r>
    </w:p>
    <w:p>
      <w:pPr>
        <w:spacing w:line="360" w:lineRule="auto"/>
        <w:jc w:val="center"/>
        <w:rPr>
          <w:rFonts w:hint="eastAsia" w:ascii="宋体" w:hAnsi="宋体" w:cs="宋体"/>
          <w:b/>
          <w:sz w:val="44"/>
          <w:szCs w:val="44"/>
          <w:highlight w:val="none"/>
        </w:rPr>
      </w:pPr>
    </w:p>
    <w:p>
      <w:pPr>
        <w:pStyle w:val="33"/>
        <w:tabs>
          <w:tab w:val="right" w:leader="dot" w:pos="9072"/>
        </w:tabs>
        <w:spacing w:line="360" w:lineRule="auto"/>
        <w:rPr>
          <w:rFonts w:hint="eastAsia" w:ascii="宋体" w:hAnsi="宋体" w:cs="宋体"/>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TOC \o "1-3" \h \z \u </w:instrText>
      </w:r>
      <w:r>
        <w:rPr>
          <w:rFonts w:hint="eastAsia" w:ascii="宋体" w:hAnsi="宋体" w:cs="宋体"/>
          <w:b/>
          <w:sz w:val="24"/>
          <w:highlight w:val="none"/>
        </w:rPr>
        <w:fldChar w:fldCharType="separate"/>
      </w: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_Toc31696 </w:instrText>
      </w:r>
      <w:r>
        <w:rPr>
          <w:rFonts w:hint="eastAsia" w:ascii="宋体" w:hAnsi="宋体" w:cs="宋体"/>
          <w:sz w:val="24"/>
          <w:highlight w:val="none"/>
        </w:rPr>
        <w:fldChar w:fldCharType="separate"/>
      </w:r>
      <w:r>
        <w:rPr>
          <w:rFonts w:hint="eastAsia" w:ascii="宋体" w:hAnsi="宋体" w:cs="宋体"/>
          <w:sz w:val="24"/>
          <w:highlight w:val="none"/>
        </w:rPr>
        <w:t>第一章 竞争性磋商公告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_Toc31696 \h </w:instrText>
      </w:r>
      <w:r>
        <w:rPr>
          <w:rFonts w:hint="eastAsia" w:ascii="宋体" w:hAnsi="宋体" w:cs="宋体"/>
          <w:sz w:val="24"/>
          <w:highlight w:val="none"/>
        </w:rPr>
        <w:fldChar w:fldCharType="separate"/>
      </w:r>
      <w:r>
        <w:rPr>
          <w:rFonts w:hint="eastAsia" w:ascii="宋体" w:hAnsi="宋体" w:cs="宋体"/>
          <w:sz w:val="24"/>
          <w:highlight w:val="none"/>
        </w:rPr>
        <w:t>2</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33"/>
        <w:tabs>
          <w:tab w:val="right" w:leader="dot" w:pos="9072"/>
        </w:tabs>
        <w:spacing w:line="360" w:lineRule="auto"/>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_Toc27999 </w:instrText>
      </w:r>
      <w:r>
        <w:rPr>
          <w:rFonts w:hint="eastAsia" w:ascii="宋体" w:hAnsi="宋体" w:cs="宋体"/>
          <w:sz w:val="24"/>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_Toc27999 \h </w:instrText>
      </w:r>
      <w:r>
        <w:rPr>
          <w:rFonts w:hint="eastAsia" w:ascii="宋体" w:hAnsi="宋体" w:cs="宋体"/>
          <w:sz w:val="24"/>
          <w:highlight w:val="none"/>
        </w:rPr>
        <w:fldChar w:fldCharType="separate"/>
      </w:r>
      <w:r>
        <w:rPr>
          <w:rFonts w:hint="eastAsia" w:ascii="宋体" w:hAnsi="宋体" w:cs="宋体"/>
          <w:sz w:val="24"/>
          <w:highlight w:val="none"/>
        </w:rPr>
        <w:t>6</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33"/>
        <w:tabs>
          <w:tab w:val="right" w:leader="dot" w:pos="9072"/>
        </w:tabs>
        <w:spacing w:line="360" w:lineRule="auto"/>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_Toc19663 </w:instrText>
      </w:r>
      <w:r>
        <w:rPr>
          <w:rFonts w:hint="eastAsia" w:ascii="宋体" w:hAnsi="宋体" w:cs="宋体"/>
          <w:sz w:val="24"/>
          <w:highlight w:val="none"/>
        </w:rPr>
        <w:fldChar w:fldCharType="separate"/>
      </w:r>
      <w:r>
        <w:rPr>
          <w:rFonts w:hint="eastAsia" w:ascii="宋体" w:hAnsi="宋体" w:cs="宋体"/>
          <w:sz w:val="24"/>
          <w:highlight w:val="none"/>
        </w:rPr>
        <w:t>第三章 采购需求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_Toc19663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33"/>
        <w:tabs>
          <w:tab w:val="right" w:leader="dot" w:pos="9072"/>
        </w:tabs>
        <w:spacing w:line="360" w:lineRule="auto"/>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_Toc23318 </w:instrText>
      </w:r>
      <w:r>
        <w:rPr>
          <w:rFonts w:hint="eastAsia" w:ascii="宋体" w:hAnsi="宋体" w:cs="宋体"/>
          <w:sz w:val="24"/>
          <w:highlight w:val="none"/>
        </w:rPr>
        <w:fldChar w:fldCharType="separate"/>
      </w:r>
      <w:r>
        <w:rPr>
          <w:rFonts w:hint="eastAsia" w:ascii="宋体" w:hAnsi="宋体" w:cs="宋体"/>
          <w:sz w:val="24"/>
          <w:highlight w:val="none"/>
        </w:rPr>
        <w:t>第四章 评审程序、评审方法和评审标准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_Toc23318 \h </w:instrText>
      </w:r>
      <w:r>
        <w:rPr>
          <w:rFonts w:hint="eastAsia" w:ascii="宋体" w:hAnsi="宋体" w:cs="宋体"/>
          <w:sz w:val="24"/>
          <w:highlight w:val="none"/>
        </w:rPr>
        <w:fldChar w:fldCharType="separate"/>
      </w:r>
      <w:r>
        <w:rPr>
          <w:rFonts w:hint="eastAsia" w:ascii="宋体" w:hAnsi="宋体" w:cs="宋体"/>
          <w:sz w:val="24"/>
          <w:highlight w:val="none"/>
        </w:rPr>
        <w:t>39</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33"/>
        <w:tabs>
          <w:tab w:val="right" w:leader="dot" w:pos="9072"/>
        </w:tabs>
        <w:spacing w:line="360" w:lineRule="auto"/>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_Toc4011 </w:instrText>
      </w:r>
      <w:r>
        <w:rPr>
          <w:rFonts w:hint="eastAsia" w:ascii="宋体" w:hAnsi="宋体" w:cs="宋体"/>
          <w:sz w:val="24"/>
          <w:highlight w:val="none"/>
        </w:rPr>
        <w:fldChar w:fldCharType="separate"/>
      </w:r>
      <w:r>
        <w:rPr>
          <w:rFonts w:hint="eastAsia" w:ascii="宋体" w:hAnsi="宋体" w:cs="宋体"/>
          <w:sz w:val="24"/>
          <w:highlight w:val="none"/>
        </w:rPr>
        <w:t>第五章 响应文件格式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_Toc4011 \h </w:instrText>
      </w:r>
      <w:r>
        <w:rPr>
          <w:rFonts w:hint="eastAsia" w:ascii="宋体" w:hAnsi="宋体" w:cs="宋体"/>
          <w:sz w:val="24"/>
          <w:highlight w:val="none"/>
        </w:rPr>
        <w:fldChar w:fldCharType="separate"/>
      </w:r>
      <w:r>
        <w:rPr>
          <w:rFonts w:hint="eastAsia" w:ascii="宋体" w:hAnsi="宋体" w:cs="宋体"/>
          <w:sz w:val="24"/>
          <w:highlight w:val="none"/>
        </w:rPr>
        <w:t>53</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33"/>
        <w:tabs>
          <w:tab w:val="right" w:leader="dot" w:pos="9072"/>
        </w:tabs>
        <w:spacing w:line="360" w:lineRule="auto"/>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HYPERLINK \l _Toc25631 </w:instrText>
      </w:r>
      <w:r>
        <w:rPr>
          <w:rFonts w:hint="eastAsia" w:ascii="宋体" w:hAnsi="宋体" w:cs="宋体"/>
          <w:sz w:val="24"/>
          <w:highlight w:val="none"/>
        </w:rPr>
        <w:fldChar w:fldCharType="separate"/>
      </w:r>
      <w:r>
        <w:rPr>
          <w:rFonts w:hint="eastAsia" w:ascii="宋体" w:hAnsi="宋体" w:cs="宋体"/>
          <w:sz w:val="24"/>
          <w:highlight w:val="none"/>
        </w:rPr>
        <w:t>第六章 合同文本</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_Toc25631 \h </w:instrText>
      </w:r>
      <w:r>
        <w:rPr>
          <w:rFonts w:hint="eastAsia" w:ascii="宋体" w:hAnsi="宋体" w:cs="宋体"/>
          <w:sz w:val="24"/>
          <w:highlight w:val="none"/>
        </w:rPr>
        <w:fldChar w:fldCharType="separate"/>
      </w:r>
      <w:r>
        <w:rPr>
          <w:rFonts w:hint="eastAsia" w:ascii="宋体" w:hAnsi="宋体" w:cs="宋体"/>
          <w:sz w:val="24"/>
          <w:highlight w:val="none"/>
        </w:rPr>
        <w:t>77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41"/>
        <w:tabs>
          <w:tab w:val="right" w:leader="dot" w:pos="8931"/>
          <w:tab w:val="clear" w:pos="8296"/>
        </w:tabs>
        <w:snapToGrid w:val="0"/>
        <w:spacing w:line="360" w:lineRule="auto"/>
        <w:ind w:left="0" w:leftChars="0"/>
        <w:rPr>
          <w:rFonts w:hint="eastAsia" w:ascii="宋体" w:hAnsi="宋体" w:cs="宋体"/>
          <w:b/>
          <w:sz w:val="24"/>
          <w:highlight w:val="none"/>
        </w:rPr>
      </w:pPr>
      <w:r>
        <w:rPr>
          <w:rFonts w:hint="eastAsia" w:ascii="宋体" w:hAnsi="宋体" w:cs="宋体"/>
          <w:sz w:val="24"/>
          <w:highlight w:val="none"/>
        </w:rPr>
        <w:fldChar w:fldCharType="end"/>
      </w:r>
    </w:p>
    <w:p>
      <w:pPr>
        <w:spacing w:line="400" w:lineRule="exact"/>
        <w:jc w:val="left"/>
        <w:rPr>
          <w:rFonts w:hint="eastAsia" w:ascii="宋体" w:hAnsi="宋体" w:cs="宋体"/>
          <w:b/>
          <w:sz w:val="32"/>
          <w:szCs w:val="32"/>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pStyle w:val="41"/>
        <w:tabs>
          <w:tab w:val="right" w:leader="dot" w:pos="8931"/>
          <w:tab w:val="clear" w:pos="8296"/>
        </w:tabs>
        <w:snapToGrid w:val="0"/>
        <w:spacing w:line="500" w:lineRule="atLeast"/>
        <w:ind w:left="0" w:leftChars="0"/>
        <w:rPr>
          <w:rFonts w:hint="eastAsia" w:ascii="宋体" w:hAnsi="宋体" w:cs="宋体"/>
          <w:b/>
          <w:sz w:val="24"/>
          <w:highlight w:val="none"/>
        </w:rPr>
      </w:pPr>
    </w:p>
    <w:p>
      <w:pPr>
        <w:spacing w:line="400" w:lineRule="exact"/>
        <w:jc w:val="left"/>
        <w:rPr>
          <w:rFonts w:hint="eastAsia" w:ascii="宋体" w:hAnsi="宋体" w:cs="宋体"/>
          <w:b/>
          <w:sz w:val="32"/>
          <w:szCs w:val="32"/>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rPr>
          <w:rFonts w:hint="eastAsia" w:ascii="宋体" w:hAnsi="宋体" w:cs="宋体"/>
          <w:b/>
          <w:sz w:val="32"/>
          <w:szCs w:val="32"/>
          <w:highlight w:val="none"/>
        </w:rPr>
        <w:sectPr>
          <w:headerReference r:id="rId3" w:type="first"/>
          <w:footerReference r:id="rId5" w:type="first"/>
          <w:footerReference r:id="rId4" w:type="default"/>
          <w:pgSz w:w="11906" w:h="16838"/>
          <w:pgMar w:top="1417" w:right="1417" w:bottom="1417" w:left="1417" w:header="851" w:footer="567" w:gutter="0"/>
          <w:pgNumType w:start="0"/>
          <w:cols w:space="720" w:num="1"/>
          <w:titlePg/>
          <w:docGrid w:type="lines" w:linePitch="312" w:charSpace="0"/>
        </w:sectPr>
      </w:pPr>
    </w:p>
    <w:p>
      <w:pPr>
        <w:pStyle w:val="3"/>
        <w:spacing w:line="360" w:lineRule="auto"/>
        <w:jc w:val="center"/>
        <w:rPr>
          <w:rFonts w:hint="eastAsia" w:ascii="宋体" w:hAnsi="宋体" w:cs="宋体"/>
          <w:highlight w:val="none"/>
        </w:rPr>
      </w:pPr>
      <w:bookmarkStart w:id="0" w:name="_Toc31696"/>
      <w:r>
        <w:rPr>
          <w:rFonts w:hint="eastAsia" w:ascii="宋体" w:hAnsi="宋体" w:cs="宋体"/>
          <w:highlight w:val="none"/>
        </w:rPr>
        <w:t>第一章 竞争性磋商公告</w:t>
      </w:r>
      <w:bookmarkEnd w:id="0"/>
    </w:p>
    <w:p>
      <w:pPr>
        <w:spacing w:line="360" w:lineRule="auto"/>
        <w:jc w:val="center"/>
        <w:rPr>
          <w:rFonts w:hint="eastAsia" w:ascii="宋体" w:hAnsi="宋体" w:cs="宋体"/>
          <w:sz w:val="30"/>
          <w:szCs w:val="30"/>
          <w:highlight w:val="none"/>
        </w:rPr>
      </w:pPr>
      <w:r>
        <w:rPr>
          <w:rFonts w:hint="eastAsia" w:ascii="宋体" w:hAnsi="宋体" w:cs="宋体"/>
          <w:b/>
          <w:bCs/>
          <w:kern w:val="44"/>
          <w:sz w:val="30"/>
          <w:szCs w:val="30"/>
          <w:highlight w:val="none"/>
          <w:lang w:eastAsia="zh-CN"/>
        </w:rPr>
        <w:t>广西双科建设工程咨询有限公司</w:t>
      </w:r>
      <w:r>
        <w:rPr>
          <w:rFonts w:hint="eastAsia" w:ascii="宋体" w:hAnsi="宋体" w:cs="宋体"/>
          <w:b/>
          <w:bCs/>
          <w:kern w:val="44"/>
          <w:sz w:val="30"/>
          <w:szCs w:val="30"/>
          <w:highlight w:val="none"/>
        </w:rPr>
        <w:t>关于</w:t>
      </w:r>
      <w:r>
        <w:rPr>
          <w:rFonts w:hint="eastAsia" w:ascii="宋体" w:hAnsi="宋体" w:cs="宋体"/>
          <w:b/>
          <w:bCs/>
          <w:kern w:val="44"/>
          <w:sz w:val="30"/>
          <w:szCs w:val="30"/>
          <w:highlight w:val="none"/>
          <w:lang w:eastAsia="zh-CN"/>
        </w:rPr>
        <w:t>2025年广西无线电管理信息化提升项目（一）</w:t>
      </w:r>
      <w:r>
        <w:rPr>
          <w:rFonts w:hint="eastAsia" w:ascii="宋体" w:hAnsi="宋体" w:cs="宋体"/>
          <w:b/>
          <w:bCs/>
          <w:kern w:val="44"/>
          <w:sz w:val="30"/>
          <w:szCs w:val="30"/>
          <w:highlight w:val="none"/>
        </w:rPr>
        <w:t>竞争性磋商公告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highlight w:val="none"/>
        </w:rPr>
      </w:pPr>
      <w:bookmarkStart w:id="1" w:name="_Hlk37430271"/>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Style w:val="228"/>
          <w:rFonts w:hint="eastAsia"/>
          <w:highlight w:val="none"/>
        </w:rPr>
      </w:pPr>
      <w:r>
        <w:rPr>
          <w:rFonts w:hint="eastAsia" w:ascii="宋体" w:hAnsi="宋体" w:cs="宋体"/>
          <w:szCs w:val="21"/>
          <w:highlight w:val="none"/>
        </w:rPr>
        <w:t xml:space="preserve">  </w:t>
      </w:r>
      <w:r>
        <w:rPr>
          <w:rFonts w:hint="eastAsia" w:ascii="宋体" w:hAnsi="宋体" w:cs="宋体"/>
          <w:szCs w:val="21"/>
          <w:highlight w:val="none"/>
          <w:u w:val="single"/>
          <w:lang w:eastAsia="zh-CN"/>
        </w:rPr>
        <w:t>2025年广西无线电管理信息化提升项目（一）</w:t>
      </w:r>
      <w:r>
        <w:rPr>
          <w:rFonts w:hint="eastAsia" w:ascii="宋体" w:hAnsi="宋体" w:cs="宋体"/>
          <w:szCs w:val="21"/>
          <w:highlight w:val="none"/>
        </w:rPr>
        <w:t>项目的潜在供应商应在广西政府采购云平台（https://www.gcy.zfcg.gxzf.gov.cn/）获取（下载）竞争性磋商文件，并于</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09</w:t>
      </w:r>
      <w:r>
        <w:rPr>
          <w:rFonts w:hint="eastAsia" w:ascii="宋体" w:hAnsi="宋体" w:cs="宋体"/>
          <w:szCs w:val="21"/>
          <w:highlight w:val="none"/>
          <w:u w:val="single"/>
        </w:rPr>
        <w:t>时30分</w:t>
      </w:r>
      <w:r>
        <w:rPr>
          <w:rFonts w:hint="eastAsia" w:ascii="宋体" w:hAnsi="宋体" w:cs="宋体"/>
          <w:bCs/>
          <w:szCs w:val="21"/>
          <w:highlight w:val="none"/>
        </w:rPr>
        <w:t>（北京时间）前提交响应文件</w:t>
      </w:r>
      <w:r>
        <w:rPr>
          <w:rFonts w:hint="eastAsia" w:ascii="宋体" w:hAnsi="宋体" w:cs="宋体"/>
          <w:szCs w:val="21"/>
          <w:highlight w:val="none"/>
        </w:rPr>
        <w:t>。</w:t>
      </w:r>
    </w:p>
    <w:p>
      <w:pPr>
        <w:widowControl/>
        <w:spacing w:line="440" w:lineRule="exact"/>
        <w:ind w:firstLine="482" w:firstLineChars="200"/>
        <w:outlineLvl w:val="1"/>
        <w:rPr>
          <w:rFonts w:hint="eastAsia" w:ascii="宋体" w:hAnsi="宋体" w:cs="宋体"/>
          <w:b/>
          <w:sz w:val="24"/>
          <w:highlight w:val="none"/>
        </w:rPr>
      </w:pPr>
      <w:bookmarkStart w:id="2" w:name="_Hlk37429674"/>
      <w:bookmarkStart w:id="3" w:name="_Toc28359095"/>
      <w:bookmarkStart w:id="4" w:name="_Toc35393636"/>
      <w:bookmarkStart w:id="5" w:name="_Toc35393805"/>
      <w:bookmarkStart w:id="6" w:name="_Toc28359018"/>
      <w:bookmarkStart w:id="7" w:name="_Toc44229885"/>
      <w:r>
        <w:rPr>
          <w:rFonts w:hint="eastAsia" w:ascii="宋体" w:hAnsi="宋体" w:cs="宋体"/>
          <w:b/>
          <w:sz w:val="24"/>
          <w:highlight w:val="none"/>
        </w:rPr>
        <w:t>一、项目基本情况</w:t>
      </w:r>
    </w:p>
    <w:p>
      <w:pPr>
        <w:pStyle w:val="227"/>
        <w:ind w:firstLine="420"/>
        <w:rPr>
          <w:rFonts w:hint="eastAsia" w:eastAsia="宋体"/>
          <w:highlight w:val="none"/>
          <w:lang w:eastAsia="zh-CN"/>
        </w:rPr>
      </w:pPr>
      <w:r>
        <w:rPr>
          <w:rFonts w:hint="eastAsia"/>
          <w:highlight w:val="none"/>
        </w:rPr>
        <w:t>项目编号：GXZC2025-C3-001788-SKGS</w:t>
      </w:r>
    </w:p>
    <w:p>
      <w:pPr>
        <w:pStyle w:val="227"/>
        <w:ind w:firstLine="420"/>
        <w:rPr>
          <w:rFonts w:hint="eastAsia" w:eastAsia="宋体"/>
          <w:highlight w:val="none"/>
          <w:lang w:eastAsia="zh-CN"/>
        </w:rPr>
      </w:pPr>
      <w:r>
        <w:rPr>
          <w:rFonts w:hint="eastAsia"/>
          <w:highlight w:val="none"/>
        </w:rPr>
        <w:t>项目名称：</w:t>
      </w:r>
      <w:r>
        <w:rPr>
          <w:rFonts w:hint="eastAsia"/>
          <w:highlight w:val="none"/>
          <w:lang w:eastAsia="zh-CN"/>
        </w:rPr>
        <w:t>2025年广西无线电管理信息化提升项目（一）</w:t>
      </w:r>
    </w:p>
    <w:p>
      <w:pPr>
        <w:pStyle w:val="227"/>
        <w:ind w:firstLine="420"/>
        <w:rPr>
          <w:rFonts w:hint="eastAsia"/>
          <w:highlight w:val="none"/>
        </w:rPr>
      </w:pPr>
      <w:r>
        <w:rPr>
          <w:rFonts w:hint="eastAsia"/>
          <w:highlight w:val="none"/>
        </w:rPr>
        <w:t>采购方式：竞争性磋商</w:t>
      </w:r>
    </w:p>
    <w:p>
      <w:pPr>
        <w:pStyle w:val="227"/>
        <w:ind w:firstLine="420"/>
        <w:rPr>
          <w:rFonts w:hint="eastAsia"/>
          <w:highlight w:val="none"/>
        </w:rPr>
      </w:pPr>
      <w:r>
        <w:rPr>
          <w:rFonts w:hint="eastAsia"/>
          <w:highlight w:val="none"/>
        </w:rPr>
        <w:t>预算金额：1390000.00元</w:t>
      </w:r>
    </w:p>
    <w:p>
      <w:pPr>
        <w:pStyle w:val="227"/>
        <w:ind w:firstLine="420"/>
        <w:rPr>
          <w:highlight w:val="none"/>
        </w:rPr>
      </w:pPr>
      <w:r>
        <w:rPr>
          <w:rFonts w:hint="eastAsia"/>
          <w:highlight w:val="none"/>
        </w:rPr>
        <w:t>采购需求：</w:t>
      </w:r>
    </w:p>
    <w:p>
      <w:pPr>
        <w:pStyle w:val="227"/>
        <w:ind w:firstLine="420"/>
        <w:rPr>
          <w:rFonts w:hint="eastAsia" w:eastAsia="宋体"/>
          <w:highlight w:val="none"/>
          <w:lang w:eastAsia="zh-CN"/>
        </w:rPr>
      </w:pPr>
      <w:r>
        <w:rPr>
          <w:rFonts w:hint="eastAsia"/>
          <w:highlight w:val="none"/>
        </w:rPr>
        <w:t xml:space="preserve">标项名称: </w:t>
      </w:r>
      <w:r>
        <w:rPr>
          <w:rFonts w:hint="eastAsia"/>
          <w:highlight w:val="none"/>
          <w:lang w:eastAsia="zh-CN"/>
        </w:rPr>
        <w:t>超短波无线电监测一体化平台存储数据标准化改造</w:t>
      </w:r>
    </w:p>
    <w:p>
      <w:pPr>
        <w:pStyle w:val="227"/>
        <w:ind w:firstLine="420"/>
        <w:rPr>
          <w:rFonts w:hint="eastAsia" w:eastAsia="宋体"/>
          <w:highlight w:val="none"/>
          <w:lang w:eastAsia="zh-CN"/>
        </w:rPr>
      </w:pPr>
      <w:r>
        <w:rPr>
          <w:rFonts w:hint="eastAsia"/>
          <w:highlight w:val="none"/>
        </w:rPr>
        <w:t>数量: 1</w:t>
      </w:r>
      <w:r>
        <w:rPr>
          <w:rFonts w:hint="eastAsia"/>
          <w:highlight w:val="none"/>
          <w:lang w:val="en-US" w:eastAsia="zh-CN"/>
        </w:rPr>
        <w:t>项</w:t>
      </w:r>
    </w:p>
    <w:p>
      <w:pPr>
        <w:pStyle w:val="227"/>
        <w:ind w:firstLine="420"/>
        <w:rPr>
          <w:rFonts w:hint="eastAsia"/>
          <w:highlight w:val="none"/>
        </w:rPr>
      </w:pPr>
      <w:r>
        <w:rPr>
          <w:rFonts w:hint="eastAsia"/>
          <w:highlight w:val="none"/>
        </w:rPr>
        <w:t>预算金额：</w:t>
      </w:r>
      <w:bookmarkStart w:id="8" w:name="OLE_LINK3"/>
      <w:r>
        <w:rPr>
          <w:rFonts w:hint="eastAsia"/>
          <w:highlight w:val="none"/>
        </w:rPr>
        <w:t>1390000.00元</w:t>
      </w:r>
      <w:bookmarkEnd w:id="8"/>
    </w:p>
    <w:p>
      <w:pPr>
        <w:pStyle w:val="227"/>
        <w:ind w:firstLine="420"/>
        <w:rPr>
          <w:rFonts w:hint="eastAsia"/>
          <w:highlight w:val="none"/>
        </w:rPr>
      </w:pPr>
      <w:r>
        <w:rPr>
          <w:rFonts w:hint="eastAsia"/>
          <w:highlight w:val="none"/>
        </w:rPr>
        <w:t>简要规格描述或项目基本概况介绍、用途：须采购</w:t>
      </w:r>
      <w:r>
        <w:rPr>
          <w:rFonts w:hint="eastAsia"/>
          <w:highlight w:val="none"/>
          <w:lang w:eastAsia="zh-CN"/>
        </w:rPr>
        <w:t>2025年广西无线电管理信息化提升项目（一）</w:t>
      </w:r>
      <w:r>
        <w:rPr>
          <w:rFonts w:hint="eastAsia"/>
          <w:highlight w:val="none"/>
          <w:lang w:val="en-US" w:eastAsia="zh-CN"/>
        </w:rPr>
        <w:t>-</w:t>
      </w:r>
      <w:r>
        <w:rPr>
          <w:rFonts w:hint="eastAsia"/>
          <w:highlight w:val="none"/>
          <w:lang w:eastAsia="zh-CN"/>
        </w:rPr>
        <w:t>超短波无线电监测一体化平台存储数据标准化改造</w:t>
      </w:r>
      <w:r>
        <w:rPr>
          <w:rFonts w:hint="eastAsia"/>
          <w:highlight w:val="none"/>
          <w:lang w:val="en-US" w:eastAsia="zh-CN"/>
        </w:rPr>
        <w:t>1项</w:t>
      </w:r>
      <w:r>
        <w:rPr>
          <w:rFonts w:hint="eastAsia"/>
          <w:highlight w:val="none"/>
        </w:rPr>
        <w:t>，具体详见竞争性磋商文件</w:t>
      </w:r>
      <w:r>
        <w:rPr>
          <w:rFonts w:hint="eastAsia"/>
          <w:highlight w:val="none"/>
          <w:lang w:eastAsia="zh-CN"/>
        </w:rPr>
        <w:t>“</w:t>
      </w:r>
      <w:r>
        <w:rPr>
          <w:rFonts w:hint="eastAsia"/>
          <w:highlight w:val="none"/>
        </w:rPr>
        <w:t>第三章</w:t>
      </w:r>
      <w:r>
        <w:rPr>
          <w:rFonts w:hint="eastAsia"/>
          <w:highlight w:val="none"/>
          <w:lang w:val="en-US" w:eastAsia="zh-CN"/>
        </w:rPr>
        <w:t xml:space="preserve"> </w:t>
      </w:r>
      <w:r>
        <w:rPr>
          <w:rFonts w:hint="eastAsia"/>
          <w:highlight w:val="none"/>
        </w:rPr>
        <w:t>采购需求</w:t>
      </w:r>
      <w:r>
        <w:rPr>
          <w:rFonts w:hint="eastAsia"/>
          <w:highlight w:val="none"/>
          <w:lang w:eastAsia="zh-CN"/>
        </w:rPr>
        <w:t>”</w:t>
      </w:r>
      <w:r>
        <w:rPr>
          <w:rFonts w:hint="eastAsia"/>
          <w:highlight w:val="none"/>
        </w:rPr>
        <w:t>。</w:t>
      </w:r>
    </w:p>
    <w:p>
      <w:pPr>
        <w:pStyle w:val="227"/>
        <w:ind w:firstLine="420"/>
        <w:rPr>
          <w:rFonts w:hint="eastAsia"/>
          <w:highlight w:val="none"/>
        </w:rPr>
      </w:pPr>
      <w:r>
        <w:rPr>
          <w:rFonts w:hint="eastAsia"/>
          <w:highlight w:val="none"/>
        </w:rPr>
        <w:t>最高限价（如有）：1390000.00元</w:t>
      </w:r>
    </w:p>
    <w:p>
      <w:pPr>
        <w:spacing w:line="440" w:lineRule="exact"/>
        <w:ind w:firstLine="420" w:firstLineChars="200"/>
        <w:rPr>
          <w:rFonts w:cs="宋体"/>
          <w:szCs w:val="20"/>
          <w:highlight w:val="none"/>
        </w:rPr>
      </w:pPr>
      <w:bookmarkStart w:id="9" w:name="OLE_LINK43"/>
      <w:r>
        <w:rPr>
          <w:rFonts w:hint="eastAsia" w:cs="宋体"/>
          <w:szCs w:val="20"/>
          <w:highlight w:val="none"/>
        </w:rPr>
        <w:t>合同履行期限</w:t>
      </w:r>
      <w:bookmarkEnd w:id="9"/>
      <w:r>
        <w:rPr>
          <w:rFonts w:hint="eastAsia" w:cs="宋体"/>
          <w:szCs w:val="20"/>
          <w:highlight w:val="none"/>
        </w:rPr>
        <w:t>：</w:t>
      </w:r>
      <w:r>
        <w:rPr>
          <w:rFonts w:hint="eastAsia" w:ascii="宋体" w:hAnsi="宋体"/>
          <w:szCs w:val="21"/>
          <w:highlight w:val="none"/>
        </w:rPr>
        <w:t>2025年10月10日前完成合同验收，直至完成初步验收及竣工验收。</w:t>
      </w:r>
    </w:p>
    <w:p>
      <w:pPr>
        <w:spacing w:line="440" w:lineRule="exact"/>
        <w:ind w:firstLine="420" w:firstLineChars="200"/>
        <w:rPr>
          <w:rFonts w:ascii="宋体" w:hAnsi="宋体" w:cs="宋体"/>
          <w:szCs w:val="20"/>
          <w:highlight w:val="none"/>
        </w:rPr>
      </w:pPr>
      <w:r>
        <w:rPr>
          <w:rFonts w:hint="eastAsia" w:ascii="宋体" w:hAnsi="宋体" w:cs="宋体"/>
          <w:szCs w:val="20"/>
          <w:highlight w:val="none"/>
        </w:rPr>
        <w:t>本项目（否）接受联合体投标。</w:t>
      </w:r>
    </w:p>
    <w:p>
      <w:pPr>
        <w:pStyle w:val="227"/>
        <w:ind w:firstLine="420"/>
        <w:rPr>
          <w:rFonts w:hint="eastAsia"/>
          <w:highlight w:val="none"/>
        </w:rPr>
      </w:pPr>
      <w:r>
        <w:rPr>
          <w:rFonts w:hint="eastAsia"/>
          <w:highlight w:val="none"/>
        </w:rPr>
        <w:t>备注：/。</w:t>
      </w:r>
    </w:p>
    <w:p>
      <w:pPr>
        <w:widowControl/>
        <w:spacing w:line="440" w:lineRule="exact"/>
        <w:ind w:firstLine="482" w:firstLineChars="200"/>
        <w:outlineLvl w:val="1"/>
        <w:rPr>
          <w:rFonts w:hint="eastAsia" w:ascii="宋体" w:hAnsi="宋体" w:eastAsia="宋体" w:cs="宋体"/>
          <w:b/>
          <w:sz w:val="24"/>
          <w:highlight w:val="none"/>
          <w:lang w:eastAsia="zh-CN"/>
        </w:rPr>
      </w:pPr>
      <w:r>
        <w:rPr>
          <w:rFonts w:hint="eastAsia" w:ascii="宋体" w:hAnsi="宋体" w:cs="宋体"/>
          <w:b/>
          <w:sz w:val="24"/>
          <w:highlight w:val="none"/>
        </w:rPr>
        <w:t>二、申请人的资格</w:t>
      </w:r>
      <w:r>
        <w:rPr>
          <w:rFonts w:hint="eastAsia" w:ascii="宋体" w:hAnsi="宋体" w:cs="宋体"/>
          <w:b/>
          <w:sz w:val="24"/>
          <w:highlight w:val="none"/>
          <w:lang w:val="en-US" w:eastAsia="zh-CN"/>
        </w:rPr>
        <w:t>要求</w:t>
      </w:r>
    </w:p>
    <w:p>
      <w:pPr>
        <w:pStyle w:val="227"/>
        <w:ind w:firstLine="420"/>
        <w:rPr>
          <w:rFonts w:hint="eastAsia"/>
          <w:highlight w:val="none"/>
        </w:rPr>
      </w:pPr>
      <w:r>
        <w:rPr>
          <w:rFonts w:hint="eastAsia"/>
          <w:highlight w:val="none"/>
        </w:rPr>
        <w:t>1</w:t>
      </w:r>
      <w:r>
        <w:rPr>
          <w:rFonts w:hint="eastAsia"/>
          <w:highlight w:val="none"/>
          <w:lang w:val="en-US" w:eastAsia="zh-CN"/>
        </w:rPr>
        <w:t>.</w:t>
      </w:r>
      <w:r>
        <w:rPr>
          <w:rFonts w:hint="eastAsia"/>
          <w:highlight w:val="none"/>
        </w:rPr>
        <w:t>满足《中华人民共和国政府采购法》第二十二条规定；</w:t>
      </w:r>
    </w:p>
    <w:p>
      <w:pPr>
        <w:pStyle w:val="227"/>
        <w:ind w:firstLine="420"/>
        <w:rPr>
          <w:rFonts w:hint="eastAsia"/>
          <w:highlight w:val="none"/>
        </w:rPr>
      </w:pPr>
      <w:r>
        <w:rPr>
          <w:rFonts w:hint="eastAsia"/>
          <w:highlight w:val="none"/>
        </w:rPr>
        <w:t>2</w:t>
      </w:r>
      <w:r>
        <w:rPr>
          <w:rFonts w:hint="eastAsia"/>
          <w:highlight w:val="none"/>
          <w:lang w:val="en-US" w:eastAsia="zh-CN"/>
        </w:rPr>
        <w:t>.</w:t>
      </w:r>
      <w:r>
        <w:rPr>
          <w:rFonts w:hint="eastAsia"/>
          <w:highlight w:val="none"/>
        </w:rPr>
        <w:t>落实政府采购政策需满足的资格要求：本项目为专门面向</w:t>
      </w:r>
      <w:r>
        <w:rPr>
          <w:rFonts w:hint="eastAsia"/>
          <w:highlight w:val="none"/>
          <w:lang w:val="en-US" w:eastAsia="zh-CN"/>
        </w:rPr>
        <w:t>小微</w:t>
      </w:r>
      <w:r>
        <w:rPr>
          <w:rFonts w:hint="eastAsia"/>
          <w:highlight w:val="none"/>
        </w:rPr>
        <w:t>企业采购的项目，供应商应为小微企业或监狱企业或残疾人福利性单位。</w:t>
      </w:r>
    </w:p>
    <w:p>
      <w:pPr>
        <w:pStyle w:val="227"/>
        <w:ind w:firstLine="420"/>
        <w:rPr>
          <w:highlight w:val="none"/>
        </w:rPr>
      </w:pPr>
      <w:r>
        <w:rPr>
          <w:rFonts w:hint="eastAsia"/>
          <w:highlight w:val="none"/>
        </w:rPr>
        <w:t>3</w:t>
      </w:r>
      <w:r>
        <w:rPr>
          <w:rFonts w:hint="eastAsia"/>
          <w:highlight w:val="none"/>
          <w:lang w:val="en-US" w:eastAsia="zh-CN"/>
        </w:rPr>
        <w:t>.</w:t>
      </w:r>
      <w:r>
        <w:rPr>
          <w:rFonts w:hint="eastAsia"/>
          <w:highlight w:val="none"/>
        </w:rPr>
        <w:t>本项目的特定资格要求：</w:t>
      </w:r>
    </w:p>
    <w:p>
      <w:pPr>
        <w:pStyle w:val="227"/>
        <w:ind w:firstLine="420"/>
        <w:rPr>
          <w:rFonts w:hint="eastAsia"/>
          <w:highlight w:val="none"/>
        </w:rPr>
      </w:pPr>
      <w:r>
        <w:rPr>
          <w:rFonts w:hint="eastAsia"/>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7"/>
        <w:ind w:firstLine="420"/>
        <w:rPr>
          <w:highlight w:val="none"/>
        </w:rPr>
      </w:pPr>
      <w:r>
        <w:rPr>
          <w:rFonts w:hint="eastAsia"/>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rPr>
        <w:t>三、获取</w:t>
      </w:r>
      <w:r>
        <w:rPr>
          <w:rFonts w:hint="eastAsia" w:ascii="宋体" w:hAnsi="宋体" w:cs="宋体"/>
          <w:b/>
          <w:sz w:val="24"/>
          <w:highlight w:val="none"/>
          <w:lang w:val="en-US" w:eastAsia="zh-CN"/>
        </w:rPr>
        <w:t>采购</w:t>
      </w:r>
      <w:r>
        <w:rPr>
          <w:rFonts w:hint="eastAsia" w:ascii="宋体" w:hAnsi="宋体" w:cs="宋体"/>
          <w:b/>
          <w:sz w:val="24"/>
          <w:highlight w:val="none"/>
        </w:rPr>
        <w:t>文件</w:t>
      </w:r>
    </w:p>
    <w:p>
      <w:pPr>
        <w:spacing w:line="44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时间：</w:t>
      </w:r>
      <w:r>
        <w:rPr>
          <w:rStyle w:val="228"/>
          <w:rFonts w:hint="eastAsia"/>
          <w:szCs w:val="21"/>
          <w:highlight w:val="none"/>
          <w:lang w:eastAsia="zh-CN"/>
        </w:rPr>
        <w:t>2025年</w:t>
      </w:r>
      <w:r>
        <w:rPr>
          <w:rStyle w:val="228"/>
          <w:rFonts w:hint="eastAsia"/>
          <w:szCs w:val="21"/>
          <w:highlight w:val="none"/>
          <w:lang w:val="en-US" w:eastAsia="zh-CN"/>
        </w:rPr>
        <w:t>6</w:t>
      </w:r>
      <w:r>
        <w:rPr>
          <w:rStyle w:val="228"/>
          <w:rFonts w:hint="eastAsia"/>
          <w:szCs w:val="21"/>
          <w:highlight w:val="none"/>
        </w:rPr>
        <w:t>月</w:t>
      </w:r>
      <w:r>
        <w:rPr>
          <w:rStyle w:val="228"/>
          <w:rFonts w:hint="eastAsia"/>
          <w:szCs w:val="21"/>
          <w:highlight w:val="none"/>
          <w:lang w:val="en-US" w:eastAsia="zh-CN"/>
        </w:rPr>
        <w:t>26</w:t>
      </w:r>
      <w:r>
        <w:rPr>
          <w:rStyle w:val="228"/>
          <w:rFonts w:hint="eastAsia"/>
          <w:szCs w:val="21"/>
          <w:highlight w:val="none"/>
        </w:rPr>
        <w:t>日至</w:t>
      </w:r>
      <w:r>
        <w:rPr>
          <w:rStyle w:val="228"/>
          <w:rFonts w:hint="eastAsia"/>
          <w:szCs w:val="21"/>
          <w:highlight w:val="none"/>
          <w:lang w:eastAsia="zh-CN"/>
        </w:rPr>
        <w:t>2025年</w:t>
      </w:r>
      <w:r>
        <w:rPr>
          <w:rStyle w:val="228"/>
          <w:rFonts w:hint="eastAsia"/>
          <w:szCs w:val="21"/>
          <w:highlight w:val="none"/>
          <w:lang w:val="en-US" w:eastAsia="zh-CN"/>
        </w:rPr>
        <w:t>7</w:t>
      </w:r>
      <w:r>
        <w:rPr>
          <w:rStyle w:val="228"/>
          <w:rFonts w:hint="eastAsia"/>
          <w:szCs w:val="21"/>
          <w:highlight w:val="none"/>
        </w:rPr>
        <w:t>月</w:t>
      </w:r>
      <w:r>
        <w:rPr>
          <w:rStyle w:val="228"/>
          <w:rFonts w:hint="eastAsia"/>
          <w:szCs w:val="21"/>
          <w:highlight w:val="none"/>
          <w:lang w:val="en-US" w:eastAsia="zh-CN"/>
        </w:rPr>
        <w:t>3</w:t>
      </w:r>
      <w:r>
        <w:rPr>
          <w:rStyle w:val="228"/>
          <w:rFonts w:hint="eastAsia"/>
          <w:szCs w:val="21"/>
          <w:highlight w:val="none"/>
        </w:rPr>
        <w:t>日，每天上午00:00至11:59；下午12:00至23:59（北京时间，法定节假日除外）</w:t>
      </w:r>
      <w:r>
        <w:rPr>
          <w:rFonts w:hint="eastAsia" w:ascii="宋体" w:hAnsi="宋体" w:cs="宋体"/>
          <w:bCs/>
          <w:kern w:val="0"/>
          <w:szCs w:val="21"/>
          <w:highlight w:val="none"/>
        </w:rPr>
        <w:t>。</w:t>
      </w:r>
    </w:p>
    <w:p>
      <w:pPr>
        <w:spacing w:line="44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pPr>
        <w:spacing w:line="44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方式：</w:t>
      </w:r>
      <w:r>
        <w:rPr>
          <w:rStyle w:val="228"/>
          <w:szCs w:val="21"/>
          <w:highlight w:val="none"/>
        </w:rPr>
        <w:t>网上下载。本项目不提供纸质文件，潜在供应商需使用账号登录或者使用CA登录“广西政府采购云平台”平台（https://www.gcy.zfcg.gxzf.gov.cn/）-进入“项目采购”应用，在获取采购文件菜单中选择项目并获取</w:t>
      </w:r>
      <w:r>
        <w:rPr>
          <w:rStyle w:val="228"/>
          <w:rFonts w:hint="eastAsia"/>
          <w:szCs w:val="21"/>
          <w:highlight w:val="none"/>
        </w:rPr>
        <w:t>竞争性磋商文件</w:t>
      </w:r>
      <w:r>
        <w:rPr>
          <w:rStyle w:val="228"/>
          <w:szCs w:val="21"/>
          <w:highlight w:val="none"/>
        </w:rPr>
        <w:t>（或在“广西政府采购云平台电子投标客户端-获取采购文件”跳转到广西政府采购云平台系统获取）。各供应商需下载使用新版客户端，新版客户端下载路径：广西政府采购网（访问地址htt</w:t>
      </w:r>
      <w:r>
        <w:rPr>
          <w:rFonts w:ascii="宋体" w:hAnsi="宋体" w:cs="宋体"/>
          <w:szCs w:val="21"/>
          <w:highlight w:val="none"/>
        </w:rPr>
        <w:t>p://zfcg.gxzf.gov.cn/）—办事服务—下载专区。原在政采云平台注册的临时供应商需在新平台启用后重新注册登记。电子</w:t>
      </w:r>
      <w:r>
        <w:rPr>
          <w:rFonts w:hint="eastAsia" w:ascii="宋体" w:hAnsi="宋体" w:cs="宋体"/>
          <w:szCs w:val="21"/>
          <w:highlight w:val="none"/>
        </w:rPr>
        <w:t>响应</w:t>
      </w:r>
      <w:r>
        <w:rPr>
          <w:rFonts w:ascii="宋体" w:hAnsi="宋体" w:cs="宋体"/>
          <w:szCs w:val="21"/>
          <w:highlight w:val="none"/>
        </w:rPr>
        <w:t>文件制作需要基于“广西政府采购云平台”获取的</w:t>
      </w:r>
      <w:r>
        <w:rPr>
          <w:rFonts w:hint="eastAsia" w:ascii="宋体" w:hAnsi="宋体" w:cs="宋体"/>
          <w:szCs w:val="21"/>
          <w:highlight w:val="none"/>
        </w:rPr>
        <w:t>磋商文件</w:t>
      </w:r>
      <w:r>
        <w:rPr>
          <w:rFonts w:ascii="宋体" w:hAnsi="宋体" w:cs="宋体"/>
          <w:szCs w:val="21"/>
          <w:highlight w:val="none"/>
        </w:rPr>
        <w:t>编制，通过其他方式获取</w:t>
      </w:r>
      <w:r>
        <w:rPr>
          <w:rFonts w:hint="eastAsia" w:ascii="宋体" w:hAnsi="宋体" w:cs="宋体"/>
          <w:szCs w:val="21"/>
          <w:highlight w:val="none"/>
        </w:rPr>
        <w:t>磋商文件</w:t>
      </w:r>
      <w:r>
        <w:rPr>
          <w:rFonts w:ascii="宋体" w:hAnsi="宋体" w:cs="宋体"/>
          <w:szCs w:val="21"/>
          <w:highlight w:val="none"/>
        </w:rPr>
        <w:t>的，将有可能导致供应商无法在广西政府采购云平台编制及上传</w:t>
      </w:r>
      <w:r>
        <w:rPr>
          <w:rFonts w:hint="eastAsia" w:ascii="宋体" w:hAnsi="宋体" w:cs="宋体"/>
          <w:szCs w:val="21"/>
          <w:highlight w:val="none"/>
        </w:rPr>
        <w:t>响应</w:t>
      </w:r>
      <w:r>
        <w:rPr>
          <w:rFonts w:ascii="宋体" w:hAnsi="宋体" w:cs="宋体"/>
          <w:szCs w:val="21"/>
          <w:highlight w:val="none"/>
        </w:rPr>
        <w:t>文件。</w:t>
      </w:r>
    </w:p>
    <w:p>
      <w:pPr>
        <w:spacing w:line="440" w:lineRule="exact"/>
        <w:ind w:firstLine="420" w:firstLineChars="200"/>
        <w:rPr>
          <w:rFonts w:hint="eastAsia" w:ascii="宋体" w:hAnsi="宋体" w:cs="宋体"/>
          <w:szCs w:val="21"/>
          <w:highlight w:val="none"/>
        </w:rPr>
      </w:pPr>
      <w:r>
        <w:rPr>
          <w:rFonts w:hint="eastAsia" w:ascii="宋体" w:hAnsi="宋体" w:cs="宋体"/>
          <w:bCs/>
          <w:kern w:val="0"/>
          <w:szCs w:val="21"/>
          <w:highlight w:val="none"/>
        </w:rPr>
        <w:t>售价：0元。</w:t>
      </w:r>
    </w:p>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rPr>
        <w:t>四、响应文件提交</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首次响应文件提交截止时间：</w:t>
      </w:r>
      <w:r>
        <w:rPr>
          <w:rFonts w:hint="eastAsia" w:ascii="宋体" w:hAnsi="宋体" w:cs="宋体"/>
          <w:bCs/>
          <w:kern w:val="0"/>
          <w:szCs w:val="21"/>
          <w:highlight w:val="none"/>
          <w:lang w:eastAsia="zh-CN"/>
        </w:rPr>
        <w:t>2025</w:t>
      </w:r>
      <w:bookmarkStart w:id="10" w:name="OLE_LINK4"/>
      <w:r>
        <w:rPr>
          <w:rFonts w:hint="eastAsia" w:ascii="宋体" w:hAnsi="宋体" w:cs="宋体"/>
          <w:bCs/>
          <w:kern w:val="0"/>
          <w:szCs w:val="21"/>
          <w:highlight w:val="none"/>
          <w:lang w:eastAsia="zh-CN"/>
        </w:rPr>
        <w:t>年</w:t>
      </w:r>
      <w:bookmarkEnd w:id="10"/>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日</w:t>
      </w:r>
      <w:r>
        <w:rPr>
          <w:rFonts w:hint="eastAsia" w:ascii="宋体" w:hAnsi="宋体" w:cs="宋体"/>
          <w:bCs/>
          <w:kern w:val="0"/>
          <w:szCs w:val="21"/>
          <w:highlight w:val="none"/>
          <w:lang w:val="en-US" w:eastAsia="zh-CN"/>
        </w:rPr>
        <w:t>0</w:t>
      </w:r>
      <w:r>
        <w:rPr>
          <w:rFonts w:hint="eastAsia" w:ascii="宋体" w:hAnsi="宋体" w:cs="宋体"/>
          <w:bCs/>
          <w:kern w:val="0"/>
          <w:szCs w:val="21"/>
          <w:highlight w:val="none"/>
        </w:rPr>
        <w:t>9时30分（北京时间）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地点：</w:t>
      </w:r>
      <w:r>
        <w:rPr>
          <w:rFonts w:ascii="宋体" w:hAnsi="宋体" w:cs="宋体"/>
          <w:szCs w:val="21"/>
          <w:highlight w:val="none"/>
        </w:rPr>
        <w:t>广西政府采购云平台（https://www.gcy.zfcg.gxzf.gov.cn/）</w:t>
      </w:r>
      <w:r>
        <w:rPr>
          <w:rFonts w:hint="eastAsia" w:ascii="宋体" w:hAnsi="宋体" w:cs="宋体"/>
          <w:szCs w:val="21"/>
          <w:highlight w:val="none"/>
          <w:lang w:bidi="ar"/>
        </w:rPr>
        <w:t>。</w:t>
      </w:r>
    </w:p>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rPr>
        <w:t>五、</w:t>
      </w:r>
      <w:r>
        <w:rPr>
          <w:rFonts w:hint="eastAsia" w:ascii="宋体" w:hAnsi="宋体" w:cs="宋体"/>
          <w:b/>
          <w:sz w:val="24"/>
          <w:highlight w:val="none"/>
          <w:lang w:val="en-US" w:eastAsia="zh-CN"/>
        </w:rPr>
        <w:t>响应文件</w:t>
      </w:r>
      <w:r>
        <w:rPr>
          <w:rFonts w:hint="eastAsia" w:ascii="宋体" w:hAnsi="宋体" w:cs="宋体"/>
          <w:b/>
          <w:sz w:val="24"/>
          <w:highlight w:val="none"/>
        </w:rPr>
        <w:t>开启</w:t>
      </w:r>
    </w:p>
    <w:p>
      <w:pPr>
        <w:spacing w:line="440" w:lineRule="exact"/>
        <w:ind w:firstLine="420" w:firstLineChars="200"/>
        <w:rPr>
          <w:rFonts w:hint="eastAsia" w:ascii="宋体" w:hAnsi="宋体" w:cs="宋体"/>
          <w:bCs/>
          <w:szCs w:val="21"/>
          <w:highlight w:val="none"/>
          <w:u w:val="singl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首次响应文件开启时间：</w:t>
      </w:r>
      <w:r>
        <w:rPr>
          <w:rFonts w:hint="eastAsia" w:ascii="宋体" w:hAnsi="宋体" w:cs="宋体"/>
          <w:bCs/>
          <w:kern w:val="0"/>
          <w:szCs w:val="21"/>
          <w:highlight w:val="none"/>
          <w:lang w:eastAsia="zh-CN"/>
        </w:rPr>
        <w:t>2025年</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日</w:t>
      </w:r>
      <w:r>
        <w:rPr>
          <w:rFonts w:hint="eastAsia" w:ascii="宋体" w:hAnsi="宋体" w:cs="宋体"/>
          <w:bCs/>
          <w:kern w:val="0"/>
          <w:szCs w:val="21"/>
          <w:highlight w:val="none"/>
          <w:lang w:val="en-US" w:eastAsia="zh-CN"/>
        </w:rPr>
        <w:t>0</w:t>
      </w:r>
      <w:r>
        <w:rPr>
          <w:rFonts w:hint="eastAsia" w:ascii="宋体" w:hAnsi="宋体" w:cs="宋体"/>
          <w:bCs/>
          <w:kern w:val="0"/>
          <w:szCs w:val="21"/>
          <w:highlight w:val="none"/>
        </w:rPr>
        <w:t>9时30分（北京时间）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地点：</w:t>
      </w:r>
      <w:r>
        <w:rPr>
          <w:rFonts w:hint="eastAsia" w:ascii="宋体" w:hAnsi="宋体" w:cs="宋体"/>
          <w:szCs w:val="21"/>
          <w:highlight w:val="none"/>
          <w:lang w:bidi="ar"/>
        </w:rPr>
        <w:t>本项目将在</w:t>
      </w:r>
      <w:r>
        <w:rPr>
          <w:rFonts w:ascii="宋体" w:hAnsi="宋体" w:cs="宋体"/>
          <w:szCs w:val="21"/>
          <w:highlight w:val="none"/>
        </w:rPr>
        <w:t>广西政府采购云平台</w:t>
      </w:r>
      <w:r>
        <w:rPr>
          <w:rFonts w:hint="eastAsia" w:ascii="宋体" w:hAnsi="宋体" w:cs="宋体"/>
          <w:szCs w:val="21"/>
          <w:highlight w:val="none"/>
          <w:lang w:bidi="ar"/>
        </w:rPr>
        <w:t>电子开标大厅解密、开启。</w:t>
      </w:r>
    </w:p>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rPr>
        <w:t>六、公告期限</w:t>
      </w:r>
    </w:p>
    <w:p>
      <w:pPr>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bookmarkStart w:id="195" w:name="_GoBack"/>
      <w:bookmarkEnd w:id="195"/>
      <w:r>
        <w:rPr>
          <w:rFonts w:hint="eastAsia" w:ascii="宋体" w:hAnsi="宋体" w:cs="宋体"/>
          <w:kern w:val="0"/>
          <w:szCs w:val="21"/>
          <w:highlight w:val="none"/>
        </w:rPr>
        <w:t>个工作日。</w:t>
      </w:r>
    </w:p>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rPr>
        <w:t>七、其他补充事宜</w:t>
      </w:r>
    </w:p>
    <w:p>
      <w:pPr>
        <w:spacing w:line="440" w:lineRule="exact"/>
        <w:ind w:firstLine="420" w:firstLineChars="200"/>
        <w:rPr>
          <w:rFonts w:ascii="宋体" w:hAnsi="宋体" w:cs="宋体"/>
          <w:szCs w:val="21"/>
          <w:highlight w:val="none"/>
        </w:rPr>
      </w:pPr>
      <w:bookmarkStart w:id="11" w:name="OLE_LINK5"/>
      <w:r>
        <w:rPr>
          <w:rFonts w:hint="eastAsia" w:ascii="宋体" w:hAnsi="宋体" w:cs="宋体"/>
          <w:szCs w:val="21"/>
          <w:highlight w:val="none"/>
          <w:lang w:bidi="ar"/>
        </w:rPr>
        <w:t>1</w:t>
      </w:r>
      <w:r>
        <w:rPr>
          <w:rFonts w:hint="eastAsia" w:ascii="宋体" w:hAnsi="宋体" w:cs="宋体"/>
          <w:szCs w:val="21"/>
          <w:highlight w:val="none"/>
          <w:lang w:val="en-US" w:eastAsia="zh-CN" w:bidi="ar"/>
        </w:rPr>
        <w:t>.磋商保证金</w:t>
      </w:r>
      <w:bookmarkStart w:id="12" w:name="OLE_LINK31"/>
      <w:r>
        <w:rPr>
          <w:rFonts w:hint="eastAsia" w:ascii="宋体" w:hAnsi="宋体" w:cs="宋体"/>
          <w:szCs w:val="21"/>
          <w:highlight w:val="none"/>
          <w:lang w:val="en-US" w:eastAsia="zh-CN" w:bidi="ar"/>
        </w:rPr>
        <w:t>：本项目不收取</w:t>
      </w:r>
      <w:r>
        <w:rPr>
          <w:rFonts w:hint="eastAsia" w:ascii="宋体" w:hAnsi="宋体" w:cs="宋体"/>
          <w:szCs w:val="21"/>
          <w:highlight w:val="none"/>
          <w:lang w:bidi="ar"/>
        </w:rPr>
        <w:t>磋商保证金</w:t>
      </w:r>
      <w:bookmarkEnd w:id="12"/>
      <w:r>
        <w:rPr>
          <w:rFonts w:hint="eastAsia" w:ascii="宋体" w:hAnsi="宋体" w:cs="宋体"/>
          <w:szCs w:val="21"/>
          <w:highlight w:val="none"/>
          <w:lang w:bidi="ar"/>
        </w:rPr>
        <w:t>。</w:t>
      </w:r>
    </w:p>
    <w:bookmarkEnd w:id="11"/>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w:t>
      </w:r>
      <w:r>
        <w:rPr>
          <w:rFonts w:hint="eastAsia" w:ascii="宋体" w:hAnsi="宋体" w:cs="宋体"/>
          <w:szCs w:val="21"/>
          <w:highlight w:val="none"/>
          <w:lang w:val="en-US" w:eastAsia="zh-CN" w:bidi="ar"/>
        </w:rPr>
        <w:t>.</w:t>
      </w:r>
      <w:r>
        <w:rPr>
          <w:rFonts w:hint="eastAsia" w:ascii="宋体" w:hAnsi="宋体" w:cs="宋体"/>
          <w:szCs w:val="21"/>
          <w:highlight w:val="none"/>
          <w:lang w:bidi="ar"/>
        </w:rPr>
        <w:t>网上查询地址：www.ccgp.gov.cn（中国政府采购网）、zfcg.gxzf.gov.cn（广西壮族自治区政府采购网）。</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w:t>
      </w:r>
      <w:r>
        <w:rPr>
          <w:rFonts w:hint="eastAsia" w:ascii="宋体" w:hAnsi="宋体" w:cs="宋体"/>
          <w:szCs w:val="21"/>
          <w:highlight w:val="none"/>
          <w:lang w:val="en-US" w:eastAsia="zh-CN" w:bidi="ar"/>
        </w:rPr>
        <w:t>.</w:t>
      </w:r>
      <w:r>
        <w:rPr>
          <w:rFonts w:hint="eastAsia" w:ascii="宋体" w:hAnsi="宋体" w:cs="宋体"/>
          <w:szCs w:val="21"/>
          <w:highlight w:val="none"/>
          <w:lang w:bidi="ar"/>
        </w:rPr>
        <w:t>本项目需要落实的政府采购政策：</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（1）政府采购促进中小企业发展。</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（2）政府采购支持采用本国产品的政策。</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（3）强制采购节能产品；优先采购节能产品、环境标志产品。</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（4）政府采购促进残疾人就业政策。</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（5）政府采购支持监狱企业发展。</w:t>
      </w:r>
    </w:p>
    <w:p>
      <w:pPr>
        <w:widowControl/>
        <w:spacing w:line="440" w:lineRule="exact"/>
        <w:ind w:firstLine="420" w:firstLineChars="200"/>
        <w:rPr>
          <w:rFonts w:hint="eastAsia" w:ascii="宋体" w:hAnsi="宋体" w:eastAsia="宋体" w:cs="宋体"/>
          <w:szCs w:val="21"/>
          <w:highlight w:val="none"/>
          <w:lang w:eastAsia="zh-CN" w:bidi="ar"/>
        </w:rPr>
      </w:pPr>
      <w:r>
        <w:rPr>
          <w:rFonts w:hint="eastAsia" w:ascii="宋体" w:hAnsi="宋体" w:cs="宋体"/>
          <w:szCs w:val="21"/>
          <w:highlight w:val="none"/>
          <w:lang w:bidi="ar"/>
        </w:rPr>
        <w:t>（6）扶持不发达地区和少数民族地区政策</w:t>
      </w:r>
      <w:r>
        <w:rPr>
          <w:rFonts w:hint="eastAsia" w:ascii="宋体" w:hAnsi="宋体" w:cs="宋体"/>
          <w:szCs w:val="21"/>
          <w:highlight w:val="none"/>
          <w:lang w:eastAsia="zh-CN" w:bidi="ar"/>
        </w:rPr>
        <w:t>。</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w:t>
      </w:r>
      <w:r>
        <w:rPr>
          <w:rFonts w:hint="eastAsia" w:ascii="宋体" w:hAnsi="宋体" w:cs="宋体"/>
          <w:szCs w:val="21"/>
          <w:highlight w:val="none"/>
          <w:lang w:val="en-US" w:eastAsia="zh-CN" w:bidi="ar"/>
        </w:rPr>
        <w:t>.</w:t>
      </w:r>
      <w:r>
        <w:rPr>
          <w:rFonts w:hint="eastAsia" w:ascii="宋体" w:hAnsi="宋体" w:cs="宋体"/>
          <w:szCs w:val="21"/>
          <w:highlight w:val="none"/>
          <w:lang w:bidi="ar"/>
        </w:rPr>
        <w:t>在线竞标的有关说明：</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（4）CA证书在线解密：首次响应文件开启时，需要供应商携带制作响应文件时用来加密的有效数字证书（CA认证）登录广西政府采购云平台电子开标大厅现场按规定时间对加密的响应文件进行解密。</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（5）供应商需要在具备有摄像头及语音功能且互联网网络状况良好的电脑登录广西政府采购云平台远程开标大厅参与本次磋商，否则后果自负。</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w:t>
      </w:r>
      <w:r>
        <w:rPr>
          <w:rFonts w:hint="eastAsia" w:ascii="宋体" w:hAnsi="宋体" w:cs="宋体"/>
          <w:szCs w:val="21"/>
          <w:highlight w:val="none"/>
          <w:lang w:val="en-US" w:eastAsia="zh-CN" w:bidi="ar"/>
        </w:rPr>
        <w:t>.</w:t>
      </w:r>
      <w:r>
        <w:rPr>
          <w:rFonts w:hint="eastAsia" w:ascii="宋体" w:hAnsi="宋体" w:cs="宋体"/>
          <w:szCs w:val="21"/>
          <w:highlight w:val="none"/>
          <w:lang w:bidi="ar"/>
        </w:rPr>
        <w:t>若对项目采购电子交易系统操作有疑问，可登录广西政府采购云平台（https://www.gcy.zfcg.gxzf.gov.cn/），点击右侧咨询小采，获取采小蜜智能服务管家帮助，或拨打广西政府采购云平台服务热线95763获取热线服务帮助。</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6.</w:t>
      </w:r>
      <w:r>
        <w:rPr>
          <w:rFonts w:hint="eastAsia" w:ascii="宋体" w:hAnsi="宋体" w:cs="宋体"/>
          <w:szCs w:val="21"/>
          <w:highlight w:val="none"/>
          <w:lang w:bidi="ar"/>
        </w:rPr>
        <w:t>监督部门</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名    称：广西壮族自治区财政厅政府采购监督管理处</w:t>
      </w:r>
    </w:p>
    <w:p>
      <w:pPr>
        <w:widowControl/>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电    话：0771-5331544</w:t>
      </w:r>
    </w:p>
    <w:bookmarkEnd w:id="2"/>
    <w:p>
      <w:pPr>
        <w:widowControl/>
        <w:spacing w:line="440" w:lineRule="exact"/>
        <w:ind w:firstLine="482" w:firstLineChars="200"/>
        <w:outlineLvl w:val="1"/>
        <w:rPr>
          <w:rFonts w:hint="eastAsia"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、凡对本次采购提出询问，请按以下方式联系。</w:t>
      </w:r>
      <w:bookmarkEnd w:id="3"/>
      <w:bookmarkEnd w:id="4"/>
      <w:bookmarkEnd w:id="5"/>
      <w:bookmarkEnd w:id="6"/>
      <w:bookmarkEnd w:id="7"/>
    </w:p>
    <w:p>
      <w:pPr>
        <w:spacing w:line="440" w:lineRule="exact"/>
        <w:ind w:firstLine="420" w:firstLineChars="200"/>
        <w:rPr>
          <w:rFonts w:ascii="宋体" w:hAnsi="宋体" w:cs="宋体"/>
          <w:kern w:val="0"/>
          <w:szCs w:val="21"/>
          <w:highlight w:val="none"/>
        </w:rPr>
      </w:pPr>
      <w:bookmarkStart w:id="13" w:name="_Toc35393806"/>
      <w:bookmarkStart w:id="14" w:name="_Toc35393637"/>
      <w:bookmarkStart w:id="15" w:name="_Toc28359019"/>
      <w:bookmarkStart w:id="16" w:name="_Toc28359096"/>
      <w:r>
        <w:rPr>
          <w:rFonts w:hint="eastAsia" w:ascii="宋体" w:hAnsi="宋体" w:cs="宋体"/>
          <w:kern w:val="0"/>
          <w:szCs w:val="21"/>
          <w:highlight w:val="none"/>
        </w:rPr>
        <w:t>1.采购人信息</w:t>
      </w:r>
    </w:p>
    <w:p>
      <w:pPr>
        <w:spacing w:line="440" w:lineRule="exact"/>
        <w:ind w:firstLine="630" w:firstLineChars="300"/>
        <w:jc w:val="left"/>
        <w:rPr>
          <w:rFonts w:hint="eastAsia" w:ascii="宋体" w:hAnsi="宋体" w:eastAsia="宋体"/>
          <w:szCs w:val="21"/>
          <w:highlight w:val="none"/>
          <w:lang w:eastAsia="zh-CN"/>
        </w:rPr>
      </w:pPr>
      <w:r>
        <w:rPr>
          <w:rFonts w:hint="eastAsia" w:ascii="宋体" w:hAnsi="宋体"/>
          <w:szCs w:val="21"/>
          <w:highlight w:val="none"/>
        </w:rPr>
        <w:t>名    称：</w:t>
      </w:r>
      <w:r>
        <w:rPr>
          <w:rFonts w:hint="eastAsia" w:ascii="Arial" w:hAnsi="Arial" w:cs="Arial"/>
          <w:szCs w:val="21"/>
          <w:highlight w:val="none"/>
          <w:lang w:eastAsia="zh-CN"/>
        </w:rPr>
        <w:t>广西壮族自治区工业和信息化厅</w:t>
      </w:r>
    </w:p>
    <w:p>
      <w:pPr>
        <w:widowControl/>
        <w:spacing w:line="404" w:lineRule="exact"/>
        <w:ind w:firstLine="630" w:firstLineChars="300"/>
        <w:jc w:val="left"/>
        <w:rPr>
          <w:rFonts w:ascii="宋体" w:hAnsi="宋体"/>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广西</w:t>
      </w:r>
      <w:r>
        <w:rPr>
          <w:rFonts w:hint="eastAsia" w:ascii="宋体" w:hAnsi="宋体" w:cs="宋体"/>
          <w:szCs w:val="21"/>
          <w:highlight w:val="none"/>
        </w:rPr>
        <w:t>南宁市民族大道113号</w:t>
      </w:r>
    </w:p>
    <w:p>
      <w:pPr>
        <w:spacing w:line="440" w:lineRule="exact"/>
        <w:ind w:firstLine="630" w:firstLineChars="3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rPr>
        <w:t>：</w:t>
      </w:r>
      <w:bookmarkStart w:id="17" w:name="OLE_LINK37"/>
      <w:r>
        <w:rPr>
          <w:rFonts w:hint="eastAsia" w:ascii="宋体" w:hAnsi="宋体" w:cs="宋体"/>
          <w:szCs w:val="21"/>
          <w:highlight w:val="none"/>
          <w:lang w:val="en-US" w:eastAsia="zh-CN"/>
        </w:rPr>
        <w:t>申立军</w:t>
      </w:r>
      <w:bookmarkEnd w:id="17"/>
    </w:p>
    <w:p>
      <w:pPr>
        <w:spacing w:line="440" w:lineRule="exact"/>
        <w:ind w:firstLine="630" w:firstLineChars="300"/>
        <w:jc w:val="left"/>
        <w:rPr>
          <w:highlight w:val="none"/>
        </w:rPr>
      </w:pPr>
      <w:r>
        <w:rPr>
          <w:rFonts w:hint="eastAsia" w:ascii="宋体" w:hAnsi="宋体" w:cs="宋体"/>
          <w:szCs w:val="21"/>
          <w:highlight w:val="none"/>
          <w:lang w:val="en-US" w:eastAsia="zh-CN"/>
        </w:rPr>
        <w:t>项目联系方式</w:t>
      </w:r>
      <w:r>
        <w:rPr>
          <w:rFonts w:hint="eastAsia" w:ascii="宋体" w:hAnsi="宋体" w:cs="宋体"/>
          <w:szCs w:val="21"/>
          <w:highlight w:val="none"/>
          <w:lang w:eastAsia="zh-CN"/>
        </w:rPr>
        <w:t>：</w:t>
      </w:r>
      <w:r>
        <w:rPr>
          <w:rFonts w:hint="eastAsia" w:ascii="宋体" w:hAnsi="宋体" w:cs="宋体"/>
          <w:szCs w:val="21"/>
          <w:highlight w:val="none"/>
        </w:rPr>
        <w:t>0771-2182380</w:t>
      </w:r>
    </w:p>
    <w:p>
      <w:pPr>
        <w:spacing w:line="440" w:lineRule="exact"/>
        <w:ind w:firstLine="420" w:firstLineChars="200"/>
        <w:rPr>
          <w:rFonts w:ascii="宋体" w:hAnsi="宋体" w:cs="宋体"/>
          <w:kern w:val="0"/>
          <w:szCs w:val="21"/>
          <w:highlight w:val="none"/>
        </w:rPr>
      </w:pPr>
      <w:bookmarkStart w:id="18" w:name="_Toc28359097"/>
      <w:bookmarkStart w:id="19" w:name="_Toc35393807"/>
      <w:bookmarkStart w:id="20" w:name="_Toc35393638"/>
      <w:bookmarkStart w:id="21" w:name="_Toc28359020"/>
      <w:bookmarkStart w:id="22" w:name="OLE_LINK22"/>
      <w:r>
        <w:rPr>
          <w:rFonts w:hint="eastAsia" w:ascii="宋体" w:hAnsi="宋体" w:cs="宋体"/>
          <w:kern w:val="0"/>
          <w:szCs w:val="21"/>
          <w:highlight w:val="none"/>
        </w:rPr>
        <w:t>2.采购代理机构信息</w:t>
      </w:r>
      <w:bookmarkEnd w:id="18"/>
      <w:bookmarkEnd w:id="19"/>
      <w:bookmarkEnd w:id="20"/>
      <w:bookmarkEnd w:id="21"/>
    </w:p>
    <w:p>
      <w:pPr>
        <w:spacing w:line="440" w:lineRule="exact"/>
        <w:ind w:firstLine="630" w:firstLineChars="300"/>
        <w:rPr>
          <w:rFonts w:hint="eastAsia" w:ascii="宋体" w:hAnsi="宋体" w:eastAsia="宋体"/>
          <w:szCs w:val="21"/>
          <w:highlight w:val="none"/>
          <w:lang w:eastAsia="zh-CN"/>
        </w:rPr>
      </w:pPr>
      <w:r>
        <w:rPr>
          <w:rFonts w:hint="eastAsia" w:ascii="宋体" w:hAnsi="宋体"/>
          <w:szCs w:val="21"/>
          <w:highlight w:val="none"/>
        </w:rPr>
        <w:t>名    称：</w:t>
      </w:r>
      <w:r>
        <w:rPr>
          <w:rFonts w:hint="eastAsia" w:ascii="宋体" w:hAnsi="宋体"/>
          <w:szCs w:val="21"/>
          <w:highlight w:val="none"/>
          <w:lang w:eastAsia="zh-CN"/>
        </w:rPr>
        <w:t>广西双科建设工程咨询有限公司</w:t>
      </w:r>
    </w:p>
    <w:p>
      <w:pPr>
        <w:spacing w:line="440" w:lineRule="exact"/>
        <w:ind w:firstLine="630" w:firstLineChars="300"/>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lang w:val="en-US" w:eastAsia="zh-CN"/>
        </w:rPr>
        <w:t>广西南宁市青秀区凤岭北路111号南宁国际旅游中心C座28楼</w:t>
      </w:r>
    </w:p>
    <w:p>
      <w:pPr>
        <w:spacing w:line="440" w:lineRule="exact"/>
        <w:ind w:firstLine="630" w:firstLineChars="300"/>
        <w:rPr>
          <w:rFonts w:hint="default" w:ascii="宋体" w:hAnsi="宋体" w:eastAsia="宋体"/>
          <w:szCs w:val="21"/>
          <w:highlight w:val="none"/>
          <w:lang w:val="en-US" w:eastAsia="zh-CN"/>
        </w:rPr>
      </w:pPr>
      <w:r>
        <w:rPr>
          <w:rFonts w:hint="eastAsia" w:ascii="宋体" w:hAnsi="宋体"/>
          <w:szCs w:val="21"/>
          <w:highlight w:val="none"/>
          <w:lang w:val="en-US" w:eastAsia="zh-CN"/>
        </w:rPr>
        <w:t>项目联系人</w:t>
      </w:r>
      <w:r>
        <w:rPr>
          <w:rFonts w:hint="eastAsia" w:ascii="宋体" w:hAnsi="宋体"/>
          <w:szCs w:val="21"/>
          <w:highlight w:val="none"/>
        </w:rPr>
        <w:t>：</w:t>
      </w:r>
      <w:r>
        <w:rPr>
          <w:rFonts w:hint="eastAsia" w:ascii="宋体" w:hAnsi="宋体"/>
          <w:szCs w:val="21"/>
          <w:highlight w:val="none"/>
          <w:lang w:val="en-US" w:eastAsia="zh-CN"/>
        </w:rPr>
        <w:t>陆家语</w:t>
      </w:r>
    </w:p>
    <w:p>
      <w:pPr>
        <w:spacing w:line="440" w:lineRule="exact"/>
        <w:ind w:firstLine="630" w:firstLineChars="300"/>
        <w:rPr>
          <w:rFonts w:hint="default" w:ascii="宋体" w:hAnsi="宋体" w:eastAsia="宋体"/>
          <w:szCs w:val="21"/>
          <w:highlight w:val="none"/>
          <w:u w:val="single"/>
          <w:lang w:val="en-US" w:eastAsia="zh-CN"/>
        </w:rPr>
      </w:pPr>
      <w:r>
        <w:rPr>
          <w:rFonts w:hint="eastAsia" w:ascii="宋体" w:hAnsi="宋体"/>
          <w:szCs w:val="21"/>
          <w:highlight w:val="none"/>
          <w:lang w:val="en-US" w:eastAsia="zh-CN"/>
        </w:rPr>
        <w:t>项目</w:t>
      </w:r>
      <w:r>
        <w:rPr>
          <w:rFonts w:hint="eastAsia" w:ascii="宋体" w:hAnsi="宋体"/>
          <w:szCs w:val="21"/>
          <w:highlight w:val="none"/>
        </w:rPr>
        <w:t>联系</w:t>
      </w:r>
      <w:r>
        <w:rPr>
          <w:rFonts w:hint="eastAsia" w:ascii="宋体" w:hAnsi="宋体"/>
          <w:szCs w:val="21"/>
          <w:highlight w:val="none"/>
          <w:lang w:val="en-US" w:eastAsia="zh-CN"/>
        </w:rPr>
        <w:t>方式</w:t>
      </w:r>
      <w:r>
        <w:rPr>
          <w:rFonts w:hint="eastAsia" w:ascii="宋体" w:hAnsi="宋体"/>
          <w:szCs w:val="21"/>
          <w:highlight w:val="none"/>
        </w:rPr>
        <w:t>：</w:t>
      </w:r>
      <w:bookmarkStart w:id="23" w:name="OLE_LINK11"/>
      <w:bookmarkStart w:id="24" w:name="OLE_LINK38"/>
      <w:r>
        <w:rPr>
          <w:rFonts w:hint="eastAsia" w:ascii="宋体" w:hAnsi="宋体"/>
          <w:szCs w:val="21"/>
          <w:highlight w:val="none"/>
          <w:lang w:val="en-US" w:eastAsia="zh-CN"/>
        </w:rPr>
        <w:t>15307868806、</w:t>
      </w:r>
      <w:bookmarkEnd w:id="23"/>
      <w:bookmarkEnd w:id="24"/>
      <w:r>
        <w:rPr>
          <w:rFonts w:hint="eastAsia" w:ascii="宋体" w:hAnsi="宋体"/>
          <w:szCs w:val="21"/>
          <w:highlight w:val="none"/>
          <w:lang w:val="en-US" w:eastAsia="zh-CN"/>
        </w:rPr>
        <w:t>18077797322</w:t>
      </w:r>
    </w:p>
    <w:bookmarkEnd w:id="22"/>
    <w:p>
      <w:pPr>
        <w:spacing w:line="440" w:lineRule="exact"/>
        <w:jc w:val="left"/>
        <w:rPr>
          <w:rFonts w:hint="eastAsia" w:ascii="宋体" w:hAnsi="宋体" w:cs="宋体"/>
          <w:szCs w:val="21"/>
          <w:highlight w:val="none"/>
        </w:rPr>
      </w:pPr>
      <w:r>
        <w:rPr>
          <w:rFonts w:ascii="宋体" w:hAnsi="宋体" w:cs="宋体"/>
          <w:szCs w:val="21"/>
          <w:highlight w:val="none"/>
        </w:rPr>
        <w:br w:type="page"/>
      </w:r>
    </w:p>
    <w:bookmarkEnd w:id="1"/>
    <w:bookmarkEnd w:id="13"/>
    <w:bookmarkEnd w:id="14"/>
    <w:bookmarkEnd w:id="15"/>
    <w:bookmarkEnd w:id="16"/>
    <w:p>
      <w:pPr>
        <w:pStyle w:val="3"/>
        <w:spacing w:before="0" w:after="0" w:line="360" w:lineRule="auto"/>
        <w:jc w:val="center"/>
        <w:rPr>
          <w:rFonts w:hint="eastAsia" w:ascii="宋体" w:hAnsi="宋体"/>
          <w:highlight w:val="none"/>
        </w:rPr>
      </w:pPr>
      <w:bookmarkStart w:id="25" w:name="_Toc27999"/>
      <w:bookmarkStart w:id="26" w:name="_Toc74323457"/>
      <w:r>
        <w:rPr>
          <w:rFonts w:hint="eastAsia" w:ascii="宋体" w:hAnsi="宋体"/>
          <w:highlight w:val="none"/>
        </w:rPr>
        <w:t>第二章 供应商须知</w:t>
      </w:r>
      <w:bookmarkEnd w:id="25"/>
      <w:bookmarkEnd w:id="26"/>
    </w:p>
    <w:p>
      <w:pPr>
        <w:spacing w:line="400" w:lineRule="exact"/>
        <w:jc w:val="center"/>
        <w:outlineLvl w:val="1"/>
        <w:rPr>
          <w:rFonts w:hint="eastAsia" w:ascii="宋体" w:hAnsi="宋体"/>
          <w:b/>
          <w:sz w:val="30"/>
          <w:szCs w:val="30"/>
          <w:highlight w:val="none"/>
        </w:rPr>
      </w:pPr>
      <w:r>
        <w:rPr>
          <w:rFonts w:hint="eastAsia" w:ascii="宋体" w:hAnsi="宋体"/>
          <w:b/>
          <w:sz w:val="30"/>
          <w:szCs w:val="30"/>
          <w:highlight w:val="none"/>
        </w:rPr>
        <w:t>供应商须知前附表</w:t>
      </w:r>
    </w:p>
    <w:p>
      <w:pPr>
        <w:spacing w:line="400" w:lineRule="exact"/>
        <w:jc w:val="center"/>
        <w:rPr>
          <w:rFonts w:hint="eastAsia" w:ascii="宋体" w:hAnsi="宋体"/>
          <w:b/>
          <w:sz w:val="30"/>
          <w:szCs w:val="30"/>
          <w:highlight w:val="none"/>
        </w:rPr>
      </w:pP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7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top"/>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7824" w:type="dxa"/>
            <w:noWrap w:val="0"/>
            <w:vAlign w:val="top"/>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7824" w:type="dxa"/>
            <w:noWrap w:val="0"/>
            <w:vAlign w:val="center"/>
          </w:tcPr>
          <w:p>
            <w:pPr>
              <w:spacing w:line="360" w:lineRule="auto"/>
              <w:rPr>
                <w:rFonts w:hint="eastAsia" w:ascii="宋体" w:hAnsi="宋体"/>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供应商</w:t>
            </w:r>
            <w:r>
              <w:rPr>
                <w:rFonts w:hint="eastAsia" w:ascii="宋体" w:hAnsi="宋体" w:cs="宋体"/>
                <w:szCs w:val="21"/>
                <w:highlight w:val="none"/>
              </w:rPr>
              <w:t>出现下列情形之一的，不得参加政府采购活动：</w:t>
            </w:r>
          </w:p>
          <w:p>
            <w:pPr>
              <w:spacing w:line="360" w:lineRule="auto"/>
              <w:rPr>
                <w:rFonts w:hint="eastAsia"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5.1</w:t>
            </w:r>
          </w:p>
        </w:tc>
        <w:tc>
          <w:tcPr>
            <w:tcW w:w="7824"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.2</w:t>
            </w:r>
          </w:p>
        </w:tc>
        <w:tc>
          <w:tcPr>
            <w:tcW w:w="7824" w:type="dxa"/>
            <w:noWrap w:val="0"/>
            <w:vAlign w:val="center"/>
          </w:tcPr>
          <w:p>
            <w:pPr>
              <w:spacing w:line="360" w:lineRule="auto"/>
              <w:rPr>
                <w:rFonts w:hint="eastAsia" w:ascii="宋体" w:hAnsi="宋体" w:cs="宋体"/>
                <w:szCs w:val="21"/>
                <w:highlight w:val="none"/>
              </w:rPr>
            </w:pPr>
            <w:r>
              <w:rPr>
                <w:rFonts w:hint="eastAsia" w:ascii="宋体" w:hAnsi="宋体"/>
                <w:szCs w:val="21"/>
                <w:highlight w:val="none"/>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6.2</w:t>
            </w:r>
          </w:p>
        </w:tc>
        <w:tc>
          <w:tcPr>
            <w:tcW w:w="7824" w:type="dxa"/>
            <w:noWrap w:val="0"/>
            <w:vAlign w:val="center"/>
          </w:tcPr>
          <w:p>
            <w:pPr>
              <w:pStyle w:val="18"/>
              <w:spacing w:line="360" w:lineRule="auto"/>
              <w:rPr>
                <w:rFonts w:hint="eastAsia" w:ascii="宋体" w:hAnsi="宋体"/>
                <w:szCs w:val="21"/>
                <w:highlight w:val="none"/>
              </w:rPr>
            </w:pPr>
            <w:bookmarkStart w:id="27" w:name="OLE_LINK30"/>
            <w:r>
              <w:rPr>
                <w:rFonts w:ascii="Segoe UI Symbol" w:hAnsi="Segoe UI Symbol" w:cs="Segoe UI Symbol"/>
                <w:sz w:val="24"/>
                <w:szCs w:val="21"/>
                <w:highlight w:val="none"/>
              </w:rPr>
              <w:t>☑</w:t>
            </w:r>
            <w:r>
              <w:rPr>
                <w:rFonts w:hint="eastAsia" w:ascii="宋体" w:hAnsi="宋体"/>
                <w:szCs w:val="21"/>
                <w:highlight w:val="none"/>
              </w:rPr>
              <w:t>不允许转包与分包</w:t>
            </w:r>
          </w:p>
          <w:p>
            <w:pPr>
              <w:pStyle w:val="18"/>
              <w:spacing w:line="360" w:lineRule="auto"/>
              <w:rPr>
                <w:rFonts w:hint="eastAsia" w:ascii="宋体" w:hAnsi="宋体"/>
                <w:szCs w:val="21"/>
                <w:highlight w:val="none"/>
              </w:rPr>
            </w:pPr>
            <w:r>
              <w:rPr>
                <w:rFonts w:hint="eastAsia" w:ascii="宋体" w:hAnsi="宋体"/>
                <w:szCs w:val="21"/>
                <w:highlight w:val="none"/>
              </w:rPr>
              <w:t>□允许转包与分包</w:t>
            </w:r>
          </w:p>
          <w:bookmarkEnd w:id="27"/>
          <w:p>
            <w:pPr>
              <w:spacing w:line="360" w:lineRule="auto"/>
              <w:jc w:val="left"/>
              <w:rPr>
                <w:rFonts w:hint="eastAsia" w:ascii="宋体" w:hAnsi="宋体"/>
                <w:szCs w:val="21"/>
                <w:highlight w:val="none"/>
                <w:u w:val="single"/>
              </w:rPr>
            </w:pPr>
            <w:r>
              <w:rPr>
                <w:rFonts w:hint="eastAsia" w:ascii="宋体" w:hAnsi="宋体"/>
                <w:szCs w:val="21"/>
                <w:highlight w:val="none"/>
              </w:rPr>
              <w:t>转包与分包内容：</w:t>
            </w:r>
            <w:r>
              <w:rPr>
                <w:rFonts w:hint="eastAsia" w:ascii="宋体" w:hAnsi="宋体"/>
                <w:szCs w:val="21"/>
                <w:highlight w:val="none"/>
                <w:u w:val="single"/>
              </w:rPr>
              <w:t xml:space="preserve">     /     </w:t>
            </w:r>
          </w:p>
          <w:p>
            <w:pPr>
              <w:pStyle w:val="18"/>
              <w:spacing w:line="360" w:lineRule="auto"/>
              <w:rPr>
                <w:rFonts w:hint="eastAsia" w:ascii="宋体" w:hAnsi="宋体" w:cs="宋体"/>
                <w:szCs w:val="21"/>
                <w:highlight w:val="none"/>
              </w:rPr>
            </w:pPr>
            <w:r>
              <w:rPr>
                <w:rFonts w:hint="eastAsia" w:ascii="宋体" w:hAnsi="宋体"/>
                <w:szCs w:val="21"/>
                <w:highlight w:val="none"/>
              </w:rPr>
              <w:t>转包与分包金额或者比例：</w:t>
            </w:r>
            <w:r>
              <w:rPr>
                <w:rFonts w:hint="eastAsia" w:ascii="宋体" w:hAnsi="宋体"/>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12.1.</w:t>
            </w:r>
            <w:r>
              <w:rPr>
                <w:rFonts w:ascii="宋体" w:hAnsi="宋体" w:cs="宋体"/>
                <w:szCs w:val="21"/>
                <w:highlight w:val="none"/>
              </w:rPr>
              <w:t>1</w:t>
            </w:r>
          </w:p>
        </w:tc>
        <w:tc>
          <w:tcPr>
            <w:tcW w:w="7824" w:type="dxa"/>
            <w:noWrap w:val="0"/>
            <w:vAlign w:val="center"/>
          </w:tcPr>
          <w:p>
            <w:pPr>
              <w:snapToGrid w:val="0"/>
              <w:spacing w:line="360" w:lineRule="auto"/>
              <w:jc w:val="left"/>
              <w:rPr>
                <w:rFonts w:hint="eastAsia" w:ascii="宋体" w:hAnsi="宋体" w:cs="宋体"/>
                <w:b/>
                <w:szCs w:val="21"/>
                <w:highlight w:val="none"/>
              </w:rPr>
            </w:pPr>
            <w:bookmarkStart w:id="28" w:name="OLE_LINK17"/>
            <w:r>
              <w:rPr>
                <w:rFonts w:hint="eastAsia" w:ascii="宋体" w:hAnsi="宋体" w:cs="宋体"/>
                <w:b/>
                <w:szCs w:val="21"/>
                <w:highlight w:val="none"/>
              </w:rPr>
              <w:t>资格证明文件</w:t>
            </w:r>
          </w:p>
          <w:p>
            <w:pPr>
              <w:pStyle w:val="18"/>
              <w:spacing w:line="360" w:lineRule="auto"/>
              <w:rPr>
                <w:rFonts w:hint="eastAsia" w:ascii="宋体" w:hAnsi="宋体"/>
                <w:szCs w:val="21"/>
                <w:highlight w:val="none"/>
              </w:rPr>
            </w:pPr>
            <w:r>
              <w:rPr>
                <w:rFonts w:hint="eastAsia" w:ascii="宋体" w:hAnsi="宋体" w:cs="宋体"/>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2.供应商依法缴纳税收的相关材料（</w:t>
            </w:r>
            <w:bookmarkStart w:id="29" w:name="OLE_LINK10"/>
            <w:r>
              <w:rPr>
                <w:rFonts w:hint="eastAsia" w:ascii="宋体" w:hAnsi="宋体" w:cs="宋体"/>
                <w:szCs w:val="21"/>
                <w:highlight w:val="none"/>
                <w:lang w:eastAsia="zh-CN"/>
              </w:rPr>
              <w:t>2024年12月</w:t>
            </w:r>
            <w:r>
              <w:rPr>
                <w:rFonts w:hint="eastAsia" w:ascii="宋体" w:hAnsi="宋体" w:cs="宋体"/>
                <w:szCs w:val="21"/>
                <w:highlight w:val="none"/>
              </w:rPr>
              <w:t>至响应文件</w:t>
            </w:r>
            <w:r>
              <w:rPr>
                <w:rFonts w:hint="eastAsia" w:ascii="宋体" w:hAnsi="宋体" w:cs="宋体"/>
                <w:szCs w:val="21"/>
                <w:highlight w:val="none"/>
                <w:lang w:eastAsia="zh-CN"/>
              </w:rPr>
              <w:t>提交</w:t>
            </w:r>
            <w:r>
              <w:rPr>
                <w:rFonts w:hint="eastAsia" w:ascii="宋体" w:hAnsi="宋体" w:cs="宋体"/>
                <w:szCs w:val="21"/>
                <w:highlight w:val="none"/>
              </w:rPr>
              <w:t>截止时间内任意1个月</w:t>
            </w:r>
            <w:bookmarkEnd w:id="29"/>
            <w:bookmarkStart w:id="30" w:name="OLE_LINK7"/>
            <w:r>
              <w:rPr>
                <w:rFonts w:hint="eastAsia" w:ascii="宋体" w:hAnsi="宋体" w:cs="宋体"/>
                <w:szCs w:val="21"/>
                <w:highlight w:val="none"/>
                <w:lang w:val="en-US" w:eastAsia="zh-CN"/>
              </w:rPr>
              <w:t>供应商</w:t>
            </w:r>
            <w:bookmarkEnd w:id="30"/>
            <w:r>
              <w:rPr>
                <w:rFonts w:hint="eastAsia" w:ascii="宋体" w:hAnsi="宋体" w:cs="宋体"/>
                <w:szCs w:val="21"/>
                <w:highlight w:val="none"/>
              </w:rPr>
              <w:t>依法缴纳税收的凭据复印件；</w:t>
            </w:r>
            <w:r>
              <w:rPr>
                <w:rFonts w:hint="eastAsia" w:ascii="宋体" w:hAnsi="宋体"/>
                <w:highlight w:val="none"/>
              </w:rPr>
              <w:t>依法免税的，必须提供相应文件证明其依法免税。</w:t>
            </w:r>
            <w:r>
              <w:rPr>
                <w:rFonts w:hint="eastAsia" w:ascii="宋体" w:hAnsi="宋体" w:cs="宋体"/>
                <w:szCs w:val="21"/>
                <w:highlight w:val="none"/>
              </w:rPr>
              <w:t>从</w:t>
            </w:r>
            <w:r>
              <w:rPr>
                <w:rFonts w:ascii="宋体" w:hAnsi="宋体"/>
                <w:szCs w:val="21"/>
                <w:highlight w:val="none"/>
              </w:rPr>
              <w:t>成立</w:t>
            </w:r>
            <w:r>
              <w:rPr>
                <w:rFonts w:hint="eastAsia" w:ascii="宋体" w:hAnsi="宋体"/>
                <w:szCs w:val="21"/>
                <w:highlight w:val="none"/>
              </w:rPr>
              <w:t>之日起</w:t>
            </w:r>
            <w:r>
              <w:rPr>
                <w:rFonts w:hint="eastAsia" w:ascii="宋体" w:hAnsi="宋体" w:cs="宋体"/>
                <w:szCs w:val="21"/>
                <w:highlight w:val="none"/>
              </w:rPr>
              <w:t>到响应文件提交截止时间止不足要求月数的，只需提供从</w:t>
            </w:r>
            <w:r>
              <w:rPr>
                <w:rFonts w:ascii="宋体" w:hAnsi="宋体"/>
                <w:szCs w:val="21"/>
                <w:highlight w:val="none"/>
              </w:rPr>
              <w:t>成立</w:t>
            </w:r>
            <w:r>
              <w:rPr>
                <w:rFonts w:hint="eastAsia" w:ascii="宋体" w:hAnsi="宋体"/>
                <w:szCs w:val="21"/>
                <w:highlight w:val="none"/>
              </w:rPr>
              <w:t>之日起</w:t>
            </w:r>
            <w:r>
              <w:rPr>
                <w:rFonts w:hint="eastAsia" w:ascii="宋体" w:hAnsi="宋体" w:cs="宋体"/>
                <w:szCs w:val="21"/>
                <w:highlight w:val="none"/>
              </w:rPr>
              <w:t>的依法缴纳税收</w:t>
            </w:r>
            <w:r>
              <w:rPr>
                <w:rFonts w:hint="eastAsia" w:ascii="宋体" w:hAnsi="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3.供应商依法缴纳社会保障资金的相关材料（</w:t>
            </w:r>
            <w:r>
              <w:rPr>
                <w:rFonts w:hint="eastAsia" w:ascii="宋体" w:hAnsi="宋体" w:cs="宋体"/>
                <w:szCs w:val="21"/>
                <w:highlight w:val="none"/>
                <w:lang w:eastAsia="zh-CN"/>
              </w:rPr>
              <w:t>2024年12月</w:t>
            </w:r>
            <w:r>
              <w:rPr>
                <w:rFonts w:hint="eastAsia" w:ascii="宋体" w:hAnsi="宋体" w:cs="宋体"/>
                <w:szCs w:val="21"/>
                <w:highlight w:val="none"/>
              </w:rPr>
              <w:t>至响应文件提交截止时间内任意1个月</w:t>
            </w:r>
            <w:r>
              <w:rPr>
                <w:rFonts w:hint="eastAsia" w:ascii="宋体" w:hAnsi="宋体" w:cs="宋体"/>
                <w:szCs w:val="21"/>
                <w:highlight w:val="none"/>
                <w:lang w:val="en-US" w:eastAsia="zh-CN"/>
              </w:rPr>
              <w:t>供应商</w:t>
            </w:r>
            <w:r>
              <w:rPr>
                <w:rFonts w:hint="eastAsia" w:ascii="宋体" w:hAnsi="宋体" w:cs="宋体"/>
                <w:szCs w:val="21"/>
                <w:highlight w:val="none"/>
              </w:rPr>
              <w:t>依法缴纳社会保障资金的缴费凭证（专用收据或者社会保险缴纳清单）复印件；</w:t>
            </w:r>
            <w:r>
              <w:rPr>
                <w:rFonts w:hint="eastAsia" w:ascii="宋体" w:hAnsi="宋体"/>
                <w:highlight w:val="none"/>
              </w:rPr>
              <w:t>依法不需要缴纳社会保障资金的，必须提供相应文件证明不需要缴纳社会保障资金。</w:t>
            </w:r>
            <w:r>
              <w:rPr>
                <w:rFonts w:hint="eastAsia" w:ascii="宋体" w:hAnsi="宋体" w:cs="宋体"/>
                <w:szCs w:val="21"/>
                <w:highlight w:val="none"/>
              </w:rPr>
              <w:t>从</w:t>
            </w:r>
            <w:r>
              <w:rPr>
                <w:rFonts w:ascii="宋体" w:hAnsi="宋体"/>
                <w:szCs w:val="21"/>
                <w:highlight w:val="none"/>
              </w:rPr>
              <w:t>成立</w:t>
            </w:r>
            <w:r>
              <w:rPr>
                <w:rFonts w:hint="eastAsia" w:ascii="宋体" w:hAnsi="宋体"/>
                <w:szCs w:val="21"/>
                <w:highlight w:val="none"/>
              </w:rPr>
              <w:t>之日起</w:t>
            </w:r>
            <w:r>
              <w:rPr>
                <w:rFonts w:hint="eastAsia" w:ascii="宋体" w:hAnsi="宋体" w:cs="宋体"/>
                <w:szCs w:val="21"/>
                <w:highlight w:val="none"/>
              </w:rPr>
              <w:t>到响应文件提交截止时间止不足要求月数的只需提供从</w:t>
            </w:r>
            <w:r>
              <w:rPr>
                <w:rFonts w:ascii="宋体" w:hAnsi="宋体"/>
                <w:szCs w:val="21"/>
                <w:highlight w:val="none"/>
              </w:rPr>
              <w:t>成立</w:t>
            </w:r>
            <w:r>
              <w:rPr>
                <w:rFonts w:hint="eastAsia" w:ascii="宋体" w:hAnsi="宋体"/>
                <w:szCs w:val="21"/>
                <w:highlight w:val="none"/>
              </w:rPr>
              <w:t>之日起</w:t>
            </w:r>
            <w:r>
              <w:rPr>
                <w:rFonts w:hint="eastAsia" w:ascii="宋体" w:hAnsi="宋体" w:cs="宋体"/>
                <w:szCs w:val="21"/>
                <w:highlight w:val="none"/>
              </w:rPr>
              <w:t>的依法缴纳社会保障资金的</w:t>
            </w:r>
            <w:r>
              <w:rPr>
                <w:rFonts w:hint="eastAsia" w:ascii="宋体" w:hAnsi="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contextualSpacing/>
              <w:jc w:val="left"/>
              <w:rPr>
                <w:rFonts w:hint="eastAsia" w:ascii="宋体" w:hAnsi="宋体" w:cs="宋体"/>
                <w:b/>
                <w:szCs w:val="21"/>
                <w:highlight w:val="none"/>
              </w:rPr>
            </w:pPr>
            <w:r>
              <w:rPr>
                <w:rFonts w:hint="eastAsia" w:ascii="宋体" w:hAnsi="宋体" w:cs="宋体"/>
                <w:szCs w:val="21"/>
                <w:highlight w:val="none"/>
              </w:rPr>
              <w:t>4.</w:t>
            </w:r>
            <w:bookmarkStart w:id="31" w:name="OLE_LINK47"/>
            <w:r>
              <w:rPr>
                <w:rFonts w:hint="eastAsia" w:ascii="宋体" w:hAnsi="宋体" w:cs="宋体"/>
                <w:szCs w:val="21"/>
                <w:highlight w:val="none"/>
              </w:rPr>
              <w:t>供应商</w:t>
            </w:r>
            <w:r>
              <w:rPr>
                <w:rFonts w:hint="eastAsia" w:ascii="宋体" w:hAnsi="宋体"/>
                <w:szCs w:val="21"/>
                <w:highlight w:val="none"/>
              </w:rPr>
              <w:t>财务状况报告（提供2023年或2024年任意一年的财务报表或经审计的财务报告（审计报告）</w:t>
            </w:r>
            <w:r>
              <w:rPr>
                <w:rFonts w:hint="eastAsia" w:ascii="宋体" w:hAnsi="宋体"/>
                <w:b/>
                <w:bCs/>
                <w:color w:val="FF0000"/>
                <w:szCs w:val="21"/>
                <w:highlight w:val="none"/>
              </w:rPr>
              <w:t>（如提供审计报告的，审计报告须经过“注册会计师行业统一监管平台”自动赋码，审计报告编码（二维码）能通过统一监管平台进行查验，否则无效）</w:t>
            </w:r>
            <w:r>
              <w:rPr>
                <w:rFonts w:hint="eastAsia" w:ascii="宋体" w:hAnsi="宋体"/>
                <w:szCs w:val="21"/>
                <w:highlight w:val="none"/>
                <w:lang w:val="en-US" w:eastAsia="zh-CN"/>
              </w:rPr>
              <w:t>扫描件</w:t>
            </w:r>
            <w:r>
              <w:rPr>
                <w:rFonts w:hint="eastAsia" w:ascii="宋体" w:hAnsi="宋体"/>
                <w:szCs w:val="21"/>
                <w:highlight w:val="none"/>
              </w:rPr>
              <w:t>，或者提供银行出具的资信证明或者中国人民银行征信中心出具的信用报告</w:t>
            </w:r>
            <w:r>
              <w:rPr>
                <w:rFonts w:hint="eastAsia" w:ascii="宋体" w:hAnsi="宋体"/>
                <w:szCs w:val="21"/>
                <w:highlight w:val="none"/>
                <w:lang w:val="en-US" w:eastAsia="zh-CN"/>
              </w:rPr>
              <w:t>扫描件</w:t>
            </w:r>
            <w:r>
              <w:rPr>
                <w:rFonts w:hint="eastAsia" w:ascii="宋体" w:hAnsi="宋体"/>
                <w:szCs w:val="21"/>
                <w:highlight w:val="none"/>
              </w:rPr>
              <w:t>；成立年限不足一年的，按实际月份财务报表提供，或者中国人民银行征信中心出具的信用报告（企业竞标的提供企业信用报告，自然人竞标的提供个人信用报告）；供应商属于</w:t>
            </w:r>
            <w:r>
              <w:rPr>
                <w:rFonts w:hint="eastAsia" w:ascii="宋体" w:hAnsi="宋体"/>
                <w:highlight w:val="none"/>
              </w:rPr>
              <w:t>成立时间</w:t>
            </w:r>
            <w:r>
              <w:rPr>
                <w:rFonts w:hint="eastAsia" w:ascii="宋体" w:hAnsi="宋体"/>
                <w:kern w:val="0"/>
                <w:highlight w:val="none"/>
              </w:rPr>
              <w:t>在规定年度之后</w:t>
            </w:r>
            <w:r>
              <w:rPr>
                <w:rFonts w:hint="eastAsia" w:ascii="宋体" w:hAnsi="宋体"/>
                <w:highlight w:val="none"/>
              </w:rPr>
              <w:t>的，需提供成立之日起至响应文件提交截止时间前的月报表</w:t>
            </w:r>
            <w:r>
              <w:rPr>
                <w:rFonts w:hint="eastAsia" w:ascii="宋体" w:hAnsi="宋体"/>
                <w:szCs w:val="21"/>
                <w:highlight w:val="none"/>
              </w:rPr>
              <w:t>或银行出具的资信证明</w:t>
            </w:r>
            <w:bookmarkStart w:id="32" w:name="OLE_LINK1"/>
            <w:r>
              <w:rPr>
                <w:rFonts w:hint="eastAsia" w:ascii="宋体" w:hAnsi="宋体"/>
                <w:szCs w:val="21"/>
                <w:highlight w:val="none"/>
              </w:rPr>
              <w:t>或者中国人民银行征信中心出具的信用报告；</w:t>
            </w:r>
            <w:bookmarkEnd w:id="32"/>
            <w:r>
              <w:rPr>
                <w:rFonts w:hint="eastAsia" w:ascii="宋体" w:hAnsi="宋体"/>
                <w:szCs w:val="21"/>
                <w:highlight w:val="none"/>
              </w:rPr>
              <w:t>资信证明应在有效期内，未注明有效期的，银行出具时间至响应文件提交截止时间不超过一年）</w:t>
            </w:r>
            <w:r>
              <w:rPr>
                <w:rFonts w:hint="eastAsia" w:ascii="宋体" w:hAnsi="宋体" w:cs="宋体"/>
                <w:szCs w:val="21"/>
                <w:highlight w:val="none"/>
              </w:rPr>
              <w:t>；</w:t>
            </w:r>
            <w:bookmarkEnd w:id="31"/>
            <w:r>
              <w:rPr>
                <w:rFonts w:hint="eastAsia" w:ascii="宋体" w:hAnsi="宋体" w:cs="宋体"/>
                <w:bCs/>
                <w:szCs w:val="21"/>
                <w:highlight w:val="none"/>
              </w:rPr>
              <w:t>（</w:t>
            </w:r>
            <w:r>
              <w:rPr>
                <w:rFonts w:hint="eastAsia" w:ascii="宋体" w:hAnsi="宋体"/>
                <w:b/>
                <w:szCs w:val="21"/>
                <w:highlight w:val="none"/>
              </w:rPr>
              <w:t>必须提供</w:t>
            </w:r>
            <w:r>
              <w:rPr>
                <w:rFonts w:hint="eastAsia" w:ascii="宋体" w:hAnsi="宋体" w:cs="宋体"/>
                <w:b/>
                <w:szCs w:val="21"/>
                <w:highlight w:val="none"/>
              </w:rPr>
              <w:t>，否则响应文件按无效响应处理</w:t>
            </w:r>
            <w:r>
              <w:rPr>
                <w:rFonts w:hint="eastAsia" w:ascii="宋体" w:hAnsi="宋体" w:cs="宋体"/>
                <w:bCs/>
                <w:szCs w:val="21"/>
                <w:highlight w:val="none"/>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.供应商直接控股、管理关系信息表（格式后附）；（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.竞标声明（格式后附）；（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ascii="宋体" w:hAnsi="宋体" w:cs="宋体"/>
                <w:szCs w:val="21"/>
                <w:highlight w:val="none"/>
              </w:rPr>
            </w:pPr>
            <w:r>
              <w:rPr>
                <w:rFonts w:hint="eastAsia" w:ascii="宋体" w:hAnsi="宋体"/>
                <w:szCs w:val="21"/>
                <w:highlight w:val="none"/>
                <w:lang w:val="en-US" w:eastAsia="zh-CN"/>
              </w:rPr>
              <w:t>7</w:t>
            </w:r>
            <w:r>
              <w:rPr>
                <w:rFonts w:hint="eastAsia" w:ascii="宋体" w:hAnsi="宋体"/>
                <w:szCs w:val="21"/>
                <w:highlight w:val="none"/>
              </w:rPr>
              <w:t>.中小企业声明函或者残疾人福利性单位声明函或者供应商属于监狱企业的证明材料（格式后附）；</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hint="eastAsia" w:ascii="宋体" w:hAnsi="宋体" w:cs="宋体"/>
                <w:szCs w:val="21"/>
                <w:highlight w:val="none"/>
              </w:rPr>
            </w:pPr>
            <w:r>
              <w:rPr>
                <w:rFonts w:hint="eastAsia" w:ascii="宋体" w:hAnsi="宋体"/>
                <w:szCs w:val="21"/>
                <w:highlight w:val="none"/>
                <w:lang w:val="en-US" w:eastAsia="zh-CN"/>
              </w:rPr>
              <w:t>8</w:t>
            </w:r>
            <w:r>
              <w:rPr>
                <w:rFonts w:hint="eastAsia" w:ascii="宋体" w:hAnsi="宋体"/>
                <w:szCs w:val="21"/>
                <w:highlight w:val="none"/>
              </w:rPr>
              <w:t>.</w:t>
            </w:r>
            <w:r>
              <w:rPr>
                <w:rFonts w:hint="eastAsia" w:ascii="宋体" w:hAnsi="宋体" w:cs="宋体"/>
                <w:szCs w:val="21"/>
                <w:highlight w:val="none"/>
              </w:rPr>
              <w:t>除磋商文件规定必须提供以外，供应商认为需要提供的其他证明材料</w:t>
            </w:r>
            <w:r>
              <w:rPr>
                <w:rFonts w:hint="eastAsia" w:ascii="宋体" w:hAnsi="宋体" w:cs="宋体"/>
                <w:b/>
                <w:bCs/>
                <w:szCs w:val="21"/>
                <w:highlight w:val="none"/>
              </w:rPr>
              <w:t>（如有请提供）</w:t>
            </w:r>
          </w:p>
          <w:p>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lang w:val="en-US" w:eastAsia="zh-CN"/>
              </w:rPr>
              <w:t>注</w:t>
            </w:r>
            <w:r>
              <w:rPr>
                <w:rFonts w:hint="eastAsia" w:ascii="宋体" w:hAnsi="宋体" w:cs="宋体"/>
                <w:b/>
                <w:szCs w:val="21"/>
                <w:highlight w:val="none"/>
              </w:rPr>
              <w:t>：</w:t>
            </w:r>
          </w:p>
          <w:p>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1</w:t>
            </w:r>
            <w:r>
              <w:rPr>
                <w:rFonts w:hint="eastAsia" w:ascii="宋体" w:hAnsi="宋体" w:cs="宋体"/>
                <w:b/>
                <w:szCs w:val="21"/>
                <w:highlight w:val="none"/>
                <w:lang w:eastAsia="zh-CN"/>
              </w:rPr>
              <w:t>）</w:t>
            </w:r>
            <w:r>
              <w:rPr>
                <w:rFonts w:hint="eastAsia" w:ascii="宋体" w:hAnsi="宋体" w:cs="宋体"/>
                <w:b/>
                <w:szCs w:val="21"/>
                <w:highlight w:val="none"/>
              </w:rPr>
              <w:t>以上标明“必须提供”的材料属于复印件的，必须加盖供应商</w:t>
            </w:r>
            <w:bookmarkStart w:id="33" w:name="OLE_LINK19"/>
            <w:r>
              <w:rPr>
                <w:rFonts w:hint="eastAsia" w:ascii="宋体" w:hAnsi="宋体" w:cs="宋体"/>
                <w:b/>
                <w:szCs w:val="21"/>
                <w:highlight w:val="none"/>
                <w:lang w:val="en-US" w:eastAsia="zh-CN"/>
              </w:rPr>
              <w:t>公章（或</w:t>
            </w:r>
            <w:r>
              <w:rPr>
                <w:rFonts w:hint="eastAsia" w:ascii="宋体" w:hAnsi="宋体"/>
                <w:b/>
                <w:highlight w:val="none"/>
              </w:rPr>
              <w:t>电子签章</w:t>
            </w:r>
            <w:r>
              <w:rPr>
                <w:rFonts w:hint="eastAsia" w:ascii="宋体" w:hAnsi="宋体" w:cs="宋体"/>
                <w:b/>
                <w:szCs w:val="21"/>
                <w:highlight w:val="none"/>
                <w:lang w:val="en-US" w:eastAsia="zh-CN"/>
              </w:rPr>
              <w:t>）</w:t>
            </w:r>
            <w:bookmarkEnd w:id="33"/>
            <w:r>
              <w:rPr>
                <w:rFonts w:hint="eastAsia" w:ascii="宋体" w:hAnsi="宋体" w:cs="宋体"/>
                <w:b/>
                <w:szCs w:val="21"/>
                <w:highlight w:val="none"/>
              </w:rPr>
              <w:t>，否则响应文件按无效处理。</w:t>
            </w:r>
          </w:p>
          <w:p>
            <w:pPr>
              <w:pStyle w:val="18"/>
              <w:spacing w:line="360" w:lineRule="auto"/>
              <w:rPr>
                <w:rFonts w:hint="eastAsia" w:ascii="宋体" w:hAnsi="宋体" w:cs="宋体"/>
                <w:b/>
                <w:szCs w:val="21"/>
                <w:highlight w:val="none"/>
              </w:rPr>
            </w:pPr>
            <w:r>
              <w:rPr>
                <w:rFonts w:hint="eastAsia" w:ascii="宋体" w:hAnsi="宋体"/>
                <w:b/>
                <w:bCs/>
                <w:szCs w:val="21"/>
                <w:highlight w:val="none"/>
                <w:lang w:eastAsia="zh-CN"/>
              </w:rPr>
              <w:t>（</w:t>
            </w:r>
            <w:r>
              <w:rPr>
                <w:rFonts w:hint="eastAsia" w:ascii="宋体" w:hAnsi="宋体"/>
                <w:b/>
                <w:bCs/>
                <w:szCs w:val="21"/>
                <w:highlight w:val="none"/>
                <w:lang w:val="en-US" w:eastAsia="zh-CN"/>
              </w:rPr>
              <w:t>2</w:t>
            </w:r>
            <w:r>
              <w:rPr>
                <w:rFonts w:hint="eastAsia" w:ascii="宋体" w:hAnsi="宋体"/>
                <w:b/>
                <w:bCs/>
                <w:szCs w:val="21"/>
                <w:highlight w:val="none"/>
                <w:lang w:eastAsia="zh-CN"/>
              </w:rPr>
              <w:t>）</w:t>
            </w:r>
            <w:r>
              <w:rPr>
                <w:rFonts w:hint="eastAsia" w:ascii="宋体" w:hAnsi="宋体"/>
                <w:b/>
                <w:bCs/>
                <w:szCs w:val="21"/>
                <w:highlight w:val="none"/>
              </w:rPr>
              <w:t>分公司参加竞标的，应当取得总公司授权。</w:t>
            </w:r>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7824" w:type="dxa"/>
            <w:noWrap w:val="0"/>
            <w:vAlign w:val="center"/>
          </w:tcPr>
          <w:p>
            <w:pPr>
              <w:spacing w:line="360" w:lineRule="auto"/>
              <w:rPr>
                <w:rFonts w:ascii="宋体" w:hAnsi="宋体" w:cs="宋体"/>
                <w:b/>
                <w:bCs/>
                <w:szCs w:val="21"/>
                <w:highlight w:val="none"/>
              </w:rPr>
            </w:pPr>
            <w:r>
              <w:rPr>
                <w:rFonts w:hint="eastAsia" w:ascii="宋体" w:hAnsi="宋体" w:cs="宋体"/>
                <w:b/>
                <w:bCs/>
                <w:szCs w:val="21"/>
                <w:highlight w:val="none"/>
              </w:rPr>
              <w:t>报价文件</w:t>
            </w:r>
          </w:p>
          <w:p>
            <w:pPr>
              <w:spacing w:line="360" w:lineRule="auto"/>
              <w:rPr>
                <w:rFonts w:hint="eastAsia" w:ascii="宋体" w:hAnsi="宋体" w:cs="宋体"/>
                <w:szCs w:val="21"/>
                <w:highlight w:val="none"/>
              </w:rPr>
            </w:pPr>
            <w:r>
              <w:rPr>
                <w:rFonts w:hint="eastAsia" w:ascii="宋体" w:hAnsi="宋体" w:cs="宋体"/>
                <w:szCs w:val="21"/>
                <w:highlight w:val="none"/>
              </w:rPr>
              <w:t>1.竞标报价表（格式后附）；（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2</w:t>
            </w:r>
            <w:r>
              <w:rPr>
                <w:rFonts w:ascii="宋体" w:hAnsi="宋体" w:cs="宋体"/>
                <w:szCs w:val="21"/>
                <w:highlight w:val="none"/>
              </w:rPr>
              <w:t>.</w:t>
            </w:r>
            <w:r>
              <w:rPr>
                <w:rFonts w:hint="eastAsia" w:ascii="宋体" w:hAnsi="宋体" w:cs="宋体"/>
                <w:szCs w:val="21"/>
                <w:highlight w:val="none"/>
              </w:rPr>
              <w:t>供应商认为需要提供的其他有关资料。</w:t>
            </w:r>
          </w:p>
          <w:p>
            <w:pPr>
              <w:spacing w:line="360" w:lineRule="auto"/>
              <w:rPr>
                <w:rFonts w:hint="eastAsia" w:ascii="宋体" w:hAnsi="宋体" w:cs="宋体"/>
                <w:szCs w:val="21"/>
                <w:highlight w:val="none"/>
              </w:rPr>
            </w:pPr>
            <w:r>
              <w:rPr>
                <w:rFonts w:hint="eastAsia" w:ascii="宋体" w:hAnsi="宋体" w:cs="宋体"/>
                <w:b/>
                <w:szCs w:val="21"/>
                <w:highlight w:val="none"/>
                <w:lang w:val="en-US" w:eastAsia="zh-CN"/>
              </w:rPr>
              <w:t>注</w:t>
            </w:r>
            <w:r>
              <w:rPr>
                <w:rFonts w:hint="eastAsia" w:ascii="宋体" w:hAnsi="宋体" w:cs="宋体"/>
                <w:b/>
                <w:szCs w:val="21"/>
                <w:highlight w:val="none"/>
              </w:rPr>
              <w:t>：</w:t>
            </w:r>
            <w:r>
              <w:rPr>
                <w:rFonts w:hint="eastAsia" w:ascii="宋体" w:hAnsi="宋体" w:cs="宋体"/>
                <w:b/>
                <w:bCs/>
                <w:szCs w:val="21"/>
                <w:highlight w:val="none"/>
              </w:rPr>
              <w:t>以上标明“必须提供”的材料属于复印件的，必须加盖供应商公章（或电子签章），否则响应文件按无效响应处理。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12.</w:t>
            </w:r>
            <w:r>
              <w:rPr>
                <w:rFonts w:ascii="宋体" w:hAnsi="宋体" w:cs="宋体"/>
                <w:szCs w:val="21"/>
                <w:highlight w:val="none"/>
              </w:rPr>
              <w:t>1</w:t>
            </w:r>
            <w:r>
              <w:rPr>
                <w:rFonts w:hint="eastAsia" w:ascii="宋体" w:hAnsi="宋体" w:cs="宋体"/>
                <w:szCs w:val="21"/>
                <w:highlight w:val="none"/>
              </w:rPr>
              <w:t>.3</w:t>
            </w:r>
          </w:p>
        </w:tc>
        <w:tc>
          <w:tcPr>
            <w:tcW w:w="7824" w:type="dxa"/>
            <w:noWrap w:val="0"/>
            <w:vAlign w:val="center"/>
          </w:tcPr>
          <w:p>
            <w:pPr>
              <w:spacing w:line="360" w:lineRule="auto"/>
              <w:rPr>
                <w:rFonts w:hint="eastAsia" w:ascii="宋体" w:hAnsi="宋体" w:cs="宋体"/>
                <w:b/>
                <w:bCs/>
                <w:szCs w:val="21"/>
                <w:highlight w:val="none"/>
              </w:rPr>
            </w:pPr>
            <w:r>
              <w:rPr>
                <w:rFonts w:hint="eastAsia" w:ascii="宋体" w:hAnsi="宋体" w:cs="宋体"/>
                <w:b/>
                <w:bCs/>
                <w:szCs w:val="21"/>
                <w:highlight w:val="none"/>
              </w:rPr>
              <w:t>商务技术文件</w:t>
            </w:r>
          </w:p>
          <w:p>
            <w:pPr>
              <w:spacing w:line="360" w:lineRule="auto"/>
              <w:rPr>
                <w:rFonts w:hint="eastAsia" w:ascii="宋体" w:hAnsi="宋体" w:cs="宋体"/>
                <w:szCs w:val="21"/>
                <w:highlight w:val="none"/>
              </w:rPr>
            </w:pPr>
            <w:r>
              <w:rPr>
                <w:rFonts w:hint="eastAsia" w:ascii="宋体" w:hAnsi="宋体" w:cs="宋体"/>
                <w:szCs w:val="21"/>
                <w:highlight w:val="none"/>
              </w:rPr>
              <w:t>1.无串通竞标行为的承诺函（格式后附）；（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napToGrid w:val="0"/>
              <w:spacing w:line="360" w:lineRule="auto"/>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.法定代表人身份证明书及法定代表人有效身份证正反面复印件（格式后附）；（</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hint="eastAsia" w:ascii="宋体" w:hAnsi="宋体" w:cs="宋体"/>
                <w:b/>
                <w:szCs w:val="21"/>
                <w:highlight w:val="none"/>
              </w:rPr>
            </w:pPr>
            <w:r>
              <w:rPr>
                <w:rFonts w:ascii="宋体" w:hAnsi="宋体" w:cs="宋体"/>
                <w:szCs w:val="21"/>
                <w:highlight w:val="none"/>
              </w:rPr>
              <w:t>3</w:t>
            </w:r>
            <w:r>
              <w:rPr>
                <w:rFonts w:hint="eastAsia" w:ascii="宋体" w:hAnsi="宋体" w:cs="宋体"/>
                <w:szCs w:val="21"/>
                <w:highlight w:val="none"/>
              </w:rPr>
              <w:t>.授权委托书及委托代理人有效身份证正反面复印件（格式后附）；（</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.磋商保证金提交凭证；（</w:t>
            </w:r>
            <w:r>
              <w:rPr>
                <w:rFonts w:hint="eastAsia" w:ascii="宋体" w:hAnsi="宋体" w:cs="宋体"/>
                <w:b/>
                <w:bCs/>
                <w:szCs w:val="21"/>
                <w:highlight w:val="none"/>
                <w:lang w:val="en-US" w:eastAsia="zh-CN"/>
              </w:rPr>
              <w:t>如要求缴纳磋商保证金的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.商务要求偏离表（格式后附）；（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6.技术要求偏离表（格式后附）；（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7</w:t>
            </w:r>
            <w:bookmarkStart w:id="34" w:name="OLE_LINK23"/>
            <w:r>
              <w:rPr>
                <w:rFonts w:hint="eastAsia" w:ascii="宋体" w:hAnsi="宋体" w:cs="宋体"/>
                <w:szCs w:val="21"/>
                <w:highlight w:val="none"/>
              </w:rPr>
              <w:t>.项目实施人员</w:t>
            </w:r>
            <w:bookmarkEnd w:id="34"/>
            <w:r>
              <w:rPr>
                <w:rFonts w:hint="eastAsia" w:ascii="宋体" w:hAnsi="宋体" w:cs="宋体"/>
                <w:szCs w:val="21"/>
                <w:highlight w:val="none"/>
              </w:rPr>
              <w:t>一览表（格式后附）</w:t>
            </w:r>
            <w:bookmarkStart w:id="35" w:name="OLE_LINK26"/>
            <w:r>
              <w:rPr>
                <w:rFonts w:hint="eastAsia" w:ascii="宋体" w:hAnsi="宋体" w:cs="宋体"/>
                <w:szCs w:val="21"/>
                <w:highlight w:val="none"/>
              </w:rPr>
              <w:t>；（如有请提供）</w:t>
            </w:r>
            <w:bookmarkEnd w:id="35"/>
          </w:p>
          <w:p>
            <w:pPr>
              <w:spacing w:line="360" w:lineRule="auto"/>
              <w:rPr>
                <w:rFonts w:hint="eastAsia" w:ascii="宋体" w:hAnsi="宋体" w:cs="宋体"/>
                <w:szCs w:val="21"/>
                <w:highlight w:val="none"/>
                <w:lang w:val="en-US" w:eastAsia="zh-CN"/>
              </w:rPr>
            </w:pPr>
            <w:bookmarkStart w:id="36" w:name="OLE_LINK25"/>
            <w:r>
              <w:rPr>
                <w:rFonts w:hint="eastAsia" w:ascii="宋体" w:hAnsi="宋体" w:cs="宋体"/>
                <w:szCs w:val="21"/>
                <w:highlight w:val="none"/>
                <w:lang w:val="en-US" w:eastAsia="zh-CN"/>
              </w:rPr>
              <w:t>8.技术方案</w:t>
            </w:r>
            <w:r>
              <w:rPr>
                <w:rFonts w:hint="eastAsia" w:ascii="宋体" w:hAnsi="宋体" w:cs="宋体"/>
                <w:szCs w:val="21"/>
                <w:highlight w:val="none"/>
              </w:rPr>
              <w:t>；</w:t>
            </w:r>
            <w:bookmarkStart w:id="37" w:name="OLE_LINK34"/>
            <w:r>
              <w:rPr>
                <w:rFonts w:hint="eastAsia" w:ascii="宋体" w:hAnsi="宋体" w:cs="宋体"/>
                <w:szCs w:val="21"/>
                <w:highlight w:val="none"/>
              </w:rPr>
              <w:t>（</w:t>
            </w:r>
            <w:r>
              <w:rPr>
                <w:rFonts w:hint="eastAsia" w:ascii="宋体" w:hAnsi="宋体" w:cs="宋体"/>
                <w:szCs w:val="21"/>
                <w:highlight w:val="none"/>
                <w:lang w:val="en-US" w:eastAsia="zh-CN"/>
              </w:rPr>
              <w:t>格式自拟</w:t>
            </w:r>
            <w:r>
              <w:rPr>
                <w:rFonts w:hint="eastAsia" w:ascii="宋体" w:hAnsi="宋体" w:cs="宋体"/>
                <w:szCs w:val="21"/>
                <w:highlight w:val="none"/>
              </w:rPr>
              <w:t>）</w:t>
            </w:r>
            <w:bookmarkEnd w:id="37"/>
          </w:p>
          <w:bookmarkEnd w:id="36"/>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9.项目实施方案</w:t>
            </w:r>
            <w:r>
              <w:rPr>
                <w:rFonts w:hint="eastAsia" w:ascii="宋体" w:hAnsi="宋体" w:cs="宋体"/>
                <w:szCs w:val="21"/>
                <w:highlight w:val="none"/>
              </w:rPr>
              <w:t>；（</w:t>
            </w:r>
            <w:r>
              <w:rPr>
                <w:rFonts w:hint="eastAsia" w:ascii="宋体" w:hAnsi="宋体" w:cs="宋体"/>
                <w:szCs w:val="21"/>
                <w:highlight w:val="none"/>
                <w:lang w:val="en-US" w:eastAsia="zh-CN"/>
              </w:rPr>
              <w:t>格式自拟</w:t>
            </w:r>
            <w:r>
              <w:rPr>
                <w:rFonts w:hint="eastAsia" w:ascii="宋体" w:hAnsi="宋体" w:cs="宋体"/>
                <w:szCs w:val="21"/>
                <w:highlight w:val="none"/>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10.售后服务方案</w:t>
            </w:r>
            <w:r>
              <w:rPr>
                <w:rFonts w:hint="eastAsia" w:ascii="宋体" w:hAnsi="宋体" w:cs="宋体"/>
                <w:szCs w:val="21"/>
                <w:highlight w:val="none"/>
              </w:rPr>
              <w:t>；（</w:t>
            </w:r>
            <w:r>
              <w:rPr>
                <w:rFonts w:hint="eastAsia" w:ascii="宋体" w:hAnsi="宋体" w:cs="宋体"/>
                <w:szCs w:val="21"/>
                <w:highlight w:val="none"/>
                <w:lang w:val="en-US" w:eastAsia="zh-CN"/>
              </w:rPr>
              <w:t>格式自拟</w:t>
            </w:r>
            <w:r>
              <w:rPr>
                <w:rFonts w:hint="eastAsia" w:ascii="宋体" w:hAnsi="宋体" w:cs="宋体"/>
                <w:szCs w:val="21"/>
                <w:highlight w:val="none"/>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11.培训方案</w:t>
            </w:r>
            <w:r>
              <w:rPr>
                <w:rFonts w:hint="eastAsia" w:ascii="宋体" w:hAnsi="宋体" w:cs="宋体"/>
                <w:szCs w:val="21"/>
                <w:highlight w:val="none"/>
              </w:rPr>
              <w:t>；（</w:t>
            </w:r>
            <w:r>
              <w:rPr>
                <w:rFonts w:hint="eastAsia" w:ascii="宋体" w:hAnsi="宋体" w:cs="宋体"/>
                <w:szCs w:val="21"/>
                <w:highlight w:val="none"/>
                <w:lang w:val="en-US" w:eastAsia="zh-CN"/>
              </w:rPr>
              <w:t>格式自拟</w:t>
            </w:r>
            <w:r>
              <w:rPr>
                <w:rFonts w:hint="eastAsia" w:ascii="宋体" w:hAnsi="宋体" w:cs="宋体"/>
                <w:szCs w:val="21"/>
                <w:highlight w:val="none"/>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12.项目业绩证明材料</w:t>
            </w:r>
            <w:r>
              <w:rPr>
                <w:rFonts w:hint="eastAsia" w:ascii="宋体" w:hAnsi="宋体" w:cs="宋体"/>
                <w:szCs w:val="21"/>
                <w:highlight w:val="none"/>
              </w:rPr>
              <w:t>；（如有请提供）</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13.管理体系认证证书扫描件</w:t>
            </w:r>
            <w:r>
              <w:rPr>
                <w:rFonts w:hint="eastAsia" w:ascii="宋体" w:hAnsi="宋体" w:cs="宋体"/>
                <w:szCs w:val="21"/>
                <w:highlight w:val="none"/>
              </w:rPr>
              <w:t>；（如有请提供）</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.对应采购需求的技术要求、商务要求、评审标准提供的其他文件资料（格式自拟）；（如有请提供）</w:t>
            </w:r>
          </w:p>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.供应商认为需要提供的其他有关资料。</w:t>
            </w:r>
          </w:p>
          <w:p>
            <w:pPr>
              <w:snapToGrid w:val="0"/>
              <w:spacing w:line="360" w:lineRule="auto"/>
              <w:jc w:val="left"/>
              <w:rPr>
                <w:rFonts w:hint="eastAsia" w:ascii="宋体" w:hAnsi="宋体" w:cs="宋体"/>
                <w:b/>
                <w:szCs w:val="21"/>
                <w:highlight w:val="none"/>
              </w:rPr>
            </w:pPr>
            <w:r>
              <w:rPr>
                <w:rFonts w:hint="eastAsia" w:ascii="宋体" w:hAnsi="宋体" w:cs="宋体"/>
                <w:b/>
                <w:szCs w:val="21"/>
                <w:highlight w:val="none"/>
                <w:lang w:val="en-US" w:eastAsia="zh-CN"/>
              </w:rPr>
              <w:t>注</w:t>
            </w:r>
            <w:r>
              <w:rPr>
                <w:rFonts w:hint="eastAsia" w:ascii="宋体" w:hAnsi="宋体" w:cs="宋体"/>
                <w:b/>
                <w:szCs w:val="21"/>
                <w:highlight w:val="none"/>
              </w:rPr>
              <w:t>：以上标明“必须提供”的材料属于复印件的，必须加盖供应商</w:t>
            </w:r>
            <w:r>
              <w:rPr>
                <w:rFonts w:hint="eastAsia" w:ascii="宋体" w:hAnsi="宋体"/>
                <w:b/>
                <w:bCs/>
                <w:szCs w:val="21"/>
                <w:highlight w:val="none"/>
              </w:rPr>
              <w:t>公章（或电子签章）</w:t>
            </w:r>
            <w:r>
              <w:rPr>
                <w:rFonts w:hint="eastAsia" w:ascii="宋体" w:hAnsi="宋体" w:cs="宋体"/>
                <w:b/>
                <w:szCs w:val="21"/>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15.2</w:t>
            </w:r>
          </w:p>
        </w:tc>
        <w:tc>
          <w:tcPr>
            <w:tcW w:w="7824" w:type="dxa"/>
            <w:noWrap w:val="0"/>
            <w:vAlign w:val="center"/>
          </w:tcPr>
          <w:p>
            <w:pPr>
              <w:spacing w:line="360" w:lineRule="auto"/>
              <w:contextualSpacing/>
              <w:jc w:val="left"/>
              <w:rPr>
                <w:rFonts w:hint="eastAsia" w:ascii="宋体" w:hAnsi="宋体" w:cs="宋体"/>
                <w:szCs w:val="21"/>
                <w:highlight w:val="none"/>
              </w:rPr>
            </w:pPr>
            <w:r>
              <w:rPr>
                <w:rFonts w:hint="eastAsia" w:ascii="宋体" w:hAnsi="宋体"/>
                <w:szCs w:val="21"/>
                <w:highlight w:val="none"/>
              </w:rPr>
              <w:t>竞标报价是履行合同的最终价格，具体详见采购需求。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16.</w:t>
            </w:r>
            <w:r>
              <w:rPr>
                <w:rFonts w:ascii="宋体" w:hAnsi="宋体" w:cs="宋体"/>
                <w:szCs w:val="21"/>
                <w:highlight w:val="none"/>
              </w:rPr>
              <w:t>2</w:t>
            </w:r>
          </w:p>
        </w:tc>
        <w:tc>
          <w:tcPr>
            <w:tcW w:w="7824" w:type="dxa"/>
            <w:noWrap w:val="0"/>
            <w:vAlign w:val="center"/>
          </w:tcPr>
          <w:p>
            <w:pPr>
              <w:pStyle w:val="16"/>
              <w:widowControl w:val="0"/>
              <w:tabs>
                <w:tab w:val="clear" w:pos="454"/>
              </w:tabs>
              <w:snapToGrid w:val="0"/>
              <w:spacing w:after="0" w:afterLines="0" w:line="360" w:lineRule="auto"/>
              <w:ind w:left="283"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ascii="宋体" w:hAnsi="宋体" w:cs="宋体"/>
                <w:kern w:val="2"/>
                <w:sz w:val="21"/>
                <w:szCs w:val="21"/>
                <w:highlight w:val="none"/>
                <w:u w:val="single"/>
              </w:rPr>
              <w:t xml:space="preserve"> 90</w:t>
            </w:r>
            <w:r>
              <w:rPr>
                <w:rFonts w:hint="eastAsia" w:ascii="宋体" w:hAnsi="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17.1</w:t>
            </w:r>
          </w:p>
        </w:tc>
        <w:tc>
          <w:tcPr>
            <w:tcW w:w="7824" w:type="dxa"/>
            <w:noWrap w:val="0"/>
            <w:vAlign w:val="center"/>
          </w:tcPr>
          <w:p>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本项目不收取磋商保证金。</w:t>
            </w:r>
          </w:p>
          <w:p>
            <w:pPr>
              <w:snapToGrid w:val="0"/>
              <w:spacing w:line="360" w:lineRule="auto"/>
              <w:rPr>
                <w:rFonts w:hint="eastAsia" w:ascii="宋体" w:hAnsi="宋体"/>
                <w:szCs w:val="21"/>
                <w:highlight w:val="none"/>
              </w:rPr>
            </w:pPr>
            <w:r>
              <w:rPr>
                <w:rFonts w:hint="eastAsia" w:ascii="Segoe UI Symbol" w:hAnsi="Segoe UI Symbol" w:cs="Segoe UI Symbol"/>
                <w:sz w:val="24"/>
                <w:szCs w:val="21"/>
                <w:highlight w:val="none"/>
                <w:lang w:eastAsia="zh-CN"/>
              </w:rPr>
              <w:t>□</w:t>
            </w:r>
            <w:r>
              <w:rPr>
                <w:rFonts w:hint="eastAsia" w:ascii="宋体" w:hAnsi="宋体"/>
                <w:szCs w:val="21"/>
                <w:highlight w:val="none"/>
              </w:rPr>
              <w:t>本项目收取磋商保证金，具体规定如下：</w:t>
            </w:r>
          </w:p>
          <w:p>
            <w:pPr>
              <w:spacing w:line="360" w:lineRule="auto"/>
              <w:rPr>
                <w:rFonts w:hint="eastAsia" w:ascii="宋体" w:hAnsi="宋体" w:cs="宋体"/>
                <w:b/>
                <w:bCs/>
                <w:kern w:val="0"/>
                <w:szCs w:val="21"/>
                <w:highlight w:val="none"/>
              </w:rPr>
            </w:pPr>
            <w:r>
              <w:rPr>
                <w:rFonts w:hint="eastAsia" w:ascii="宋体" w:hAnsi="宋体" w:cs="宋体"/>
                <w:b/>
                <w:bCs/>
                <w:kern w:val="0"/>
                <w:szCs w:val="21"/>
                <w:highlight w:val="none"/>
              </w:rPr>
              <w:t>磋商保证金</w:t>
            </w:r>
            <w:r>
              <w:rPr>
                <w:rFonts w:hint="eastAsia" w:ascii="宋体" w:hAnsi="宋体" w:cs="宋体"/>
                <w:b/>
                <w:bCs/>
                <w:kern w:val="0"/>
                <w:szCs w:val="21"/>
                <w:highlight w:val="none"/>
                <w:lang w:val="en-US" w:eastAsia="zh-CN"/>
              </w:rPr>
              <w:t>金额：/</w:t>
            </w:r>
            <w:r>
              <w:rPr>
                <w:rFonts w:hint="eastAsia" w:ascii="宋体" w:hAnsi="宋体" w:cs="宋体"/>
                <w:b/>
                <w:bCs/>
                <w:kern w:val="0"/>
                <w:szCs w:val="21"/>
                <w:highlight w:val="none"/>
              </w:rPr>
              <w:t>。</w:t>
            </w:r>
          </w:p>
          <w:p>
            <w:pPr>
              <w:snapToGrid w:val="0"/>
              <w:spacing w:line="360" w:lineRule="auto"/>
              <w:rPr>
                <w:rFonts w:ascii="宋体" w:hAnsi="宋体" w:cs="宋体"/>
                <w:bCs/>
                <w:szCs w:val="21"/>
                <w:highlight w:val="none"/>
                <w:shd w:val="clear" w:color="auto" w:fill="FFFFFF"/>
              </w:rPr>
            </w:pPr>
            <w:r>
              <w:rPr>
                <w:rFonts w:hint="eastAsia" w:ascii="宋体" w:hAnsi="宋体" w:cs="宋体"/>
                <w:kern w:val="0"/>
                <w:szCs w:val="21"/>
                <w:highlight w:val="none"/>
              </w:rPr>
              <w:t>磋商保证金的交纳方式：</w:t>
            </w:r>
            <w:r>
              <w:rPr>
                <w:rFonts w:hint="eastAsia" w:ascii="宋体" w:hAnsi="宋体" w:cs="宋体"/>
                <w:bCs/>
                <w:szCs w:val="21"/>
                <w:highlight w:val="none"/>
                <w:shd w:val="clear" w:color="auto" w:fill="FFFFFF"/>
              </w:rPr>
              <w:t>银行转账、支票、汇票、本票或者金融机构、担保机构出具的保函，保险机构保单等，禁止采用现钞方式。</w:t>
            </w:r>
          </w:p>
          <w:p>
            <w:pPr>
              <w:snapToGrid w:val="0"/>
              <w:spacing w:line="360" w:lineRule="auto"/>
              <w:rPr>
                <w:rFonts w:hint="eastAsia" w:ascii="宋体" w:hAnsi="宋体" w:cs="宋体"/>
                <w:szCs w:val="21"/>
                <w:highlight w:val="none"/>
              </w:rPr>
            </w:pPr>
            <w:r>
              <w:rPr>
                <w:rFonts w:hint="eastAsia" w:ascii="宋体" w:hAnsi="宋体" w:cs="宋体"/>
                <w:szCs w:val="21"/>
                <w:highlight w:val="none"/>
              </w:rPr>
              <w:t>相关要求：</w:t>
            </w:r>
          </w:p>
          <w:p>
            <w:pPr>
              <w:snapToGrid w:val="0"/>
              <w:spacing w:line="360" w:lineRule="auto"/>
              <w:rPr>
                <w:rFonts w:hint="eastAsia" w:ascii="宋体" w:hAnsi="宋体" w:cs="宋体"/>
                <w:szCs w:val="21"/>
                <w:highlight w:val="none"/>
              </w:rPr>
            </w:pPr>
            <w:r>
              <w:rPr>
                <w:rFonts w:hint="eastAsia" w:ascii="宋体" w:hAnsi="宋体" w:cs="宋体"/>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highlight w:val="none"/>
              </w:rPr>
              <w:t>否则响应文件按无效响应处理</w:t>
            </w:r>
            <w:r>
              <w:rPr>
                <w:rFonts w:hint="eastAsia" w:ascii="宋体" w:hAnsi="宋体" w:cs="宋体"/>
                <w:szCs w:val="21"/>
                <w:highlight w:val="none"/>
              </w:rPr>
              <w:t>。</w:t>
            </w:r>
          </w:p>
          <w:p>
            <w:pPr>
              <w:snapToGrid w:val="0"/>
              <w:spacing w:line="360" w:lineRule="auto"/>
              <w:rPr>
                <w:rFonts w:ascii="宋体" w:hAnsi="宋体"/>
                <w:szCs w:val="21"/>
                <w:highlight w:val="none"/>
              </w:rPr>
            </w:pPr>
            <w:r>
              <w:rPr>
                <w:rFonts w:hint="eastAsia" w:ascii="宋体" w:hAnsi="宋体"/>
                <w:szCs w:val="21"/>
                <w:highlight w:val="none"/>
              </w:rPr>
              <w:t>2.磋商保证金采用支票、汇票、本票或者金融机构、保险机构保单、担保机构出具的保函</w:t>
            </w:r>
            <w:r>
              <w:rPr>
                <w:rFonts w:ascii="宋体" w:hAnsi="宋体"/>
                <w:highlight w:val="none"/>
              </w:rPr>
              <w:t>（包含电子保函）</w:t>
            </w:r>
            <w:r>
              <w:rPr>
                <w:rFonts w:hint="eastAsia" w:ascii="宋体" w:hAnsi="宋体"/>
                <w:szCs w:val="21"/>
                <w:highlight w:val="none"/>
              </w:rPr>
              <w:t>交纳方式的，供应商应将支票、汇票、本票、保单或者金融机构、担保机构出具的保函</w:t>
            </w:r>
            <w:r>
              <w:rPr>
                <w:rFonts w:ascii="宋体" w:hAnsi="宋体"/>
                <w:highlight w:val="none"/>
              </w:rPr>
              <w:t>（包含电子保函）</w:t>
            </w:r>
            <w:r>
              <w:rPr>
                <w:rFonts w:hint="eastAsia" w:ascii="宋体" w:hAnsi="宋体"/>
                <w:szCs w:val="21"/>
                <w:highlight w:val="none"/>
              </w:rPr>
              <w:t>的复印件作为磋商保证金提交凭证，放置于</w:t>
            </w:r>
            <w:r>
              <w:rPr>
                <w:rFonts w:hint="eastAsia" w:ascii="宋体" w:hAnsi="宋体" w:cs="宋体"/>
                <w:szCs w:val="21"/>
                <w:highlight w:val="none"/>
              </w:rPr>
              <w:t>商务技术文件</w:t>
            </w:r>
            <w:r>
              <w:rPr>
                <w:rFonts w:hint="eastAsia" w:ascii="宋体" w:hAnsi="宋体"/>
                <w:szCs w:val="21"/>
                <w:highlight w:val="none"/>
              </w:rPr>
              <w:t>中，</w:t>
            </w:r>
            <w:r>
              <w:rPr>
                <w:rFonts w:hint="eastAsia" w:ascii="宋体" w:hAnsi="宋体" w:cs="宋体"/>
                <w:b/>
                <w:szCs w:val="21"/>
                <w:highlight w:val="none"/>
              </w:rPr>
              <w:t>否则响应文件按无效处理</w:t>
            </w:r>
            <w:r>
              <w:rPr>
                <w:rFonts w:hint="eastAsia" w:ascii="宋体" w:hAnsi="宋体"/>
                <w:szCs w:val="21"/>
                <w:highlight w:val="none"/>
              </w:rPr>
              <w:t>。供应商必须</w:t>
            </w:r>
            <w:r>
              <w:rPr>
                <w:rFonts w:hint="eastAsia" w:ascii="宋体" w:hAnsi="宋体"/>
                <w:highlight w:val="none"/>
              </w:rPr>
              <w:t>在响应文件提交截止时间前采用现场或邮寄方式（提交地址：</w:t>
            </w:r>
            <w:bookmarkStart w:id="38" w:name="OLE_LINK8"/>
            <w:r>
              <w:rPr>
                <w:rFonts w:hint="eastAsia" w:ascii="宋体" w:hAnsi="宋体" w:cs="宋体"/>
                <w:szCs w:val="21"/>
                <w:highlight w:val="none"/>
                <w:u w:val="single"/>
                <w:lang w:eastAsia="zh-CN"/>
              </w:rPr>
              <w:t>广西南宁市青秀区枫林路18号广西国资交易中心</w:t>
            </w:r>
            <w:bookmarkEnd w:id="38"/>
            <w:r>
              <w:rPr>
                <w:rFonts w:hint="eastAsia" w:ascii="宋体" w:hAnsi="宋体" w:cs="宋体"/>
                <w:szCs w:val="21"/>
                <w:highlight w:val="none"/>
                <w:u w:val="single"/>
                <w:lang w:eastAsia="zh-CN"/>
              </w:rPr>
              <w:t>开标室</w:t>
            </w:r>
            <w:r>
              <w:rPr>
                <w:rFonts w:hint="eastAsia" w:ascii="宋体" w:hAnsi="宋体" w:cs="仿宋"/>
                <w:szCs w:val="21"/>
                <w:highlight w:val="none"/>
                <w:u w:val="single"/>
              </w:rPr>
              <w:t>（具体详见当天信息显示屏）</w:t>
            </w:r>
            <w:r>
              <w:rPr>
                <w:rFonts w:ascii="宋体" w:hAnsi="宋体"/>
                <w:highlight w:val="none"/>
                <w:u w:val="single"/>
              </w:rPr>
              <w:t xml:space="preserve"> </w:t>
            </w:r>
            <w:r>
              <w:rPr>
                <w:rFonts w:hint="eastAsia" w:ascii="宋体" w:hAnsi="宋体"/>
                <w:highlight w:val="none"/>
              </w:rPr>
              <w:t>；邮寄地址：</w:t>
            </w:r>
            <w:r>
              <w:rPr>
                <w:rFonts w:hint="eastAsia" w:ascii="宋体" w:hAnsi="宋体" w:cs="宋体"/>
                <w:szCs w:val="21"/>
                <w:highlight w:val="none"/>
                <w:u w:val="single"/>
                <w:lang w:eastAsia="zh-CN"/>
              </w:rPr>
              <w:t>广西南宁市青秀区枫林路18号广西国资交易中心</w:t>
            </w:r>
            <w:r>
              <w:rPr>
                <w:rFonts w:hint="eastAsia" w:ascii="宋体" w:hAnsi="宋体"/>
                <w:highlight w:val="none"/>
                <w:lang w:eastAsia="zh-CN"/>
              </w:rPr>
              <w:t>；</w:t>
            </w:r>
            <w:r>
              <w:rPr>
                <w:rFonts w:hint="eastAsia" w:ascii="宋体" w:hAnsi="宋体"/>
                <w:highlight w:val="none"/>
              </w:rPr>
              <w:t>收件人：</w:t>
            </w:r>
            <w:r>
              <w:rPr>
                <w:rFonts w:hint="eastAsia" w:ascii="宋体" w:hAnsi="宋体" w:cs="仿宋"/>
                <w:kern w:val="0"/>
                <w:szCs w:val="21"/>
                <w:highlight w:val="none"/>
                <w:u w:val="single"/>
                <w:lang w:val="en-US" w:eastAsia="zh-CN"/>
              </w:rPr>
              <w:t>陆家语</w:t>
            </w:r>
            <w:r>
              <w:rPr>
                <w:rFonts w:hint="eastAsia" w:ascii="宋体" w:hAnsi="宋体"/>
                <w:highlight w:val="none"/>
              </w:rPr>
              <w:t>，联系方式：</w:t>
            </w:r>
            <w:r>
              <w:rPr>
                <w:rFonts w:hint="eastAsia" w:ascii="宋体" w:hAnsi="宋体" w:cs="仿宋"/>
                <w:kern w:val="0"/>
                <w:szCs w:val="21"/>
                <w:highlight w:val="none"/>
                <w:u w:val="single"/>
                <w:lang w:val="en-US" w:eastAsia="zh-CN"/>
              </w:rPr>
              <w:t>15307868806</w:t>
            </w:r>
            <w:r>
              <w:rPr>
                <w:rFonts w:hint="eastAsia" w:ascii="宋体" w:hAnsi="宋体"/>
                <w:highlight w:val="none"/>
              </w:rPr>
              <w:t>）</w:t>
            </w:r>
            <w:r>
              <w:rPr>
                <w:rFonts w:hint="eastAsia" w:ascii="宋体" w:hAnsi="宋体"/>
                <w:szCs w:val="21"/>
                <w:highlight w:val="none"/>
              </w:rPr>
              <w:t>将</w:t>
            </w:r>
            <w:r>
              <w:rPr>
                <w:rFonts w:hint="eastAsia" w:ascii="宋体" w:hAnsi="宋体" w:cs="宋体"/>
                <w:kern w:val="0"/>
                <w:szCs w:val="21"/>
                <w:highlight w:val="none"/>
              </w:rPr>
              <w:t>单独密封的</w:t>
            </w:r>
            <w:r>
              <w:rPr>
                <w:rFonts w:hint="eastAsia" w:ascii="宋体" w:hAnsi="宋体"/>
                <w:szCs w:val="21"/>
                <w:highlight w:val="none"/>
              </w:rPr>
              <w:t>支票、汇票、本票、保单或者金融机构、担保机构出具的保函原件提交给采购代理机构，由采购代理机构向供应商出具回执（邮寄方式的除外），并妥善保管。</w:t>
            </w:r>
          </w:p>
          <w:p>
            <w:pPr>
              <w:snapToGrid w:val="0"/>
              <w:spacing w:line="360" w:lineRule="auto"/>
              <w:rPr>
                <w:rFonts w:hint="eastAsia" w:ascii="宋体" w:hAnsi="宋体" w:cs="宋体"/>
                <w:b/>
                <w:szCs w:val="21"/>
                <w:highlight w:val="none"/>
                <w:lang w:val="en-US" w:eastAsia="zh-CN"/>
              </w:rPr>
            </w:pPr>
            <w:r>
              <w:rPr>
                <w:rFonts w:hint="eastAsia" w:ascii="宋体" w:hAnsi="宋体" w:cs="宋体"/>
                <w:b/>
                <w:szCs w:val="21"/>
                <w:highlight w:val="none"/>
                <w:lang w:val="en-US" w:eastAsia="zh-CN"/>
              </w:rPr>
              <w:t>3.磋商保证金收取银行账户</w:t>
            </w:r>
          </w:p>
          <w:p>
            <w:pPr>
              <w:snapToGrid w:val="0"/>
              <w:spacing w:line="360" w:lineRule="auto"/>
              <w:rPr>
                <w:rFonts w:hint="eastAsia" w:ascii="宋体" w:hAnsi="宋体" w:cs="宋体"/>
                <w:b w:val="0"/>
                <w:bCs/>
                <w:szCs w:val="21"/>
                <w:highlight w:val="none"/>
                <w:lang w:val="en-US" w:eastAsia="zh-CN"/>
              </w:rPr>
            </w:pPr>
            <w:bookmarkStart w:id="39" w:name="OLE_LINK2"/>
            <w:r>
              <w:rPr>
                <w:rFonts w:hint="eastAsia" w:ascii="宋体" w:hAnsi="宋体" w:cs="宋体"/>
                <w:b w:val="0"/>
                <w:bCs/>
                <w:szCs w:val="21"/>
                <w:highlight w:val="none"/>
                <w:lang w:val="en-US" w:eastAsia="zh-CN"/>
              </w:rPr>
              <w:t>账户名称：广西双科建设工程咨询有限公司</w:t>
            </w:r>
          </w:p>
          <w:p>
            <w:pPr>
              <w:snapToGrid w:val="0"/>
              <w:spacing w:line="360" w:lineRule="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开户银行：浦发银行南宁江南支行</w:t>
            </w:r>
          </w:p>
          <w:p>
            <w:pPr>
              <w:snapToGrid w:val="0"/>
              <w:spacing w:line="360" w:lineRule="auto"/>
              <w:rPr>
                <w:rFonts w:hint="default"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银行账号：63060154800000295</w:t>
            </w:r>
          </w:p>
          <w:bookmarkEnd w:id="39"/>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注</w:t>
            </w:r>
            <w:r>
              <w:rPr>
                <w:rFonts w:hint="eastAsia" w:ascii="宋体" w:hAnsi="宋体" w:cs="宋体"/>
                <w:b/>
                <w:szCs w:val="21"/>
                <w:highlight w:val="none"/>
              </w:rPr>
              <w:t xml:space="preserve">： </w:t>
            </w:r>
          </w:p>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1</w:t>
            </w:r>
            <w:r>
              <w:rPr>
                <w:rFonts w:hint="eastAsia" w:ascii="宋体" w:hAnsi="宋体" w:cs="宋体"/>
                <w:b/>
                <w:szCs w:val="21"/>
                <w:highlight w:val="none"/>
                <w:lang w:eastAsia="zh-CN"/>
              </w:rPr>
              <w:t>）</w:t>
            </w:r>
            <w:r>
              <w:rPr>
                <w:rFonts w:hint="eastAsia" w:ascii="宋体" w:hAnsi="宋体" w:cs="宋体"/>
                <w:b/>
                <w:szCs w:val="21"/>
                <w:highlight w:val="none"/>
              </w:rPr>
              <w:t>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2</w:t>
            </w:r>
            <w:r>
              <w:rPr>
                <w:rFonts w:hint="eastAsia" w:ascii="宋体" w:hAnsi="宋体" w:cs="宋体"/>
                <w:b/>
                <w:szCs w:val="21"/>
                <w:highlight w:val="none"/>
                <w:lang w:eastAsia="zh-CN"/>
              </w:rPr>
              <w:t>）</w:t>
            </w:r>
            <w:r>
              <w:rPr>
                <w:rFonts w:hint="eastAsia" w:ascii="宋体" w:hAnsi="宋体" w:cs="宋体"/>
                <w:b/>
                <w:szCs w:val="21"/>
                <w:highlight w:val="none"/>
              </w:rPr>
              <w:t>供应商采用现钞方式或者从个人账户（自然人竞标除外）转出的磋商保证金，视为无效磋商保证金。</w:t>
            </w:r>
          </w:p>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3</w:t>
            </w:r>
            <w:r>
              <w:rPr>
                <w:rFonts w:hint="eastAsia" w:ascii="宋体" w:hAnsi="宋体" w:cs="宋体"/>
                <w:b/>
                <w:szCs w:val="21"/>
                <w:highlight w:val="none"/>
                <w:lang w:eastAsia="zh-CN"/>
              </w:rPr>
              <w:t>）</w:t>
            </w:r>
            <w:r>
              <w:rPr>
                <w:rFonts w:hint="eastAsia" w:ascii="宋体" w:hAnsi="宋体" w:cs="宋体"/>
                <w:b/>
                <w:szCs w:val="21"/>
                <w:highlight w:val="none"/>
              </w:rPr>
              <w:t>支票、汇票或者本票出现无效或者背书情形的，视为无效磋商保证金。</w:t>
            </w:r>
          </w:p>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4</w:t>
            </w:r>
            <w:r>
              <w:rPr>
                <w:rFonts w:hint="eastAsia" w:ascii="宋体" w:hAnsi="宋体" w:cs="宋体"/>
                <w:b/>
                <w:szCs w:val="21"/>
                <w:highlight w:val="none"/>
                <w:lang w:eastAsia="zh-CN"/>
              </w:rPr>
              <w:t>）</w:t>
            </w:r>
            <w:r>
              <w:rPr>
                <w:rFonts w:hint="eastAsia" w:ascii="宋体" w:hAnsi="宋体" w:cs="宋体"/>
                <w:b/>
                <w:szCs w:val="21"/>
                <w:highlight w:val="none"/>
              </w:rPr>
              <w:t>保函有效期低于竞标有效期的，视为无效磋商保证金。</w:t>
            </w:r>
          </w:p>
          <w:p>
            <w:pPr>
              <w:snapToGrid w:val="0"/>
              <w:spacing w:line="360" w:lineRule="auto"/>
              <w:rPr>
                <w:rFonts w:hint="eastAsia"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5</w:t>
            </w:r>
            <w:r>
              <w:rPr>
                <w:rFonts w:hint="eastAsia" w:ascii="宋体" w:hAnsi="宋体" w:cs="宋体"/>
                <w:b/>
                <w:szCs w:val="21"/>
                <w:highlight w:val="none"/>
                <w:lang w:eastAsia="zh-CN"/>
              </w:rPr>
              <w:t>）</w:t>
            </w:r>
            <w:r>
              <w:rPr>
                <w:rFonts w:hint="eastAsia" w:ascii="宋体" w:hAnsi="宋体" w:cs="宋体"/>
                <w:b/>
                <w:szCs w:val="21"/>
                <w:highlight w:val="none"/>
              </w:rPr>
              <w:t>采用金融机构、担保机构出具保函的，必须为无条件保函，否则视为无效磋商保证金。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ascii="宋体" w:hAnsi="宋体" w:cs="宋体"/>
                <w:szCs w:val="21"/>
                <w:highlight w:val="none"/>
              </w:rPr>
              <w:t>19</w:t>
            </w:r>
          </w:p>
        </w:tc>
        <w:tc>
          <w:tcPr>
            <w:tcW w:w="7824" w:type="dxa"/>
            <w:noWrap w:val="0"/>
            <w:vAlign w:val="center"/>
          </w:tcPr>
          <w:p>
            <w:pPr>
              <w:spacing w:line="360" w:lineRule="auto"/>
              <w:rPr>
                <w:rFonts w:hint="eastAsia" w:ascii="宋体" w:hAnsi="宋体" w:cs="宋体"/>
                <w:szCs w:val="21"/>
                <w:highlight w:val="none"/>
              </w:rPr>
            </w:pPr>
            <w:r>
              <w:rPr>
                <w:rFonts w:hint="eastAsia" w:ascii="宋体" w:hAnsi="宋体"/>
                <w:szCs w:val="21"/>
                <w:highlight w:val="none"/>
              </w:rPr>
              <w:t>本项目不接受</w:t>
            </w:r>
            <w:r>
              <w:rPr>
                <w:rFonts w:hint="eastAsia" w:ascii="宋体" w:hAnsi="宋体"/>
                <w:highlight w:val="none"/>
              </w:rPr>
              <w:t>电子</w:t>
            </w:r>
            <w:r>
              <w:rPr>
                <w:rFonts w:hint="eastAsia" w:ascii="宋体" w:hAnsi="宋体"/>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20.1</w:t>
            </w:r>
          </w:p>
        </w:tc>
        <w:tc>
          <w:tcPr>
            <w:tcW w:w="7824" w:type="dxa"/>
            <w:noWrap w:val="0"/>
            <w:vAlign w:val="center"/>
          </w:tcPr>
          <w:p>
            <w:pPr>
              <w:spacing w:line="360" w:lineRule="auto"/>
              <w:contextualSpacing/>
              <w:jc w:val="left"/>
              <w:rPr>
                <w:rFonts w:hint="eastAsia" w:ascii="宋体" w:hAnsi="宋体" w:cs="宋体"/>
                <w:szCs w:val="21"/>
                <w:highlight w:val="none"/>
                <w:u w:val="single"/>
              </w:rPr>
            </w:pPr>
            <w:r>
              <w:rPr>
                <w:rFonts w:hint="eastAsia" w:ascii="宋体" w:hAnsi="宋体" w:cs="宋体"/>
                <w:szCs w:val="21"/>
                <w:highlight w:val="none"/>
              </w:rPr>
              <w:t>响应文件提交截止时间：详见竞争性磋商公告。</w:t>
            </w:r>
          </w:p>
          <w:p>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24.1</w:t>
            </w:r>
          </w:p>
        </w:tc>
        <w:tc>
          <w:tcPr>
            <w:tcW w:w="7824" w:type="dxa"/>
            <w:noWrap w:val="0"/>
            <w:vAlign w:val="center"/>
          </w:tcPr>
          <w:p>
            <w:pPr>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磋商小组的人数：</w:t>
            </w:r>
            <w:r>
              <w:rPr>
                <w:rFonts w:hint="eastAsia" w:ascii="宋体" w:hAnsi="宋体" w:cs="宋体"/>
                <w:szCs w:val="21"/>
                <w:highlight w:val="none"/>
                <w:u w:val="single"/>
              </w:rPr>
              <w:t xml:space="preserve"> </w:t>
            </w:r>
            <w:r>
              <w:rPr>
                <w:rFonts w:ascii="宋体" w:hAnsi="宋体" w:cs="宋体"/>
                <w:szCs w:val="21"/>
                <w:highlight w:val="none"/>
                <w:u w:val="single"/>
              </w:rPr>
              <w:t>3</w:t>
            </w:r>
            <w:r>
              <w:rPr>
                <w:rFonts w:hint="eastAsia" w:ascii="宋体" w:hAnsi="宋体" w:cs="宋体"/>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p>
        </w:tc>
        <w:tc>
          <w:tcPr>
            <w:tcW w:w="7824" w:type="dxa"/>
            <w:noWrap w:val="0"/>
            <w:vAlign w:val="center"/>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首次响应文件开启时间详见“竞争性磋商公告”</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首次响应文件解密时间：</w:t>
            </w:r>
            <w:r>
              <w:rPr>
                <w:rFonts w:hint="eastAsia" w:ascii="宋体" w:hAnsi="宋体"/>
                <w:highlight w:val="none"/>
                <w:u w:val="single"/>
              </w:rPr>
              <w:t>30</w:t>
            </w:r>
            <w:r>
              <w:rPr>
                <w:rFonts w:ascii="宋体" w:hAnsi="宋体"/>
                <w:highlight w:val="none"/>
                <w:u w:val="single"/>
              </w:rPr>
              <w:t xml:space="preserve"> </w:t>
            </w:r>
            <w:r>
              <w:rPr>
                <w:rFonts w:hint="eastAsia" w:ascii="宋体" w:hAnsi="宋体"/>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6.3</w:t>
            </w:r>
          </w:p>
        </w:tc>
        <w:tc>
          <w:tcPr>
            <w:tcW w:w="7824" w:type="dxa"/>
            <w:noWrap w:val="0"/>
            <w:vAlign w:val="center"/>
          </w:tcPr>
          <w:p>
            <w:pPr>
              <w:snapToGrid w:val="0"/>
              <w:spacing w:line="360" w:lineRule="auto"/>
              <w:rPr>
                <w:rFonts w:hint="eastAsia" w:ascii="宋体" w:hAnsi="宋体" w:cs="宋体"/>
                <w:b/>
                <w:bCs/>
                <w:szCs w:val="21"/>
                <w:highlight w:val="none"/>
              </w:rPr>
            </w:pPr>
            <w:r>
              <w:rPr>
                <w:rFonts w:hint="eastAsia" w:ascii="宋体" w:hAnsi="宋体" w:cs="宋体"/>
                <w:b/>
                <w:bCs/>
                <w:szCs w:val="21"/>
                <w:highlight w:val="none"/>
              </w:rPr>
              <w:t>商务要求评审中允许负偏离的非实质性条款数为</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0 </w:t>
            </w:r>
            <w:r>
              <w:rPr>
                <w:rFonts w:hint="eastAsia" w:ascii="宋体" w:hAnsi="宋体" w:cs="宋体"/>
                <w:b/>
                <w:bCs/>
                <w:szCs w:val="21"/>
                <w:highlight w:val="none"/>
              </w:rPr>
              <w:t>项。</w:t>
            </w:r>
          </w:p>
          <w:p>
            <w:pPr>
              <w:snapToGrid w:val="0"/>
              <w:spacing w:line="360" w:lineRule="auto"/>
              <w:rPr>
                <w:rFonts w:hint="eastAsia" w:ascii="宋体" w:hAnsi="宋体" w:cs="宋体"/>
                <w:szCs w:val="21"/>
                <w:highlight w:val="none"/>
              </w:rPr>
            </w:pPr>
            <w:r>
              <w:rPr>
                <w:rFonts w:hint="eastAsia" w:ascii="宋体" w:hAnsi="宋体" w:cs="宋体"/>
                <w:b/>
                <w:bCs/>
                <w:szCs w:val="21"/>
                <w:highlight w:val="none"/>
              </w:rPr>
              <w:t>技术要求评审中允许负偏离的非实质性条款数为</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0 </w:t>
            </w:r>
            <w:r>
              <w:rPr>
                <w:rFonts w:hint="eastAsia" w:ascii="宋体" w:hAnsi="宋体" w:cs="宋体"/>
                <w:b/>
                <w:bCs/>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ascii="宋体" w:hAnsi="宋体" w:cs="宋体"/>
                <w:szCs w:val="21"/>
                <w:highlight w:val="none"/>
              </w:rPr>
              <w:t>28.1</w:t>
            </w:r>
          </w:p>
        </w:tc>
        <w:tc>
          <w:tcPr>
            <w:tcW w:w="7824" w:type="dxa"/>
            <w:noWrap w:val="0"/>
            <w:vAlign w:val="center"/>
          </w:tcPr>
          <w:p>
            <w:pPr>
              <w:autoSpaceDE w:val="0"/>
              <w:autoSpaceDN w:val="0"/>
              <w:snapToGrid w:val="0"/>
              <w:spacing w:line="360" w:lineRule="auto"/>
              <w:textAlignment w:val="bottom"/>
              <w:rPr>
                <w:rFonts w:ascii="宋体" w:hAnsi="宋体"/>
                <w:szCs w:val="21"/>
                <w:highlight w:val="none"/>
              </w:rPr>
            </w:pPr>
            <w:bookmarkStart w:id="40" w:name="OLE_LINK41"/>
            <w:bookmarkStart w:id="41" w:name="_Hlk121991892"/>
            <w:bookmarkStart w:id="42" w:name="OLE_LINK40"/>
            <w:bookmarkStart w:id="43" w:name="_Hlk121991709"/>
            <w:r>
              <w:rPr>
                <w:rFonts w:hint="eastAsia" w:ascii="宋体" w:hAnsi="宋体"/>
                <w:szCs w:val="21"/>
                <w:highlight w:val="none"/>
                <w:lang w:eastAsia="zh-CN"/>
              </w:rPr>
              <w:t>☑</w:t>
            </w:r>
            <w:r>
              <w:rPr>
                <w:rFonts w:hint="eastAsia" w:ascii="宋体" w:hAnsi="宋体"/>
                <w:szCs w:val="21"/>
                <w:highlight w:val="none"/>
              </w:rPr>
              <w:t>本项目不收取履约保证金。</w:t>
            </w:r>
          </w:p>
          <w:p>
            <w:pPr>
              <w:snapToGrid w:val="0"/>
              <w:spacing w:line="360" w:lineRule="auto"/>
              <w:rPr>
                <w:rFonts w:hint="eastAsia" w:ascii="宋体" w:hAnsi="宋体"/>
                <w:szCs w:val="21"/>
                <w:highlight w:val="none"/>
              </w:rPr>
            </w:pPr>
            <w:r>
              <w:rPr>
                <w:rFonts w:hint="eastAsia" w:ascii="Segoe UI Symbol" w:hAnsi="Segoe UI Symbol" w:cs="Segoe UI Symbol"/>
                <w:sz w:val="24"/>
                <w:szCs w:val="21"/>
                <w:highlight w:val="none"/>
                <w:lang w:eastAsia="zh-CN"/>
              </w:rPr>
              <w:t>□</w:t>
            </w:r>
            <w:r>
              <w:rPr>
                <w:rFonts w:hint="eastAsia" w:ascii="宋体" w:hAnsi="宋体"/>
                <w:szCs w:val="21"/>
                <w:highlight w:val="none"/>
              </w:rPr>
              <w:t>本项目收取履约保证金，具体规定如下：</w:t>
            </w:r>
          </w:p>
          <w:bookmarkEnd w:id="40"/>
          <w:p>
            <w:pPr>
              <w:snapToGrid w:val="0"/>
              <w:spacing w:line="400" w:lineRule="exact"/>
              <w:rPr>
                <w:rFonts w:hint="eastAsia" w:ascii="宋体" w:hAnsi="宋体" w:cs="宋体"/>
                <w:szCs w:val="21"/>
                <w:highlight w:val="none"/>
              </w:rPr>
            </w:pPr>
            <w:r>
              <w:rPr>
                <w:rFonts w:hint="eastAsia" w:ascii="宋体" w:hAnsi="宋体" w:cs="宋体"/>
                <w:szCs w:val="21"/>
                <w:highlight w:val="none"/>
              </w:rPr>
              <w:t>履约保证金金额：按成交金额的</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400" w:lineRule="exact"/>
              <w:rPr>
                <w:rFonts w:hint="eastAsia" w:ascii="宋体" w:hAnsi="宋体" w:cs="宋体"/>
                <w:szCs w:val="21"/>
                <w:highlight w:val="none"/>
              </w:rPr>
            </w:pPr>
            <w:r>
              <w:rPr>
                <w:rFonts w:hint="eastAsia" w:ascii="宋体" w:hAnsi="宋体" w:cs="宋体"/>
                <w:szCs w:val="21"/>
                <w:highlight w:val="none"/>
              </w:rPr>
              <w:t>履约保证金提交方式：</w:t>
            </w:r>
            <w:r>
              <w:rPr>
                <w:rFonts w:hint="eastAsia" w:ascii="宋体" w:hAnsi="宋体" w:cs="宋体"/>
                <w:szCs w:val="21"/>
                <w:highlight w:val="none"/>
                <w:u w:val="single"/>
              </w:rPr>
              <w:t>银行转账、支票、汇票、本票或者金融、担保机构出具的保函</w:t>
            </w:r>
            <w:r>
              <w:rPr>
                <w:rFonts w:hint="eastAsia" w:ascii="宋体" w:hAnsi="宋体"/>
                <w:szCs w:val="21"/>
                <w:highlight w:val="none"/>
                <w:u w:val="single"/>
              </w:rPr>
              <w:t>、保单</w:t>
            </w:r>
            <w:r>
              <w:rPr>
                <w:rFonts w:hint="eastAsia" w:ascii="宋体" w:hAnsi="宋体" w:cs="宋体"/>
                <w:szCs w:val="21"/>
                <w:highlight w:val="none"/>
                <w:u w:val="single"/>
              </w:rPr>
              <w:t>等方式</w:t>
            </w:r>
            <w:r>
              <w:rPr>
                <w:rFonts w:hint="eastAsia" w:ascii="宋体" w:hAnsi="宋体" w:cs="宋体"/>
                <w:szCs w:val="21"/>
                <w:highlight w:val="none"/>
              </w:rPr>
              <w:t>。</w:t>
            </w:r>
          </w:p>
          <w:p>
            <w:pPr>
              <w:snapToGrid w:val="0"/>
              <w:spacing w:line="400" w:lineRule="exact"/>
              <w:rPr>
                <w:rFonts w:hint="eastAsia" w:ascii="宋体" w:hAnsi="宋体" w:cs="宋体"/>
                <w:szCs w:val="21"/>
                <w:highlight w:val="none"/>
                <w:u w:val="single"/>
              </w:rPr>
            </w:pPr>
            <w:r>
              <w:rPr>
                <w:rFonts w:hint="eastAsia" w:ascii="宋体" w:hAnsi="宋体" w:cs="宋体"/>
                <w:szCs w:val="21"/>
                <w:highlight w:val="none"/>
              </w:rPr>
              <w:t>履约保证金退付方式、时间及条件：</w:t>
            </w:r>
            <w:r>
              <w:rPr>
                <w:rFonts w:hint="eastAsia" w:ascii="宋体" w:hAnsi="宋体" w:cs="宋体"/>
                <w:szCs w:val="21"/>
                <w:highlight w:val="none"/>
                <w:u w:val="single"/>
              </w:rPr>
              <w:t>自成交供应商履行完合同且项目验收合格后，由成交供应商向履约保证金收取单位提供《广西壮族自治区政府采购项目合同验收书》及《政府采购项目履约保证金退付意见书》，保证金收取单位在收到合格材料后5个工作日内无息退还</w:t>
            </w:r>
            <w:r>
              <w:rPr>
                <w:rFonts w:hint="eastAsia" w:ascii="宋体" w:hAnsi="宋体" w:cs="宋体"/>
                <w:szCs w:val="21"/>
                <w:highlight w:val="none"/>
                <w:u w:val="none"/>
              </w:rPr>
              <w:t>。</w:t>
            </w:r>
          </w:p>
          <w:p>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履约保证金指定账户：</w:t>
            </w:r>
          </w:p>
          <w:p>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开户名称： </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开户行：</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账号：</w:t>
            </w:r>
          </w:p>
          <w:p>
            <w:pPr>
              <w:pStyle w:val="18"/>
              <w:spacing w:line="400" w:lineRule="exact"/>
              <w:rPr>
                <w:rFonts w:hint="eastAsia" w:ascii="宋体" w:hAnsi="宋体" w:cs="宋体"/>
                <w:b/>
                <w:szCs w:val="21"/>
                <w:highlight w:val="none"/>
              </w:rPr>
            </w:pPr>
            <w:r>
              <w:rPr>
                <w:rFonts w:hint="eastAsia" w:ascii="宋体" w:hAnsi="宋体" w:cs="宋体"/>
                <w:b/>
                <w:szCs w:val="21"/>
                <w:highlight w:val="none"/>
                <w:lang w:eastAsia="zh-CN"/>
              </w:rPr>
              <w:t>注</w:t>
            </w:r>
            <w:r>
              <w:rPr>
                <w:rFonts w:hint="eastAsia" w:ascii="宋体" w:hAnsi="宋体" w:cs="宋体"/>
                <w:b/>
                <w:szCs w:val="21"/>
                <w:highlight w:val="none"/>
              </w:rPr>
              <w:t xml:space="preserve">： </w:t>
            </w:r>
          </w:p>
          <w:bookmarkEnd w:id="41"/>
          <w:p>
            <w:pPr>
              <w:autoSpaceDE w:val="0"/>
              <w:autoSpaceDN w:val="0"/>
              <w:snapToGrid w:val="0"/>
              <w:spacing w:line="400" w:lineRule="exact"/>
              <w:textAlignment w:val="bottom"/>
              <w:rPr>
                <w:rFonts w:hint="eastAsia" w:ascii="宋体" w:hAnsi="宋体" w:cs="宋体"/>
                <w:b/>
                <w:szCs w:val="21"/>
                <w:highlight w:val="none"/>
              </w:rPr>
            </w:pPr>
            <w:bookmarkStart w:id="44" w:name="_Hlk121991911"/>
            <w:r>
              <w:rPr>
                <w:rFonts w:hint="eastAsia" w:ascii="宋体" w:hAnsi="宋体"/>
                <w:b/>
                <w:bCs/>
                <w:szCs w:val="21"/>
                <w:highlight w:val="none"/>
                <w:lang w:eastAsia="zh-CN"/>
              </w:rPr>
              <w:t>（</w:t>
            </w:r>
            <w:r>
              <w:rPr>
                <w:rFonts w:hint="eastAsia" w:ascii="宋体" w:hAnsi="宋体"/>
                <w:b/>
                <w:bCs/>
                <w:szCs w:val="21"/>
                <w:highlight w:val="none"/>
                <w:lang w:val="en-US" w:eastAsia="zh-CN"/>
              </w:rPr>
              <w:t>1</w:t>
            </w:r>
            <w:r>
              <w:rPr>
                <w:rFonts w:hint="eastAsia" w:ascii="宋体" w:hAnsi="宋体"/>
                <w:b/>
                <w:bCs/>
                <w:szCs w:val="21"/>
                <w:highlight w:val="none"/>
                <w:lang w:eastAsia="zh-CN"/>
              </w:rPr>
              <w:t>）</w:t>
            </w:r>
            <w:r>
              <w:rPr>
                <w:rFonts w:hint="eastAsia" w:ascii="宋体" w:hAnsi="宋体" w:cs="宋体"/>
                <w:b/>
                <w:szCs w:val="21"/>
                <w:highlight w:val="none"/>
              </w:rPr>
              <w:t>在签订合同之前，成交人须把履约保证金足额交到采购人指定帐户。履约保证金不足额缴纳的，或者金融、担保机构出具的保函、保单额度不足的或者保函、保单有效期低于合同履行期限（即签订采购合同之日起至履行完合同约定的权利及义务之日止）的，不予签订合同。履约保证金自项目验收合格后，待成交供应商履行完质保义务后无息退还。</w:t>
            </w:r>
          </w:p>
          <w:p>
            <w:pPr>
              <w:autoSpaceDE w:val="0"/>
              <w:autoSpaceDN w:val="0"/>
              <w:snapToGrid w:val="0"/>
              <w:spacing w:line="360" w:lineRule="auto"/>
              <w:textAlignment w:val="bottom"/>
              <w:rPr>
                <w:rFonts w:hint="eastAsia" w:ascii="宋体" w:hAnsi="宋体"/>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2</w:t>
            </w:r>
            <w:r>
              <w:rPr>
                <w:rFonts w:hint="eastAsia" w:ascii="宋体" w:hAnsi="宋体" w:cs="宋体"/>
                <w:b/>
                <w:szCs w:val="21"/>
                <w:highlight w:val="none"/>
                <w:lang w:eastAsia="zh-CN"/>
              </w:rPr>
              <w:t>）</w:t>
            </w:r>
            <w:r>
              <w:rPr>
                <w:rFonts w:hint="eastAsia" w:ascii="宋体" w:hAnsi="宋体" w:cs="宋体"/>
                <w:b/>
                <w:szCs w:val="21"/>
                <w:highlight w:val="none"/>
              </w:rPr>
              <w:t>采用金融、担保机构出具的保函</w:t>
            </w:r>
            <w:r>
              <w:rPr>
                <w:rFonts w:hint="eastAsia" w:ascii="宋体" w:hAnsi="宋体"/>
                <w:b/>
                <w:szCs w:val="21"/>
                <w:highlight w:val="none"/>
              </w:rPr>
              <w:t>、保单</w:t>
            </w:r>
            <w:r>
              <w:rPr>
                <w:rFonts w:hint="eastAsia" w:ascii="宋体" w:hAnsi="宋体" w:cs="宋体"/>
                <w:b/>
                <w:szCs w:val="21"/>
                <w:highlight w:val="none"/>
              </w:rPr>
              <w:t>的，必须为无条件保函、保单，否则不予签订合同。</w:t>
            </w:r>
            <w:bookmarkEnd w:id="42"/>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ascii="宋体" w:hAnsi="宋体" w:cs="宋体"/>
                <w:szCs w:val="21"/>
                <w:highlight w:val="none"/>
              </w:rPr>
              <w:t>29.1</w:t>
            </w:r>
          </w:p>
        </w:tc>
        <w:tc>
          <w:tcPr>
            <w:tcW w:w="7824" w:type="dxa"/>
            <w:noWrap w:val="0"/>
            <w:vAlign w:val="center"/>
          </w:tcPr>
          <w:p>
            <w:pPr>
              <w:autoSpaceDE w:val="0"/>
              <w:autoSpaceDN w:val="0"/>
              <w:snapToGrid w:val="0"/>
              <w:spacing w:line="360" w:lineRule="auto"/>
              <w:textAlignment w:val="bottom"/>
              <w:rPr>
                <w:rFonts w:hint="eastAsia" w:ascii="宋体" w:hAnsi="宋体"/>
                <w:szCs w:val="21"/>
                <w:highlight w:val="none"/>
              </w:rPr>
            </w:pPr>
            <w:r>
              <w:rPr>
                <w:rFonts w:hint="eastAsia" w:ascii="宋体" w:hAnsi="宋体"/>
                <w:szCs w:val="21"/>
                <w:highlight w:val="none"/>
              </w:rPr>
              <w:t xml:space="preserve">签订合同携带的证明材料： </w:t>
            </w:r>
          </w:p>
          <w:p>
            <w:pPr>
              <w:autoSpaceDE w:val="0"/>
              <w:autoSpaceDN w:val="0"/>
              <w:snapToGrid w:val="0"/>
              <w:spacing w:line="360" w:lineRule="auto"/>
              <w:textAlignment w:val="bottom"/>
              <w:rPr>
                <w:rFonts w:hint="eastAsia" w:ascii="宋体" w:hAnsi="宋体"/>
                <w:szCs w:val="21"/>
                <w:highlight w:val="none"/>
              </w:rPr>
            </w:pPr>
            <w:r>
              <w:rPr>
                <w:rFonts w:hint="eastAsia" w:ascii="宋体" w:hAnsi="宋体"/>
                <w:szCs w:val="21"/>
                <w:highlight w:val="none"/>
              </w:rPr>
              <w:t>委托代理人负责签订合同的，须携带授权委托书及委托代理人身份证原件等其他资格证件。</w:t>
            </w:r>
          </w:p>
          <w:p>
            <w:pPr>
              <w:snapToGrid w:val="0"/>
              <w:spacing w:line="360" w:lineRule="auto"/>
              <w:rPr>
                <w:rFonts w:hint="eastAsia" w:ascii="宋体" w:hAnsi="宋体" w:cs="宋体"/>
                <w:szCs w:val="21"/>
                <w:highlight w:val="none"/>
              </w:rPr>
            </w:pPr>
            <w:r>
              <w:rPr>
                <w:rFonts w:hint="eastAsia" w:ascii="宋体" w:hAnsi="宋体"/>
                <w:szCs w:val="21"/>
                <w:highlight w:val="none"/>
              </w:rPr>
              <w:t>法定代表人负责签订合同的，须携带法定代表人</w:t>
            </w:r>
            <w:r>
              <w:rPr>
                <w:rFonts w:ascii="宋体" w:hAnsi="宋体"/>
                <w:szCs w:val="21"/>
                <w:highlight w:val="none"/>
              </w:rPr>
              <w:t>身份证明原件</w:t>
            </w:r>
            <w:r>
              <w:rPr>
                <w:rFonts w:hint="eastAsia" w:ascii="宋体" w:hAnsi="宋体"/>
                <w:szCs w:val="21"/>
                <w:highlight w:val="none"/>
              </w:rPr>
              <w:t>及</w:t>
            </w:r>
            <w:r>
              <w:rPr>
                <w:rFonts w:ascii="宋体" w:hAnsi="宋体"/>
                <w:szCs w:val="21"/>
                <w:highlight w:val="none"/>
              </w:rPr>
              <w:t>身份证原件</w:t>
            </w:r>
            <w:r>
              <w:rPr>
                <w:rFonts w:hint="eastAsia" w:ascii="宋体" w:hAnsi="宋体"/>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1.2</w:t>
            </w:r>
          </w:p>
        </w:tc>
        <w:tc>
          <w:tcPr>
            <w:tcW w:w="7824" w:type="dxa"/>
            <w:noWrap w:val="0"/>
            <w:vAlign w:val="center"/>
          </w:tcPr>
          <w:p>
            <w:pPr>
              <w:snapToGrid w:val="0"/>
              <w:spacing w:line="360" w:lineRule="auto"/>
              <w:rPr>
                <w:rFonts w:ascii="宋体" w:hAnsi="宋体"/>
                <w:szCs w:val="21"/>
                <w:highlight w:val="none"/>
              </w:rPr>
            </w:pPr>
            <w:bookmarkStart w:id="45" w:name="OLE_LINK35"/>
            <w:r>
              <w:rPr>
                <w:rFonts w:hint="eastAsia" w:ascii="宋体" w:hAnsi="宋体"/>
                <w:szCs w:val="21"/>
                <w:highlight w:val="none"/>
              </w:rPr>
              <w:t>接收质疑函方式：以书面形式。</w:t>
            </w:r>
          </w:p>
          <w:p>
            <w:pPr>
              <w:snapToGrid w:val="0"/>
              <w:spacing w:line="360" w:lineRule="auto"/>
              <w:rPr>
                <w:rFonts w:hint="eastAsia" w:ascii="宋体" w:hAnsi="宋体" w:eastAsia="宋体"/>
                <w:szCs w:val="21"/>
                <w:highlight w:val="none"/>
                <w:lang w:eastAsia="zh-CN"/>
              </w:rPr>
            </w:pPr>
            <w:r>
              <w:rPr>
                <w:rFonts w:hint="eastAsia" w:ascii="宋体" w:hAnsi="宋体"/>
                <w:szCs w:val="21"/>
                <w:highlight w:val="none"/>
              </w:rPr>
              <w:t>质疑联系</w:t>
            </w:r>
            <w:r>
              <w:rPr>
                <w:rFonts w:hint="eastAsia" w:ascii="宋体" w:hAnsi="宋体"/>
                <w:szCs w:val="21"/>
                <w:highlight w:val="none"/>
                <w:lang w:val="en-US" w:eastAsia="zh-CN"/>
              </w:rPr>
              <w:t>单位</w:t>
            </w:r>
            <w:r>
              <w:rPr>
                <w:rFonts w:hint="eastAsia" w:ascii="宋体" w:hAnsi="宋体"/>
                <w:szCs w:val="21"/>
                <w:highlight w:val="none"/>
              </w:rPr>
              <w:t>：</w:t>
            </w:r>
            <w:r>
              <w:rPr>
                <w:rFonts w:hint="eastAsia" w:ascii="宋体" w:hAnsi="宋体"/>
                <w:szCs w:val="21"/>
                <w:highlight w:val="none"/>
                <w:lang w:eastAsia="zh-CN"/>
              </w:rPr>
              <w:t>广西双科建设工程咨询有限公司</w:t>
            </w:r>
          </w:p>
          <w:p>
            <w:pPr>
              <w:snapToGrid w:val="0"/>
              <w:spacing w:line="360" w:lineRule="auto"/>
              <w:rPr>
                <w:rFonts w:hint="eastAsia" w:ascii="宋体" w:hAnsi="宋体" w:eastAsia="宋体"/>
                <w:szCs w:val="21"/>
                <w:highlight w:val="none"/>
                <w:lang w:eastAsia="zh-CN"/>
              </w:rPr>
            </w:pPr>
            <w:r>
              <w:rPr>
                <w:rFonts w:hint="eastAsia" w:ascii="宋体" w:hAnsi="宋体"/>
                <w:szCs w:val="21"/>
                <w:highlight w:val="none"/>
              </w:rPr>
              <w:t>联系</w:t>
            </w:r>
            <w:r>
              <w:rPr>
                <w:rFonts w:hint="eastAsia" w:ascii="宋体" w:hAnsi="宋体"/>
                <w:szCs w:val="21"/>
                <w:highlight w:val="none"/>
                <w:lang w:val="en-US" w:eastAsia="zh-CN"/>
              </w:rPr>
              <w:t>方式</w:t>
            </w:r>
            <w:r>
              <w:rPr>
                <w:rFonts w:hint="eastAsia" w:ascii="宋体" w:hAnsi="宋体"/>
                <w:szCs w:val="21"/>
                <w:highlight w:val="none"/>
              </w:rPr>
              <w:t>：</w:t>
            </w:r>
            <w:r>
              <w:rPr>
                <w:rFonts w:hint="eastAsia" w:ascii="宋体" w:hAnsi="宋体"/>
                <w:szCs w:val="21"/>
                <w:highlight w:val="none"/>
                <w:lang w:val="en-US" w:eastAsia="zh-CN"/>
              </w:rPr>
              <w:t>陆家语，</w:t>
            </w:r>
            <w:bookmarkStart w:id="46" w:name="OLE_LINK42"/>
            <w:r>
              <w:rPr>
                <w:rFonts w:hint="eastAsia" w:ascii="宋体" w:hAnsi="宋体"/>
                <w:szCs w:val="21"/>
                <w:highlight w:val="none"/>
              </w:rPr>
              <w:t>15307868806、</w:t>
            </w:r>
            <w:bookmarkEnd w:id="46"/>
            <w:r>
              <w:rPr>
                <w:rFonts w:hint="eastAsia" w:ascii="宋体" w:hAnsi="宋体"/>
                <w:szCs w:val="21"/>
                <w:highlight w:val="none"/>
                <w:lang w:eastAsia="zh-CN"/>
              </w:rPr>
              <w:t>18077797322</w:t>
            </w:r>
          </w:p>
          <w:p>
            <w:pPr>
              <w:snapToGrid w:val="0"/>
              <w:spacing w:line="360" w:lineRule="auto"/>
              <w:rPr>
                <w:rFonts w:hint="eastAsia" w:ascii="宋体" w:hAnsi="宋体" w:eastAsia="宋体"/>
                <w:szCs w:val="21"/>
                <w:highlight w:val="none"/>
                <w:lang w:eastAsia="zh-CN"/>
              </w:rPr>
            </w:pPr>
            <w:r>
              <w:rPr>
                <w:rFonts w:hint="eastAsia" w:ascii="宋体" w:hAnsi="宋体"/>
                <w:szCs w:val="21"/>
                <w:highlight w:val="none"/>
              </w:rPr>
              <w:t>通讯地址：</w:t>
            </w:r>
            <w:r>
              <w:rPr>
                <w:rFonts w:hint="eastAsia" w:ascii="宋体" w:hAnsi="宋体" w:cs="宋体"/>
                <w:szCs w:val="21"/>
                <w:highlight w:val="none"/>
                <w:lang w:eastAsia="zh-CN" w:bidi="ar"/>
              </w:rPr>
              <w:t>广西南宁市青秀区凤岭北路111号南宁国际旅游中心C座28楼</w:t>
            </w:r>
          </w:p>
          <w:p>
            <w:pPr>
              <w:pStyle w:val="11"/>
              <w:snapToGrid w:val="0"/>
              <w:spacing w:line="360" w:lineRule="auto"/>
              <w:rPr>
                <w:rFonts w:hint="eastAsia" w:hAnsi="宋体"/>
                <w:kern w:val="2"/>
                <w:sz w:val="21"/>
                <w:highlight w:val="none"/>
              </w:rPr>
            </w:pPr>
            <w:r>
              <w:rPr>
                <w:rFonts w:hint="eastAsia" w:hAnsi="宋体"/>
                <w:kern w:val="2"/>
                <w:sz w:val="21"/>
                <w:highlight w:val="none"/>
              </w:rPr>
              <w:t>业务时间：每天上午8时</w:t>
            </w:r>
            <w:r>
              <w:rPr>
                <w:rFonts w:hint="eastAsia" w:hAnsi="宋体"/>
                <w:kern w:val="2"/>
                <w:sz w:val="21"/>
                <w:highlight w:val="none"/>
                <w:lang w:val="en-US" w:eastAsia="zh-CN"/>
              </w:rPr>
              <w:t>3</w:t>
            </w:r>
            <w:r>
              <w:rPr>
                <w:rFonts w:hint="eastAsia" w:hAnsi="宋体"/>
                <w:kern w:val="2"/>
                <w:sz w:val="21"/>
                <w:highlight w:val="none"/>
              </w:rPr>
              <w:t>0分到12时00分，下午</w:t>
            </w:r>
            <w:r>
              <w:rPr>
                <w:rFonts w:hint="eastAsia" w:hAnsi="宋体"/>
                <w:kern w:val="2"/>
                <w:sz w:val="21"/>
                <w:highlight w:val="none"/>
                <w:lang w:val="en-US" w:eastAsia="zh-CN"/>
              </w:rPr>
              <w:t>14</w:t>
            </w:r>
            <w:r>
              <w:rPr>
                <w:rFonts w:hint="eastAsia" w:hAnsi="宋体"/>
                <w:kern w:val="2"/>
                <w:sz w:val="21"/>
                <w:highlight w:val="none"/>
              </w:rPr>
              <w:t>时</w:t>
            </w:r>
            <w:r>
              <w:rPr>
                <w:rFonts w:hint="eastAsia" w:hAnsi="宋体"/>
                <w:kern w:val="2"/>
                <w:sz w:val="21"/>
                <w:highlight w:val="none"/>
                <w:lang w:val="en-US" w:eastAsia="zh-CN"/>
              </w:rPr>
              <w:t>3</w:t>
            </w:r>
            <w:r>
              <w:rPr>
                <w:rFonts w:hint="eastAsia" w:hAnsi="宋体"/>
                <w:kern w:val="2"/>
                <w:sz w:val="21"/>
                <w:highlight w:val="none"/>
              </w:rPr>
              <w:t>0分到</w:t>
            </w:r>
            <w:r>
              <w:rPr>
                <w:rFonts w:hint="eastAsia" w:hAnsi="宋体"/>
                <w:kern w:val="2"/>
                <w:sz w:val="21"/>
                <w:highlight w:val="none"/>
                <w:lang w:val="en-US" w:eastAsia="zh-CN"/>
              </w:rPr>
              <w:t>18</w:t>
            </w:r>
            <w:r>
              <w:rPr>
                <w:rFonts w:hint="eastAsia" w:hAnsi="宋体"/>
                <w:kern w:val="2"/>
                <w:sz w:val="21"/>
                <w:highlight w:val="none"/>
              </w:rPr>
              <w:t>时 00分，双休日和法定节假日不办理业务。</w:t>
            </w:r>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ascii="宋体" w:hAnsi="宋体" w:cs="宋体"/>
                <w:szCs w:val="21"/>
                <w:highlight w:val="none"/>
              </w:rPr>
              <w:t>32.1</w:t>
            </w:r>
          </w:p>
        </w:tc>
        <w:tc>
          <w:tcPr>
            <w:tcW w:w="7824" w:type="dxa"/>
            <w:noWrap w:val="0"/>
            <w:vAlign w:val="center"/>
          </w:tcPr>
          <w:p>
            <w:pPr>
              <w:pStyle w:val="11"/>
              <w:snapToGrid w:val="0"/>
              <w:spacing w:line="360" w:lineRule="auto"/>
              <w:rPr>
                <w:rFonts w:hint="eastAsia" w:hAnsi="宋体" w:cs="宋体"/>
                <w:sz w:val="21"/>
                <w:highlight w:val="none"/>
              </w:rPr>
            </w:pPr>
            <w:r>
              <w:rPr>
                <w:rFonts w:hint="eastAsia" w:hAnsi="宋体" w:cs="宋体"/>
                <w:sz w:val="21"/>
                <w:highlight w:val="none"/>
              </w:rPr>
              <w:t>1.采购代理费支付方式：</w:t>
            </w:r>
          </w:p>
          <w:p>
            <w:pPr>
              <w:pStyle w:val="11"/>
              <w:snapToGrid w:val="0"/>
              <w:spacing w:line="360" w:lineRule="auto"/>
              <w:rPr>
                <w:rFonts w:hint="eastAsia"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一次性向采购代理机构支付。</w:t>
            </w:r>
          </w:p>
          <w:p>
            <w:pPr>
              <w:pStyle w:val="11"/>
              <w:snapToGrid w:val="0"/>
              <w:spacing w:line="360" w:lineRule="auto"/>
              <w:rPr>
                <w:rFonts w:hint="eastAsia" w:hAnsi="宋体" w:cs="宋体"/>
                <w:sz w:val="21"/>
                <w:highlight w:val="none"/>
              </w:rPr>
            </w:pPr>
            <w:bookmarkStart w:id="47" w:name="OLE_LINK14"/>
            <w:r>
              <w:rPr>
                <w:rFonts w:hint="eastAsia" w:hAnsi="宋体" w:cs="宋体"/>
                <w:sz w:val="21"/>
                <w:highlight w:val="none"/>
              </w:rPr>
              <w:t>2.采购代理费收取标准：</w:t>
            </w:r>
          </w:p>
          <w:p>
            <w:pPr>
              <w:pStyle w:val="11"/>
              <w:snapToGrid w:val="0"/>
              <w:spacing w:line="360" w:lineRule="auto"/>
              <w:rPr>
                <w:rFonts w:hint="eastAsia" w:hAnsi="宋体" w:cs="宋体"/>
                <w:b/>
                <w:bCs/>
                <w:sz w:val="21"/>
                <w:highlight w:val="none"/>
              </w:rPr>
            </w:pPr>
            <w:r>
              <w:rPr>
                <w:rFonts w:hint="eastAsia" w:hAnsi="宋体" w:cs="宋体"/>
                <w:b/>
                <w:bCs/>
                <w:sz w:val="21"/>
                <w:highlight w:val="none"/>
              </w:rPr>
              <w:t>本项目</w:t>
            </w:r>
            <w:r>
              <w:rPr>
                <w:rFonts w:hint="eastAsia" w:hAnsi="宋体" w:cs="宋体"/>
                <w:b/>
                <w:bCs/>
                <w:sz w:val="21"/>
                <w:highlight w:val="none"/>
                <w:lang w:val="en-US" w:eastAsia="zh-CN"/>
              </w:rPr>
              <w:t>采购</w:t>
            </w:r>
            <w:r>
              <w:rPr>
                <w:rFonts w:hint="eastAsia" w:hAnsi="宋体" w:cs="宋体"/>
                <w:b/>
                <w:bCs/>
                <w:sz w:val="21"/>
                <w:highlight w:val="none"/>
              </w:rPr>
              <w:t>代理服务费=成交金额×1.7%。</w:t>
            </w:r>
          </w:p>
          <w:p>
            <w:pPr>
              <w:pStyle w:val="11"/>
              <w:snapToGrid w:val="0"/>
              <w:spacing w:line="360" w:lineRule="auto"/>
              <w:rPr>
                <w:rFonts w:hint="eastAsia" w:hAnsi="宋体" w:cs="宋体"/>
                <w:sz w:val="21"/>
                <w:highlight w:val="none"/>
              </w:rPr>
            </w:pPr>
            <w:r>
              <w:rPr>
                <w:rFonts w:hint="eastAsia" w:hAnsi="宋体" w:cs="宋体"/>
                <w:sz w:val="21"/>
                <w:highlight w:val="none"/>
              </w:rPr>
              <w:t>例如：某</w:t>
            </w:r>
            <w:r>
              <w:rPr>
                <w:rFonts w:hint="eastAsia" w:hAnsi="宋体" w:cs="宋体"/>
                <w:sz w:val="21"/>
                <w:highlight w:val="none"/>
                <w:lang w:val="en-US" w:eastAsia="zh-CN"/>
              </w:rPr>
              <w:t>服务项目</w:t>
            </w:r>
            <w:r>
              <w:rPr>
                <w:rFonts w:hint="eastAsia" w:hAnsi="宋体" w:cs="宋体"/>
                <w:sz w:val="21"/>
                <w:highlight w:val="none"/>
              </w:rPr>
              <w:t>成交金额为200万元，</w:t>
            </w:r>
            <w:r>
              <w:rPr>
                <w:rFonts w:hint="eastAsia" w:hAnsi="宋体" w:cs="宋体"/>
                <w:sz w:val="21"/>
                <w:highlight w:val="none"/>
                <w:lang w:val="en-US" w:eastAsia="zh-CN"/>
              </w:rPr>
              <w:t>采购</w:t>
            </w:r>
            <w:r>
              <w:rPr>
                <w:rFonts w:hint="eastAsia" w:hAnsi="宋体" w:cs="宋体"/>
                <w:sz w:val="21"/>
                <w:highlight w:val="none"/>
              </w:rPr>
              <w:t>代理服务费金额按如下计算：</w:t>
            </w:r>
          </w:p>
          <w:p>
            <w:pPr>
              <w:pStyle w:val="11"/>
              <w:snapToGrid w:val="0"/>
              <w:spacing w:line="360" w:lineRule="auto"/>
              <w:rPr>
                <w:rFonts w:hint="eastAsia" w:hAnsi="宋体" w:cs="宋体"/>
                <w:sz w:val="21"/>
                <w:highlight w:val="none"/>
                <w:u w:val="single"/>
              </w:rPr>
            </w:pPr>
            <w:r>
              <w:rPr>
                <w:rFonts w:hint="eastAsia" w:hAnsi="宋体" w:cs="宋体"/>
                <w:sz w:val="21"/>
                <w:highlight w:val="none"/>
              </w:rPr>
              <w:t>200万元</w:t>
            </w:r>
            <w:bookmarkStart w:id="48" w:name="OLE_LINK13"/>
            <w:r>
              <w:rPr>
                <w:rFonts w:hint="eastAsia" w:hAnsi="宋体" w:cs="宋体"/>
                <w:sz w:val="21"/>
                <w:highlight w:val="none"/>
              </w:rPr>
              <w:t>×</w:t>
            </w:r>
            <w:bookmarkEnd w:id="48"/>
            <w:r>
              <w:rPr>
                <w:rFonts w:hint="eastAsia" w:hAnsi="宋体" w:cs="宋体"/>
                <w:sz w:val="21"/>
                <w:highlight w:val="none"/>
              </w:rPr>
              <w:t>1.7%＝3.4万元。</w:t>
            </w:r>
          </w:p>
          <w:bookmarkEnd w:id="47"/>
          <w:p>
            <w:pPr>
              <w:pStyle w:val="11"/>
              <w:snapToGrid w:val="0"/>
              <w:spacing w:line="360" w:lineRule="auto"/>
              <w:rPr>
                <w:rFonts w:hint="eastAsia" w:hAnsi="宋体" w:eastAsia="宋体" w:cs="宋体"/>
                <w:sz w:val="21"/>
                <w:highlight w:val="none"/>
                <w:lang w:eastAsia="zh-CN"/>
              </w:rPr>
            </w:pPr>
            <w:bookmarkStart w:id="49" w:name="OLE_LINK12"/>
            <w:r>
              <w:rPr>
                <w:rFonts w:hint="eastAsia" w:hAnsi="宋体" w:cs="宋体"/>
                <w:sz w:val="21"/>
                <w:highlight w:val="none"/>
              </w:rPr>
              <w:t>3.采购代理费收取银行账户</w:t>
            </w:r>
            <w:r>
              <w:rPr>
                <w:rFonts w:hint="eastAsia" w:hAnsi="宋体" w:cs="宋体"/>
                <w:sz w:val="21"/>
                <w:highlight w:val="none"/>
                <w:lang w:eastAsia="zh-CN"/>
              </w:rPr>
              <w:t>：</w:t>
            </w:r>
          </w:p>
          <w:p>
            <w:pPr>
              <w:snapToGrid w:val="0"/>
              <w:spacing w:line="360" w:lineRule="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账户名称：广西双科建设工程咨询有限公司</w:t>
            </w:r>
          </w:p>
          <w:p>
            <w:pPr>
              <w:snapToGrid w:val="0"/>
              <w:spacing w:line="360" w:lineRule="auto"/>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开户银行：浦发银行南宁江南支行</w:t>
            </w:r>
          </w:p>
          <w:p>
            <w:pPr>
              <w:snapToGrid w:val="0"/>
              <w:spacing w:line="360" w:lineRule="auto"/>
              <w:rPr>
                <w:rFonts w:hint="eastAsia" w:hAnsi="宋体" w:cs="宋体"/>
                <w:sz w:val="21"/>
                <w:highlight w:val="none"/>
                <w:u w:val="single"/>
              </w:rPr>
            </w:pPr>
            <w:r>
              <w:rPr>
                <w:rFonts w:hint="eastAsia" w:ascii="宋体" w:hAnsi="宋体" w:cs="宋体"/>
                <w:b w:val="0"/>
                <w:bCs/>
                <w:szCs w:val="21"/>
                <w:highlight w:val="none"/>
                <w:lang w:val="en-US" w:eastAsia="zh-CN"/>
              </w:rPr>
              <w:t>银行账号：63060154800000295</w:t>
            </w:r>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3.1</w:t>
            </w:r>
          </w:p>
        </w:tc>
        <w:tc>
          <w:tcPr>
            <w:tcW w:w="7824" w:type="dxa"/>
            <w:noWrap w:val="0"/>
            <w:vAlign w:val="center"/>
          </w:tcPr>
          <w:p>
            <w:pPr>
              <w:pStyle w:val="11"/>
              <w:snapToGrid w:val="0"/>
              <w:spacing w:line="360" w:lineRule="auto"/>
              <w:rPr>
                <w:rFonts w:hint="eastAsia" w:hAnsi="宋体" w:cs="宋体"/>
                <w:kern w:val="2"/>
                <w:sz w:val="21"/>
                <w:highlight w:val="none"/>
              </w:rPr>
            </w:pPr>
            <w:r>
              <w:rPr>
                <w:rFonts w:hint="eastAsia" w:hAnsi="宋体"/>
                <w:sz w:val="21"/>
                <w:highlight w:val="none"/>
              </w:rPr>
              <w:t>解释：</w:t>
            </w:r>
            <w:r>
              <w:rPr>
                <w:rFonts w:hAnsi="宋体"/>
                <w:sz w:val="21"/>
                <w:highlight w:val="none"/>
              </w:rPr>
              <w:t>构成本</w:t>
            </w:r>
            <w:r>
              <w:rPr>
                <w:rFonts w:hint="eastAsia" w:hAnsi="宋体"/>
                <w:sz w:val="21"/>
                <w:highlight w:val="none"/>
              </w:rPr>
              <w:t>磋商文件</w:t>
            </w:r>
            <w:r>
              <w:rPr>
                <w:rFonts w:hAnsi="宋体"/>
                <w:sz w:val="21"/>
                <w:highlight w:val="none"/>
              </w:rPr>
              <w:t>的各个组成文件应互为解释，互为说明；除</w:t>
            </w:r>
            <w:r>
              <w:rPr>
                <w:rFonts w:hint="eastAsia" w:hAnsi="宋体"/>
                <w:sz w:val="21"/>
                <w:highlight w:val="none"/>
              </w:rPr>
              <w:t>磋商文件</w:t>
            </w:r>
            <w:r>
              <w:rPr>
                <w:rFonts w:hAnsi="宋体"/>
                <w:sz w:val="21"/>
                <w:highlight w:val="none"/>
              </w:rPr>
              <w:t>中有特别规定外，仅适用于</w:t>
            </w:r>
            <w:r>
              <w:rPr>
                <w:rFonts w:hint="eastAsia" w:hAnsi="宋体"/>
                <w:sz w:val="21"/>
                <w:highlight w:val="none"/>
              </w:rPr>
              <w:t>竞标</w:t>
            </w:r>
            <w:r>
              <w:rPr>
                <w:rFonts w:hAnsi="宋体"/>
                <w:sz w:val="21"/>
                <w:highlight w:val="none"/>
              </w:rPr>
              <w:t>阶段的规定，按</w:t>
            </w:r>
            <w:r>
              <w:rPr>
                <w:rFonts w:hint="eastAsia" w:hAnsi="宋体"/>
                <w:sz w:val="21"/>
                <w:highlight w:val="none"/>
              </w:rPr>
              <w:t>更正公告（澄清公告）</w:t>
            </w:r>
            <w:r>
              <w:rPr>
                <w:rFonts w:hAnsi="宋体"/>
                <w:sz w:val="21"/>
                <w:highlight w:val="none"/>
              </w:rPr>
              <w:t>、</w:t>
            </w:r>
            <w:r>
              <w:rPr>
                <w:rFonts w:hint="eastAsia" w:hAnsi="宋体"/>
                <w:sz w:val="21"/>
                <w:highlight w:val="none"/>
              </w:rPr>
              <w:t>竞争性磋商</w:t>
            </w:r>
            <w:r>
              <w:rPr>
                <w:rFonts w:hAnsi="宋体"/>
                <w:sz w:val="21"/>
                <w:highlight w:val="none"/>
              </w:rPr>
              <w:t>公告、</w:t>
            </w:r>
            <w:r>
              <w:rPr>
                <w:rFonts w:hint="eastAsia" w:hAnsi="宋体"/>
                <w:sz w:val="21"/>
                <w:highlight w:val="none"/>
              </w:rPr>
              <w:t>供应商</w:t>
            </w:r>
            <w:r>
              <w:rPr>
                <w:rFonts w:hAnsi="宋体"/>
                <w:sz w:val="21"/>
                <w:highlight w:val="none"/>
              </w:rPr>
              <w:t>须知</w:t>
            </w:r>
            <w:r>
              <w:rPr>
                <w:rFonts w:hint="eastAsia" w:hAnsi="宋体"/>
                <w:sz w:val="21"/>
                <w:highlight w:val="none"/>
              </w:rPr>
              <w:t>、采购需求</w:t>
            </w:r>
            <w:r>
              <w:rPr>
                <w:rFonts w:hAnsi="宋体"/>
                <w:sz w:val="21"/>
                <w:highlight w:val="none"/>
              </w:rPr>
              <w:t>、</w:t>
            </w:r>
            <w:r>
              <w:rPr>
                <w:rFonts w:hint="eastAsia" w:hAnsi="宋体"/>
                <w:sz w:val="21"/>
                <w:highlight w:val="none"/>
              </w:rPr>
              <w:t>评审程序、评审方法和评审标准</w:t>
            </w:r>
            <w:r>
              <w:rPr>
                <w:rFonts w:hAnsi="宋体"/>
                <w:sz w:val="21"/>
                <w:highlight w:val="none"/>
              </w:rPr>
              <w:t>、</w:t>
            </w:r>
            <w:r>
              <w:rPr>
                <w:rFonts w:hint="eastAsia" w:hAnsi="宋体"/>
                <w:sz w:val="21"/>
                <w:highlight w:val="none"/>
              </w:rPr>
              <w:t>响应</w:t>
            </w:r>
            <w:r>
              <w:rPr>
                <w:rFonts w:hAnsi="宋体"/>
                <w:sz w:val="21"/>
                <w:highlight w:val="none"/>
              </w:rPr>
              <w:t>文件格式</w:t>
            </w:r>
            <w:r>
              <w:rPr>
                <w:rFonts w:hint="eastAsia" w:hAnsi="宋体"/>
                <w:sz w:val="21"/>
                <w:highlight w:val="none"/>
              </w:rPr>
              <w:t>、合同文本</w:t>
            </w:r>
            <w:r>
              <w:rPr>
                <w:rFonts w:hAnsi="宋体"/>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sz w:val="21"/>
                <w:highlight w:val="none"/>
              </w:rPr>
              <w:t>更正公告（澄清公告）</w:t>
            </w:r>
            <w:r>
              <w:rPr>
                <w:rFonts w:hAnsi="宋体"/>
                <w:sz w:val="21"/>
                <w:highlight w:val="none"/>
              </w:rPr>
              <w:t>与同步更新的</w:t>
            </w:r>
            <w:r>
              <w:rPr>
                <w:rFonts w:hint="eastAsia" w:hAnsi="宋体"/>
                <w:sz w:val="21"/>
                <w:highlight w:val="none"/>
              </w:rPr>
              <w:t>磋商文件</w:t>
            </w:r>
            <w:r>
              <w:rPr>
                <w:rFonts w:hAnsi="宋体"/>
                <w:sz w:val="21"/>
                <w:highlight w:val="none"/>
              </w:rPr>
              <w:t>不一致时以</w:t>
            </w:r>
            <w:r>
              <w:rPr>
                <w:rFonts w:hint="eastAsia" w:hAnsi="宋体"/>
                <w:sz w:val="21"/>
                <w:highlight w:val="none"/>
              </w:rPr>
              <w:t>更正公告（澄清公告）</w:t>
            </w:r>
            <w:r>
              <w:rPr>
                <w:rFonts w:hAnsi="宋体"/>
                <w:sz w:val="21"/>
                <w:highlight w:val="none"/>
              </w:rPr>
              <w:t>为准。按本款前述规定仍不能形成结论的，由</w:t>
            </w:r>
            <w:r>
              <w:rPr>
                <w:rFonts w:hint="eastAsia" w:hAnsi="宋体"/>
                <w:sz w:val="21"/>
                <w:highlight w:val="none"/>
              </w:rPr>
              <w:t>采购</w:t>
            </w:r>
            <w:r>
              <w:rPr>
                <w:rFonts w:hAnsi="宋体"/>
                <w:sz w:val="21"/>
                <w:highlight w:val="none"/>
              </w:rPr>
              <w:t>人</w:t>
            </w:r>
            <w:r>
              <w:rPr>
                <w:rFonts w:hint="eastAsia" w:hAnsi="宋体"/>
                <w:sz w:val="21"/>
                <w:highlight w:val="none"/>
              </w:rPr>
              <w:t>或者采购代理机构</w:t>
            </w:r>
            <w:r>
              <w:rPr>
                <w:rFonts w:hAnsi="宋体"/>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0"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3.2</w:t>
            </w:r>
          </w:p>
        </w:tc>
        <w:tc>
          <w:tcPr>
            <w:tcW w:w="7824" w:type="dxa"/>
            <w:noWrap w:val="0"/>
            <w:vAlign w:val="center"/>
          </w:tcPr>
          <w:p>
            <w:pPr>
              <w:pStyle w:val="11"/>
              <w:snapToGrid w:val="0"/>
              <w:spacing w:line="360" w:lineRule="auto"/>
              <w:rPr>
                <w:rFonts w:hAnsi="宋体" w:cs="宋体"/>
                <w:sz w:val="21"/>
                <w:highlight w:val="none"/>
              </w:rPr>
            </w:pPr>
            <w:r>
              <w:rPr>
                <w:rFonts w:hint="eastAsia" w:hAnsi="宋体" w:cs="宋体"/>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1"/>
              <w:snapToGrid w:val="0"/>
              <w:spacing w:line="360" w:lineRule="auto"/>
              <w:rPr>
                <w:rFonts w:hint="eastAsia" w:hAnsi="宋体" w:cs="宋体"/>
                <w:sz w:val="21"/>
                <w:szCs w:val="21"/>
                <w:highlight w:val="none"/>
              </w:rPr>
            </w:pPr>
            <w:r>
              <w:rPr>
                <w:rFonts w:hint="eastAsia" w:hAnsi="宋体" w:cs="宋体"/>
                <w:bCs/>
                <w:sz w:val="21"/>
                <w:szCs w:val="21"/>
                <w:highlight w:val="none"/>
              </w:rPr>
              <w:t>2.本磋商文件所称的“</w:t>
            </w:r>
            <w:r>
              <w:rPr>
                <w:rFonts w:hint="eastAsia" w:hAnsi="宋体"/>
                <w:sz w:val="21"/>
                <w:szCs w:val="21"/>
                <w:highlight w:val="none"/>
              </w:rPr>
              <w:t>电子签章</w:t>
            </w:r>
            <w:r>
              <w:rPr>
                <w:rFonts w:hint="eastAsia" w:hAnsi="宋体" w:cs="宋体"/>
                <w:bCs/>
                <w:sz w:val="21"/>
                <w:szCs w:val="21"/>
                <w:highlight w:val="none"/>
              </w:rPr>
              <w:t>”、“电子签名”</w:t>
            </w:r>
            <w:r>
              <w:rPr>
                <w:rFonts w:hint="eastAsia" w:hAnsi="宋体"/>
                <w:sz w:val="21"/>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pPr>
              <w:pStyle w:val="11"/>
              <w:snapToGrid w:val="0"/>
              <w:spacing w:line="360" w:lineRule="auto"/>
              <w:rPr>
                <w:rFonts w:hint="eastAsia" w:hAnsi="宋体" w:cs="宋体"/>
                <w:bCs/>
                <w:sz w:val="21"/>
                <w:szCs w:val="21"/>
                <w:highlight w:val="none"/>
              </w:rPr>
            </w:pPr>
            <w:r>
              <w:rPr>
                <w:rFonts w:hAnsi="宋体" w:cs="宋体"/>
                <w:sz w:val="21"/>
                <w:szCs w:val="21"/>
                <w:highlight w:val="none"/>
              </w:rPr>
              <w:t>3</w:t>
            </w:r>
            <w:r>
              <w:rPr>
                <w:rFonts w:hint="eastAsia" w:hAnsi="宋体" w:cs="宋体"/>
                <w:sz w:val="21"/>
                <w:szCs w:val="21"/>
                <w:highlight w:val="none"/>
              </w:rPr>
              <w:t>.供应商为其他组织或者自然人时，本磋商文件规定的法定代表人指负责人或者自然人。本磋商文件所称负责人是指参加竞标的其他组织</w:t>
            </w:r>
            <w:r>
              <w:rPr>
                <w:rFonts w:hint="eastAsia" w:hAnsi="宋体" w:cs="宋体"/>
                <w:bCs/>
                <w:sz w:val="21"/>
                <w:szCs w:val="21"/>
                <w:highlight w:val="none"/>
              </w:rPr>
              <w:t>营业执照或者执业许可证等证照上的</w:t>
            </w:r>
            <w:r>
              <w:rPr>
                <w:rFonts w:hint="eastAsia" w:hAnsi="宋体" w:cs="宋体"/>
                <w:sz w:val="21"/>
                <w:szCs w:val="21"/>
                <w:highlight w:val="none"/>
              </w:rPr>
              <w:t>负责人，本磋商文件所称自然人指参与竞标的自然人本人，</w:t>
            </w:r>
            <w:r>
              <w:rPr>
                <w:rFonts w:hint="eastAsia" w:hAnsi="宋体" w:cs="宋体"/>
                <w:bCs/>
                <w:sz w:val="21"/>
                <w:szCs w:val="21"/>
                <w:highlight w:val="none"/>
              </w:rPr>
              <w:t>且应具备独立承担民事责任能力，自然人应当为年满18岁以上成年人（十六周岁以上的未成年人，以自己的劳动收入为主要生活来源的，视为完全民事行为能力人）。</w:t>
            </w:r>
          </w:p>
          <w:p>
            <w:pPr>
              <w:pStyle w:val="11"/>
              <w:snapToGrid w:val="0"/>
              <w:spacing w:line="360" w:lineRule="auto"/>
              <w:rPr>
                <w:rFonts w:hAnsi="宋体" w:cs="宋体"/>
                <w:b/>
                <w:bCs/>
                <w:sz w:val="21"/>
                <w:highlight w:val="none"/>
              </w:rPr>
            </w:pPr>
            <w:r>
              <w:rPr>
                <w:rFonts w:hAnsi="宋体" w:cs="宋体"/>
                <w:b/>
                <w:bCs/>
                <w:sz w:val="21"/>
                <w:highlight w:val="none"/>
              </w:rPr>
              <w:t>4.</w:t>
            </w:r>
            <w:r>
              <w:rPr>
                <w:rFonts w:hint="eastAsia" w:hAnsi="宋体" w:cs="宋体"/>
                <w:b/>
                <w:bCs/>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pPr>
              <w:pStyle w:val="11"/>
              <w:snapToGrid w:val="0"/>
              <w:spacing w:line="360" w:lineRule="auto"/>
              <w:rPr>
                <w:rFonts w:hint="eastAsia" w:hAnsi="宋体" w:cs="宋体"/>
                <w:sz w:val="21"/>
                <w:highlight w:val="none"/>
              </w:rPr>
            </w:pPr>
            <w:r>
              <w:rPr>
                <w:rFonts w:hint="eastAsia" w:hAnsi="宋体" w:cs="宋体"/>
                <w:sz w:val="21"/>
                <w:highlight w:val="none"/>
              </w:rPr>
              <w:t>5</w:t>
            </w:r>
            <w:r>
              <w:rPr>
                <w:rFonts w:hAnsi="宋体" w:cs="宋体"/>
                <w:sz w:val="21"/>
                <w:highlight w:val="none"/>
              </w:rPr>
              <w:t>.</w:t>
            </w:r>
            <w:r>
              <w:rPr>
                <w:rFonts w:hint="eastAsia" w:hAnsi="宋体" w:cs="宋体"/>
                <w:sz w:val="21"/>
                <w:highlight w:val="none"/>
              </w:rPr>
              <w:t>本磋商文件所称的 “以上”“以下”“以内”“届满”，包括本数；所称的“不满”“超过”“以外”，不包括本数，法律、行政法规、管理办法等另有规定的，从其规定。</w:t>
            </w:r>
          </w:p>
        </w:tc>
      </w:tr>
    </w:tbl>
    <w:p>
      <w:pPr>
        <w:spacing w:line="400" w:lineRule="exact"/>
        <w:jc w:val="center"/>
        <w:outlineLvl w:val="1"/>
        <w:rPr>
          <w:rFonts w:hint="eastAsia" w:ascii="宋体" w:hAnsi="宋体"/>
          <w:b/>
          <w:sz w:val="30"/>
          <w:szCs w:val="30"/>
          <w:highlight w:val="none"/>
        </w:rPr>
      </w:pPr>
      <w:r>
        <w:rPr>
          <w:rFonts w:ascii="宋体" w:hAnsi="宋体"/>
          <w:b/>
          <w:sz w:val="30"/>
          <w:szCs w:val="30"/>
          <w:highlight w:val="none"/>
        </w:rPr>
        <w:br w:type="page"/>
      </w:r>
      <w:r>
        <w:rPr>
          <w:rFonts w:hint="eastAsia" w:ascii="宋体" w:hAnsi="宋体"/>
          <w:b/>
          <w:sz w:val="30"/>
          <w:szCs w:val="30"/>
          <w:highlight w:val="none"/>
        </w:rPr>
        <w:t>供应商须知正文</w:t>
      </w:r>
    </w:p>
    <w:p>
      <w:pPr>
        <w:spacing w:line="400" w:lineRule="exact"/>
        <w:jc w:val="center"/>
        <w:rPr>
          <w:rFonts w:hint="eastAsia" w:ascii="宋体" w:hAnsi="宋体"/>
          <w:b/>
          <w:sz w:val="30"/>
          <w:szCs w:val="30"/>
          <w:highlight w:val="none"/>
        </w:rPr>
      </w:pPr>
    </w:p>
    <w:p>
      <w:pPr>
        <w:spacing w:line="360" w:lineRule="auto"/>
        <w:jc w:val="center"/>
        <w:outlineLvl w:val="2"/>
        <w:rPr>
          <w:rFonts w:hint="eastAsia" w:ascii="宋体" w:hAnsi="宋体"/>
          <w:b/>
          <w:bCs/>
          <w:sz w:val="32"/>
          <w:szCs w:val="32"/>
          <w:highlight w:val="none"/>
        </w:rPr>
      </w:pPr>
      <w:r>
        <w:rPr>
          <w:rFonts w:hint="eastAsia" w:ascii="宋体" w:hAnsi="宋体"/>
          <w:b/>
          <w:bCs/>
          <w:sz w:val="32"/>
          <w:szCs w:val="32"/>
          <w:highlight w:val="none"/>
        </w:rPr>
        <w:t>一、总则</w:t>
      </w:r>
    </w:p>
    <w:p>
      <w:pPr>
        <w:spacing w:line="400" w:lineRule="exact"/>
        <w:rPr>
          <w:rFonts w:hint="eastAsia" w:ascii="宋体" w:hAnsi="宋体"/>
          <w:szCs w:val="21"/>
          <w:highlight w:val="none"/>
        </w:rPr>
      </w:pP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1.适用范围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w:t>
      </w:r>
      <w:r>
        <w:rPr>
          <w:rFonts w:hint="eastAsia" w:ascii="宋体" w:hAnsi="宋体"/>
          <w:szCs w:val="21"/>
          <w:highlight w:val="none"/>
        </w:rPr>
        <w:t>《政府采购竞争性磋商采购方式管理暂行办法》《财政部关于政府采购竞争性磋商采购方式管理暂行办法有关问题的补充通知》</w:t>
      </w:r>
      <w:r>
        <w:rPr>
          <w:rFonts w:hint="eastAsia" w:ascii="宋体" w:hAnsi="宋体" w:cs="宋体"/>
          <w:szCs w:val="21"/>
          <w:highlight w:val="none"/>
        </w:rPr>
        <w:t>及本项目本级和上级财政部门政府采购有关规定的约束和保护。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2.定义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2.1“采购人”是指依法进行政府采购的国家机关、事业单位、团体组织。</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szCs w:val="21"/>
          <w:highlight w:val="none"/>
        </w:rPr>
      </w:pPr>
      <w:r>
        <w:rPr>
          <w:rFonts w:hint="eastAsia" w:ascii="宋体" w:hAnsi="宋体"/>
          <w:szCs w:val="21"/>
          <w:highlight w:val="none"/>
        </w:rPr>
        <w:t>2.4“服务”是指除货物和工程以外的其他政府采购对象，</w:t>
      </w:r>
      <w:r>
        <w:rPr>
          <w:rFonts w:hint="eastAsia" w:ascii="宋体" w:hAnsi="宋体" w:cs="宋体"/>
          <w:szCs w:val="21"/>
          <w:highlight w:val="none"/>
        </w:rPr>
        <w:t>“货物”是指各种形态和种类的物品，包括原材料、燃料、设备、产品等</w:t>
      </w:r>
      <w:r>
        <w:rPr>
          <w:rFonts w:hint="eastAsia" w:ascii="宋体" w:hAnsi="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r>
        <w:rPr>
          <w:rFonts w:hint="eastAsia" w:ascii="宋体" w:hAnsi="宋体" w:cs="宋体"/>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2.11“允许负偏离的条款”是指采购需求中的不属于“实质性要求”的条款。</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w:t>
      </w:r>
      <w:r>
        <w:rPr>
          <w:rFonts w:hint="eastAsia" w:ascii="宋体" w:hAnsi="宋体" w:cs="宋体"/>
          <w:szCs w:val="21"/>
          <w:highlight w:val="none"/>
        </w:rPr>
        <w:t>2“首次报价”是指供应商提交的首次响应文件中的报价。</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3.供应商的资格条件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供应商的资格条件详见“供应商须知前附表”。</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4.竞标费用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5.联合体竞标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highlight w:val="none"/>
        </w:rPr>
        <w:t>如接受联合体竞标，</w:t>
      </w:r>
      <w:r>
        <w:rPr>
          <w:rFonts w:hint="eastAsia" w:ascii="宋体" w:hAnsi="宋体" w:cs="宋体"/>
          <w:szCs w:val="21"/>
          <w:highlight w:val="none"/>
        </w:rPr>
        <w:t>联合体竞标要求详见“供应商须知前附表”。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w:t>
      </w:r>
      <w:bookmarkStart w:id="50" w:name="_Hlk66782192"/>
      <w:r>
        <w:rPr>
          <w:rFonts w:hint="eastAsia" w:ascii="宋体" w:hAnsi="宋体"/>
          <w:szCs w:val="21"/>
          <w:highlight w:val="none"/>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szCs w:val="21"/>
          <w:highlight w:val="none"/>
        </w:rPr>
        <w:t>4</w:t>
      </w: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%的扣除，用扣除后的价格参加评审（专门面向中小企业预留项目除外）。</w:t>
      </w:r>
      <w:bookmarkEnd w:id="50"/>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 xml:space="preserve">6.转包与分包             </w:t>
      </w:r>
    </w:p>
    <w:p>
      <w:pPr>
        <w:spacing w:line="360" w:lineRule="auto"/>
        <w:ind w:firstLine="420" w:firstLineChars="200"/>
        <w:rPr>
          <w:rFonts w:hint="eastAsia" w:ascii="宋体" w:hAnsi="宋体"/>
          <w:bCs/>
          <w:szCs w:val="21"/>
          <w:highlight w:val="none"/>
        </w:rPr>
      </w:pPr>
      <w:bookmarkStart w:id="51" w:name="_Toc254970532"/>
      <w:bookmarkStart w:id="52" w:name="_Toc254970673"/>
      <w:r>
        <w:rPr>
          <w:rFonts w:hint="eastAsia" w:ascii="宋体" w:hAnsi="宋体"/>
          <w:bCs/>
          <w:szCs w:val="21"/>
          <w:highlight w:val="none"/>
        </w:rPr>
        <w:t>6.1本项目不允许转包与分包。</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6.</w:t>
      </w:r>
      <w:r>
        <w:rPr>
          <w:rFonts w:ascii="宋体" w:hAnsi="宋体"/>
          <w:bCs/>
          <w:szCs w:val="21"/>
          <w:highlight w:val="none"/>
        </w:rPr>
        <w:t>2</w:t>
      </w:r>
      <w:r>
        <w:rPr>
          <w:rFonts w:hint="eastAsia" w:ascii="宋体" w:hAnsi="宋体"/>
          <w:bCs/>
          <w:szCs w:val="21"/>
          <w:highlight w:val="none"/>
        </w:rPr>
        <w:t>供应商根据磋商文件的规定和采购项目的实际情况，拟在成交后将成交项目的非主体、非关键性工作转包与分包的，应当在响应文件中载明转包与分包承担主体，转包与分包承担主体应当具备相应资质条件且不得再次转包与分包。</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7.特别说明</w:t>
      </w:r>
      <w:bookmarkEnd w:id="51"/>
      <w:bookmarkEnd w:id="52"/>
    </w:p>
    <w:p>
      <w:pPr>
        <w:spacing w:line="360" w:lineRule="auto"/>
        <w:ind w:firstLine="420" w:firstLineChars="200"/>
        <w:rPr>
          <w:rFonts w:hint="eastAsia" w:ascii="宋体" w:hAnsi="宋体" w:cs="宋体"/>
          <w:szCs w:val="21"/>
          <w:highlight w:val="none"/>
        </w:rPr>
      </w:pPr>
      <w:bookmarkStart w:id="53" w:name="_8.1提供相同品牌产品且通过资格审查、符合性审查的不同投标人参加同一合"/>
      <w:bookmarkEnd w:id="53"/>
      <w:r>
        <w:rPr>
          <w:rFonts w:hint="eastAsia" w:ascii="宋体" w:hAnsi="宋体" w:cs="宋体"/>
          <w:szCs w:val="21"/>
          <w:highlight w:val="none"/>
        </w:rPr>
        <w:t>7.</w:t>
      </w:r>
      <w:r>
        <w:rPr>
          <w:rFonts w:ascii="宋体" w:hAnsi="宋体" w:cs="宋体"/>
          <w:szCs w:val="21"/>
          <w:highlight w:val="none"/>
        </w:rPr>
        <w:t>1</w:t>
      </w:r>
      <w:bookmarkStart w:id="54" w:name="_Hlk65832145"/>
      <w:r>
        <w:rPr>
          <w:rFonts w:hint="eastAsia" w:ascii="宋体" w:hAnsi="宋体"/>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bookmarkEnd w:id="54"/>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2</w:t>
      </w:r>
      <w:r>
        <w:rPr>
          <w:rFonts w:hint="eastAsia" w:ascii="宋体" w:hAnsi="宋体" w:cs="宋体"/>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3</w:t>
      </w:r>
      <w:r>
        <w:rPr>
          <w:rFonts w:hint="eastAsia" w:ascii="宋体" w:hAnsi="宋体" w:cs="宋体"/>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4</w:t>
      </w:r>
      <w:r>
        <w:rPr>
          <w:rFonts w:hint="eastAsia" w:ascii="宋体" w:hAnsi="宋体" w:cs="宋体"/>
          <w:szCs w:val="21"/>
          <w:highlight w:val="none"/>
        </w:rPr>
        <w:t>在政府采购活动中，采购人员及相关人员与供应商有下列利害关系之一的，应当回避：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5</w:t>
      </w:r>
      <w:r>
        <w:rPr>
          <w:rFonts w:hint="eastAsia" w:ascii="宋体" w:hAnsi="宋体" w:cs="宋体"/>
          <w:szCs w:val="21"/>
          <w:highlight w:val="none"/>
        </w:rPr>
        <w:t>有下列情形之一的视为供应商相互串通竞标，响应文件将被视为无效：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（1）不同供应商的响应文件由同一单位或者个人编制或者不同供应商报名的IP地址一致的；或者编制标书硬件设备CPU编号、硬盘编号、网卡地址一致的情况；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pPr>
        <w:tabs>
          <w:tab w:val="left" w:pos="6931"/>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ascii="宋体" w:hAnsi="宋体" w:cs="宋体"/>
          <w:szCs w:val="21"/>
          <w:highlight w:val="none"/>
        </w:rPr>
        <w:tab/>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供应商有下列情形之一的，属于恶意串通行为，将报同级监督管理部门：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bookmarkStart w:id="55" w:name="_Toc254970675"/>
      <w:bookmarkStart w:id="56" w:name="_Toc254970534"/>
    </w:p>
    <w:p>
      <w:pPr>
        <w:spacing w:line="360" w:lineRule="auto"/>
        <w:jc w:val="center"/>
        <w:outlineLvl w:val="2"/>
        <w:rPr>
          <w:rFonts w:hint="eastAsia" w:ascii="宋体" w:hAnsi="宋体"/>
          <w:b/>
          <w:bCs/>
          <w:sz w:val="32"/>
          <w:szCs w:val="32"/>
          <w:highlight w:val="none"/>
        </w:rPr>
      </w:pPr>
      <w:r>
        <w:rPr>
          <w:rFonts w:hint="eastAsia" w:ascii="宋体" w:hAnsi="宋体"/>
          <w:b/>
          <w:bCs/>
          <w:sz w:val="32"/>
          <w:szCs w:val="32"/>
          <w:highlight w:val="none"/>
        </w:rPr>
        <w:t>二、磋商文件</w:t>
      </w:r>
      <w:bookmarkEnd w:id="55"/>
      <w:bookmarkEnd w:id="56"/>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8.磋商文件的构成</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（1）竞争性磋商公告/竞标邀请函；</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（4）评审程序、评审方法和评审标准；</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（5）响应文件格式；</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（6）合同文本。</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9.供应商的询问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供应商应认真阅读磋商文件的采购需求，如供应商对磋商文件有疑问的，如要求采购人作出澄清或者修改的，供应商尽可能在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10.磋商文件的澄清和修改</w:t>
      </w:r>
    </w:p>
    <w:p>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highlight w:val="none"/>
          <w:lang w:val="en-US" w:eastAsia="zh-CN"/>
        </w:rPr>
        <w:t>5</w:t>
      </w:r>
      <w:r>
        <w:rPr>
          <w:rFonts w:ascii="宋体" w:hAnsi="宋体"/>
          <w:szCs w:val="21"/>
          <w:highlight w:val="none"/>
        </w:rPr>
        <w:t>日前，以书面形式通知所有</w:t>
      </w:r>
      <w:r>
        <w:rPr>
          <w:rFonts w:hint="eastAsia" w:ascii="宋体" w:hAnsi="宋体"/>
          <w:szCs w:val="21"/>
          <w:highlight w:val="none"/>
        </w:rPr>
        <w:t>获取</w:t>
      </w:r>
      <w:r>
        <w:rPr>
          <w:rFonts w:ascii="宋体" w:hAnsi="宋体"/>
          <w:szCs w:val="21"/>
          <w:highlight w:val="none"/>
        </w:rPr>
        <w:t>磋商文件的供应商，不足</w:t>
      </w:r>
      <w:r>
        <w:rPr>
          <w:rFonts w:hint="eastAsia" w:ascii="宋体" w:hAnsi="宋体"/>
          <w:szCs w:val="21"/>
          <w:highlight w:val="none"/>
          <w:lang w:val="en-US" w:eastAsia="zh-CN"/>
        </w:rPr>
        <w:t>5</w:t>
      </w:r>
      <w:r>
        <w:rPr>
          <w:rFonts w:ascii="宋体" w:hAnsi="宋体"/>
          <w:szCs w:val="21"/>
          <w:highlight w:val="none"/>
        </w:rPr>
        <w:t>日的，应当顺延提交首次响应文件截止之日。</w:t>
      </w:r>
    </w:p>
    <w:p>
      <w:pPr>
        <w:spacing w:line="360" w:lineRule="auto"/>
        <w:jc w:val="center"/>
        <w:outlineLvl w:val="2"/>
        <w:rPr>
          <w:rFonts w:hint="eastAsia" w:ascii="宋体" w:hAnsi="宋体"/>
          <w:b/>
          <w:bCs/>
          <w:sz w:val="32"/>
          <w:szCs w:val="32"/>
          <w:highlight w:val="none"/>
        </w:rPr>
      </w:pPr>
      <w:r>
        <w:rPr>
          <w:rFonts w:hint="eastAsia" w:ascii="宋体" w:hAnsi="宋体"/>
          <w:b/>
          <w:bCs/>
          <w:sz w:val="32"/>
          <w:szCs w:val="32"/>
          <w:highlight w:val="none"/>
        </w:rPr>
        <w:t>三、响应文件的编制</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11.响应文件的编制原则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12.响应文件的组成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12.1响应文件由资格证明文件、报价文件、商务技术文件三部分组成。</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12.1.1资格证明文件：详见“供应商须知前附表”</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12.1.2报价文件：详见“供应商须知前附表”</w:t>
      </w:r>
    </w:p>
    <w:p>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12.1.3商务技术文件：详见“供应商须知前附表”</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13.计量单位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14.竞标的风险</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15.竞标报价</w:t>
      </w:r>
    </w:p>
    <w:p>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15.2竞标报价的内容见“供应商须知前附表”。</w:t>
      </w:r>
    </w:p>
    <w:p>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w:t>
      </w:r>
    </w:p>
    <w:p>
      <w:pPr>
        <w:spacing w:line="360" w:lineRule="auto"/>
        <w:rPr>
          <w:rFonts w:ascii="宋体" w:hAnsi="宋体" w:cs="宋体"/>
          <w:szCs w:val="21"/>
          <w:highlight w:val="none"/>
        </w:rPr>
      </w:pPr>
      <w:r>
        <w:rPr>
          <w:rFonts w:hint="eastAsia" w:ascii="宋体" w:hAnsi="宋体" w:cs="宋体"/>
          <w:szCs w:val="21"/>
          <w:highlight w:val="none"/>
        </w:rPr>
        <w:t>不得存在漏项报价；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竞标报价（包含首次报价、最后报价）超过所竞标分标规定的采购预算金额或者最高限价的，其响应文件将按无效处理。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bookmarkStart w:id="57" w:name="_Hlk42592874"/>
      <w:r>
        <w:rPr>
          <w:rFonts w:hint="eastAsia" w:ascii="宋体" w:hAnsi="宋体" w:cs="宋体"/>
          <w:szCs w:val="21"/>
          <w:highlight w:val="none"/>
        </w:rPr>
        <w:t>竞标报价（包含首次报价、最后报价）超过分项采购预算金额或者最高限价的，其响应文件将按无效处理。</w:t>
      </w:r>
    </w:p>
    <w:bookmarkEnd w:id="57"/>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16.竞标有效期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17.磋商保证金</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17.1供应商须按“供应商须知前附表”的规定提交磋商保证金。</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17.2磋商保证金的退还</w:t>
      </w:r>
    </w:p>
    <w:p>
      <w:pPr>
        <w:spacing w:line="360" w:lineRule="auto"/>
        <w:ind w:firstLine="420" w:firstLineChars="200"/>
        <w:rPr>
          <w:rFonts w:hint="eastAsia" w:ascii="宋体" w:hAnsi="宋体" w:cs="宋体"/>
          <w:szCs w:val="21"/>
          <w:highlight w:val="none"/>
        </w:rPr>
      </w:pPr>
      <w:bookmarkStart w:id="58" w:name="_Hlk66782243"/>
      <w:r>
        <w:rPr>
          <w:rFonts w:hint="eastAsia" w:ascii="宋体" w:hAnsi="宋体" w:cs="宋体"/>
          <w:szCs w:val="21"/>
          <w:highlight w:val="none"/>
        </w:rPr>
        <w:t>未</w:t>
      </w:r>
      <w:r>
        <w:rPr>
          <w:rFonts w:hint="eastAsia" w:ascii="宋体" w:hAnsi="宋体" w:cs="宋体"/>
          <w:spacing w:val="-6"/>
          <w:szCs w:val="21"/>
          <w:highlight w:val="none"/>
        </w:rPr>
        <w:t>成交供应商的竞标保证金自成交通知书发出之日起5个工作日内退还；</w:t>
      </w:r>
      <w:r>
        <w:rPr>
          <w:rFonts w:hint="eastAsia" w:ascii="宋体" w:hAnsi="宋体" w:cs="宋体"/>
          <w:szCs w:val="21"/>
          <w:highlight w:val="none"/>
        </w:rPr>
        <w:t>成交供应商的磋商保证金自签订合同之日起</w:t>
      </w:r>
      <w:r>
        <w:rPr>
          <w:rFonts w:ascii="宋体" w:hAnsi="宋体" w:cs="宋体"/>
          <w:szCs w:val="21"/>
          <w:highlight w:val="none"/>
        </w:rPr>
        <w:t>5</w:t>
      </w:r>
      <w:r>
        <w:rPr>
          <w:rFonts w:hint="eastAsia" w:ascii="宋体" w:hAnsi="宋体" w:cs="宋体"/>
          <w:szCs w:val="21"/>
          <w:highlight w:val="none"/>
        </w:rPr>
        <w:t>个工作日内退还。</w:t>
      </w:r>
      <w:bookmarkEnd w:id="58"/>
      <w:r>
        <w:rPr>
          <w:rFonts w:hint="eastAsia" w:ascii="宋体" w:hAnsi="宋体" w:cs="宋体"/>
          <w:szCs w:val="21"/>
          <w:highlight w:val="none"/>
        </w:rPr>
        <w:t xml:space="preserve"> </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17.3磋商保证金不计息。</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（1）供应商在提交响应文件截止时间后撤回响应文件的；</w:t>
      </w:r>
    </w:p>
    <w:p>
      <w:pPr>
        <w:spacing w:line="360" w:lineRule="auto"/>
        <w:ind w:left="420" w:leftChars="200"/>
        <w:rPr>
          <w:rFonts w:ascii="宋体" w:hAnsi="宋体" w:cs="宋体"/>
          <w:szCs w:val="21"/>
          <w:highlight w:val="none"/>
        </w:rPr>
      </w:pPr>
      <w:r>
        <w:rPr>
          <w:rFonts w:hint="eastAsia" w:ascii="宋体" w:hAnsi="宋体"/>
          <w:szCs w:val="21"/>
          <w:highlight w:val="none"/>
        </w:rPr>
        <w:t>（2）未按规定提交履约保证金的；</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（3）供应商在响应文件中提供虚假材料的；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（4）除因不可抗力或者磋商文件认可的情形以外，成交供应商不与采购人签订合同的；</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（5）供应商与采购人、其他供应商或者采购代理机构恶意串通的；</w:t>
      </w:r>
    </w:p>
    <w:p>
      <w:pPr>
        <w:spacing w:line="360" w:lineRule="auto"/>
        <w:ind w:left="420" w:leftChars="200"/>
        <w:rPr>
          <w:rFonts w:hint="eastAsia" w:ascii="宋体" w:hAnsi="宋体" w:cs="宋体"/>
          <w:szCs w:val="21"/>
          <w:highlight w:val="none"/>
        </w:rPr>
      </w:pPr>
      <w:r>
        <w:rPr>
          <w:rFonts w:hint="eastAsia" w:ascii="宋体" w:hAnsi="宋体" w:cs="宋体"/>
          <w:szCs w:val="21"/>
          <w:highlight w:val="none"/>
        </w:rPr>
        <w:t>（6）法律法规规定的其他情形。</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18.响应文件编制的要求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18.1供应商应先安装“广西政府采购客户端”（请自行前往</w:t>
      </w:r>
      <w:r>
        <w:rPr>
          <w:rFonts w:hint="eastAsia" w:ascii="宋体" w:hAnsi="宋体"/>
          <w:szCs w:val="21"/>
          <w:highlight w:val="none"/>
        </w:rPr>
        <w:t>“广西政府采购云平台”</w:t>
      </w:r>
      <w:r>
        <w:rPr>
          <w:rFonts w:hint="eastAsia" w:ascii="宋体" w:hAnsi="宋体" w:cs="宋体"/>
          <w:szCs w:val="21"/>
          <w:highlight w:val="none"/>
        </w:rPr>
        <w:t>进行下载），并按照本项目磋商文件规定的格式和顺序和”广西政府采购云平台”的要求编制并加密。响应文件内容不完整、编排混乱导致响应文件被误读、漏读或者查找不到相关内容的，由此引发的后果由供应商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18.3响应文件须由供应商在规定位置签字（或者电子签名）、盖</w:t>
      </w:r>
      <w:r>
        <w:rPr>
          <w:rFonts w:hint="eastAsia" w:ascii="宋体" w:hAnsi="宋体" w:cs="宋体"/>
          <w:szCs w:val="21"/>
          <w:highlight w:val="none"/>
          <w:lang w:val="en-US" w:eastAsia="zh-CN"/>
        </w:rPr>
        <w:t>公</w:t>
      </w:r>
      <w:r>
        <w:rPr>
          <w:rFonts w:hint="eastAsia" w:ascii="宋体" w:hAnsi="宋体" w:cs="宋体"/>
          <w:szCs w:val="21"/>
          <w:highlight w:val="none"/>
        </w:rPr>
        <w:t>章（或电子签章）（具体以供应商须知前附表或响应文件格式规定为准），否则按无效响应处理。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电子签章）。响应文件因涂改、行间插字或者删除导致字迹潦草或者表达不清所引起的后果由供应商承担。</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19.电子备份响应文件</w:t>
      </w:r>
    </w:p>
    <w:p>
      <w:pPr>
        <w:spacing w:line="360" w:lineRule="auto"/>
        <w:ind w:firstLine="420" w:firstLineChars="200"/>
        <w:rPr>
          <w:rFonts w:hint="eastAsia" w:ascii="宋体" w:hAnsi="宋体" w:cs="宋体"/>
          <w:szCs w:val="21"/>
          <w:highlight w:val="none"/>
        </w:rPr>
      </w:pPr>
      <w:r>
        <w:rPr>
          <w:rFonts w:hint="eastAsia" w:ascii="宋体" w:hAnsi="宋体"/>
          <w:highlight w:val="none"/>
        </w:rPr>
        <w:t>电子备份响应文件是指通过“广西政府采购客户端”在线编制生成且后缀名为“</w:t>
      </w:r>
      <w:r>
        <w:rPr>
          <w:rFonts w:ascii="宋体" w:hAnsi="宋体"/>
          <w:highlight w:val="none"/>
        </w:rPr>
        <w:t>bfbs</w:t>
      </w:r>
      <w:r>
        <w:rPr>
          <w:rFonts w:hint="eastAsia" w:ascii="宋体" w:hAnsi="宋体"/>
          <w:highlight w:val="none"/>
        </w:rPr>
        <w:t>”的文件，是否接受电子备份响应文件</w:t>
      </w:r>
      <w:r>
        <w:rPr>
          <w:rFonts w:hint="eastAsia" w:ascii="宋体" w:hAnsi="宋体"/>
          <w:bCs/>
          <w:szCs w:val="21"/>
          <w:highlight w:val="none"/>
        </w:rPr>
        <w:t>详见在“供应商须知前附表”。</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20.响应文件的提交</w:t>
      </w:r>
    </w:p>
    <w:p>
      <w:pPr>
        <w:spacing w:line="360" w:lineRule="auto"/>
        <w:ind w:firstLine="420" w:firstLineChars="200"/>
        <w:rPr>
          <w:rFonts w:hint="eastAsia" w:ascii="宋体" w:hAnsi="宋体"/>
          <w:b/>
          <w:highlight w:val="none"/>
        </w:rPr>
      </w:pPr>
      <w:r>
        <w:rPr>
          <w:rFonts w:hint="eastAsia" w:ascii="宋体" w:hAnsi="宋体"/>
          <w:bCs/>
          <w:szCs w:val="21"/>
          <w:highlight w:val="none"/>
        </w:rPr>
        <w:t>20.1供应商必须按“供应商须知前附表”规定的</w:t>
      </w:r>
      <w:r>
        <w:rPr>
          <w:rFonts w:hint="eastAsia" w:ascii="宋体" w:hAnsi="宋体" w:cs="宋体"/>
          <w:szCs w:val="21"/>
          <w:highlight w:val="none"/>
        </w:rPr>
        <w:t>时间</w:t>
      </w:r>
      <w:r>
        <w:rPr>
          <w:rFonts w:hint="eastAsia" w:ascii="宋体" w:hAnsi="宋体"/>
          <w:szCs w:val="21"/>
          <w:highlight w:val="none"/>
        </w:rPr>
        <w:t>及</w:t>
      </w:r>
      <w:r>
        <w:rPr>
          <w:rFonts w:hint="eastAsia" w:ascii="宋体" w:hAnsi="宋体"/>
          <w:bCs/>
          <w:szCs w:val="21"/>
          <w:highlight w:val="none"/>
        </w:rPr>
        <w:t>地点提交响应文件。电子响应文件应在制作完成后，</w:t>
      </w:r>
      <w:r>
        <w:rPr>
          <w:rFonts w:ascii="宋体" w:hAnsi="宋体"/>
          <w:bCs/>
          <w:szCs w:val="21"/>
          <w:highlight w:val="none"/>
        </w:rPr>
        <w:t>在</w:t>
      </w:r>
      <w:r>
        <w:rPr>
          <w:rFonts w:hint="eastAsia" w:ascii="宋体" w:hAnsi="宋体"/>
          <w:bCs/>
          <w:szCs w:val="21"/>
          <w:highlight w:val="none"/>
        </w:rPr>
        <w:t>提交响应文件截止</w:t>
      </w:r>
      <w:r>
        <w:rPr>
          <w:rFonts w:ascii="宋体" w:hAnsi="宋体"/>
          <w:bCs/>
          <w:szCs w:val="21"/>
          <w:highlight w:val="none"/>
        </w:rPr>
        <w:t>时间前</w:t>
      </w:r>
      <w:r>
        <w:rPr>
          <w:rFonts w:hint="eastAsia" w:ascii="宋体" w:hAnsi="宋体"/>
          <w:bCs/>
          <w:szCs w:val="21"/>
          <w:highlight w:val="none"/>
        </w:rPr>
        <w:t>通过有效数字证书（CA认证锁）进行电子签章、加密，然后通过网络将加密的电子响应文件提交至</w:t>
      </w:r>
      <w:r>
        <w:rPr>
          <w:rFonts w:hint="eastAsia" w:ascii="宋体" w:hAnsi="宋体"/>
          <w:szCs w:val="21"/>
          <w:highlight w:val="none"/>
        </w:rPr>
        <w:t>”广西政府采购云平台”</w:t>
      </w:r>
      <w:r>
        <w:rPr>
          <w:rFonts w:hint="eastAsia" w:ascii="宋体" w:hAnsi="宋体"/>
          <w:bCs/>
          <w:szCs w:val="21"/>
          <w:highlight w:val="none"/>
        </w:rPr>
        <w:t xml:space="preserve">。 </w:t>
      </w:r>
      <w:r>
        <w:rPr>
          <w:rFonts w:hint="eastAsia" w:ascii="宋体" w:hAnsi="宋体"/>
          <w:b/>
          <w:highlight w:val="none"/>
        </w:rPr>
        <w:t xml:space="preserve"> </w:t>
      </w:r>
    </w:p>
    <w:p>
      <w:pPr>
        <w:spacing w:line="360" w:lineRule="auto"/>
        <w:ind w:firstLine="422" w:firstLineChars="200"/>
        <w:rPr>
          <w:rFonts w:hint="eastAsia" w:ascii="宋体" w:hAnsi="宋体" w:cs="宋体"/>
          <w:szCs w:val="21"/>
          <w:highlight w:val="none"/>
        </w:rPr>
      </w:pPr>
      <w:r>
        <w:rPr>
          <w:rFonts w:hint="eastAsia" w:ascii="宋体" w:hAnsi="宋体"/>
          <w:b/>
          <w:szCs w:val="21"/>
          <w:highlight w:val="none"/>
        </w:rPr>
        <w:t>20.</w:t>
      </w:r>
      <w:r>
        <w:rPr>
          <w:rFonts w:ascii="宋体" w:hAnsi="宋体"/>
          <w:b/>
          <w:szCs w:val="21"/>
          <w:highlight w:val="none"/>
        </w:rPr>
        <w:t>2</w:t>
      </w:r>
      <w:r>
        <w:rPr>
          <w:rFonts w:hint="eastAsia" w:ascii="宋体" w:hAnsi="宋体"/>
          <w:b/>
          <w:szCs w:val="21"/>
          <w:highlight w:val="none"/>
        </w:rPr>
        <w:t>未在规定时间内提交或者未按照磋商文件要求加密的电子响应文件，”广西政府采购云平台”将拒收。</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21.首次响应文件的补充、修改与撤回</w:t>
      </w:r>
    </w:p>
    <w:p>
      <w:pPr>
        <w:snapToGrid w:val="0"/>
        <w:spacing w:line="360" w:lineRule="auto"/>
        <w:ind w:firstLine="420"/>
        <w:jc w:val="left"/>
        <w:rPr>
          <w:rFonts w:hint="eastAsia" w:ascii="宋体" w:hAnsi="宋体"/>
          <w:szCs w:val="21"/>
          <w:highlight w:val="none"/>
        </w:rPr>
      </w:pPr>
      <w:bookmarkStart w:id="59" w:name="_Toc254970684"/>
      <w:bookmarkStart w:id="60" w:name="_Toc254970543"/>
      <w:r>
        <w:rPr>
          <w:rFonts w:ascii="宋体" w:hAnsi="宋体" w:cs="宋体"/>
          <w:szCs w:val="21"/>
          <w:highlight w:val="none"/>
        </w:rPr>
        <w:t>2</w:t>
      </w:r>
      <w:r>
        <w:rPr>
          <w:rFonts w:hint="eastAsia" w:ascii="宋体" w:hAnsi="宋体" w:cs="宋体"/>
          <w:szCs w:val="21"/>
          <w:highlight w:val="none"/>
        </w:rPr>
        <w:t>1.1</w:t>
      </w:r>
      <w:r>
        <w:rPr>
          <w:rFonts w:hint="eastAsia" w:ascii="宋体" w:hAnsi="宋体"/>
          <w:bCs/>
          <w:szCs w:val="21"/>
          <w:highlight w:val="none"/>
        </w:rPr>
        <w:t>供应商应当在提交响应文件截止</w:t>
      </w:r>
      <w:r>
        <w:rPr>
          <w:rFonts w:ascii="宋体" w:hAnsi="宋体"/>
          <w:bCs/>
          <w:szCs w:val="21"/>
          <w:highlight w:val="none"/>
        </w:rPr>
        <w:t>时间</w:t>
      </w:r>
      <w:r>
        <w:rPr>
          <w:rFonts w:hint="eastAsia" w:ascii="宋体" w:hAnsi="宋体"/>
          <w:bCs/>
          <w:szCs w:val="21"/>
          <w:highlight w:val="none"/>
        </w:rPr>
        <w:t>前完成电子响应文件的提交（上传），提交响应文件截止</w:t>
      </w:r>
      <w:r>
        <w:rPr>
          <w:rFonts w:ascii="宋体" w:hAnsi="宋体"/>
          <w:bCs/>
          <w:szCs w:val="21"/>
          <w:highlight w:val="none"/>
        </w:rPr>
        <w:t>时间</w:t>
      </w:r>
      <w:r>
        <w:rPr>
          <w:rFonts w:hint="eastAsia" w:ascii="宋体" w:hAnsi="宋体"/>
          <w:bCs/>
          <w:szCs w:val="21"/>
          <w:highlight w:val="none"/>
        </w:rPr>
        <w:t>前可以补充、修改或者撤回响应文件。补充或者修改响应文件的，应当先行撤回原响应文件，补充、修改后重新提交（上传），提交响应文件截止</w:t>
      </w:r>
      <w:r>
        <w:rPr>
          <w:rFonts w:ascii="宋体" w:hAnsi="宋体"/>
          <w:bCs/>
          <w:szCs w:val="21"/>
          <w:highlight w:val="none"/>
        </w:rPr>
        <w:t>时间</w:t>
      </w:r>
      <w:r>
        <w:rPr>
          <w:rFonts w:hint="eastAsia" w:ascii="宋体" w:hAnsi="宋体"/>
          <w:bCs/>
          <w:szCs w:val="21"/>
          <w:highlight w:val="none"/>
        </w:rPr>
        <w:t>前未完成提交（上传）的，视为撤回响应文件。提交响应文件截止</w:t>
      </w:r>
      <w:r>
        <w:rPr>
          <w:rFonts w:ascii="宋体" w:hAnsi="宋体"/>
          <w:bCs/>
          <w:szCs w:val="21"/>
          <w:highlight w:val="none"/>
        </w:rPr>
        <w:t>时间</w:t>
      </w:r>
      <w:r>
        <w:rPr>
          <w:rFonts w:hint="eastAsia" w:ascii="宋体" w:hAnsi="宋体"/>
          <w:bCs/>
          <w:szCs w:val="21"/>
          <w:highlight w:val="none"/>
        </w:rPr>
        <w:t>以后提交（上传）的响应文件，”广西政府采购云平台”将予以拒收。</w:t>
      </w:r>
      <w:r>
        <w:rPr>
          <w:rFonts w:hint="eastAsia" w:ascii="宋体" w:hAnsi="宋体" w:cs="宋体"/>
          <w:szCs w:val="21"/>
          <w:highlight w:val="none"/>
        </w:rPr>
        <w:t>（补充、修改或者撤回方式可</w:t>
      </w:r>
      <w:r>
        <w:rPr>
          <w:rFonts w:hint="eastAsia" w:ascii="宋体" w:hAnsi="宋体"/>
          <w:szCs w:val="21"/>
          <w:highlight w:val="none"/>
        </w:rPr>
        <w:t>登陆</w:t>
      </w:r>
      <w:r>
        <w:rPr>
          <w:rFonts w:hint="eastAsia" w:ascii="宋体" w:hAnsi="宋体" w:cs="宋体"/>
          <w:kern w:val="0"/>
          <w:szCs w:val="21"/>
          <w:highlight w:val="none"/>
        </w:rPr>
        <w:t>”广西政府采购云平台”，</w:t>
      </w:r>
      <w:r>
        <w:rPr>
          <w:rFonts w:hint="eastAsia" w:ascii="宋体" w:hAnsi="宋体"/>
          <w:szCs w:val="21"/>
          <w:highlight w:val="none"/>
        </w:rPr>
        <w:t>进入“服务中心”中查看</w:t>
      </w:r>
      <w:r>
        <w:rPr>
          <w:rFonts w:hint="eastAsia" w:ascii="宋体" w:hAnsi="宋体" w:cs="宋体"/>
          <w:szCs w:val="21"/>
          <w:highlight w:val="none"/>
        </w:rPr>
        <w:t xml:space="preserve"> “电子投标文件制作与投送教程”）</w:t>
      </w:r>
    </w:p>
    <w:bookmarkEnd w:id="59"/>
    <w:bookmarkEnd w:id="60"/>
    <w:p>
      <w:pPr>
        <w:pStyle w:val="119"/>
        <w:spacing w:before="0"/>
        <w:ind w:firstLine="420"/>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1</w:t>
      </w:r>
      <w:r>
        <w:rPr>
          <w:rFonts w:ascii="宋体" w:hAnsi="宋体" w:cs="宋体"/>
          <w:sz w:val="21"/>
          <w:szCs w:val="21"/>
          <w:highlight w:val="none"/>
        </w:rPr>
        <w:t>.</w:t>
      </w:r>
      <w:r>
        <w:rPr>
          <w:rFonts w:hint="eastAsia" w:ascii="宋体" w:hAnsi="宋体" w:cs="宋体"/>
          <w:sz w:val="21"/>
          <w:szCs w:val="21"/>
          <w:highlight w:val="none"/>
        </w:rPr>
        <w:t>2在提交响应文件截止时间前，除供应商补充、修改或者撤回响应文件外，任何单位和个人不得解密或提取响应文件。</w:t>
      </w:r>
    </w:p>
    <w:p>
      <w:pPr>
        <w:spacing w:line="360" w:lineRule="auto"/>
        <w:ind w:firstLine="482" w:firstLineChars="200"/>
        <w:outlineLvl w:val="3"/>
        <w:rPr>
          <w:rFonts w:hint="eastAsia" w:ascii="宋体" w:hAnsi="宋体" w:cs="宋体"/>
          <w:b/>
          <w:bCs/>
          <w:sz w:val="24"/>
          <w:highlight w:val="none"/>
        </w:rPr>
      </w:pPr>
      <w:bookmarkStart w:id="61" w:name="_Hlk45702405"/>
      <w:r>
        <w:rPr>
          <w:rFonts w:hint="eastAsia" w:ascii="宋体" w:hAnsi="宋体" w:cs="宋体"/>
          <w:b/>
          <w:bCs/>
          <w:sz w:val="24"/>
          <w:highlight w:val="none"/>
        </w:rPr>
        <w:t>22.响应文件的退回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23.截止时间后的撤回</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供应商在响应文件提交截止时间后向采购人、采购代理机构书面申请撤回响应文件的，将根据本须知正文17.4的规定不予退还其磋商保证金。</w:t>
      </w:r>
      <w:bookmarkEnd w:id="61"/>
    </w:p>
    <w:p>
      <w:pPr>
        <w:spacing w:line="360" w:lineRule="auto"/>
        <w:jc w:val="center"/>
        <w:outlineLvl w:val="2"/>
        <w:rPr>
          <w:rFonts w:hint="eastAsia" w:ascii="宋体" w:hAnsi="宋体"/>
          <w:b/>
          <w:bCs/>
          <w:sz w:val="32"/>
          <w:szCs w:val="32"/>
          <w:highlight w:val="none"/>
        </w:rPr>
      </w:pPr>
      <w:r>
        <w:rPr>
          <w:rFonts w:hint="eastAsia" w:ascii="宋体" w:hAnsi="宋体"/>
          <w:b/>
          <w:bCs/>
          <w:sz w:val="32"/>
          <w:szCs w:val="32"/>
          <w:highlight w:val="none"/>
        </w:rPr>
        <w:t>四、评审及磋商</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24.磋商小组成立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24.3</w:t>
      </w:r>
      <w:r>
        <w:rPr>
          <w:rFonts w:hint="eastAsia" w:ascii="宋体" w:hAnsi="宋体"/>
          <w:bCs/>
          <w:szCs w:val="21"/>
          <w:highlight w:val="none"/>
        </w:rPr>
        <w:t>采购代理机构</w:t>
      </w:r>
      <w:r>
        <w:rPr>
          <w:rFonts w:hint="eastAsia" w:ascii="宋体" w:hAnsi="宋体"/>
          <w:bCs/>
          <w:highlight w:val="none"/>
        </w:rPr>
        <w:t>应当</w:t>
      </w:r>
      <w:r>
        <w:rPr>
          <w:rFonts w:hint="eastAsia" w:ascii="宋体" w:hAnsi="宋体"/>
          <w:bCs/>
          <w:szCs w:val="21"/>
          <w:highlight w:val="none"/>
        </w:rPr>
        <w:t>基于”广西政府采购云平台”</w:t>
      </w:r>
      <w:r>
        <w:rPr>
          <w:rFonts w:hint="eastAsia" w:ascii="宋体" w:hAnsi="宋体"/>
          <w:bCs/>
          <w:highlight w:val="none"/>
        </w:rPr>
        <w:t>抽（选）取</w:t>
      </w:r>
      <w:r>
        <w:rPr>
          <w:rFonts w:hint="eastAsia" w:ascii="宋体" w:hAnsi="宋体"/>
          <w:bCs/>
          <w:szCs w:val="21"/>
          <w:highlight w:val="none"/>
        </w:rPr>
        <w:t>评审专家。</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25.首次响应文件的开启和解密</w:t>
      </w:r>
    </w:p>
    <w:p>
      <w:pPr>
        <w:spacing w:line="360" w:lineRule="auto"/>
        <w:ind w:firstLine="420" w:firstLineChars="200"/>
        <w:rPr>
          <w:rFonts w:hint="eastAsia" w:ascii="宋体" w:hAnsi="宋体" w:cs="宋体"/>
          <w:szCs w:val="21"/>
          <w:highlight w:val="none"/>
        </w:rPr>
      </w:pPr>
      <w:r>
        <w:rPr>
          <w:rFonts w:hint="eastAsia" w:ascii="宋体" w:hAnsi="宋体"/>
          <w:bCs/>
          <w:highlight w:val="none"/>
        </w:rPr>
        <w:t>采购代理机构将在“供应商须知前附表”规定的时</w:t>
      </w:r>
      <w:r>
        <w:rPr>
          <w:rFonts w:hint="eastAsia" w:ascii="宋体" w:hAnsi="宋体"/>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eastAsia" w:ascii="宋体" w:hAnsi="宋体"/>
          <w:bCs/>
          <w:szCs w:val="21"/>
          <w:highlight w:val="none"/>
        </w:rPr>
        <w:t>“供应商须知前附表”</w:t>
      </w:r>
      <w:r>
        <w:rPr>
          <w:rFonts w:hint="eastAsia" w:ascii="宋体" w:hAnsi="宋体"/>
          <w:highlight w:val="none"/>
        </w:rPr>
        <w:t>规定的时间内自行进行响应文件解密。</w:t>
      </w:r>
      <w:r>
        <w:rPr>
          <w:rFonts w:hint="eastAsia" w:ascii="宋体" w:hAnsi="宋体"/>
          <w:b/>
          <w:highlight w:val="none"/>
        </w:rPr>
        <w:t>供应商未在</w:t>
      </w:r>
      <w:r>
        <w:rPr>
          <w:rFonts w:ascii="宋体" w:hAnsi="宋体"/>
          <w:b/>
          <w:highlight w:val="none"/>
        </w:rPr>
        <w:t>规定的时间内解密</w:t>
      </w:r>
      <w:r>
        <w:rPr>
          <w:rFonts w:hint="eastAsia" w:ascii="宋体" w:hAnsi="宋体"/>
          <w:b/>
          <w:highlight w:val="none"/>
        </w:rPr>
        <w:t>响应文件</w:t>
      </w:r>
      <w:r>
        <w:rPr>
          <w:rFonts w:ascii="宋体" w:hAnsi="宋体"/>
          <w:b/>
          <w:highlight w:val="none"/>
        </w:rPr>
        <w:t>或</w:t>
      </w:r>
      <w:r>
        <w:rPr>
          <w:rFonts w:hint="eastAsia" w:ascii="宋体" w:hAnsi="宋体"/>
          <w:b/>
          <w:highlight w:val="none"/>
        </w:rPr>
        <w:t>者</w:t>
      </w:r>
      <w:r>
        <w:rPr>
          <w:rFonts w:ascii="宋体" w:hAnsi="宋体"/>
          <w:b/>
          <w:highlight w:val="none"/>
        </w:rPr>
        <w:t>解密失败的</w:t>
      </w:r>
      <w:r>
        <w:rPr>
          <w:rFonts w:hint="eastAsia" w:ascii="宋体" w:hAnsi="宋体"/>
          <w:b/>
          <w:highlight w:val="none"/>
        </w:rPr>
        <w:t>，供应商</w:t>
      </w:r>
      <w:r>
        <w:rPr>
          <w:rFonts w:hint="eastAsia" w:ascii="宋体" w:hAnsi="宋体"/>
          <w:b/>
          <w:szCs w:val="21"/>
          <w:highlight w:val="none"/>
        </w:rPr>
        <w:t>的响应文件作无效处理</w:t>
      </w:r>
      <w:r>
        <w:rPr>
          <w:rFonts w:ascii="宋体" w:hAnsi="宋体"/>
          <w:b/>
          <w:highlight w:val="none"/>
        </w:rPr>
        <w:t>。</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26.评审程序、评审方法和评审标准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.1本项目的评审方法为综合评分法。</w:t>
      </w:r>
    </w:p>
    <w:p>
      <w:pPr>
        <w:spacing w:line="360" w:lineRule="auto"/>
        <w:ind w:firstLine="420" w:firstLineChars="200"/>
        <w:rPr>
          <w:rFonts w:ascii="宋体" w:hAnsi="宋体" w:cs="宋体"/>
          <w:szCs w:val="21"/>
          <w:highlight w:val="none"/>
        </w:rPr>
      </w:pPr>
      <w:r>
        <w:rPr>
          <w:rFonts w:ascii="宋体" w:hAnsi="宋体" w:cs="宋体"/>
          <w:szCs w:val="21"/>
          <w:highlight w:val="none"/>
        </w:rPr>
        <w:t>26.2</w:t>
      </w:r>
      <w:r>
        <w:rPr>
          <w:rFonts w:hint="eastAsia" w:ascii="宋体" w:hAnsi="宋体" w:cs="宋体"/>
          <w:szCs w:val="21"/>
          <w:highlight w:val="none"/>
        </w:rPr>
        <w:t>磋商小组</w:t>
      </w:r>
      <w:r>
        <w:rPr>
          <w:rFonts w:ascii="宋体" w:hAnsi="宋体" w:cs="宋体"/>
          <w:szCs w:val="21"/>
          <w:highlight w:val="none"/>
        </w:rPr>
        <w:t>按照</w:t>
      </w:r>
      <w:r>
        <w:rPr>
          <w:rFonts w:hint="eastAsia" w:ascii="宋体" w:hAnsi="宋体" w:cs="宋体"/>
          <w:szCs w:val="21"/>
          <w:highlight w:val="none"/>
        </w:rPr>
        <w:t>“第四章 评审程序、评审方法和评审标准”</w:t>
      </w:r>
      <w:r>
        <w:rPr>
          <w:rFonts w:ascii="宋体" w:hAnsi="宋体" w:cs="宋体"/>
          <w:szCs w:val="21"/>
          <w:highlight w:val="none"/>
        </w:rPr>
        <w:t>规定的方法、评审因素、标准和程序对</w:t>
      </w:r>
      <w:r>
        <w:rPr>
          <w:rFonts w:hint="eastAsia" w:ascii="宋体" w:hAnsi="宋体" w:cs="宋体"/>
          <w:szCs w:val="21"/>
          <w:highlight w:val="none"/>
        </w:rPr>
        <w:t>响应</w:t>
      </w:r>
      <w:r>
        <w:rPr>
          <w:rFonts w:ascii="宋体" w:hAnsi="宋体" w:cs="宋体"/>
          <w:szCs w:val="21"/>
          <w:highlight w:val="none"/>
        </w:rPr>
        <w:t>文件进行评审。</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6.3 </w:t>
      </w:r>
      <w:r>
        <w:rPr>
          <w:rFonts w:hint="eastAsia" w:ascii="宋体" w:hAnsi="宋体"/>
          <w:szCs w:val="21"/>
          <w:highlight w:val="none"/>
        </w:rPr>
        <w:t>商务/技术要求允许负偏离的条款数详见“供应商须知前附表”。</w:t>
      </w:r>
    </w:p>
    <w:p>
      <w:pPr>
        <w:spacing w:line="360" w:lineRule="auto"/>
        <w:ind w:firstLine="420" w:firstLineChars="200"/>
        <w:rPr>
          <w:rFonts w:ascii="宋体" w:hAnsi="宋体"/>
          <w:szCs w:val="21"/>
          <w:highlight w:val="none"/>
        </w:rPr>
      </w:pPr>
      <w:r>
        <w:rPr>
          <w:rFonts w:hint="eastAsia" w:ascii="宋体" w:hAnsi="宋体" w:cs="宋体"/>
          <w:highlight w:val="none"/>
        </w:rPr>
        <w:t>26.</w:t>
      </w:r>
      <w:r>
        <w:rPr>
          <w:rFonts w:ascii="宋体" w:hAnsi="宋体" w:cs="宋体"/>
          <w:highlight w:val="none"/>
        </w:rPr>
        <w:t>4</w:t>
      </w:r>
      <w:r>
        <w:rPr>
          <w:rFonts w:hint="eastAsia" w:ascii="宋体" w:hAnsi="宋体" w:cs="宋体"/>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int="eastAsia" w:ascii="宋体" w:hAnsi="宋体"/>
          <w:highlight w:val="none"/>
        </w:rPr>
      </w:pPr>
      <w:r>
        <w:rPr>
          <w:rFonts w:hint="eastAsia" w:ascii="宋体" w:hAnsi="宋体" w:cs="宋体"/>
          <w:highlight w:val="none"/>
        </w:rPr>
        <w:t>2</w:t>
      </w:r>
      <w:r>
        <w:rPr>
          <w:rFonts w:ascii="宋体" w:hAnsi="宋体" w:cs="宋体"/>
          <w:highlight w:val="none"/>
        </w:rPr>
        <w:t>6.5</w:t>
      </w:r>
      <w:r>
        <w:rPr>
          <w:rFonts w:hint="eastAsia" w:ascii="宋体" w:hAnsi="宋体"/>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highlight w:val="none"/>
        </w:rPr>
      </w:pPr>
      <w:r>
        <w:rPr>
          <w:rFonts w:hint="eastAsia" w:ascii="宋体" w:hAnsi="宋体"/>
          <w:highlight w:val="none"/>
        </w:rPr>
        <w:t xml:space="preserve">（1）电子交易平台发生故障而无法登录访问的； </w:t>
      </w:r>
    </w:p>
    <w:p>
      <w:pPr>
        <w:spacing w:line="360" w:lineRule="auto"/>
        <w:ind w:firstLine="420" w:firstLineChars="200"/>
        <w:rPr>
          <w:rFonts w:hint="eastAsia" w:ascii="宋体" w:hAnsi="宋体"/>
          <w:highlight w:val="none"/>
        </w:rPr>
      </w:pPr>
      <w:r>
        <w:rPr>
          <w:rFonts w:hint="eastAsia" w:ascii="宋体" w:hAnsi="宋体"/>
          <w:highlight w:val="none"/>
        </w:rPr>
        <w:t>（2）电子交易平台应用或数据库出现错误，不能进行正常操作的；</w:t>
      </w:r>
    </w:p>
    <w:p>
      <w:pPr>
        <w:spacing w:line="360" w:lineRule="auto"/>
        <w:ind w:firstLine="420" w:firstLineChars="200"/>
        <w:rPr>
          <w:rFonts w:hint="eastAsia" w:ascii="宋体" w:hAnsi="宋体"/>
          <w:highlight w:val="none"/>
        </w:rPr>
      </w:pPr>
      <w:r>
        <w:rPr>
          <w:rFonts w:hint="eastAsia" w:ascii="宋体" w:hAnsi="宋体"/>
          <w:highlight w:val="none"/>
        </w:rPr>
        <w:t>（3）电子交易平台发现严重安全漏洞，有潜在泄密危险的；</w:t>
      </w:r>
    </w:p>
    <w:p>
      <w:pPr>
        <w:spacing w:line="360" w:lineRule="auto"/>
        <w:ind w:firstLine="420" w:firstLineChars="200"/>
        <w:rPr>
          <w:rFonts w:hint="eastAsia" w:ascii="宋体" w:hAnsi="宋体"/>
          <w:highlight w:val="none"/>
        </w:rPr>
      </w:pPr>
      <w:r>
        <w:rPr>
          <w:rFonts w:hint="eastAsia" w:ascii="宋体" w:hAnsi="宋体"/>
          <w:highlight w:val="none"/>
        </w:rPr>
        <w:t xml:space="preserve">（4）病毒发作导致不能进行正常操作的； </w:t>
      </w:r>
    </w:p>
    <w:p>
      <w:pPr>
        <w:spacing w:line="360" w:lineRule="auto"/>
        <w:ind w:firstLine="420" w:firstLineChars="200"/>
        <w:rPr>
          <w:rFonts w:hint="eastAsia" w:ascii="宋体" w:hAnsi="宋体"/>
          <w:highlight w:val="none"/>
        </w:rPr>
      </w:pPr>
      <w:r>
        <w:rPr>
          <w:rFonts w:hint="eastAsia" w:ascii="宋体" w:hAnsi="宋体"/>
          <w:highlight w:val="none"/>
        </w:rPr>
        <w:t>（5）其他无法保证电子交易的公平、公正和安全的情况。</w:t>
      </w:r>
    </w:p>
    <w:p>
      <w:pPr>
        <w:spacing w:line="360" w:lineRule="auto"/>
        <w:ind w:firstLine="420" w:firstLineChars="200"/>
        <w:rPr>
          <w:rFonts w:hint="eastAsia" w:ascii="宋体" w:hAnsi="宋体" w:cs="宋体"/>
          <w:szCs w:val="21"/>
          <w:highlight w:val="none"/>
        </w:rPr>
      </w:pPr>
      <w:r>
        <w:rPr>
          <w:rFonts w:hint="eastAsia" w:ascii="宋体" w:hAnsi="宋体"/>
          <w:highlight w:val="none"/>
        </w:rPr>
        <w:t>26.</w:t>
      </w:r>
      <w:r>
        <w:rPr>
          <w:rFonts w:ascii="宋体" w:hAnsi="宋体"/>
          <w:highlight w:val="none"/>
        </w:rPr>
        <w:t>6</w:t>
      </w:r>
      <w:r>
        <w:rPr>
          <w:rFonts w:hint="eastAsia" w:ascii="宋体" w:hAnsi="宋体"/>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27.确定成交供应商及结果公告</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27</w:t>
      </w:r>
      <w:r>
        <w:rPr>
          <w:rFonts w:hint="eastAsia" w:ascii="宋体" w:hAnsi="宋体" w:cs="宋体"/>
          <w:szCs w:val="21"/>
          <w:highlight w:val="none"/>
        </w:rPr>
        <w:t>.1</w:t>
      </w:r>
      <w:r>
        <w:rPr>
          <w:rFonts w:hint="eastAsia" w:ascii="宋体" w:hAnsi="宋体" w:cs="宋体"/>
          <w:kern w:val="0"/>
          <w:szCs w:val="21"/>
          <w:highlight w:val="none"/>
        </w:rPr>
        <w:t xml:space="preserve"> </w:t>
      </w:r>
      <w:r>
        <w:rPr>
          <w:rFonts w:hint="eastAsia" w:ascii="宋体" w:hAnsi="宋体" w:cs="宋体"/>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Courier New"/>
          <w:szCs w:val="21"/>
          <w:highlight w:val="none"/>
        </w:rPr>
      </w:pPr>
      <w:r>
        <w:rPr>
          <w:rFonts w:ascii="宋体" w:hAnsi="宋体" w:cs="宋体"/>
          <w:szCs w:val="21"/>
          <w:highlight w:val="none"/>
        </w:rPr>
        <w:t>27</w:t>
      </w:r>
      <w:r>
        <w:rPr>
          <w:rFonts w:hint="eastAsia" w:ascii="宋体" w:hAnsi="宋体" w:cs="宋体"/>
          <w:szCs w:val="21"/>
          <w:highlight w:val="none"/>
        </w:rPr>
        <w:t>.2采购代理机构应当在</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2" w:name="_Hlk66782294"/>
      <w:r>
        <w:rPr>
          <w:rFonts w:hint="eastAsia" w:ascii="宋体" w:hAnsi="宋体" w:cs="Courier New"/>
          <w:szCs w:val="21"/>
          <w:highlight w:val="none"/>
        </w:rPr>
        <w:t>成交供应商享受</w:t>
      </w:r>
      <w:r>
        <w:rPr>
          <w:rFonts w:hint="eastAsia" w:ascii="宋体" w:hAnsi="宋体"/>
          <w:szCs w:val="21"/>
          <w:highlight w:val="none"/>
        </w:rPr>
        <w:t>《政府采购促进中小企业发展管理办法》（财库〔2020〕46号）规定的中小企业扶持</w:t>
      </w:r>
      <w:r>
        <w:rPr>
          <w:rFonts w:hint="eastAsia" w:ascii="宋体" w:hAnsi="宋体" w:cs="Courier New"/>
          <w:szCs w:val="21"/>
          <w:highlight w:val="none"/>
        </w:rPr>
        <w:t>政策的，采购人、采购代理机构应当随成交结果公开成交供应商的《中小企业声明函》。</w:t>
      </w:r>
      <w:bookmarkEnd w:id="62"/>
    </w:p>
    <w:p>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27.3出现下列情形之一的，采购人或者采购代理机构应当终止竞争性磋商采购活动，发布项目终止公告并说明原因，重新开展采购活动：</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（1）因情况变化，不再符合规定的竞争性磋商采购方式适用情形的；</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（2）出现影响采购公正的违法、违规行为的；</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szCs w:val="21"/>
          <w:highlight w:val="none"/>
        </w:rPr>
      </w:pPr>
      <w:r>
        <w:rPr>
          <w:rFonts w:hint="eastAsia" w:ascii="宋体" w:hAnsi="宋体" w:cs="Courier New"/>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28.履约保证金</w:t>
      </w:r>
    </w:p>
    <w:p>
      <w:pPr>
        <w:spacing w:line="360" w:lineRule="auto"/>
        <w:ind w:firstLine="424" w:firstLineChars="202"/>
        <w:rPr>
          <w:rFonts w:hint="eastAsia" w:ascii="宋体" w:hAnsi="宋体" w:cs="宋体"/>
          <w:szCs w:val="21"/>
          <w:highlight w:val="none"/>
        </w:rPr>
      </w:pPr>
      <w:r>
        <w:rPr>
          <w:rFonts w:ascii="宋体" w:hAnsi="宋体" w:cs="宋体"/>
          <w:szCs w:val="21"/>
          <w:highlight w:val="none"/>
        </w:rPr>
        <w:t>28</w:t>
      </w:r>
      <w:r>
        <w:rPr>
          <w:rFonts w:hint="eastAsia" w:ascii="宋体" w:hAnsi="宋体" w:cs="宋体"/>
          <w:szCs w:val="21"/>
          <w:highlight w:val="none"/>
        </w:rPr>
        <w:t>.1</w:t>
      </w:r>
      <w:r>
        <w:rPr>
          <w:rFonts w:ascii="宋体" w:hAnsi="宋体" w:cs="宋体"/>
          <w:szCs w:val="21"/>
          <w:highlight w:val="none"/>
        </w:rPr>
        <w:t xml:space="preserve"> </w:t>
      </w:r>
      <w:r>
        <w:rPr>
          <w:rFonts w:hint="eastAsia" w:ascii="宋体" w:hAnsi="宋体" w:cs="宋体"/>
          <w:szCs w:val="21"/>
          <w:highlight w:val="none"/>
        </w:rPr>
        <w:t>履约保证金的金额、提交方式、退付的时间和条件详见 “供应商须知前附表”。成交供应商未按规定提交履约保证金的，视为拒绝</w:t>
      </w:r>
      <w:r>
        <w:rPr>
          <w:rFonts w:ascii="宋体" w:hAnsi="宋体"/>
          <w:highlight w:val="none"/>
        </w:rPr>
        <w:t>与采购人</w:t>
      </w:r>
      <w:r>
        <w:rPr>
          <w:rFonts w:hint="eastAsia" w:ascii="宋体" w:hAnsi="宋体" w:cs="宋体"/>
          <w:szCs w:val="21"/>
          <w:highlight w:val="none"/>
        </w:rPr>
        <w:t>签订合同。</w:t>
      </w:r>
    </w:p>
    <w:p>
      <w:pPr>
        <w:spacing w:line="360" w:lineRule="auto"/>
        <w:ind w:firstLine="424" w:firstLineChars="202"/>
        <w:rPr>
          <w:rFonts w:hint="eastAsia" w:ascii="宋体" w:hAnsi="宋体" w:cs="宋体"/>
          <w:szCs w:val="21"/>
          <w:highlight w:val="none"/>
        </w:rPr>
      </w:pPr>
      <w:r>
        <w:rPr>
          <w:rFonts w:ascii="宋体" w:hAnsi="宋体" w:cs="宋体"/>
          <w:szCs w:val="21"/>
          <w:highlight w:val="none"/>
        </w:rPr>
        <w:t>28</w:t>
      </w:r>
      <w:r>
        <w:rPr>
          <w:rFonts w:hint="eastAsia" w:ascii="宋体" w:hAnsi="宋体" w:cs="宋体"/>
          <w:szCs w:val="21"/>
          <w:highlight w:val="none"/>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29.签订合同</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29.1签订电子采购合同：成交供应商领取电子成交通知书后，在</w:t>
      </w:r>
      <w:r>
        <w:rPr>
          <w:rFonts w:hint="eastAsia" w:ascii="宋体" w:hAnsi="宋体" w:cs="宋体"/>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29.2签订合同时间：按成交通知书规定的时间与采购人签订合同。</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29.6如签订合同并生效后，供应商无故拒绝或延期，除按照合同条款处理外，将承担相应的法律责任。</w:t>
      </w:r>
    </w:p>
    <w:p>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30.政府采购合同公告</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31. 询问、质疑和投诉</w:t>
      </w:r>
    </w:p>
    <w:p>
      <w:pPr>
        <w:pStyle w:val="10"/>
        <w:spacing w:line="360" w:lineRule="auto"/>
        <w:rPr>
          <w:rFonts w:hint="eastAsia" w:ascii="宋体" w:hAnsi="宋体"/>
          <w:szCs w:val="21"/>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highlight w:val="none"/>
        </w:rPr>
        <w:t>但答复的内容不得涉及商业秘密</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ghlight w:val="none"/>
          <w:shd w:val="clear" w:color="auto" w:fill="FFFFFF"/>
        </w:rPr>
        <w:t>接收质疑函的方式、联系部门、联系电话和通讯地址等信息</w:t>
      </w:r>
      <w:r>
        <w:rPr>
          <w:rFonts w:hint="eastAsia" w:ascii="宋体" w:hAnsi="宋体" w:cs="Arial"/>
          <w:highlight w:val="none"/>
          <w:shd w:val="clear" w:color="auto" w:fill="FFFFFF"/>
        </w:rPr>
        <w:t>详见</w:t>
      </w:r>
      <w:r>
        <w:rPr>
          <w:rFonts w:hint="eastAsia" w:ascii="宋体" w:hAnsi="宋体" w:cs="宋体"/>
          <w:szCs w:val="21"/>
          <w:highlight w:val="none"/>
        </w:rPr>
        <w:t>“供应商须知前附表”</w:t>
      </w:r>
      <w:r>
        <w:rPr>
          <w:rFonts w:hint="eastAsia" w:ascii="宋体" w:hAnsi="宋体" w:cs="宋体"/>
          <w:highlight w:val="none"/>
        </w:rPr>
        <w:t>。具体质疑起算时间如下：</w:t>
      </w:r>
    </w:p>
    <w:p>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（1）对可以质疑的磋商文件提出质疑的，为收到磋商文件之日或者</w:t>
      </w:r>
      <w:r>
        <w:rPr>
          <w:rFonts w:hint="eastAsia" w:ascii="宋体" w:hAnsi="宋体"/>
          <w:highlight w:val="none"/>
        </w:rPr>
        <w:t>竞争性磋商公告期限届满之日</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.4 供应商提出质疑应当提交质疑函和必要的证明材料，针对同一采购程序环节的质疑必须在法定质疑期内一次性提出。质疑函应当包括下列内容</w:t>
      </w:r>
      <w:r>
        <w:rPr>
          <w:rFonts w:hint="eastAsia" w:ascii="宋体" w:hAnsi="宋体"/>
          <w:bCs/>
          <w:highlight w:val="none"/>
        </w:rPr>
        <w:t>（质疑函格式后附）</w:t>
      </w:r>
      <w:r>
        <w:rPr>
          <w:rFonts w:hint="eastAsia" w:ascii="宋体" w:hAnsi="宋体" w:cs="宋体"/>
          <w:highlight w:val="none"/>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供应商为自然人的，应当由本人签字（或者电子签章）；供应商为法人或者其他组织的，应当由法定代表人、主要负责人，或者其委托代理人签字或者</w:t>
      </w:r>
      <w:r>
        <w:rPr>
          <w:rFonts w:hint="eastAsia" w:ascii="宋体" w:hAnsi="宋体" w:cs="宋体"/>
          <w:highlight w:val="none"/>
          <w:lang w:val="en-US" w:eastAsia="zh-CN"/>
        </w:rPr>
        <w:t>签章</w:t>
      </w:r>
      <w:r>
        <w:rPr>
          <w:rFonts w:hint="eastAsia" w:ascii="宋体" w:hAnsi="宋体" w:cs="宋体"/>
          <w:highlight w:val="none"/>
        </w:rPr>
        <w:t>，并加盖公章（或电子签章）。</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szCs w:val="21"/>
          <w:highlight w:val="none"/>
        </w:rPr>
      </w:pPr>
      <w:r>
        <w:rPr>
          <w:rFonts w:ascii="宋体" w:hAnsi="宋体" w:cs="宋体"/>
          <w:highlight w:val="none"/>
        </w:rPr>
        <w:t>31</w:t>
      </w: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32.其他内容</w:t>
      </w:r>
    </w:p>
    <w:p>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32.2</w:t>
      </w:r>
      <w:r>
        <w:rPr>
          <w:rFonts w:hint="eastAsia" w:ascii="宋体" w:hAnsi="宋体" w:cs="宋体"/>
          <w:szCs w:val="21"/>
          <w:highlight w:val="none"/>
        </w:rPr>
        <w:t>代理服务费收费计算标准：</w:t>
      </w:r>
    </w:p>
    <w:p>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本项目采购代理服务费=成交金额×1.7%。</w:t>
      </w:r>
    </w:p>
    <w:p>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例如：某</w:t>
      </w:r>
      <w:r>
        <w:rPr>
          <w:rFonts w:hint="eastAsia" w:ascii="宋体" w:hAnsi="宋体" w:cs="宋体"/>
          <w:szCs w:val="21"/>
          <w:highlight w:val="none"/>
          <w:lang w:val="en-US" w:eastAsia="zh-CN"/>
        </w:rPr>
        <w:t>服务</w:t>
      </w:r>
      <w:r>
        <w:rPr>
          <w:rFonts w:hint="eastAsia" w:ascii="宋体" w:hAnsi="宋体" w:cs="宋体"/>
          <w:szCs w:val="21"/>
          <w:highlight w:val="none"/>
        </w:rPr>
        <w:t>项目成交金额为200万元，采购代理服务费金额按如下计算：</w:t>
      </w:r>
    </w:p>
    <w:p>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200万元×1.7%＝3.4万元。</w:t>
      </w:r>
    </w:p>
    <w:p>
      <w:pPr>
        <w:spacing w:line="360" w:lineRule="auto"/>
        <w:ind w:firstLine="482" w:firstLineChars="200"/>
        <w:outlineLvl w:val="3"/>
        <w:rPr>
          <w:rFonts w:hint="eastAsia" w:ascii="宋体" w:hAnsi="宋体" w:cs="宋体"/>
          <w:b/>
          <w:bCs/>
          <w:sz w:val="24"/>
          <w:highlight w:val="none"/>
        </w:rPr>
      </w:pPr>
      <w:r>
        <w:rPr>
          <w:rFonts w:hint="eastAsia" w:ascii="宋体" w:hAnsi="宋体" w:cs="宋体"/>
          <w:b/>
          <w:bCs/>
          <w:sz w:val="24"/>
          <w:highlight w:val="none"/>
        </w:rPr>
        <w:t>33.需要补充的其他内容</w:t>
      </w:r>
    </w:p>
    <w:p>
      <w:pPr>
        <w:pStyle w:val="11"/>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3</w:t>
      </w:r>
      <w:r>
        <w:rPr>
          <w:rFonts w:hAnsi="宋体" w:cs="宋体"/>
          <w:kern w:val="2"/>
          <w:sz w:val="21"/>
          <w:highlight w:val="none"/>
        </w:rPr>
        <w:t>3.1</w:t>
      </w:r>
      <w:r>
        <w:rPr>
          <w:rFonts w:hint="eastAsia" w:hAnsi="宋体" w:cs="宋体"/>
          <w:kern w:val="2"/>
          <w:sz w:val="21"/>
          <w:highlight w:val="none"/>
        </w:rPr>
        <w:t>本磋商文件解释规则详见“供应商须知前附表”。</w:t>
      </w:r>
    </w:p>
    <w:p>
      <w:pPr>
        <w:pStyle w:val="11"/>
        <w:spacing w:line="360" w:lineRule="auto"/>
        <w:ind w:firstLine="420" w:firstLineChars="200"/>
        <w:textAlignment w:val="center"/>
        <w:rPr>
          <w:rFonts w:hAnsi="宋体" w:cs="宋体"/>
          <w:kern w:val="2"/>
          <w:sz w:val="21"/>
          <w:highlight w:val="none"/>
        </w:rPr>
      </w:pPr>
      <w:r>
        <w:rPr>
          <w:rFonts w:hAnsi="宋体" w:cs="宋体"/>
          <w:kern w:val="2"/>
          <w:sz w:val="21"/>
          <w:highlight w:val="none"/>
        </w:rPr>
        <w:t>33.2</w:t>
      </w:r>
      <w:r>
        <w:rPr>
          <w:rFonts w:hint="eastAsia" w:hAnsi="宋体" w:cs="宋体"/>
          <w:kern w:val="2"/>
          <w:sz w:val="21"/>
          <w:highlight w:val="none"/>
        </w:rPr>
        <w:t xml:space="preserve"> 其他事项详见“供应商须知前附表”。</w:t>
      </w:r>
    </w:p>
    <w:p>
      <w:pPr>
        <w:pStyle w:val="11"/>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3</w:t>
      </w:r>
      <w:r>
        <w:rPr>
          <w:rFonts w:hAnsi="宋体" w:cs="宋体"/>
          <w:kern w:val="2"/>
          <w:sz w:val="21"/>
          <w:highlight w:val="none"/>
        </w:rPr>
        <w:t>3.3</w:t>
      </w:r>
      <w:r>
        <w:rPr>
          <w:rFonts w:hint="eastAsia" w:hAnsi="宋体" w:cs="宋体"/>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1"/>
        <w:spacing w:line="360" w:lineRule="auto"/>
        <w:ind w:firstLine="420" w:firstLineChars="200"/>
        <w:contextualSpacing/>
        <w:rPr>
          <w:rFonts w:hint="eastAsia" w:hAnsi="宋体"/>
          <w:sz w:val="21"/>
          <w:highlight w:val="none"/>
        </w:rPr>
      </w:pPr>
      <w:r>
        <w:rPr>
          <w:rFonts w:hint="eastAsia" w:hAnsi="宋体"/>
          <w:sz w:val="21"/>
          <w:highlight w:val="none"/>
        </w:rPr>
        <w:t>（1）在货物采购项目中，货物由中小企业制造，即货物由中小企业生产且使用该中小企业商号或者注册商标，不对其中涉及的工程承建商和服务的承接商作出要求；</w:t>
      </w:r>
    </w:p>
    <w:p>
      <w:pPr>
        <w:pStyle w:val="11"/>
        <w:spacing w:line="360" w:lineRule="auto"/>
        <w:ind w:firstLine="420" w:firstLineChars="200"/>
        <w:contextualSpacing/>
        <w:rPr>
          <w:rFonts w:hint="eastAsia" w:hAnsi="宋体"/>
          <w:sz w:val="21"/>
          <w:highlight w:val="none"/>
        </w:rPr>
      </w:pPr>
      <w:r>
        <w:rPr>
          <w:rFonts w:hint="eastAsia" w:hAnsi="宋体"/>
          <w:sz w:val="21"/>
          <w:highlight w:val="none"/>
        </w:rPr>
        <w:t>（2）在工程采购项目中，工程由中小企业承建，即工程施工单位为中小企业，不对其中涉及的货物的制造商和服务的承接商作出要求；</w:t>
      </w:r>
    </w:p>
    <w:p>
      <w:pPr>
        <w:pStyle w:val="11"/>
        <w:spacing w:line="360" w:lineRule="auto"/>
        <w:ind w:firstLine="420" w:firstLineChars="200"/>
        <w:contextualSpacing/>
        <w:rPr>
          <w:rFonts w:hint="eastAsia" w:hAnsi="宋体"/>
          <w:sz w:val="21"/>
          <w:highlight w:val="none"/>
        </w:rPr>
      </w:pPr>
      <w:r>
        <w:rPr>
          <w:rFonts w:hint="eastAsia" w:hAnsi="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1"/>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11"/>
        <w:spacing w:line="360" w:lineRule="auto"/>
        <w:ind w:firstLine="420" w:firstLineChars="200"/>
        <w:textAlignment w:val="center"/>
        <w:rPr>
          <w:rFonts w:hint="eastAsia" w:hAnsi="宋体"/>
          <w:b/>
          <w:sz w:val="32"/>
          <w:szCs w:val="32"/>
          <w:highlight w:val="none"/>
        </w:rPr>
      </w:pPr>
      <w:r>
        <w:rPr>
          <w:rFonts w:hint="eastAsia" w:hAnsi="宋体" w:cs="宋体"/>
          <w:kern w:val="2"/>
          <w:sz w:val="21"/>
          <w:highlight w:val="none"/>
        </w:rPr>
        <w:t>依据本磋商文件规定享受扶持政策获得政府采购合同的，小微企业不得将合同分包给大中型企业，中型企业不得将合同分包给大型企业。</w:t>
      </w:r>
    </w:p>
    <w:p>
      <w:pPr>
        <w:pStyle w:val="3"/>
        <w:spacing w:before="0" w:after="0" w:line="360" w:lineRule="auto"/>
        <w:jc w:val="center"/>
        <w:rPr>
          <w:rFonts w:hint="eastAsia" w:ascii="宋体" w:hAnsi="宋体"/>
          <w:highlight w:val="none"/>
        </w:rPr>
      </w:pPr>
      <w:bookmarkStart w:id="63" w:name="_Toc74323458"/>
      <w:r>
        <w:rPr>
          <w:rFonts w:hint="eastAsia" w:ascii="宋体" w:hAnsi="宋体"/>
          <w:highlight w:val="none"/>
        </w:rPr>
        <w:br w:type="page"/>
      </w:r>
      <w:bookmarkStart w:id="64" w:name="_Toc19663"/>
      <w:r>
        <w:rPr>
          <w:rFonts w:hint="eastAsia" w:ascii="宋体" w:hAnsi="宋体"/>
          <w:highlight w:val="none"/>
        </w:rPr>
        <w:t>第三章 采购需求</w:t>
      </w:r>
      <w:bookmarkEnd w:id="63"/>
      <w:bookmarkEnd w:id="64"/>
    </w:p>
    <w:p>
      <w:pPr>
        <w:spacing w:line="360" w:lineRule="auto"/>
        <w:jc w:val="left"/>
        <w:rPr>
          <w:rFonts w:hint="eastAsia" w:ascii="宋体" w:hAnsi="宋体" w:cs="宋体"/>
          <w:szCs w:val="21"/>
          <w:highlight w:val="none"/>
        </w:rPr>
      </w:pPr>
      <w:r>
        <w:rPr>
          <w:rFonts w:hint="eastAsia" w:ascii="宋体" w:hAnsi="宋体" w:cs="宋体"/>
          <w:szCs w:val="21"/>
          <w:highlight w:val="none"/>
        </w:rPr>
        <w:t>说明：</w:t>
      </w:r>
    </w:p>
    <w:p>
      <w:pPr>
        <w:spacing w:line="360" w:lineRule="auto"/>
        <w:ind w:firstLine="426" w:firstLineChars="202"/>
        <w:jc w:val="left"/>
        <w:rPr>
          <w:rFonts w:hint="eastAsia" w:ascii="宋体" w:hAnsi="宋体" w:cs="宋体"/>
          <w:b/>
          <w:bCs/>
          <w:szCs w:val="21"/>
          <w:highlight w:val="none"/>
        </w:rPr>
      </w:pPr>
      <w:r>
        <w:rPr>
          <w:rFonts w:hint="eastAsia" w:ascii="宋体" w:hAnsi="宋体"/>
          <w:b/>
          <w:bCs/>
          <w:highlight w:val="none"/>
        </w:rPr>
        <w:t>1.</w:t>
      </w:r>
      <w:r>
        <w:rPr>
          <w:rFonts w:hint="eastAsia" w:ascii="宋体" w:hAnsi="宋体" w:cs="宋体"/>
          <w:b/>
          <w:bCs/>
          <w:szCs w:val="21"/>
          <w:highlight w:val="none"/>
        </w:rPr>
        <w:t>“实质性要求”是指磋商文件中已经指明不满足则响应文件按无效响应处理的条款，或者不能负偏离的条款，或者采购需求中带“▲”的条款。</w:t>
      </w:r>
    </w:p>
    <w:p>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.服务项目中伴随货物的，采购需求中出现的品牌、型号或者生产供应商仅起参考作用，不属于指定品牌、型号或者生产供应商的情形。供应商可参照或者选用其他相当的品牌、型号或者生产供应商替代。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hint="eastAsia"/>
          <w:highlight w:val="none"/>
        </w:rPr>
      </w:pPr>
      <w:r>
        <w:rPr>
          <w:rFonts w:hint="eastAsia" w:ascii="宋体" w:hAnsi="宋体" w:cs="宋体"/>
          <w:szCs w:val="21"/>
          <w:highlight w:val="none"/>
          <w:lang w:val="en-US" w:eastAsia="zh-CN"/>
        </w:rPr>
        <w:t>3</w:t>
      </w:r>
      <w:r>
        <w:rPr>
          <w:rFonts w:ascii="宋体" w:hAnsi="宋体" w:cs="宋体"/>
          <w:szCs w:val="21"/>
          <w:highlight w:val="none"/>
        </w:rPr>
        <w:t>.</w:t>
      </w:r>
      <w:r>
        <w:rPr>
          <w:highlight w:val="none"/>
        </w:rPr>
        <w:t>供应商必须自行为其磋商产品侵犯</w:t>
      </w:r>
      <w:r>
        <w:rPr>
          <w:rFonts w:hint="eastAsia"/>
          <w:highlight w:val="none"/>
        </w:rPr>
        <w:t>他人的知识产权或者专利成果的行为</w:t>
      </w:r>
      <w:r>
        <w:rPr>
          <w:highlight w:val="none"/>
        </w:rPr>
        <w:t>承担相应法律责任</w:t>
      </w:r>
      <w:r>
        <w:rPr>
          <w:rFonts w:hint="eastAsia"/>
          <w:highlight w:val="none"/>
        </w:rPr>
        <w:t>。</w:t>
      </w:r>
    </w:p>
    <w:p>
      <w:pPr>
        <w:spacing w:line="360" w:lineRule="auto"/>
        <w:ind w:firstLine="422" w:firstLineChars="200"/>
        <w:jc w:val="left"/>
        <w:rPr>
          <w:rFonts w:hint="eastAsia" w:ascii="宋体" w:hAnsi="宋体"/>
          <w:b/>
          <w:bCs/>
          <w:highlight w:val="none"/>
        </w:rPr>
      </w:pPr>
      <w:r>
        <w:rPr>
          <w:rFonts w:hint="eastAsia" w:ascii="宋体" w:hAnsi="宋体"/>
          <w:b/>
          <w:bCs/>
          <w:highlight w:val="none"/>
          <w:lang w:val="en-US" w:eastAsia="zh-CN"/>
        </w:rPr>
        <w:t>4</w:t>
      </w:r>
      <w:r>
        <w:rPr>
          <w:rFonts w:hint="eastAsia" w:ascii="宋体" w:hAnsi="宋体"/>
          <w:b/>
          <w:bCs/>
          <w:highlight w:val="none"/>
        </w:rPr>
        <w:t>.本项目标的所属行业：软件和信息技术服务业，行业划型标准为：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bl>
      <w:tblPr>
        <w:tblStyle w:val="48"/>
        <w:tblW w:w="9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643"/>
        <w:gridCol w:w="277"/>
        <w:gridCol w:w="736"/>
        <w:gridCol w:w="7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31" w:type="dxa"/>
            <w:gridSpan w:val="5"/>
            <w:noWrap w:val="0"/>
            <w:vAlign w:val="center"/>
          </w:tcPr>
          <w:p>
            <w:pPr>
              <w:tabs>
                <w:tab w:val="left" w:pos="180"/>
                <w:tab w:val="left" w:pos="1620"/>
              </w:tabs>
              <w:spacing w:line="400" w:lineRule="exact"/>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w:t>
            </w:r>
            <w:r>
              <w:rPr>
                <w:rFonts w:hint="eastAsia" w:ascii="宋体" w:hAnsi="宋体" w:cs="宋体"/>
                <w:b/>
                <w:bCs/>
                <w:szCs w:val="21"/>
                <w:highlight w:val="none"/>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27" w:type="dxa"/>
            <w:noWrap w:val="0"/>
            <w:vAlign w:val="center"/>
          </w:tcPr>
          <w:p>
            <w:pPr>
              <w:tabs>
                <w:tab w:val="left" w:pos="180"/>
                <w:tab w:val="left" w:pos="1620"/>
              </w:tabs>
              <w:spacing w:line="400" w:lineRule="exact"/>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206" w:type="dxa"/>
            <w:gridSpan w:val="2"/>
            <w:noWrap w:val="0"/>
            <w:vAlign w:val="center"/>
          </w:tcPr>
          <w:p>
            <w:pPr>
              <w:tabs>
                <w:tab w:val="left" w:pos="180"/>
                <w:tab w:val="left" w:pos="1620"/>
              </w:tabs>
              <w:spacing w:line="400" w:lineRule="exact"/>
              <w:jc w:val="center"/>
              <w:rPr>
                <w:rFonts w:hint="eastAsia" w:ascii="宋体" w:hAnsi="宋体" w:cs="宋体"/>
                <w:b/>
                <w:bCs/>
                <w:szCs w:val="21"/>
                <w:highlight w:val="none"/>
              </w:rPr>
            </w:pPr>
            <w:r>
              <w:rPr>
                <w:rFonts w:hint="eastAsia" w:ascii="宋体" w:hAnsi="宋体" w:cs="宋体"/>
                <w:b/>
                <w:bCs/>
                <w:szCs w:val="21"/>
                <w:highlight w:val="none"/>
              </w:rPr>
              <w:t>标的的名称</w:t>
            </w:r>
          </w:p>
        </w:tc>
        <w:tc>
          <w:tcPr>
            <w:tcW w:w="915" w:type="dxa"/>
            <w:noWrap w:val="0"/>
            <w:vAlign w:val="center"/>
          </w:tcPr>
          <w:p>
            <w:pPr>
              <w:tabs>
                <w:tab w:val="left" w:pos="180"/>
                <w:tab w:val="left" w:pos="1620"/>
              </w:tabs>
              <w:spacing w:line="400" w:lineRule="exact"/>
              <w:jc w:val="center"/>
              <w:rPr>
                <w:rFonts w:hint="eastAsia" w:ascii="宋体" w:hAnsi="宋体" w:cs="宋体"/>
                <w:b/>
                <w:bCs/>
                <w:szCs w:val="21"/>
                <w:highlight w:val="none"/>
              </w:rPr>
            </w:pPr>
            <w:r>
              <w:rPr>
                <w:rFonts w:hint="eastAsia" w:ascii="宋体" w:hAnsi="宋体" w:cs="宋体"/>
                <w:b/>
                <w:bCs/>
                <w:szCs w:val="21"/>
                <w:highlight w:val="none"/>
              </w:rPr>
              <w:t>数量及单位</w:t>
            </w:r>
          </w:p>
        </w:tc>
        <w:tc>
          <w:tcPr>
            <w:tcW w:w="7283" w:type="dxa"/>
            <w:noWrap w:val="0"/>
            <w:vAlign w:val="center"/>
          </w:tcPr>
          <w:p>
            <w:pPr>
              <w:tabs>
                <w:tab w:val="left" w:pos="180"/>
                <w:tab w:val="left" w:pos="1620"/>
              </w:tabs>
              <w:spacing w:line="400" w:lineRule="exact"/>
              <w:jc w:val="center"/>
              <w:rPr>
                <w:rFonts w:hint="eastAsia" w:ascii="宋体" w:hAnsi="宋体"/>
                <w:b/>
                <w:bCs/>
                <w:szCs w:val="21"/>
                <w:highlight w:val="none"/>
              </w:rPr>
            </w:pPr>
            <w:r>
              <w:rPr>
                <w:rFonts w:hint="eastAsia" w:ascii="宋体" w:hAnsi="宋体"/>
                <w:b/>
                <w:bCs/>
                <w:szCs w:val="21"/>
                <w:highlight w:val="none"/>
              </w:rPr>
              <w:t>技术（服务）要求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27" w:type="dxa"/>
            <w:noWrap w:val="0"/>
            <w:vAlign w:val="center"/>
          </w:tcPr>
          <w:p>
            <w:pPr>
              <w:tabs>
                <w:tab w:val="left" w:pos="180"/>
                <w:tab w:val="left" w:pos="1620"/>
              </w:tabs>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06" w:type="dxa"/>
            <w:gridSpan w:val="2"/>
            <w:noWrap w:val="0"/>
            <w:vAlign w:val="center"/>
          </w:tcPr>
          <w:p>
            <w:pPr>
              <w:tabs>
                <w:tab w:val="left" w:pos="180"/>
                <w:tab w:val="left" w:pos="1620"/>
              </w:tabs>
              <w:spacing w:line="40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超短波无线电监测一体化平台存储数据标准化改造</w:t>
            </w:r>
          </w:p>
        </w:tc>
        <w:tc>
          <w:tcPr>
            <w:tcW w:w="915" w:type="dxa"/>
            <w:noWrap w:val="0"/>
            <w:vAlign w:val="center"/>
          </w:tcPr>
          <w:p>
            <w:pPr>
              <w:tabs>
                <w:tab w:val="left" w:pos="180"/>
                <w:tab w:val="left" w:pos="1620"/>
              </w:tabs>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项</w:t>
            </w:r>
          </w:p>
        </w:tc>
        <w:tc>
          <w:tcPr>
            <w:tcW w:w="7283" w:type="dxa"/>
            <w:noWrap w:val="0"/>
            <w:vAlign w:val="center"/>
          </w:tcPr>
          <w:p>
            <w:pPr>
              <w:pStyle w:val="234"/>
              <w:pageBreakBefore w:val="0"/>
              <w:kinsoku/>
              <w:wordWrap/>
              <w:overflowPunct/>
              <w:topLinePunct w:val="0"/>
              <w:bidi w:val="0"/>
              <w:adjustRightInd/>
              <w:snapToGrid/>
              <w:spacing w:line="360" w:lineRule="auto"/>
              <w:ind w:firstLine="480"/>
              <w:rPr>
                <w:rFonts w:hint="eastAsia" w:ascii="宋体" w:hAnsi="宋体" w:eastAsia="宋体" w:cs="宋体"/>
                <w:b w:val="0"/>
                <w:bCs w:val="0"/>
                <w:color w:val="auto"/>
                <w:spacing w:val="-8"/>
                <w:sz w:val="18"/>
                <w:szCs w:val="18"/>
                <w:highlight w:val="none"/>
                <w:lang w:val="en-US" w:eastAsia="zh-CN"/>
              </w:rPr>
            </w:pPr>
            <w:r>
              <w:rPr>
                <w:rFonts w:hint="eastAsia" w:ascii="宋体" w:hAnsi="宋体" w:eastAsia="宋体" w:cs="宋体"/>
                <w:b w:val="0"/>
                <w:bCs w:val="0"/>
                <w:color w:val="auto"/>
                <w:spacing w:val="-8"/>
                <w:sz w:val="18"/>
                <w:szCs w:val="18"/>
                <w:highlight w:val="none"/>
                <w:lang w:val="en-US" w:eastAsia="zh-CN"/>
              </w:rPr>
              <w:t>本项目对广西壮族自治区超短波无线电监测一体化平台存储数据进行改造，系统建设包括数据资源管理子系统、数据资源调配子系统、数据存储管理子系统和系统管理子系统等四个部分。</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b/>
                <w:bCs/>
                <w:color w:val="auto"/>
                <w:spacing w:val="-8"/>
                <w:sz w:val="18"/>
                <w:szCs w:val="18"/>
                <w:highlight w:val="none"/>
                <w:lang w:val="en-US" w:eastAsia="zh-CN"/>
              </w:rPr>
            </w:pPr>
            <w:bookmarkStart w:id="65" w:name="_Toc3322"/>
            <w:r>
              <w:rPr>
                <w:rFonts w:hint="eastAsia" w:ascii="宋体" w:hAnsi="宋体" w:eastAsia="宋体" w:cs="宋体"/>
                <w:b/>
                <w:bCs/>
                <w:color w:val="auto"/>
                <w:spacing w:val="-8"/>
                <w:sz w:val="18"/>
                <w:szCs w:val="18"/>
                <w:highlight w:val="none"/>
                <w:lang w:val="en-US" w:eastAsia="zh-CN"/>
              </w:rPr>
              <w:t>1.总体架构</w:t>
            </w:r>
            <w:bookmarkEnd w:id="65"/>
          </w:p>
          <w:p>
            <w:pPr>
              <w:pStyle w:val="234"/>
              <w:pageBreakBefore w:val="0"/>
              <w:kinsoku/>
              <w:wordWrap/>
              <w:overflowPunct/>
              <w:topLinePunct w:val="0"/>
              <w:bidi w:val="0"/>
              <w:adjustRightInd/>
              <w:snapToGrid/>
              <w:spacing w:line="360" w:lineRule="auto"/>
              <w:ind w:firstLine="480"/>
              <w:rPr>
                <w:rFonts w:hint="eastAsia" w:ascii="宋体" w:hAnsi="宋体" w:eastAsia="宋体" w:cs="宋体"/>
                <w:b w:val="0"/>
                <w:bCs w:val="0"/>
                <w:color w:val="auto"/>
                <w:spacing w:val="-8"/>
                <w:sz w:val="18"/>
                <w:szCs w:val="18"/>
                <w:highlight w:val="none"/>
                <w:lang w:val="en-US" w:eastAsia="zh-CN"/>
              </w:rPr>
            </w:pPr>
            <w:r>
              <w:rPr>
                <w:rFonts w:hint="eastAsia" w:ascii="宋体" w:hAnsi="宋体" w:eastAsia="宋体" w:cs="宋体"/>
                <w:b w:val="0"/>
                <w:bCs w:val="0"/>
                <w:color w:val="auto"/>
                <w:spacing w:val="-8"/>
                <w:sz w:val="18"/>
                <w:szCs w:val="18"/>
                <w:highlight w:val="none"/>
                <w:lang w:val="en-US" w:eastAsia="zh-CN"/>
              </w:rPr>
              <w:t>根据《省级无线电管理一体化平台建设规范及技术要求（2023版）》，超短波监测数据平台是超短波监测管理一体化平台的核心组成部分，是监测网的数据底座。负责监测数据的采集、存储、处理和分析应用，实现与各应用系统异构数据库、数据资源的资源和数据整合。依托该平台，实现省级超短波监测管理一体化平台上数据层面的互联互通。总体架构如下图：</w:t>
            </w:r>
          </w:p>
          <w:p>
            <w:pPr>
              <w:pStyle w:val="234"/>
              <w:pageBreakBefore w:val="0"/>
              <w:kinsoku/>
              <w:wordWrap/>
              <w:overflowPunct/>
              <w:topLinePunct w:val="0"/>
              <w:bidi w:val="0"/>
              <w:adjustRightInd/>
              <w:snapToGrid/>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1089025</wp:posOffset>
                      </wp:positionH>
                      <wp:positionV relativeFrom="paragraph">
                        <wp:posOffset>930910</wp:posOffset>
                      </wp:positionV>
                      <wp:extent cx="3195955" cy="659130"/>
                      <wp:effectExtent l="19050" t="19050" r="23495" b="26670"/>
                      <wp:wrapNone/>
                      <wp:docPr id="1" name="矩形 1"/>
                      <wp:cNvGraphicFramePr/>
                      <a:graphic xmlns:a="http://schemas.openxmlformats.org/drawingml/2006/main">
                        <a:graphicData uri="http://schemas.microsoft.com/office/word/2010/wordprocessingShape">
                          <wps:wsp>
                            <wps:cNvSpPr/>
                            <wps:spPr>
                              <a:xfrm>
                                <a:off x="2902585" y="2619375"/>
                                <a:ext cx="3195955" cy="65913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75pt;margin-top:73.3pt;height:51.9pt;width:251.65pt;z-index:251662336;v-text-anchor:middle;mso-width-relative:page;mso-height-relative:page;" filled="f" stroked="t" coordsize="21600,21600" o:gfxdata="UEsDBAoAAAAAAIdO4kAAAAAAAAAAAAAAAAAEAAAAZHJzL1BLAwQUAAAACACHTuJAbbpdONcAAAAL&#10;AQAADwAAAGRycy9kb3ducmV2LnhtbE2PTU+EMBCG7yb+h2ZMvLkFwoIiZQ8mavQmarzO0gqEdkpo&#10;d1n/vePJvc2befJ+1LuTs+JoljB6UpBuEhCGOq9H6hV8vD/e3IIIEUmj9WQU/JgAu+byosZK+5Xe&#10;zLGNvWATChUqGGKcKylDNxiHYeNnQ/z79ovDyHLppV5wZXNnZZYkhXQ4EicMOJuHwXRTe3AKXtbM&#10;jl89vj63U/s5+fwpLe+cUtdXaXIPIppT/Ifhrz5Xh4Y77f2BdBCWdZluGeUjLwoQTBRlzmP2CrJt&#10;koNsanm+ofkFUEsDBBQAAAAIAIdO4kBCU4YCcQIAAM4EAAAOAAAAZHJzL2Uyb0RvYy54bWytVMtu&#10;2zAQvBfoPxC8N5KcKImNyIERw0WBoDGQFj3TFGUJ4KskbTn9mQK99SP6OUV/o0NKeTTtIYf6IO9q&#10;x7O7w6EvLg9Kkr1wvjO6osVRTonQ3NSd3lb044fVm3NKfGC6ZtJoUdE74enl/PWri97OxMS0RtbC&#10;EZBoP+ttRdsQ7CzLPG+FYv7IWKFRbIxTLCB126x2rAe7ktkkz0+z3rjaOsOF93i7HIp0ZHQvITRN&#10;03GxNHynhA4DqxOSBazk2856Ok/TNo3g4aZpvAhEVhSbhvREE8Sb+MzmF2y2dcy2HR9HYC8Z4dlO&#10;inUaTR+oliwwsnPdX1Sq485404QjblQ2LJIUwRZF/kyb25ZZkXaB1N4+iO7/Hy1/v1870tVwAiWa&#10;KRz4r6/ff/74RoqoTW/9DJBbu3Zj5hHGRQ+NU/EbK5BDRSfTfFKel5TcIT4tpsdn5aCtOATCATgu&#10;puW0BIADcVpOi+MkfvbIZJ0Pb4VRJAYVdTi7JCnbX/uA7oDeQ2JjbVadlOn8pCY9OpwXOY6VM5iy&#10;gRkQKovFvN5SwuQWbufBJUpvZFfHn0ci77abK+nInsEjq1WOTxwd7f6Axd5L5tsBl0ojTOpII5Lb&#10;xlGjboNSMdqY+g4qOzPYz1u+6sB2zXxYMwe/YWzcyHCDRyMNdjFjRElr3Jd/vY942ABVSnr4F3t+&#10;3jEnKJHvNAwyLU5OouFTclKeTZC4p5XN04reqSuD9WECTJfCiA/yPmycUZ9wcRexK0pMc/QeFB2T&#10;qzDcK1x9LhaLBIPJLQvX+tbySD6c22IXTNOlI31UB4LHBDZP0o9XMt6jp3lCPf4Nz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bpdONcAAAALAQAADwAAAAAAAAABACAAAAAiAAAAZHJzL2Rvd25y&#10;ZXYueG1sUEsBAhQAFAAAAAgAh07iQEJThgJxAgAAzgQAAA4AAAAAAAAAAQAgAAAAJgEAAGRycy9l&#10;Mm9Eb2MueG1sUEsFBgAAAAAGAAYAWQEAAAkGAAAAAA==&#10;">
                      <v:fill on="f" focussize="0,0"/>
                      <v:stroke weight="3pt" color="#FF0000" joinstyle="round"/>
                      <v:imagedata o:title=""/>
                      <o:lock v:ext="edit" aspectratio="f"/>
                    </v:rect>
                  </w:pict>
                </mc:Fallback>
              </mc:AlternateContent>
            </w:r>
            <w:r>
              <w:rPr>
                <w:rFonts w:hint="eastAsia" w:ascii="宋体" w:hAnsi="宋体" w:eastAsia="宋体" w:cs="宋体"/>
                <w:color w:val="auto"/>
                <w:sz w:val="18"/>
                <w:szCs w:val="18"/>
                <w:highlight w:val="none"/>
              </w:rPr>
              <w:drawing>
                <wp:inline distT="0" distB="0" distL="114300" distR="114300">
                  <wp:extent cx="4130040" cy="2857500"/>
                  <wp:effectExtent l="0" t="0" r="381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4130040" cy="2857500"/>
                          </a:xfrm>
                          <a:prstGeom prst="rect">
                            <a:avLst/>
                          </a:prstGeom>
                          <a:noFill/>
                          <a:ln>
                            <a:noFill/>
                          </a:ln>
                        </pic:spPr>
                      </pic:pic>
                    </a:graphicData>
                  </a:graphic>
                </wp:inline>
              </w:drawing>
            </w:r>
          </w:p>
          <w:p>
            <w:pPr>
              <w:pStyle w:val="10"/>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SEQ 图 \* ARABIC \s 2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超短波监测管理一体化平台</w:t>
            </w:r>
            <w:r>
              <w:rPr>
                <w:rFonts w:hint="eastAsia" w:ascii="宋体" w:hAnsi="宋体" w:eastAsia="宋体" w:cs="宋体"/>
                <w:b w:val="0"/>
                <w:bCs w:val="0"/>
                <w:color w:val="auto"/>
                <w:sz w:val="18"/>
                <w:szCs w:val="18"/>
                <w:highlight w:val="none"/>
                <w:lang w:val="en-US" w:eastAsia="zh-CN"/>
              </w:rPr>
              <w:t>总体架构</w:t>
            </w:r>
            <w:r>
              <w:rPr>
                <w:rFonts w:hint="eastAsia" w:ascii="宋体" w:hAnsi="宋体" w:eastAsia="宋体" w:cs="宋体"/>
                <w:color w:val="auto"/>
                <w:sz w:val="18"/>
                <w:szCs w:val="18"/>
                <w:highlight w:val="none"/>
                <w:lang w:val="en-US" w:eastAsia="zh-CN"/>
              </w:rPr>
              <w:t>示意图</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b/>
                <w:bCs/>
                <w:color w:val="auto"/>
                <w:spacing w:val="-8"/>
                <w:sz w:val="18"/>
                <w:szCs w:val="18"/>
                <w:highlight w:val="none"/>
                <w:lang w:val="en-US" w:eastAsia="zh-CN"/>
              </w:rPr>
            </w:pPr>
            <w:bookmarkStart w:id="66" w:name="_Toc20209"/>
            <w:r>
              <w:rPr>
                <w:rFonts w:hint="eastAsia" w:ascii="宋体" w:hAnsi="宋体" w:eastAsia="宋体" w:cs="宋体"/>
                <w:b/>
                <w:bCs/>
                <w:color w:val="auto"/>
                <w:spacing w:val="-8"/>
                <w:sz w:val="18"/>
                <w:szCs w:val="18"/>
                <w:highlight w:val="none"/>
                <w:lang w:val="en-US" w:eastAsia="zh-CN"/>
              </w:rPr>
              <w:t>2.逻辑架构</w:t>
            </w:r>
            <w:bookmarkEnd w:id="66"/>
          </w:p>
          <w:p>
            <w:pPr>
              <w:pStyle w:val="1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object>
                <v:shape id="_x0000_i1025" o:spt="75" type="#_x0000_t75" style="height:225.65pt;width:371.1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pStyle w:val="1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系统建设</w:t>
            </w:r>
            <w:r>
              <w:rPr>
                <w:rFonts w:hint="eastAsia" w:ascii="宋体" w:hAnsi="宋体" w:eastAsia="宋体" w:cs="宋体"/>
                <w:b w:val="0"/>
                <w:bCs w:val="0"/>
                <w:color w:val="auto"/>
                <w:sz w:val="18"/>
                <w:szCs w:val="18"/>
                <w:highlight w:val="none"/>
                <w:lang w:val="en-US" w:eastAsia="zh-CN"/>
              </w:rPr>
              <w:t>逻辑架构</w:t>
            </w:r>
            <w:r>
              <w:rPr>
                <w:rFonts w:hint="eastAsia" w:ascii="宋体" w:hAnsi="宋体" w:eastAsia="宋体" w:cs="宋体"/>
                <w:color w:val="auto"/>
                <w:sz w:val="18"/>
                <w:szCs w:val="18"/>
                <w:highlight w:val="none"/>
                <w:lang w:val="en-US" w:eastAsia="zh-CN"/>
              </w:rPr>
              <w:t>示意图</w:t>
            </w:r>
          </w:p>
          <w:p>
            <w:pPr>
              <w:pStyle w:val="234"/>
              <w:pageBreakBefore w:val="0"/>
              <w:tabs>
                <w:tab w:val="left" w:pos="4830"/>
              </w:tabs>
              <w:kinsoku/>
              <w:wordWrap/>
              <w:overflowPunct/>
              <w:topLinePunct w:val="0"/>
              <w:bidi w:val="0"/>
              <w:adjustRightInd/>
              <w:snapToGrid/>
              <w:spacing w:line="360" w:lineRule="auto"/>
              <w:ind w:firstLine="480"/>
              <w:rPr>
                <w:rFonts w:hint="eastAsia" w:ascii="宋体" w:hAnsi="宋体" w:eastAsia="宋体" w:cs="宋体"/>
                <w:color w:val="auto"/>
                <w:spacing w:val="-8"/>
                <w:sz w:val="18"/>
                <w:szCs w:val="18"/>
                <w:highlight w:val="none"/>
                <w:lang w:val="en-US" w:eastAsia="zh-CN"/>
              </w:rPr>
            </w:pPr>
            <w:r>
              <w:rPr>
                <w:rFonts w:hint="eastAsia" w:ascii="宋体" w:hAnsi="宋体" w:eastAsia="宋体" w:cs="宋体"/>
                <w:color w:val="auto"/>
                <w:spacing w:val="-8"/>
                <w:sz w:val="18"/>
                <w:szCs w:val="18"/>
                <w:highlight w:val="none"/>
                <w:lang w:val="en-US" w:eastAsia="zh-CN"/>
              </w:rPr>
              <w:t>本项目系统建设遵循《超短波监测管理一体化平台技术规范第4部分：监测数据平台（2024征求意见稿）》和《超短波无线电监测数据库结构技术规范（2024征求意见稿）》等基础数据规范，依托已建设的超短波监测管理一体化平台为基础建设数据监测平台，系统包括以下内容：</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8"/>
                <w:sz w:val="18"/>
                <w:szCs w:val="18"/>
                <w:highlight w:val="none"/>
                <w:lang w:val="en-US" w:eastAsia="zh-CN"/>
              </w:rPr>
            </w:pPr>
            <w:r>
              <w:rPr>
                <w:rFonts w:hint="eastAsia" w:ascii="宋体" w:hAnsi="宋体" w:eastAsia="宋体" w:cs="宋体"/>
                <w:b/>
                <w:bCs/>
                <w:color w:val="auto"/>
                <w:spacing w:val="-8"/>
                <w:sz w:val="18"/>
                <w:szCs w:val="18"/>
                <w:highlight w:val="none"/>
                <w:lang w:val="en-US" w:eastAsia="zh-CN"/>
              </w:rPr>
              <w:t>数据存储管理</w:t>
            </w:r>
            <w:r>
              <w:rPr>
                <w:rFonts w:hint="eastAsia" w:ascii="宋体" w:hAnsi="宋体" w:eastAsia="宋体" w:cs="宋体"/>
                <w:color w:val="auto"/>
                <w:spacing w:val="-8"/>
                <w:sz w:val="18"/>
                <w:szCs w:val="18"/>
                <w:highlight w:val="none"/>
                <w:lang w:val="en-US" w:eastAsia="zh-CN"/>
              </w:rPr>
              <w:t>：对存储超短波监测管理一体化平台生产的各种类型数据的存储节点进行管理。包括：数据存储节点管理、数据模型管理、数据归档管理等。支持对地市边节点和设备端节点的接入、存储配置、数据传输链进行管理监控，包括节点接入控制、算法包管理、数据传输管理等。</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8"/>
                <w:sz w:val="18"/>
                <w:szCs w:val="18"/>
                <w:highlight w:val="none"/>
                <w:lang w:val="en-US" w:eastAsia="zh-CN"/>
              </w:rPr>
            </w:pPr>
            <w:r>
              <w:rPr>
                <w:rFonts w:hint="eastAsia" w:ascii="宋体" w:hAnsi="宋体" w:eastAsia="宋体" w:cs="宋体"/>
                <w:b/>
                <w:bCs/>
                <w:color w:val="auto"/>
                <w:spacing w:val="-8"/>
                <w:sz w:val="18"/>
                <w:szCs w:val="18"/>
                <w:highlight w:val="none"/>
                <w:lang w:val="en-US" w:eastAsia="zh-CN"/>
              </w:rPr>
              <w:t>数据资源管理</w:t>
            </w:r>
            <w:r>
              <w:rPr>
                <w:rFonts w:hint="eastAsia" w:ascii="宋体" w:hAnsi="宋体" w:eastAsia="宋体" w:cs="宋体"/>
                <w:color w:val="auto"/>
                <w:spacing w:val="-8"/>
                <w:sz w:val="18"/>
                <w:szCs w:val="18"/>
                <w:highlight w:val="none"/>
                <w:lang w:val="en-US" w:eastAsia="zh-CN"/>
              </w:rPr>
              <w:t>：对规范要求的基础文件数据、管理库数据、融合后的数据、归集到的其他数据，进行统一管理与维护，可对存储节点进行策略配置与查看，通过对数据进行治理形成资产。包括数据采集、元数据、数据资源管理等。</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8"/>
                <w:sz w:val="18"/>
                <w:szCs w:val="18"/>
                <w:highlight w:val="none"/>
                <w:lang w:val="en-US" w:eastAsia="zh-CN"/>
              </w:rPr>
            </w:pPr>
            <w:r>
              <w:rPr>
                <w:rFonts w:hint="eastAsia" w:ascii="宋体" w:hAnsi="宋体" w:eastAsia="宋体" w:cs="宋体"/>
                <w:b/>
                <w:bCs/>
                <w:color w:val="auto"/>
                <w:spacing w:val="-8"/>
                <w:sz w:val="18"/>
                <w:szCs w:val="18"/>
                <w:highlight w:val="none"/>
                <w:lang w:val="en-US" w:eastAsia="zh-CN"/>
              </w:rPr>
              <w:t>数据资源调配</w:t>
            </w:r>
            <w:r>
              <w:rPr>
                <w:rFonts w:hint="eastAsia" w:ascii="宋体" w:hAnsi="宋体" w:eastAsia="宋体" w:cs="宋体"/>
                <w:color w:val="auto"/>
                <w:spacing w:val="-8"/>
                <w:sz w:val="18"/>
                <w:szCs w:val="18"/>
                <w:highlight w:val="none"/>
                <w:lang w:val="en-US" w:eastAsia="zh-CN"/>
              </w:rPr>
              <w:t>：负责监测数据平台服务调用管理，以数据服务的形式，封装原始数据、业务系统定制的处理数据、融合后的结果数据、数据应用的成果数据，按照《超短波监测管理一体化平台技术规范 第4部分：监测数据平台（2024征求意见稿）》定义的D服务提供服务，包括数据服务管理、数据交换中心、数据服务监控、服务申请记录、数据上报等。</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8"/>
                <w:sz w:val="18"/>
                <w:szCs w:val="18"/>
                <w:highlight w:val="none"/>
                <w:lang w:val="en-US" w:eastAsia="zh-CN"/>
              </w:rPr>
            </w:pPr>
            <w:r>
              <w:rPr>
                <w:rFonts w:hint="eastAsia" w:ascii="宋体" w:hAnsi="宋体" w:eastAsia="宋体" w:cs="宋体"/>
                <w:color w:val="auto"/>
                <w:spacing w:val="-8"/>
                <w:sz w:val="18"/>
                <w:szCs w:val="18"/>
                <w:highlight w:val="none"/>
                <w:lang w:val="en-US" w:eastAsia="zh-CN"/>
              </w:rPr>
              <w:t>系统管理：对整个监测数据平台系统进行统一管理，包括预警管理、权限管理、日志管理等。</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b/>
                <w:bCs/>
                <w:color w:val="auto"/>
                <w:spacing w:val="-8"/>
                <w:sz w:val="18"/>
                <w:szCs w:val="18"/>
                <w:highlight w:val="none"/>
                <w:lang w:val="en-US" w:eastAsia="zh-CN"/>
              </w:rPr>
            </w:pPr>
            <w:bookmarkStart w:id="67" w:name="_Toc17148"/>
            <w:r>
              <w:rPr>
                <w:rFonts w:hint="eastAsia" w:ascii="宋体" w:hAnsi="宋体" w:eastAsia="宋体" w:cs="宋体"/>
                <w:b/>
                <w:bCs/>
                <w:color w:val="auto"/>
                <w:spacing w:val="-8"/>
                <w:sz w:val="18"/>
                <w:szCs w:val="18"/>
                <w:highlight w:val="none"/>
                <w:lang w:val="en-US" w:eastAsia="zh-CN"/>
              </w:rPr>
              <w:t>3.应用架构</w:t>
            </w:r>
            <w:bookmarkEnd w:id="67"/>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根据广西目前超短波监测管理一体化平台的建设现状，结合网络资源条件、计算资源条件，本项目采用“云端式+分布式”的数据架构，充分发挥两个架构的优势，分别建设云中心节点、地市计算存储节点和站点端计算存储节点，具体如下：</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在已建设的大数据管理平台和基于中心节点与地市节点搭建的分布式超短波管控系统的基础上，结合固定监测站的计算存储服务能力，遵循《无线电管理一体化平台体系架构及应用规范》《超短波监测管理一体化平台技术规范》《省级无线电管理一体化平台建设规范及技术要求（2023版）》</w:t>
            </w:r>
            <w:r>
              <w:rPr>
                <w:rFonts w:hint="eastAsia" w:ascii="宋体" w:hAnsi="宋体" w:eastAsia="宋体" w:cs="宋体"/>
                <w:color w:val="auto"/>
                <w:spacing w:val="-8"/>
                <w:sz w:val="18"/>
                <w:szCs w:val="18"/>
                <w:highlight w:val="none"/>
                <w:lang w:val="en-US" w:eastAsia="zh-CN"/>
              </w:rPr>
              <w:t>《超短波无线电监测数据库结构技术规范（2024征求意见稿）》</w:t>
            </w:r>
            <w:r>
              <w:rPr>
                <w:rFonts w:hint="eastAsia" w:ascii="宋体" w:hAnsi="宋体" w:eastAsia="宋体" w:cs="宋体"/>
                <w:color w:val="auto"/>
                <w:spacing w:val="0"/>
                <w:sz w:val="18"/>
                <w:szCs w:val="18"/>
                <w:highlight w:val="none"/>
                <w:lang w:val="en-US" w:eastAsia="zh-CN"/>
              </w:rPr>
              <w:t>等标准规范要求，通过“云、边、端”的相互通信、相互协调，构建计算存储能力一体的监测数据平台，实现自治区中心节点、地市节点、站点端节点在逻辑上为一个整体。</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区中心节点：在区中心节点上包含多个文件和数据库存储节点，具备整个数据平台完整的服务应用系统，包括数据资源管理、数据资源调配、数据存储管理和系统管理等应用系统。同时对分布式平台内的数据和站点端节点的数据具备采集、处理、存储等管理操作。</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地市节点：地市节点上运行计算存储服务，提供数据处理、数据存储、数据传输等功能，与区中心云节点互联互通，上报结构化业务加工数据和原始数据描述信息，实现数据平台的分布式存储和管理能力。</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lang w:eastAsia="zh-CN"/>
              </w:rPr>
            </w:pPr>
            <w:r>
              <w:rPr>
                <w:rFonts w:hint="eastAsia" w:ascii="宋体" w:hAnsi="宋体" w:eastAsia="宋体" w:cs="宋体"/>
                <w:color w:val="auto"/>
                <w:spacing w:val="0"/>
                <w:sz w:val="18"/>
                <w:szCs w:val="18"/>
                <w:highlight w:val="none"/>
                <w:lang w:val="en-US" w:eastAsia="zh-CN"/>
              </w:rPr>
              <w:t>站点端节点：固定监测站端节点运行站点内的计算存储服务，提供数据存储、数据处理、数据传输等功能。充分发挥站点的设备计算能力，快速处理设备采集数据。与地市边节点或区中心节点互联互通，上报加工数据和原始数据描述信息，实现边缘一体的计算存储能力</w:t>
            </w:r>
            <w:r>
              <w:rPr>
                <w:rFonts w:hint="eastAsia" w:ascii="宋体" w:hAnsi="宋体" w:eastAsia="宋体" w:cs="宋体"/>
                <w:b w:val="0"/>
                <w:bCs w:val="0"/>
                <w:color w:val="auto"/>
                <w:sz w:val="18"/>
                <w:szCs w:val="18"/>
                <w:highlight w:val="none"/>
                <w:lang w:val="en-US" w:eastAsia="zh-CN"/>
              </w:rPr>
              <w:t>。</w:t>
            </w:r>
          </w:p>
          <w:p>
            <w:pPr>
              <w:pStyle w:val="234"/>
              <w:pageBreakBefore w:val="0"/>
              <w:kinsoku/>
              <w:wordWrap/>
              <w:overflowPunct/>
              <w:topLinePunct w:val="0"/>
              <w:bidi w:val="0"/>
              <w:adjustRightInd/>
              <w:snapToGrid/>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object>
                <v:shape id="_x0000_i1026" o:spt="75" type="#_x0000_t75" style="height:330.2pt;width:376.6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p>
          <w:p>
            <w:pPr>
              <w:pStyle w:val="234"/>
              <w:pageBreakBefore w:val="0"/>
              <w:kinsoku/>
              <w:wordWrap/>
              <w:overflowPunct/>
              <w:topLinePunct w:val="0"/>
              <w:bidi w:val="0"/>
              <w:adjustRightInd/>
              <w:snapToGrid/>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 xml:space="preserve"> </w:t>
            </w:r>
            <w:r>
              <w:rPr>
                <w:rFonts w:hint="eastAsia" w:ascii="宋体" w:hAnsi="宋体" w:eastAsia="宋体" w:cs="宋体"/>
                <w:b w:val="0"/>
                <w:bCs w:val="0"/>
                <w:color w:val="auto"/>
                <w:sz w:val="18"/>
                <w:szCs w:val="18"/>
                <w:highlight w:val="none"/>
                <w:lang w:val="en-US" w:eastAsia="zh-CN"/>
              </w:rPr>
              <w:t>应用架构</w:t>
            </w:r>
            <w:r>
              <w:rPr>
                <w:rFonts w:hint="eastAsia" w:ascii="宋体" w:hAnsi="宋体" w:eastAsia="宋体" w:cs="宋体"/>
                <w:color w:val="auto"/>
                <w:sz w:val="18"/>
                <w:szCs w:val="18"/>
                <w:highlight w:val="none"/>
                <w:lang w:val="en-US" w:eastAsia="zh-CN"/>
              </w:rPr>
              <w:t>示意图</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b/>
                <w:bCs/>
                <w:color w:val="auto"/>
                <w:spacing w:val="-8"/>
                <w:sz w:val="18"/>
                <w:szCs w:val="18"/>
                <w:highlight w:val="none"/>
                <w:lang w:val="en-US" w:eastAsia="zh-CN"/>
              </w:rPr>
            </w:pPr>
            <w:bookmarkStart w:id="68" w:name="_Toc22969"/>
            <w:r>
              <w:rPr>
                <w:rFonts w:hint="eastAsia" w:ascii="宋体" w:hAnsi="宋体" w:eastAsia="宋体" w:cs="宋体"/>
                <w:b/>
                <w:bCs/>
                <w:color w:val="auto"/>
                <w:spacing w:val="-8"/>
                <w:sz w:val="18"/>
                <w:szCs w:val="18"/>
                <w:highlight w:val="none"/>
                <w:lang w:val="en-US" w:eastAsia="zh-CN"/>
              </w:rPr>
              <w:t>4.功能设计</w:t>
            </w:r>
            <w:bookmarkEnd w:id="68"/>
          </w:p>
          <w:p>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4.1数据资源管理</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color w:val="auto"/>
                <w:sz w:val="18"/>
                <w:szCs w:val="18"/>
                <w:highlight w:val="none"/>
                <w:lang w:val="en-US" w:eastAsia="zh-CN"/>
              </w:rPr>
              <w:t>监测数据可分为静态数据和动态数据，其中：</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静态监测数据，包括监测机构、监测设施、配套设施、监测人员等自身固有的数据信息。</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动态监测数据的管理，包括监测原始数据、监测结果和统计数据3个子类。原始数据指通过仪表直接采集得到的频谱、I/Q等数据；监测统计数据指对监测原始数据按照不同的数据处理算法进行分析、统计操作后获取的数据；监测结果数据指基于监测原始数据、监测统计数据生成的各类监测工作结果数据，如ITU参数测量、调制识别、测向结果等。</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本平台支持的数据归集类型须不少于以下方式：</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数据表同步：实现常见数据库的同步和元数据采集能力；</w:t>
            </w:r>
          </w:p>
          <w:p>
            <w:pPr>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数据文件归集：实现对标准格式监测数据文件的上传，对其他格式监测数据的归集；</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数据流归集：将监测原始数据流转换为监测数据存储格式文件，存储监测数据平台。</w:t>
            </w:r>
          </w:p>
          <w:p>
            <w:pPr>
              <w:pageBreakBefore w:val="0"/>
              <w:numPr>
                <w:ilvl w:val="0"/>
                <w:numId w:val="11"/>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数据归集</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1）标准数据的归集</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包括实时</w:t>
            </w:r>
            <w:r>
              <w:rPr>
                <w:rFonts w:hint="eastAsia" w:ascii="宋体" w:hAnsi="宋体" w:eastAsia="宋体" w:cs="宋体"/>
                <w:bCs/>
                <w:color w:val="auto"/>
                <w:kern w:val="0"/>
                <w:sz w:val="18"/>
                <w:szCs w:val="18"/>
                <w:highlight w:val="none"/>
              </w:rPr>
              <w:t>数据归集</w:t>
            </w:r>
            <w:r>
              <w:rPr>
                <w:rFonts w:hint="eastAsia" w:ascii="宋体" w:hAnsi="宋体" w:eastAsia="宋体" w:cs="宋体"/>
                <w:bCs/>
                <w:color w:val="auto"/>
                <w:kern w:val="0"/>
                <w:sz w:val="18"/>
                <w:szCs w:val="18"/>
                <w:highlight w:val="none"/>
                <w:lang w:val="en-US" w:eastAsia="zh-CN"/>
              </w:rPr>
              <w:t>和离线数据的归集。</w:t>
            </w:r>
          </w:p>
          <w:p>
            <w:pPr>
              <w:pageBreakBefore w:val="0"/>
              <w:kinsoku/>
              <w:wordWrap/>
              <w:overflowPunct/>
              <w:topLinePunct w:val="0"/>
              <w:bidi w:val="0"/>
              <w:adjustRightInd/>
              <w:snapToGrid/>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bCs w:val="0"/>
                <w:color w:val="auto"/>
                <w:kern w:val="0"/>
                <w:sz w:val="18"/>
                <w:szCs w:val="18"/>
                <w:highlight w:val="none"/>
                <w:lang w:val="en-US" w:eastAsia="zh-CN"/>
              </w:rPr>
              <w:t>实时</w:t>
            </w:r>
            <w:r>
              <w:rPr>
                <w:rFonts w:hint="eastAsia" w:ascii="宋体" w:hAnsi="宋体" w:eastAsia="宋体" w:cs="宋体"/>
                <w:b/>
                <w:bCs w:val="0"/>
                <w:color w:val="auto"/>
                <w:kern w:val="0"/>
                <w:sz w:val="18"/>
                <w:szCs w:val="18"/>
                <w:highlight w:val="none"/>
              </w:rPr>
              <w:t>数据归集</w:t>
            </w:r>
            <w:r>
              <w:rPr>
                <w:rFonts w:hint="eastAsia" w:ascii="宋体" w:hAnsi="宋体" w:eastAsia="宋体" w:cs="宋体"/>
                <w:bCs/>
                <w:color w:val="auto"/>
                <w:kern w:val="0"/>
                <w:sz w:val="18"/>
                <w:szCs w:val="18"/>
                <w:highlight w:val="none"/>
              </w:rPr>
              <w:t>，</w:t>
            </w:r>
            <w:r>
              <w:rPr>
                <w:rFonts w:hint="eastAsia" w:ascii="宋体" w:hAnsi="宋体" w:eastAsia="宋体" w:cs="宋体"/>
                <w:bCs/>
                <w:color w:val="auto"/>
                <w:kern w:val="0"/>
                <w:sz w:val="18"/>
                <w:szCs w:val="18"/>
                <w:highlight w:val="none"/>
                <w:lang w:val="en-US" w:eastAsia="zh-CN"/>
              </w:rPr>
              <w:t>包括</w:t>
            </w:r>
            <w:r>
              <w:rPr>
                <w:rFonts w:hint="eastAsia" w:ascii="宋体" w:hAnsi="宋体" w:eastAsia="宋体" w:cs="宋体"/>
                <w:bCs/>
                <w:color w:val="auto"/>
                <w:kern w:val="0"/>
                <w:sz w:val="18"/>
                <w:szCs w:val="18"/>
                <w:highlight w:val="none"/>
              </w:rPr>
              <w:t>超短波频段监测基础数据文件，对接资源调配平台数据转发模块（包含边缘节点数据转发模块）接收数据流，将数据流转为文件存储到监测数据平台</w:t>
            </w:r>
            <w:r>
              <w:rPr>
                <w:rFonts w:hint="eastAsia" w:ascii="宋体" w:hAnsi="宋体" w:eastAsia="宋体" w:cs="宋体"/>
                <w:bCs/>
                <w:color w:val="auto"/>
                <w:kern w:val="0"/>
                <w:sz w:val="18"/>
                <w:szCs w:val="18"/>
                <w:highlight w:val="none"/>
                <w:lang w:eastAsia="zh-CN"/>
              </w:rPr>
              <w:t>多节点</w:t>
            </w:r>
            <w:r>
              <w:rPr>
                <w:rFonts w:hint="eastAsia" w:ascii="宋体" w:hAnsi="宋体" w:eastAsia="宋体" w:cs="宋体"/>
                <w:bCs/>
                <w:color w:val="auto"/>
                <w:kern w:val="0"/>
                <w:sz w:val="18"/>
                <w:szCs w:val="18"/>
                <w:highlight w:val="none"/>
              </w:rPr>
              <w:t>文件系统，更新对应信息的数据索引表；超短波监测一体化平台其他标准实时或离线数据，采用监测数据平台开放标准接口，超短波监测一体化平台中资源调配平台或其他监测应用系统主动调用接口推送实时数据。</w:t>
            </w:r>
          </w:p>
          <w:p>
            <w:pPr>
              <w:pStyle w:val="234"/>
              <w:pageBreakBefore w:val="0"/>
              <w:kinsoku/>
              <w:wordWrap/>
              <w:overflowPunct/>
              <w:topLinePunct w:val="0"/>
              <w:bidi w:val="0"/>
              <w:adjustRightInd/>
              <w:snapToGrid/>
              <w:spacing w:line="360" w:lineRule="auto"/>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object>
                <v:shape id="_x0000_i1027" o:spt="75" type="#_x0000_t75" style="height:164.3pt;width:343.3pt;" o:ole="t" filled="f" o:preferrelative="t" stroked="f" coordsize="21600,21600">
                  <v:path/>
                  <v:fill on="f" focussize="0,0"/>
                  <v:stroke on="f"/>
                  <v:imagedata r:id="rId16" cropbottom="13721f" o:title=""/>
                  <o:lock v:ext="edit" aspectratio="t"/>
                  <w10:wrap type="none"/>
                  <w10:anchorlock/>
                </v:shape>
                <o:OLEObject Type="Embed" ProgID="Visio.Drawing.11" ShapeID="_x0000_i1027" DrawAspect="Content" ObjectID="_1468075727" r:id="rId15">
                  <o:LockedField>false</o:LockedField>
                </o:OLEObject>
              </w:object>
            </w:r>
          </w:p>
          <w:p>
            <w:pPr>
              <w:pStyle w:val="1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图</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 xml:space="preserve"> </w:t>
            </w:r>
            <w:r>
              <w:rPr>
                <w:rFonts w:hint="eastAsia" w:ascii="宋体" w:hAnsi="宋体" w:eastAsia="宋体" w:cs="宋体"/>
                <w:b w:val="0"/>
                <w:bCs w:val="0"/>
                <w:color w:val="auto"/>
                <w:sz w:val="18"/>
                <w:szCs w:val="18"/>
                <w:highlight w:val="none"/>
                <w:lang w:val="en-US" w:eastAsia="zh-CN"/>
              </w:rPr>
              <w:t>监测数据在不同数据生命周期的流转关系</w:t>
            </w:r>
            <w:r>
              <w:rPr>
                <w:rFonts w:hint="eastAsia" w:ascii="宋体" w:hAnsi="宋体" w:eastAsia="宋体" w:cs="宋体"/>
                <w:color w:val="auto"/>
                <w:sz w:val="18"/>
                <w:szCs w:val="18"/>
                <w:highlight w:val="none"/>
                <w:lang w:val="en-US" w:eastAsia="zh-CN"/>
              </w:rPr>
              <w:t>示意图</w:t>
            </w:r>
          </w:p>
          <w:p>
            <w:pPr>
              <w:pageBreakBefore w:val="0"/>
              <w:kinsoku/>
              <w:wordWrap/>
              <w:overflowPunct/>
              <w:topLinePunct w:val="0"/>
              <w:bidi w:val="0"/>
              <w:adjustRightInd/>
              <w:snapToGrid/>
              <w:spacing w:line="360" w:lineRule="auto"/>
              <w:ind w:firstLine="360" w:firstLineChars="200"/>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如上图所示，</w:t>
            </w:r>
            <w:r>
              <w:rPr>
                <w:rFonts w:hint="eastAsia" w:ascii="宋体" w:hAnsi="宋体" w:eastAsia="宋体" w:cs="宋体"/>
                <w:bCs/>
                <w:color w:val="auto"/>
                <w:kern w:val="0"/>
                <w:sz w:val="18"/>
                <w:szCs w:val="18"/>
                <w:highlight w:val="none"/>
                <w:lang w:val="en-US" w:eastAsia="zh-CN"/>
              </w:rPr>
              <w:t>监</w:t>
            </w:r>
            <w:r>
              <w:rPr>
                <w:rFonts w:hint="eastAsia" w:ascii="宋体" w:hAnsi="宋体" w:eastAsia="宋体" w:cs="宋体"/>
                <w:bCs/>
                <w:color w:val="auto"/>
                <w:kern w:val="0"/>
                <w:sz w:val="18"/>
                <w:szCs w:val="18"/>
                <w:highlight w:val="none"/>
              </w:rPr>
              <w:t>测数据在不同数据生命周期的流转关系如上图所示，其各</w:t>
            </w:r>
            <w:r>
              <w:rPr>
                <w:rFonts w:hint="eastAsia" w:ascii="宋体" w:hAnsi="宋体" w:eastAsia="宋体" w:cs="宋体"/>
                <w:bCs/>
                <w:color w:val="auto"/>
                <w:kern w:val="0"/>
                <w:sz w:val="18"/>
                <w:szCs w:val="18"/>
                <w:highlight w:val="none"/>
                <w:lang w:val="en-US" w:eastAsia="zh-CN"/>
              </w:rPr>
              <w:t>环节主要要求</w:t>
            </w:r>
            <w:r>
              <w:rPr>
                <w:rFonts w:hint="eastAsia" w:ascii="宋体" w:hAnsi="宋体" w:eastAsia="宋体" w:cs="宋体"/>
                <w:bCs/>
                <w:color w:val="auto"/>
                <w:kern w:val="0"/>
                <w:sz w:val="18"/>
                <w:szCs w:val="18"/>
                <w:highlight w:val="none"/>
              </w:rPr>
              <w:t>如下：</w:t>
            </w:r>
          </w:p>
          <w:p>
            <w:pPr>
              <w:pageBreakBefore w:val="0"/>
              <w:numPr>
                <w:ilvl w:val="0"/>
                <w:numId w:val="12"/>
              </w:numPr>
              <w:kinsoku/>
              <w:wordWrap/>
              <w:overflowPunct/>
              <w:topLinePunct w:val="0"/>
              <w:autoSpaceDE/>
              <w:autoSpaceDN/>
              <w:bidi w:val="0"/>
              <w:adjustRightInd/>
              <w:snapToGrid/>
              <w:spacing w:before="60" w:beforeLines="25" w:line="360" w:lineRule="auto"/>
              <w:ind w:left="0" w:firstLine="316" w:firstLineChars="175"/>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数据采集环节：</w:t>
            </w:r>
            <w:r>
              <w:rPr>
                <w:rFonts w:hint="eastAsia" w:ascii="宋体" w:hAnsi="宋体" w:eastAsia="宋体" w:cs="宋体"/>
                <w:color w:val="auto"/>
                <w:sz w:val="18"/>
                <w:szCs w:val="18"/>
                <w:highlight w:val="none"/>
                <w:lang w:eastAsia="zh-CN"/>
              </w:rPr>
              <w:t>即设备操作服务从监测设备采集监测原始数据的过程，其数据格式不进行统一的规范性要求，由各监测接收机设备厂家自行定义。但对于设备操作服务的采集参数及参数值域，需遵守《超短波无线电监测数据采集规范》（征求意见稿）的相关规定。</w:t>
            </w:r>
          </w:p>
          <w:p>
            <w:pPr>
              <w:keepNext w:val="0"/>
              <w:keepLines w:val="0"/>
              <w:pageBreakBefore w:val="0"/>
              <w:widowControl/>
              <w:numPr>
                <w:ilvl w:val="0"/>
                <w:numId w:val="12"/>
              </w:numPr>
              <w:kinsoku/>
              <w:wordWrap/>
              <w:overflowPunct/>
              <w:topLinePunct w:val="0"/>
              <w:autoSpaceDE/>
              <w:autoSpaceDN/>
              <w:bidi w:val="0"/>
              <w:adjustRightInd/>
              <w:snapToGrid/>
              <w:spacing w:before="60" w:beforeLines="25" w:line="360" w:lineRule="auto"/>
              <w:ind w:left="0" w:leftChars="0" w:firstLine="316" w:firstLineChars="175"/>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数据传输环节：</w:t>
            </w:r>
            <w:r>
              <w:rPr>
                <w:rFonts w:hint="eastAsia" w:ascii="宋体" w:hAnsi="宋体" w:eastAsia="宋体" w:cs="宋体"/>
                <w:color w:val="auto"/>
                <w:sz w:val="18"/>
                <w:szCs w:val="18"/>
                <w:highlight w:val="none"/>
                <w:lang w:eastAsia="zh-CN"/>
              </w:rPr>
              <w:t>在数据流转过程中存在多个数据传输环节：</w:t>
            </w:r>
            <w:r>
              <w:rPr>
                <w:rFonts w:hint="eastAsia" w:ascii="宋体" w:hAnsi="宋体" w:eastAsia="宋体" w:cs="宋体"/>
                <w:b/>
                <w:bCs/>
                <w:color w:val="auto"/>
                <w:sz w:val="18"/>
                <w:szCs w:val="18"/>
                <w:highlight w:val="none"/>
                <w:lang w:eastAsia="zh-CN"/>
              </w:rPr>
              <w:t>设备操作服务采集的各类监测数据经设传输至省级无线电监测管理一体化平台的过程</w:t>
            </w:r>
            <w:r>
              <w:rPr>
                <w:rFonts w:hint="eastAsia" w:ascii="宋体" w:hAnsi="宋体" w:eastAsia="宋体" w:cs="宋体"/>
                <w:color w:val="auto"/>
                <w:sz w:val="18"/>
                <w:szCs w:val="18"/>
                <w:highlight w:val="none"/>
                <w:lang w:eastAsia="zh-CN"/>
              </w:rPr>
              <w:t>。此处涉及的监测数据种类包括监测原始数据、监测抽样数据以及监测结果数据，其中监测原始数据、监测抽样数据的数据格式应遵循《超短波监测管理一体化平台技术规范 第3部分：设备操作服务》的相关定义，监测结果数据的数据格式应遵循《超短波无线电监测数据库结构技术规范（</w:t>
            </w:r>
            <w:r>
              <w:rPr>
                <w:rFonts w:hint="eastAsia" w:ascii="宋体" w:hAnsi="宋体" w:eastAsia="宋体" w:cs="宋体"/>
                <w:color w:val="auto"/>
                <w:sz w:val="18"/>
                <w:szCs w:val="18"/>
                <w:highlight w:val="none"/>
                <w:lang w:val="en-US" w:eastAsia="zh-CN"/>
              </w:rPr>
              <w:t>征求意见稿</w:t>
            </w:r>
            <w:r>
              <w:rPr>
                <w:rFonts w:hint="eastAsia" w:ascii="宋体" w:hAnsi="宋体" w:eastAsia="宋体" w:cs="宋体"/>
                <w:color w:val="auto"/>
                <w:sz w:val="18"/>
                <w:szCs w:val="18"/>
                <w:highlight w:val="none"/>
                <w:lang w:eastAsia="zh-CN"/>
              </w:rPr>
              <w:t>）》的相关定义。</w:t>
            </w:r>
            <w:r>
              <w:rPr>
                <w:rFonts w:hint="eastAsia" w:ascii="宋体" w:hAnsi="宋体" w:eastAsia="宋体" w:cs="宋体"/>
                <w:b/>
                <w:bCs/>
                <w:color w:val="auto"/>
                <w:sz w:val="18"/>
                <w:szCs w:val="18"/>
                <w:highlight w:val="none"/>
                <w:lang w:eastAsia="zh-CN"/>
              </w:rPr>
              <w:t>站端节点与资源调配平台“②实时传输”，</w:t>
            </w:r>
            <w:r>
              <w:rPr>
                <w:rFonts w:hint="eastAsia" w:ascii="宋体" w:hAnsi="宋体" w:eastAsia="宋体" w:cs="宋体"/>
                <w:color w:val="auto"/>
                <w:sz w:val="18"/>
                <w:szCs w:val="18"/>
                <w:highlight w:val="none"/>
                <w:lang w:eastAsia="zh-CN"/>
              </w:rPr>
              <w:t>指站端生成的监测抽样数据、监测结果数据经各级通信专线传输至省级监测资源调配平台的过程，传输方式为实时传输的数据流传输，传输中使用的数据格式应遵循《超短波监测管理一体化平台技术规范 第3部分：设备操作服务》的相关定义；</w:t>
            </w:r>
            <w:r>
              <w:rPr>
                <w:rFonts w:hint="eastAsia" w:ascii="宋体" w:hAnsi="宋体" w:eastAsia="宋体" w:cs="宋体"/>
                <w:b/>
                <w:bCs/>
                <w:color w:val="auto"/>
                <w:sz w:val="18"/>
                <w:szCs w:val="18"/>
                <w:highlight w:val="none"/>
                <w:lang w:eastAsia="zh-CN"/>
              </w:rPr>
              <w:t>站端节点与监测数据平台之间的“⑦非实时传输”，</w:t>
            </w:r>
            <w:r>
              <w:rPr>
                <w:rFonts w:hint="eastAsia" w:ascii="宋体" w:hAnsi="宋体" w:eastAsia="宋体" w:cs="宋体"/>
                <w:color w:val="auto"/>
                <w:sz w:val="18"/>
                <w:szCs w:val="18"/>
                <w:highlight w:val="none"/>
                <w:lang w:eastAsia="zh-CN"/>
              </w:rPr>
              <w:t>指站端存储的监测统计数据、监测原始数据、监测原始数据片段通过各级通信专线传输至省级监测数据平台的过程，传输方式为非实时的数据文件传输，传输中使用的数据格式应遵循《超短波无线电监测数据库结构技术规范（</w:t>
            </w:r>
            <w:r>
              <w:rPr>
                <w:rFonts w:hint="eastAsia" w:ascii="宋体" w:hAnsi="宋体" w:eastAsia="宋体" w:cs="宋体"/>
                <w:color w:val="auto"/>
                <w:sz w:val="18"/>
                <w:szCs w:val="18"/>
                <w:highlight w:val="none"/>
                <w:lang w:val="en-US" w:eastAsia="zh-CN"/>
              </w:rPr>
              <w:t>征求意见稿</w:t>
            </w:r>
            <w:r>
              <w:rPr>
                <w:rFonts w:hint="eastAsia" w:ascii="宋体" w:hAnsi="宋体" w:eastAsia="宋体" w:cs="宋体"/>
                <w:color w:val="auto"/>
                <w:sz w:val="18"/>
                <w:szCs w:val="18"/>
                <w:highlight w:val="none"/>
                <w:lang w:eastAsia="zh-CN"/>
              </w:rPr>
              <w:t>）》的相关要求。</w:t>
            </w:r>
          </w:p>
          <w:p>
            <w:pPr>
              <w:keepNext w:val="0"/>
              <w:keepLines w:val="0"/>
              <w:pageBreakBefore w:val="0"/>
              <w:widowControl/>
              <w:numPr>
                <w:ilvl w:val="0"/>
                <w:numId w:val="12"/>
              </w:numPr>
              <w:kinsoku/>
              <w:wordWrap/>
              <w:overflowPunct/>
              <w:topLinePunct w:val="0"/>
              <w:autoSpaceDE/>
              <w:autoSpaceDN/>
              <w:bidi w:val="0"/>
              <w:adjustRightInd/>
              <w:snapToGrid/>
              <w:spacing w:before="60" w:beforeLines="25" w:line="360" w:lineRule="auto"/>
              <w:ind w:left="0" w:leftChars="0" w:firstLine="316" w:firstLineChars="175"/>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数据存储环节：</w:t>
            </w:r>
            <w:r>
              <w:rPr>
                <w:rFonts w:hint="eastAsia" w:ascii="宋体" w:hAnsi="宋体" w:eastAsia="宋体" w:cs="宋体"/>
                <w:color w:val="auto"/>
                <w:sz w:val="18"/>
                <w:szCs w:val="18"/>
                <w:highlight w:val="none"/>
                <w:lang w:eastAsia="zh-CN"/>
              </w:rPr>
              <w:t>在数据流转过程中的多个环节均存在数据存储操作：</w:t>
            </w:r>
            <w:r>
              <w:rPr>
                <w:rFonts w:hint="eastAsia" w:ascii="宋体" w:hAnsi="宋体" w:eastAsia="宋体" w:cs="宋体"/>
                <w:b/>
                <w:bCs/>
                <w:color w:val="auto"/>
                <w:sz w:val="18"/>
                <w:szCs w:val="18"/>
                <w:highlight w:val="none"/>
                <w:lang w:eastAsia="zh-CN"/>
              </w:rPr>
              <w:t>资源调配平台与数据平台之间的“③数据存储”，</w:t>
            </w:r>
            <w:r>
              <w:rPr>
                <w:rFonts w:hint="eastAsia" w:ascii="宋体" w:hAnsi="宋体" w:eastAsia="宋体" w:cs="宋体"/>
                <w:color w:val="auto"/>
                <w:sz w:val="18"/>
                <w:szCs w:val="18"/>
                <w:highlight w:val="none"/>
                <w:lang w:eastAsia="zh-CN"/>
              </w:rPr>
              <w:t>对传输至资源调配平台的监测原始数据、监测结果数据，按需存储至平台监测数据库；</w:t>
            </w:r>
            <w:r>
              <w:rPr>
                <w:rFonts w:hint="eastAsia" w:ascii="宋体" w:hAnsi="宋体" w:eastAsia="宋体" w:cs="宋体"/>
                <w:b/>
                <w:bCs/>
                <w:color w:val="auto"/>
                <w:sz w:val="18"/>
                <w:szCs w:val="18"/>
                <w:highlight w:val="none"/>
                <w:lang w:eastAsia="zh-CN"/>
              </w:rPr>
              <w:t>监测应用与数据平台之间的“⑤数据存储”，</w:t>
            </w:r>
            <w:r>
              <w:rPr>
                <w:rFonts w:hint="eastAsia" w:ascii="宋体" w:hAnsi="宋体" w:eastAsia="宋体" w:cs="宋体"/>
                <w:color w:val="auto"/>
                <w:sz w:val="18"/>
                <w:szCs w:val="18"/>
                <w:highlight w:val="none"/>
                <w:lang w:eastAsia="zh-CN"/>
              </w:rPr>
              <w:t>包括监测应用产生的监测结果数据、监测统计数据，按需存储至平台监测数据库；</w:t>
            </w:r>
            <w:r>
              <w:rPr>
                <w:rFonts w:hint="eastAsia" w:ascii="宋体" w:hAnsi="宋体" w:eastAsia="宋体" w:cs="宋体"/>
                <w:b/>
                <w:bCs/>
                <w:color w:val="auto"/>
                <w:sz w:val="18"/>
                <w:szCs w:val="18"/>
                <w:highlight w:val="none"/>
                <w:lang w:eastAsia="zh-CN"/>
              </w:rPr>
              <w:t xml:space="preserve"> 端节点内部的“⑥数据存储”</w:t>
            </w:r>
            <w:r>
              <w:rPr>
                <w:rFonts w:hint="eastAsia" w:ascii="宋体" w:hAnsi="宋体" w:eastAsia="宋体" w:cs="宋体"/>
                <w:color w:val="auto"/>
                <w:sz w:val="18"/>
                <w:szCs w:val="18"/>
                <w:highlight w:val="none"/>
                <w:lang w:eastAsia="zh-CN"/>
              </w:rPr>
              <w:t>，对站端部署的监测设备操作服务、监测数据</w:t>
            </w:r>
            <w:r>
              <w:rPr>
                <w:rFonts w:hint="eastAsia" w:ascii="宋体" w:hAnsi="宋体" w:eastAsia="宋体" w:cs="宋体"/>
                <w:color w:val="auto"/>
                <w:sz w:val="18"/>
                <w:szCs w:val="18"/>
                <w:highlight w:val="none"/>
                <w:lang w:val="en-US" w:eastAsia="zh-CN"/>
              </w:rPr>
              <w:t>服务</w:t>
            </w:r>
            <w:r>
              <w:rPr>
                <w:rFonts w:hint="eastAsia" w:ascii="宋体" w:hAnsi="宋体" w:eastAsia="宋体" w:cs="宋体"/>
                <w:color w:val="auto"/>
                <w:sz w:val="18"/>
                <w:szCs w:val="18"/>
                <w:highlight w:val="none"/>
                <w:lang w:eastAsia="zh-CN"/>
              </w:rPr>
              <w:t>产生的监测原始数据、监测结果数据、监测统计数据，按需存储至站端数据库；</w:t>
            </w:r>
            <w:r>
              <w:rPr>
                <w:rFonts w:hint="eastAsia" w:ascii="宋体" w:hAnsi="宋体" w:eastAsia="宋体" w:cs="宋体"/>
                <w:color w:val="auto"/>
                <w:sz w:val="18"/>
                <w:szCs w:val="18"/>
                <w:highlight w:val="none"/>
                <w:lang w:val="en-US" w:eastAsia="zh-CN"/>
              </w:rPr>
              <w:t>上述</w:t>
            </w:r>
            <w:r>
              <w:rPr>
                <w:rFonts w:hint="eastAsia" w:ascii="宋体" w:hAnsi="宋体" w:eastAsia="宋体" w:cs="宋体"/>
                <w:color w:val="auto"/>
                <w:sz w:val="18"/>
                <w:szCs w:val="18"/>
                <w:highlight w:val="none"/>
                <w:lang w:eastAsia="zh-CN"/>
              </w:rPr>
              <w:t>不同种类的监测数据，</w:t>
            </w:r>
            <w:r>
              <w:rPr>
                <w:rFonts w:hint="eastAsia" w:ascii="宋体" w:hAnsi="宋体" w:eastAsia="宋体" w:cs="宋体"/>
                <w:color w:val="auto"/>
                <w:sz w:val="18"/>
                <w:szCs w:val="18"/>
                <w:highlight w:val="none"/>
                <w:lang w:val="en-US" w:eastAsia="zh-CN"/>
              </w:rPr>
              <w:t>均</w:t>
            </w:r>
            <w:r>
              <w:rPr>
                <w:rFonts w:hint="eastAsia" w:ascii="宋体" w:hAnsi="宋体" w:eastAsia="宋体" w:cs="宋体"/>
                <w:color w:val="auto"/>
                <w:sz w:val="18"/>
                <w:szCs w:val="18"/>
                <w:highlight w:val="none"/>
                <w:lang w:eastAsia="zh-CN"/>
              </w:rPr>
              <w:t>应遵循《超短波无线电监测数据库结构技术规范（</w:t>
            </w:r>
            <w:r>
              <w:rPr>
                <w:rFonts w:hint="eastAsia" w:ascii="宋体" w:hAnsi="宋体" w:eastAsia="宋体" w:cs="宋体"/>
                <w:color w:val="auto"/>
                <w:sz w:val="18"/>
                <w:szCs w:val="18"/>
                <w:highlight w:val="none"/>
                <w:lang w:val="en-US" w:eastAsia="zh-CN"/>
              </w:rPr>
              <w:t>征求意见稿</w:t>
            </w:r>
            <w:r>
              <w:rPr>
                <w:rFonts w:hint="eastAsia" w:ascii="宋体" w:hAnsi="宋体" w:eastAsia="宋体" w:cs="宋体"/>
                <w:color w:val="auto"/>
                <w:sz w:val="18"/>
                <w:szCs w:val="18"/>
                <w:highlight w:val="none"/>
                <w:lang w:eastAsia="zh-CN"/>
              </w:rPr>
              <w:t>）》的相关定义。</w:t>
            </w:r>
          </w:p>
          <w:p>
            <w:pPr>
              <w:keepNext w:val="0"/>
              <w:keepLines w:val="0"/>
              <w:pageBreakBefore w:val="0"/>
              <w:widowControl/>
              <w:numPr>
                <w:ilvl w:val="0"/>
                <w:numId w:val="12"/>
              </w:numPr>
              <w:tabs>
                <w:tab w:val="left" w:pos="360"/>
              </w:tabs>
              <w:kinsoku/>
              <w:wordWrap/>
              <w:overflowPunct/>
              <w:topLinePunct w:val="0"/>
              <w:autoSpaceDE/>
              <w:autoSpaceDN/>
              <w:bidi w:val="0"/>
              <w:adjustRightInd/>
              <w:snapToGrid/>
              <w:spacing w:before="60" w:beforeLines="25" w:line="360" w:lineRule="auto"/>
              <w:ind w:left="0" w:leftChars="0" w:firstLine="316" w:firstLineChars="175"/>
              <w:jc w:val="lef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数据应用环节：</w:t>
            </w:r>
            <w:r>
              <w:rPr>
                <w:rFonts w:hint="eastAsia" w:ascii="宋体" w:hAnsi="宋体" w:eastAsia="宋体" w:cs="宋体"/>
                <w:b w:val="0"/>
                <w:bCs w:val="0"/>
                <w:color w:val="auto"/>
                <w:sz w:val="18"/>
                <w:szCs w:val="18"/>
                <w:highlight w:val="none"/>
                <w:lang w:eastAsia="zh-CN"/>
              </w:rPr>
              <w:t>指各种监测应用对监测数据按照不同的业务逻辑进行处理的过程，其数据格式不进行统一的规范性要求，但监测应用产生的监测结果数据，其数据格式必须遵循《超短波无线电监测数据库结构技术规范（</w:t>
            </w:r>
            <w:r>
              <w:rPr>
                <w:rFonts w:hint="eastAsia" w:ascii="宋体" w:hAnsi="宋体" w:eastAsia="宋体" w:cs="宋体"/>
                <w:b w:val="0"/>
                <w:bCs w:val="0"/>
                <w:color w:val="auto"/>
                <w:sz w:val="18"/>
                <w:szCs w:val="18"/>
                <w:highlight w:val="none"/>
                <w:lang w:val="en-US" w:eastAsia="zh-CN"/>
              </w:rPr>
              <w:t>征求意见稿</w:t>
            </w:r>
            <w:r>
              <w:rPr>
                <w:rFonts w:hint="eastAsia" w:ascii="宋体" w:hAnsi="宋体" w:eastAsia="宋体" w:cs="宋体"/>
                <w:b w:val="0"/>
                <w:bCs w:val="0"/>
                <w:color w:val="auto"/>
                <w:sz w:val="18"/>
                <w:szCs w:val="18"/>
                <w:highlight w:val="none"/>
                <w:lang w:eastAsia="zh-CN"/>
              </w:rPr>
              <w:t>）》中的相关定义。</w:t>
            </w:r>
          </w:p>
          <w:p>
            <w:pPr>
              <w:keepNext w:val="0"/>
              <w:keepLines w:val="0"/>
              <w:pageBreakBefore w:val="0"/>
              <w:kinsoku/>
              <w:wordWrap/>
              <w:overflowPunct/>
              <w:topLinePunct w:val="0"/>
              <w:autoSpaceDE/>
              <w:autoSpaceDN/>
              <w:bidi w:val="0"/>
              <w:adjustRightInd/>
              <w:snapToGrid/>
              <w:spacing w:line="360" w:lineRule="auto"/>
              <w:ind w:left="0" w:firstLine="361"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bCs w:val="0"/>
                <w:color w:val="auto"/>
                <w:kern w:val="0"/>
                <w:sz w:val="18"/>
                <w:szCs w:val="18"/>
                <w:highlight w:val="none"/>
                <w:lang w:val="en-US" w:eastAsia="zh-CN" w:bidi="ar-SA"/>
              </w:rPr>
              <w:t>离线数据的归集</w:t>
            </w:r>
            <w:r>
              <w:rPr>
                <w:rFonts w:hint="eastAsia" w:ascii="宋体" w:hAnsi="宋体" w:eastAsia="宋体" w:cs="宋体"/>
                <w:bCs/>
                <w:color w:val="auto"/>
                <w:kern w:val="0"/>
                <w:sz w:val="18"/>
                <w:szCs w:val="18"/>
                <w:highlight w:val="none"/>
                <w:lang w:val="en-US" w:eastAsia="zh-CN" w:bidi="ar-SA"/>
              </w:rPr>
              <w:t>，监测网数据库结构技术要求中规范的结构化数据离线的归集方式采用ETL抽取一体化平台数据，抽取的数据利用数据加工进行数据补全、格式转换等方式得到规范的数据。</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2）非标准数据的归集</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包括实时</w:t>
            </w:r>
            <w:r>
              <w:rPr>
                <w:rFonts w:hint="eastAsia" w:ascii="宋体" w:hAnsi="宋体" w:eastAsia="宋体" w:cs="宋体"/>
                <w:bCs/>
                <w:color w:val="auto"/>
                <w:kern w:val="0"/>
                <w:sz w:val="18"/>
                <w:szCs w:val="18"/>
                <w:highlight w:val="none"/>
              </w:rPr>
              <w:t>数据归集</w:t>
            </w:r>
            <w:r>
              <w:rPr>
                <w:rFonts w:hint="eastAsia" w:ascii="宋体" w:hAnsi="宋体" w:eastAsia="宋体" w:cs="宋体"/>
                <w:bCs/>
                <w:color w:val="auto"/>
                <w:kern w:val="0"/>
                <w:sz w:val="18"/>
                <w:szCs w:val="18"/>
                <w:highlight w:val="none"/>
                <w:lang w:val="en-US" w:eastAsia="zh-CN"/>
              </w:rPr>
              <w:t>和离线数据的归集。</w:t>
            </w:r>
          </w:p>
          <w:p>
            <w:pPr>
              <w:keepNext w:val="0"/>
              <w:keepLines w:val="0"/>
              <w:pageBreakBefore w:val="0"/>
              <w:kinsoku/>
              <w:wordWrap/>
              <w:overflowPunct/>
              <w:topLinePunct w:val="0"/>
              <w:autoSpaceDE/>
              <w:autoSpaceDN/>
              <w:bidi w:val="0"/>
              <w:adjustRightInd/>
              <w:snapToGrid/>
              <w:spacing w:line="360" w:lineRule="auto"/>
              <w:ind w:left="0" w:firstLine="361"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bCs w:val="0"/>
                <w:color w:val="auto"/>
                <w:kern w:val="0"/>
                <w:sz w:val="18"/>
                <w:szCs w:val="18"/>
                <w:highlight w:val="none"/>
                <w:lang w:val="en-US" w:eastAsia="zh-CN" w:bidi="ar-SA"/>
              </w:rPr>
              <w:t>实时数据的归集</w:t>
            </w:r>
            <w:r>
              <w:rPr>
                <w:rFonts w:hint="eastAsia" w:ascii="宋体" w:hAnsi="宋体" w:eastAsia="宋体" w:cs="宋体"/>
                <w:bCs/>
                <w:color w:val="auto"/>
                <w:kern w:val="0"/>
                <w:sz w:val="18"/>
                <w:szCs w:val="18"/>
                <w:highlight w:val="none"/>
                <w:lang w:val="en-US" w:eastAsia="zh-CN" w:bidi="ar-SA"/>
              </w:rPr>
              <w:t>，各类专项应用系统和业务系统产生的业务数据、管理数据和其他数据等非标准的实时数据，采用消息队列订阅模式归集数据。</w:t>
            </w:r>
          </w:p>
          <w:p>
            <w:pPr>
              <w:keepNext w:val="0"/>
              <w:keepLines w:val="0"/>
              <w:pageBreakBefore w:val="0"/>
              <w:kinsoku/>
              <w:wordWrap/>
              <w:overflowPunct/>
              <w:topLinePunct w:val="0"/>
              <w:autoSpaceDE/>
              <w:autoSpaceDN/>
              <w:bidi w:val="0"/>
              <w:adjustRightInd/>
              <w:snapToGrid/>
              <w:spacing w:line="360" w:lineRule="auto"/>
              <w:ind w:left="0" w:firstLine="361"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bCs w:val="0"/>
                <w:color w:val="auto"/>
                <w:kern w:val="0"/>
                <w:sz w:val="18"/>
                <w:szCs w:val="18"/>
                <w:highlight w:val="none"/>
                <w:lang w:val="en-US" w:eastAsia="zh-CN" w:bidi="ar-SA"/>
              </w:rPr>
              <w:t>离线数据的归集</w:t>
            </w:r>
            <w:r>
              <w:rPr>
                <w:rFonts w:hint="eastAsia" w:ascii="宋体" w:hAnsi="宋体" w:eastAsia="宋体" w:cs="宋体"/>
                <w:bCs/>
                <w:color w:val="auto"/>
                <w:kern w:val="0"/>
                <w:sz w:val="18"/>
                <w:szCs w:val="18"/>
                <w:highlight w:val="none"/>
                <w:lang w:val="en-US" w:eastAsia="zh-CN" w:bidi="ar-SA"/>
              </w:rPr>
              <w:t>，各类专项应用系统和业务系统产生的业务数据、管理数据和其他数据等非标准的离线数据，采用ETL或数据表同步方式进行数据归集；数据库访问受限的业务数据通过开放数据接口供监测数据平台归集数据。</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提供数据归集的信息展示和离线数据归集功能，包括归集业务系统信息、归集数据量、归集数据详细情况展示；支撑结构化数据Excel文件导入和非结构数据上传功能。</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（2）常态化采集</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平台支持配置监测网采集计划，支持站点手动/自动选择，支持自动参数配置；支持根据采集计划分配监测资源；支持监测网采集地图查看，支持以区域/站点为维度查看实时采集状态（正常/异常提示）。具体要求如下：</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应具备常态化任务管理的能力，以列表形式展示所有任务记录，支持采集任务的增删改查。常态化采集任务是以监测站视角展示，任务列表展示站点执行的采集任务，包括监测站点、任务名称、执行开始时间、执行周期、执行状态（执行中、已中断、已关闭）等。</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支持频段扫描数据采集、周期性IQ数据采集模式，支持根据站点的能力增加常态化采集的模式，如基站数据采集、ADS-B、AIS数据采集等多种模式。</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支持批量采集任务添加能力，新增任务时从监测网中可选择多个监测站点，设定采集业务频段、步进等任务参数，设置执行开始时间及时长，下发任务后列表中添加多条采集任务。</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常态化采集任务具备中断恢复的能力，当设备有优先级更高的任务时，任务停止，当设备恢复空闲，常态化采集任务恢复执行。</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可多选正在执行中的任务进行关闭操作，关闭后任务生命周期结束，后续任务不再自动恢复。</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默认展示：以采集地图的方式展示所有正在执行采集任务的站点最新采集状态及其采集频段，若站点出现采集数据异常则提供异常提示。</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b/>
                <w:bCs/>
                <w:color w:val="auto"/>
                <w:sz w:val="18"/>
                <w:szCs w:val="18"/>
                <w:highlight w:val="none"/>
                <w:lang w:val="en-US" w:eastAsia="zh-CN"/>
              </w:rPr>
            </w:pPr>
            <w:r>
              <w:rPr>
                <w:rFonts w:hint="eastAsia" w:ascii="宋体" w:hAnsi="宋体" w:eastAsia="宋体" w:cs="宋体"/>
                <w:color w:val="auto"/>
                <w:sz w:val="18"/>
                <w:szCs w:val="18"/>
                <w:highlight w:val="none"/>
                <w:lang w:val="en-US" w:eastAsia="zh-CN"/>
              </w:rPr>
              <w:t>选择指定站点，可打开新页面展示站点的数据采集情况及采集任务状态变化情况，支持查看站点的采集日历和文件连续性。</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支持单站和多站，查看站点采集时序、采集任务、采集状态等。</w:t>
            </w:r>
          </w:p>
          <w:p>
            <w:pPr>
              <w:pStyle w:val="234"/>
              <w:pageBreakBefore w:val="0"/>
              <w:numPr>
                <w:ilvl w:val="0"/>
                <w:numId w:val="0"/>
              </w:numPr>
              <w:kinsoku/>
              <w:wordWrap/>
              <w:overflowPunct/>
              <w:topLinePunct w:val="0"/>
              <w:bidi w:val="0"/>
              <w:adjustRightInd/>
              <w:snapToGrid/>
              <w:spacing w:line="360" w:lineRule="auto"/>
              <w:ind w:firstLine="420" w:firstLineChars="0"/>
              <w:rPr>
                <w:rFonts w:hint="eastAsia" w:ascii="宋体" w:hAnsi="宋体" w:eastAsia="宋体" w:cs="宋体"/>
                <w:b/>
                <w:bCs/>
                <w:color w:val="auto"/>
                <w:sz w:val="18"/>
                <w:szCs w:val="18"/>
                <w:highlight w:val="none"/>
                <w:lang w:val="en-US" w:eastAsia="zh-CN"/>
              </w:rPr>
            </w:pPr>
            <w:r>
              <w:rPr>
                <w:rFonts w:hint="eastAsia" w:ascii="宋体" w:hAnsi="宋体" w:eastAsia="宋体" w:cs="宋体"/>
                <w:color w:val="auto"/>
                <w:sz w:val="18"/>
                <w:szCs w:val="18"/>
                <w:highlight w:val="none"/>
                <w:lang w:val="en-US" w:eastAsia="zh-CN"/>
              </w:rPr>
              <w:t>常态化采集配置启动后，能够定时产生分钟频点统计数据，采集日历能通过站点的分钟频点统计文件的情况结合采集任务状态变化来反应，呈现方式包括最新状态监控、单站点状态时序监控。</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（3）元数据</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元数据是对监测数据和管理数据的描述，元数据管理是对监测原始数据、超短波监测网数据库标准数据表的元数据信息汇总，提供数据表的元信息查看。本系统建设元数据模块，将监测数据平台中的数据资产的元信息进行收集并提供对外展示功能。具体功能要求如下：</w:t>
            </w:r>
          </w:p>
          <w:p>
            <w:pPr>
              <w:keepNext w:val="0"/>
              <w:keepLines w:val="0"/>
              <w:pageBreakBefore w:val="0"/>
              <w:kinsoku/>
              <w:wordWrap/>
              <w:overflowPunct/>
              <w:topLinePunct w:val="0"/>
              <w:autoSpaceDE/>
              <w:autoSpaceDN/>
              <w:bidi w:val="0"/>
              <w:adjustRightInd/>
              <w:snapToGrid/>
              <w:spacing w:line="360" w:lineRule="auto"/>
              <w:ind w:left="0" w:firstLine="361"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
                <w:bCs w:val="0"/>
                <w:color w:val="auto"/>
                <w:kern w:val="0"/>
                <w:sz w:val="18"/>
                <w:szCs w:val="18"/>
                <w:highlight w:val="none"/>
                <w:lang w:val="en-US" w:eastAsia="zh-CN" w:bidi="ar-SA"/>
              </w:rPr>
              <w:t>支持元数据自动采集</w:t>
            </w:r>
            <w:r>
              <w:rPr>
                <w:rFonts w:hint="eastAsia" w:ascii="宋体" w:hAnsi="宋体" w:eastAsia="宋体" w:cs="宋体"/>
                <w:bCs/>
                <w:color w:val="auto"/>
                <w:kern w:val="0"/>
                <w:sz w:val="18"/>
                <w:szCs w:val="18"/>
                <w:highlight w:val="none"/>
                <w:lang w:val="en-US" w:eastAsia="zh-CN" w:bidi="ar-SA"/>
              </w:rPr>
              <w:t>，根据规范的数据字段要求，自动获取平台内表数据和文件数据的元数据提取。</w:t>
            </w:r>
          </w:p>
          <w:p>
            <w:pPr>
              <w:keepNext w:val="0"/>
              <w:keepLines w:val="0"/>
              <w:pageBreakBefore w:val="0"/>
              <w:kinsoku/>
              <w:wordWrap/>
              <w:overflowPunct/>
              <w:topLinePunct w:val="0"/>
              <w:autoSpaceDE/>
              <w:autoSpaceDN/>
              <w:bidi w:val="0"/>
              <w:adjustRightInd/>
              <w:snapToGrid/>
              <w:spacing w:line="360" w:lineRule="auto"/>
              <w:ind w:left="0" w:firstLine="361" w:firstLineChars="200"/>
              <w:textAlignment w:val="auto"/>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
                <w:bCs w:val="0"/>
                <w:color w:val="auto"/>
                <w:kern w:val="0"/>
                <w:sz w:val="18"/>
                <w:szCs w:val="18"/>
                <w:highlight w:val="none"/>
                <w:lang w:val="en-US" w:eastAsia="zh-CN" w:bidi="ar-SA"/>
              </w:rPr>
              <w:t>支持元数据展示</w:t>
            </w:r>
            <w:r>
              <w:rPr>
                <w:rFonts w:hint="eastAsia" w:ascii="宋体" w:hAnsi="宋体" w:eastAsia="宋体" w:cs="宋体"/>
                <w:bCs/>
                <w:color w:val="auto"/>
                <w:kern w:val="0"/>
                <w:sz w:val="18"/>
                <w:szCs w:val="18"/>
                <w:highlight w:val="none"/>
                <w:lang w:val="en-US" w:eastAsia="zh-CN" w:bidi="ar-SA"/>
              </w:rPr>
              <w:t>，对数据资源进行系统化记录和分类，设计对应的元数据表对数据资源进行描述，每一个元数据表就是一个资源目录项，表中包含的数据记录则是具体的数据资源。具体如下</w:t>
            </w:r>
            <w:r>
              <w:rPr>
                <w:rFonts w:hint="eastAsia" w:ascii="宋体" w:hAnsi="宋体" w:eastAsia="宋体" w:cs="宋体"/>
                <w:bCs/>
                <w:color w:val="auto"/>
                <w:kern w:val="0"/>
                <w:sz w:val="18"/>
                <w:szCs w:val="18"/>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展示</w:t>
            </w:r>
            <w:r>
              <w:rPr>
                <w:rFonts w:hint="eastAsia" w:ascii="宋体" w:hAnsi="宋体" w:eastAsia="宋体" w:cs="宋体"/>
                <w:color w:val="auto"/>
                <w:sz w:val="18"/>
                <w:szCs w:val="18"/>
                <w:highlight w:val="none"/>
                <w:lang w:eastAsia="zh-CN"/>
              </w:rPr>
              <w:t>《超短波无线电监测数据库结构技术规范（</w:t>
            </w:r>
            <w:r>
              <w:rPr>
                <w:rFonts w:hint="eastAsia" w:ascii="宋体" w:hAnsi="宋体" w:eastAsia="宋体" w:cs="宋体"/>
                <w:color w:val="auto"/>
                <w:sz w:val="18"/>
                <w:szCs w:val="18"/>
                <w:highlight w:val="none"/>
                <w:lang w:val="en-US" w:eastAsia="zh-CN"/>
              </w:rPr>
              <w:t>征求意见稿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中约束</w:t>
            </w:r>
            <w:r>
              <w:rPr>
                <w:rFonts w:hint="eastAsia" w:ascii="宋体" w:hAnsi="宋体" w:eastAsia="宋体" w:cs="宋体"/>
                <w:bCs/>
                <w:color w:val="auto"/>
                <w:kern w:val="0"/>
                <w:sz w:val="18"/>
                <w:szCs w:val="18"/>
                <w:highlight w:val="none"/>
                <w:lang w:val="en-US" w:eastAsia="zh-CN" w:bidi="ar-SA"/>
              </w:rPr>
              <w:t>的表名、数据条数、表结构、更新时间等信息进行描述，并可查看数据结构信息。包括无线电监测设施、无线电监测信号样本、频段扫描结果、电磁环境统计、排查记录、字典表、其他业务结构数据表等。</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监测原始数据：对监测原始数据的所有数据类型、数据量、所占空间大小、帧结构、产生时间等信息进行描述（具体参考《超短波无线电监测数据库结构技术规范》中存储数据索引表定义）。</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其他文件数据：对平台系统产生的业务文件数据进行展示，包括数据类型、所占空间大小、关联业务、产生时间等信息进行描述。</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（4）数据资源管理</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w:t>
            </w:r>
            <w:r>
              <w:rPr>
                <w:rFonts w:hint="eastAsia" w:ascii="宋体" w:hAnsi="宋体" w:eastAsia="宋体" w:cs="宋体"/>
                <w:bCs/>
                <w:color w:val="auto"/>
                <w:kern w:val="0"/>
                <w:sz w:val="18"/>
                <w:szCs w:val="18"/>
                <w:highlight w:val="none"/>
                <w:lang w:val="en-US" w:eastAsia="zh-CN" w:bidi="ar-SA"/>
              </w:rPr>
              <w:t>《超短波无线电监测数据库结构技术规范</w:t>
            </w:r>
            <w:r>
              <w:rPr>
                <w:rFonts w:hint="eastAsia" w:ascii="宋体" w:hAnsi="宋体" w:eastAsia="宋体" w:cs="宋体"/>
                <w:color w:val="auto"/>
                <w:sz w:val="18"/>
                <w:szCs w:val="18"/>
                <w:highlight w:val="none"/>
                <w:lang w:val="en-US" w:eastAsia="zh-CN"/>
              </w:rPr>
              <w:t>（征求意见稿）》标准规范要求，统一管理超短波监测数据成果，具体要求如下：</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数据分类是数据资产管理和数据共享的基础，系统建设须通过对相关标准规范给出的数据表结构及其关系的全面整理，清晰地梳理和管理数据资源。数据分类需结合《超短波监测管理一体化平台技术规范 第4部分：监测数据平台</w:t>
            </w:r>
            <w:r>
              <w:rPr>
                <w:rFonts w:hint="eastAsia" w:ascii="宋体" w:hAnsi="宋体" w:eastAsia="宋体" w:cs="宋体"/>
                <w:color w:val="auto"/>
                <w:sz w:val="18"/>
                <w:szCs w:val="18"/>
                <w:highlight w:val="none"/>
              </w:rPr>
              <w:t>（2024征求意见稿）</w:t>
            </w:r>
            <w:r>
              <w:rPr>
                <w:rFonts w:hint="eastAsia" w:ascii="宋体" w:hAnsi="宋体" w:eastAsia="宋体" w:cs="宋体"/>
                <w:color w:val="auto"/>
                <w:sz w:val="18"/>
                <w:szCs w:val="18"/>
                <w:highlight w:val="none"/>
                <w:lang w:val="en-US" w:eastAsia="zh-CN"/>
              </w:rPr>
              <w:t>》的数据种类与</w:t>
            </w:r>
            <w:r>
              <w:rPr>
                <w:rFonts w:hint="eastAsia" w:ascii="宋体" w:hAnsi="宋体" w:eastAsia="宋体" w:cs="宋体"/>
                <w:color w:val="auto"/>
                <w:sz w:val="18"/>
                <w:szCs w:val="18"/>
                <w:highlight w:val="none"/>
                <w:lang w:eastAsia="zh-CN"/>
              </w:rPr>
              <w:t>《超短波无线电监测数据库结构技术规范（</w:t>
            </w:r>
            <w:r>
              <w:rPr>
                <w:rFonts w:hint="eastAsia" w:ascii="宋体" w:hAnsi="宋体" w:eastAsia="宋体" w:cs="宋体"/>
                <w:color w:val="auto"/>
                <w:sz w:val="18"/>
                <w:szCs w:val="18"/>
                <w:highlight w:val="none"/>
                <w:lang w:val="en-US" w:eastAsia="zh-CN"/>
              </w:rPr>
              <w:t>征求意见稿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的数据表汇总要求，形成有效的数据管理能力。</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提供数据目录新增、修改、删除、搜索等功能，以支持对数据目录采用灵活的多级目录配置方式，对数据资源信息进行维护，形成各个存储节点之间信息资源物理分散、逻辑集中的信息统一管理，实现以目录树的形式索引数据内容，实现目录内容快速定位。</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针对文件数据，支持以列表的形式展示资产编号、资产名称、文件名称、文件类型、数据大小、写入时间等信息，支持搜索及下载功能。</w:t>
            </w:r>
          </w:p>
          <w:p>
            <w:pPr>
              <w:keepNext w:val="0"/>
              <w:keepLines w:val="0"/>
              <w:pageBreakBefore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针对数据表数据，支持以列表的形式展示资产编号、资产名称、表名、描述等信息，支持搜索功能及表属性、表数据详细信息展示功能。</w:t>
            </w:r>
          </w:p>
          <w:p>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4.2数据资源调配</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（1）数据服务管理</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为了</w:t>
            </w:r>
            <w:r>
              <w:rPr>
                <w:rFonts w:hint="eastAsia" w:ascii="宋体" w:hAnsi="宋体" w:eastAsia="宋体" w:cs="宋体"/>
                <w:color w:val="auto"/>
                <w:sz w:val="18"/>
                <w:szCs w:val="18"/>
                <w:highlight w:val="none"/>
              </w:rPr>
              <w:t>将数据资源池中数据进行开放共享应用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需将相关资源进行数据服务化改造</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以</w:t>
            </w:r>
            <w:r>
              <w:rPr>
                <w:rFonts w:hint="eastAsia" w:ascii="宋体" w:hAnsi="宋体" w:eastAsia="宋体" w:cs="宋体"/>
                <w:color w:val="auto"/>
                <w:sz w:val="18"/>
                <w:szCs w:val="18"/>
                <w:highlight w:val="none"/>
              </w:rPr>
              <w:t>提供易于使用、可靠、安全和高度可扩展的数据服务解决方案。</w:t>
            </w:r>
            <w:r>
              <w:rPr>
                <w:rFonts w:hint="eastAsia" w:ascii="宋体" w:hAnsi="宋体" w:eastAsia="宋体" w:cs="宋体"/>
                <w:color w:val="auto"/>
                <w:sz w:val="18"/>
                <w:szCs w:val="18"/>
                <w:highlight w:val="none"/>
                <w:lang w:val="en-US" w:eastAsia="zh-CN"/>
              </w:rPr>
              <w:t>系统应</w:t>
            </w:r>
            <w:r>
              <w:rPr>
                <w:rFonts w:hint="eastAsia" w:ascii="宋体" w:hAnsi="宋体" w:eastAsia="宋体" w:cs="宋体"/>
                <w:color w:val="auto"/>
                <w:sz w:val="18"/>
                <w:szCs w:val="18"/>
                <w:highlight w:val="none"/>
              </w:rPr>
              <w:t>通过提供一系列工具以向导模式配置将数据库表或数据文件生成共享服务接口。</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数据服务应按照标准规范要求内置生成监测数据服务接口，同时需支持</w:t>
            </w:r>
            <w:r>
              <w:rPr>
                <w:rFonts w:hint="eastAsia" w:ascii="宋体" w:hAnsi="宋体" w:eastAsia="宋体" w:cs="宋体"/>
                <w:color w:val="auto"/>
                <w:sz w:val="18"/>
                <w:szCs w:val="18"/>
                <w:highlight w:val="none"/>
              </w:rPr>
              <w:t>按照业务需要情况手动配置请求参数、相应参数和其他参数等参数信息，将监测数据平台里各类优质数据资产进行数据共享。</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数据服务功能支持数据接口在线开发功能，支持多种数据源接入，支持对数据进行筛选，支持在线调试并自动生成API</w:t>
            </w:r>
            <w:r>
              <w:rPr>
                <w:rFonts w:hint="eastAsia" w:ascii="宋体" w:hAnsi="宋体" w:eastAsia="宋体" w:cs="宋体"/>
                <w:color w:val="auto"/>
                <w:sz w:val="18"/>
                <w:szCs w:val="18"/>
                <w:highlight w:val="none"/>
                <w:lang w:val="en-US" w:eastAsia="zh-CN"/>
              </w:rPr>
              <w:t>参数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支持已有数据接口进行注册管理，提供在线调试，提供接口参数与接口文档在线编辑功能，支持对外部接口源进行管理。</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Hans"/>
              </w:rPr>
              <w:t>支持对文件、数据源、API进行共享配置，配置</w:t>
            </w:r>
            <w:r>
              <w:rPr>
                <w:rFonts w:hint="eastAsia" w:ascii="宋体" w:hAnsi="宋体" w:eastAsia="宋体" w:cs="宋体"/>
                <w:color w:val="auto"/>
                <w:sz w:val="18"/>
                <w:szCs w:val="18"/>
                <w:highlight w:val="none"/>
                <w:lang w:val="en-US" w:eastAsia="zh-CN"/>
              </w:rPr>
              <w:t>包括基础数据配置，共享服务配置，共享权限，申请审批，使用记录的查看。</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应提供文件共享、数据库共享、接口共享等数据服务方式，其中;</w:t>
            </w:r>
          </w:p>
          <w:p>
            <w:pPr>
              <w:pageBreakBefore w:val="0"/>
              <w:kinsoku/>
              <w:wordWrap/>
              <w:overflowPunct/>
              <w:topLinePunct w:val="0"/>
              <w:bidi w:val="0"/>
              <w:adjustRightInd/>
              <w:snapToGrid/>
              <w:spacing w:line="360" w:lineRule="auto"/>
              <w:ind w:firstLine="361" w:firstLineChars="200"/>
              <w:rPr>
                <w:rFonts w:hint="eastAsia" w:ascii="宋体" w:hAnsi="宋体" w:eastAsia="宋体" w:cs="宋体"/>
                <w:color w:val="auto"/>
                <w:sz w:val="18"/>
                <w:szCs w:val="18"/>
                <w:highlight w:val="none"/>
                <w:lang w:val="en-US" w:eastAsia="zh-Hans"/>
              </w:rPr>
            </w:pPr>
            <w:r>
              <w:rPr>
                <w:rFonts w:hint="eastAsia" w:ascii="宋体" w:hAnsi="宋体" w:eastAsia="宋体" w:cs="宋体"/>
                <w:b/>
                <w:bCs/>
                <w:color w:val="auto"/>
                <w:sz w:val="18"/>
                <w:szCs w:val="18"/>
                <w:highlight w:val="none"/>
                <w:lang w:val="en-US" w:eastAsia="zh-Hans"/>
              </w:rPr>
              <w:t>文件共享</w:t>
            </w:r>
            <w:r>
              <w:rPr>
                <w:rFonts w:hint="eastAsia" w:ascii="宋体" w:hAnsi="宋体" w:eastAsia="宋体" w:cs="宋体"/>
                <w:color w:val="auto"/>
                <w:sz w:val="18"/>
                <w:szCs w:val="18"/>
                <w:highlight w:val="none"/>
                <w:lang w:val="en-US" w:eastAsia="zh-Hans"/>
              </w:rPr>
              <w:t>：针对非结构化数据，平台将文件存入</w:t>
            </w:r>
            <w:r>
              <w:rPr>
                <w:rFonts w:hint="eastAsia" w:ascii="宋体" w:hAnsi="宋体" w:eastAsia="宋体" w:cs="宋体"/>
                <w:color w:val="auto"/>
                <w:sz w:val="18"/>
                <w:szCs w:val="18"/>
                <w:highlight w:val="none"/>
                <w:lang w:val="en-US" w:eastAsia="zh-CN"/>
              </w:rPr>
              <w:t>存储区域</w:t>
            </w:r>
            <w:r>
              <w:rPr>
                <w:rFonts w:hint="eastAsia" w:ascii="宋体" w:hAnsi="宋体" w:eastAsia="宋体" w:cs="宋体"/>
                <w:color w:val="auto"/>
                <w:sz w:val="18"/>
                <w:szCs w:val="18"/>
                <w:highlight w:val="none"/>
                <w:lang w:val="en-US" w:eastAsia="zh-Hans"/>
              </w:rPr>
              <w:t>，提供接口供使用方下载文件。</w:t>
            </w:r>
          </w:p>
          <w:p>
            <w:pPr>
              <w:pageBreakBefore w:val="0"/>
              <w:kinsoku/>
              <w:wordWrap/>
              <w:overflowPunct/>
              <w:topLinePunct w:val="0"/>
              <w:bidi w:val="0"/>
              <w:adjustRightInd/>
              <w:snapToGrid/>
              <w:spacing w:line="360" w:lineRule="auto"/>
              <w:ind w:firstLine="361" w:firstLineChars="200"/>
              <w:rPr>
                <w:rFonts w:hint="eastAsia" w:ascii="宋体" w:hAnsi="宋体" w:eastAsia="宋体" w:cs="宋体"/>
                <w:color w:val="auto"/>
                <w:sz w:val="18"/>
                <w:szCs w:val="18"/>
                <w:highlight w:val="none"/>
                <w:lang w:val="en-US" w:eastAsia="zh-Hans"/>
              </w:rPr>
            </w:pPr>
            <w:r>
              <w:rPr>
                <w:rFonts w:hint="eastAsia" w:ascii="宋体" w:hAnsi="宋体" w:eastAsia="宋体" w:cs="宋体"/>
                <w:b/>
                <w:bCs/>
                <w:color w:val="auto"/>
                <w:sz w:val="18"/>
                <w:szCs w:val="18"/>
                <w:highlight w:val="none"/>
                <w:lang w:val="en-US" w:eastAsia="zh-Hans"/>
              </w:rPr>
              <w:t>数据库共享</w:t>
            </w:r>
            <w:r>
              <w:rPr>
                <w:rFonts w:hint="eastAsia" w:ascii="宋体" w:hAnsi="宋体" w:eastAsia="宋体" w:cs="宋体"/>
                <w:color w:val="auto"/>
                <w:sz w:val="18"/>
                <w:szCs w:val="18"/>
                <w:highlight w:val="none"/>
                <w:lang w:val="en-US" w:eastAsia="zh-Hans"/>
              </w:rPr>
              <w:t>：对于结构化数据，平台可以提供数据库共享的方式供其它应用系统使用数据。</w:t>
            </w:r>
          </w:p>
          <w:p>
            <w:pPr>
              <w:pageBreakBefore w:val="0"/>
              <w:kinsoku/>
              <w:wordWrap/>
              <w:overflowPunct/>
              <w:topLinePunct w:val="0"/>
              <w:bidi w:val="0"/>
              <w:adjustRightInd/>
              <w:snapToGrid/>
              <w:spacing w:line="360" w:lineRule="auto"/>
              <w:ind w:firstLine="361"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Hans"/>
              </w:rPr>
              <w:t>接口共享</w:t>
            </w:r>
            <w:r>
              <w:rPr>
                <w:rFonts w:hint="eastAsia" w:ascii="宋体" w:hAnsi="宋体" w:eastAsia="宋体" w:cs="宋体"/>
                <w:color w:val="auto"/>
                <w:sz w:val="18"/>
                <w:szCs w:val="18"/>
                <w:highlight w:val="none"/>
                <w:lang w:val="en-US" w:eastAsia="zh-Hans"/>
              </w:rPr>
              <w:t>：对于结构化数据，允许直接访问数据的可以通过生成API的形式提供给其它应用系统使用数据。</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（2）数据交换中心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构建数据交换中心，用户可以便捷查询到业务所需的数据资源信息和申请调用数据资源池中已进行开放共享的文件和结构数据资源。支持按服务编号、服务名称等方式检索所需数据交换服务接口。对于查询到的目标数据，用户可以查看其基本信息、详细数据项、数据预览以及API接口信息等，确保数据透明度和可理解性。数据交换中心内置在线数据使用申请功能，简化数据使用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根据《超短波监测管理一体化平台技术规范 第 4 部分：监测数据平台（2024年征求意见稿）》规范中数据交换包括实现数据文件、数据表、数据流等不同形式的数据交换，主要包括标准数据服务和非标准数据服务，如下：</w:t>
            </w:r>
          </w:p>
          <w:p>
            <w:pPr>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1）标准数据服务（D服务）</w:t>
            </w:r>
          </w:p>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SEQ 图 \* ARABIC \s 2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rPr>
              <w:fldChar w:fldCharType="end"/>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color w:val="auto"/>
                <w:sz w:val="18"/>
                <w:szCs w:val="18"/>
                <w:highlight w:val="none"/>
                <w:lang w:eastAsia="zh-CN"/>
              </w:rPr>
              <w:t>元数据查询</w:t>
            </w:r>
            <w:r>
              <w:rPr>
                <w:rFonts w:hint="eastAsia" w:ascii="宋体" w:hAnsi="宋体" w:eastAsia="宋体" w:cs="宋体"/>
                <w:color w:val="auto"/>
                <w:spacing w:val="0"/>
                <w:sz w:val="18"/>
                <w:szCs w:val="18"/>
                <w:highlight w:val="none"/>
                <w:lang w:eastAsia="zh-CN"/>
              </w:rPr>
              <w:t>服</w:t>
            </w:r>
            <w:r>
              <w:rPr>
                <w:rFonts w:hint="eastAsia" w:ascii="宋体" w:hAnsi="宋体" w:eastAsia="宋体" w:cs="宋体"/>
                <w:color w:val="auto"/>
                <w:sz w:val="18"/>
                <w:szCs w:val="18"/>
                <w:highlight w:val="none"/>
                <w:lang w:eastAsia="zh-CN"/>
              </w:rPr>
              <w:t>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309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309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228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监测数据库数据源列表查询服务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监测数据库数据源详细信息查询服务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D_QueryRMDataSourceInfo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数据列表查询服务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D_GetRMTable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数据表字段查询服务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D_GetRMTableField</w:t>
                  </w:r>
                </w:p>
              </w:tc>
            </w:tr>
          </w:tbl>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 xml:space="preserve">2 </w:t>
            </w:r>
            <w:r>
              <w:rPr>
                <w:rFonts w:hint="eastAsia" w:ascii="宋体" w:hAnsi="宋体" w:eastAsia="宋体" w:cs="宋体"/>
                <w:color w:val="auto"/>
                <w:sz w:val="18"/>
                <w:szCs w:val="18"/>
                <w:highlight w:val="none"/>
                <w:lang w:eastAsia="zh-CN"/>
              </w:rPr>
              <w:t>数据目录查询服务列表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73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273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228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监测数据目录列表查询服务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D_QueryRMDataFolder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监测数据目录详细信息查询服务</w:t>
                  </w:r>
                </w:p>
              </w:tc>
              <w:tc>
                <w:tcPr>
                  <w:tcW w:w="228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D_QueryRMDataFolderInfo</w:t>
                  </w:r>
                </w:p>
              </w:tc>
            </w:tr>
          </w:tbl>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 xml:space="preserve">3 </w:t>
            </w:r>
            <w:r>
              <w:rPr>
                <w:rFonts w:hint="eastAsia" w:ascii="宋体" w:hAnsi="宋体" w:eastAsia="宋体" w:cs="宋体"/>
                <w:color w:val="auto"/>
                <w:sz w:val="18"/>
                <w:szCs w:val="18"/>
                <w:highlight w:val="none"/>
                <w:lang w:eastAsia="zh-CN"/>
              </w:rPr>
              <w:t>监测统计数据查询服务列表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309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309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237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查询监测数据库频点信息统计表</w:t>
                  </w:r>
                </w:p>
              </w:tc>
              <w:tc>
                <w:tcPr>
                  <w:tcW w:w="237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D_QueryFreqStatis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查询监测数据库电磁环境频段统计表</w:t>
                  </w:r>
                </w:p>
              </w:tc>
              <w:tc>
                <w:tcPr>
                  <w:tcW w:w="237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D_QueryEMEnvFSStatis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查询监测数据库电磁环境信号统计表</w:t>
                  </w:r>
                </w:p>
              </w:tc>
              <w:tc>
                <w:tcPr>
                  <w:tcW w:w="237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D_QueryEMEnvSignalStatis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w:t>
                  </w:r>
                </w:p>
              </w:tc>
              <w:tc>
                <w:tcPr>
                  <w:tcW w:w="309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查询监测数据库信号样本表</w:t>
                  </w:r>
                </w:p>
              </w:tc>
              <w:tc>
                <w:tcPr>
                  <w:tcW w:w="237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D_QueryDBSample</w:t>
                  </w:r>
                </w:p>
              </w:tc>
            </w:tr>
          </w:tbl>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 xml:space="preserve">4 </w:t>
            </w:r>
            <w:r>
              <w:rPr>
                <w:rFonts w:hint="eastAsia" w:ascii="宋体" w:hAnsi="宋体" w:eastAsia="宋体" w:cs="宋体"/>
                <w:color w:val="auto"/>
                <w:sz w:val="18"/>
                <w:szCs w:val="18"/>
                <w:highlight w:val="none"/>
                <w:lang w:eastAsia="zh-CN"/>
              </w:rPr>
              <w:t>监测原始文件读取服务列表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73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273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192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监测数据文件读取服务</w:t>
                  </w:r>
                </w:p>
              </w:tc>
              <w:tc>
                <w:tcPr>
                  <w:tcW w:w="192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D_ReadRMData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监测数据文件按需抽取服务</w:t>
                  </w:r>
                </w:p>
              </w:tc>
              <w:tc>
                <w:tcPr>
                  <w:tcW w:w="192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D_QueryRMDemandData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监测数据文件统计信息查询服务</w:t>
                  </w:r>
                </w:p>
              </w:tc>
              <w:tc>
                <w:tcPr>
                  <w:tcW w:w="192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D_QueryRMDataStatis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w:t>
                  </w:r>
                </w:p>
              </w:tc>
              <w:tc>
                <w:tcPr>
                  <w:tcW w:w="27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监测数据文件详细信息查询服务</w:t>
                  </w:r>
                </w:p>
              </w:tc>
              <w:tc>
                <w:tcPr>
                  <w:tcW w:w="192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D_QueryRMData</w:t>
                  </w:r>
                </w:p>
              </w:tc>
            </w:tr>
          </w:tbl>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 xml:space="preserve">5 </w:t>
            </w:r>
            <w:r>
              <w:rPr>
                <w:rFonts w:hint="eastAsia" w:ascii="宋体" w:hAnsi="宋体" w:eastAsia="宋体" w:cs="宋体"/>
                <w:color w:val="auto"/>
                <w:sz w:val="18"/>
                <w:szCs w:val="18"/>
                <w:highlight w:val="none"/>
                <w:lang w:eastAsia="zh-CN"/>
              </w:rPr>
              <w:t>数据对比查询服务列表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83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183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2106"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18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监测数据库比对查询</w:t>
                  </w:r>
                </w:p>
              </w:tc>
              <w:tc>
                <w:tcPr>
                  <w:tcW w:w="210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D_QueryDBMatchSignal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183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台站数据库比对查询</w:t>
                  </w:r>
                </w:p>
              </w:tc>
              <w:tc>
                <w:tcPr>
                  <w:tcW w:w="2106"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D_QueryDBMatchStation</w:t>
                  </w:r>
                </w:p>
              </w:tc>
            </w:tr>
          </w:tbl>
          <w:p>
            <w:pPr>
              <w:pStyle w:val="20"/>
              <w:pageBreakBefore w:val="0"/>
              <w:numPr>
                <w:ilvl w:val="0"/>
                <w:numId w:val="0"/>
              </w:numPr>
              <w:tabs>
                <w:tab w:val="left" w:pos="523"/>
              </w:tabs>
              <w:kinsoku/>
              <w:wordWrap/>
              <w:overflowPunct/>
              <w:topLinePunct w:val="0"/>
              <w:autoSpaceDE w:val="0"/>
              <w:autoSpaceDN w:val="0"/>
              <w:bidi w:val="0"/>
              <w:adjustRightInd/>
              <w:snapToGrid/>
              <w:spacing w:before="120" w:beforeLines="50" w:after="120" w:afterLines="50" w:line="360" w:lineRule="auto"/>
              <w:ind w:leftChars="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 xml:space="preserve">6 </w:t>
            </w:r>
            <w:r>
              <w:rPr>
                <w:rFonts w:hint="eastAsia" w:ascii="宋体" w:hAnsi="宋体" w:eastAsia="宋体" w:cs="宋体"/>
                <w:color w:val="auto"/>
                <w:sz w:val="18"/>
                <w:szCs w:val="18"/>
                <w:highlight w:val="none"/>
                <w:lang w:eastAsia="zh-CN"/>
              </w:rPr>
              <w:t>通用表数据查询服务列表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序号</w:t>
                  </w:r>
                </w:p>
              </w:tc>
              <w:tc>
                <w:tcPr>
                  <w:tcW w:w="2115"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ind w:left="1176"/>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服务名称</w:t>
                  </w:r>
                </w:p>
              </w:tc>
              <w:tc>
                <w:tcPr>
                  <w:tcW w:w="2115" w:type="dxa"/>
                  <w:shd w:val="clear" w:color="auto" w:fill="D8D8D8"/>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ind w:left="1176"/>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服务代码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w:t>
                  </w:r>
                </w:p>
              </w:tc>
              <w:tc>
                <w:tcPr>
                  <w:tcW w:w="2115"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查询监测设备列表</w:t>
                  </w:r>
                </w:p>
              </w:tc>
              <w:tc>
                <w:tcPr>
                  <w:tcW w:w="2115"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D_QueryDBEquipments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w:t>
                  </w:r>
                </w:p>
              </w:tc>
              <w:tc>
                <w:tcPr>
                  <w:tcW w:w="2115"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通用表查询服务</w:t>
                  </w:r>
                </w:p>
              </w:tc>
              <w:tc>
                <w:tcPr>
                  <w:tcW w:w="2115" w:type="dxa"/>
                  <w:noWrap w:val="0"/>
                  <w:vAlign w:val="top"/>
                </w:tcPr>
                <w:p>
                  <w:pPr>
                    <w:pStyle w:val="20"/>
                    <w:pageBreakBefore w:val="0"/>
                    <w:numPr>
                      <w:ilvl w:val="0"/>
                      <w:numId w:val="0"/>
                    </w:numPr>
                    <w:kinsoku/>
                    <w:wordWrap/>
                    <w:overflowPunct/>
                    <w:topLinePunct w:val="0"/>
                    <w:autoSpaceDE/>
                    <w:autoSpaceDN/>
                    <w:bidi w:val="0"/>
                    <w:adjustRightInd/>
                    <w:snapToGrid/>
                    <w:spacing w:before="0" w:after="0"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D_QueryRMTable</w:t>
                  </w:r>
                </w:p>
              </w:tc>
            </w:tr>
          </w:tbl>
          <w:p>
            <w:pPr>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2）其他数据服务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数据交换中心的另外一个数据共享交换部分则是通过数据服务功能创建自定义数据服务的共享交换。它集合了各种非规范的内数据服务。</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（3）数据服务监控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建设数据交换监控模块以快速掌握数据交换情况，确保数据交换服务的良好运行。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数据交换监控模块提供对数据服务调用监控功能，能够提供某个服务在指定天数内的调用情况，全面、实时地了解服务状态信息，便于用户掌握数据服务业务应用的具体情况，以便更好地分配资源和调整策略。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提供以列表的形式展示每个服务使用信息，包括申请单号、服务编号、服务名称、调用次数、使用业务、最近调用时间等信息，及时监控服务的使用情况。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具备查看单个服务详细使用情况的功能，包括调用总次数、成功调用次数、失败调用次数等统计功能。具备不同时间段的数据对比能力，可以分析服务调用趋势，协助用户采取措施来提高系统的稳定性和可用性。</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（4）服务申请记录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以列表展示用户申请数据交换共享服务的记录信息，包括申请编号、服务编号、服务名称、申请状态、对应的业务应用、申请时间等详细信息；具备对数据交换申请的查看、撤回和再次申请操作，查看功能可以查看服务申请的详细信息，包括申请人、审批意见、附件的上传和下载，申请的appId和secretId等信息。</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（5）数据上报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基于国家监测中心的上报要求和标准规范的数据格式要求，在保障数据准确性、数据安全性的前提下，支持国家监测数据平台按需抽取省级监测数据平台的数据或提供配置国家监测中心数据接收接口功能和选择上报数据进行一键上报功能，具体方式应与国家监测中心进行协商一致。</w:t>
            </w:r>
          </w:p>
          <w:p>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4.3数据存储管理</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lang w:val="en-US"/>
              </w:rPr>
            </w:pPr>
            <w:r>
              <w:rPr>
                <w:rFonts w:hint="eastAsia" w:ascii="宋体" w:hAnsi="宋体" w:eastAsia="宋体" w:cs="宋体"/>
                <w:bCs w:val="0"/>
                <w:color w:val="auto"/>
                <w:kern w:val="0"/>
                <w:sz w:val="18"/>
                <w:szCs w:val="18"/>
                <w:highlight w:val="none"/>
                <w:lang w:val="en-US" w:eastAsia="zh-CN"/>
              </w:rPr>
              <w:t>本项目的数据存储，需遵循</w:t>
            </w:r>
            <w:r>
              <w:rPr>
                <w:rFonts w:hint="eastAsia" w:ascii="宋体" w:hAnsi="宋体" w:eastAsia="宋体" w:cs="宋体"/>
                <w:bCs/>
                <w:color w:val="auto"/>
                <w:kern w:val="0"/>
                <w:sz w:val="18"/>
                <w:szCs w:val="18"/>
                <w:highlight w:val="none"/>
                <w:lang w:val="en-US" w:eastAsia="zh-CN" w:bidi="ar-SA"/>
              </w:rPr>
              <w:t>《超短波无线电监测数据库结构技术规范（征求意见稿）》</w:t>
            </w:r>
            <w:r>
              <w:rPr>
                <w:rFonts w:hint="eastAsia" w:ascii="宋体" w:hAnsi="宋体" w:eastAsia="宋体" w:cs="宋体"/>
                <w:bCs w:val="0"/>
                <w:color w:val="auto"/>
                <w:kern w:val="0"/>
                <w:sz w:val="18"/>
                <w:szCs w:val="18"/>
                <w:highlight w:val="none"/>
                <w:lang w:val="en-US" w:eastAsia="zh-CN"/>
              </w:rPr>
              <w:t>进行数据规范存储，支持分布式文件存储和监测数据并行计算。</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rPr>
            </w:pPr>
            <w:r>
              <w:rPr>
                <w:rFonts w:hint="eastAsia" w:ascii="宋体" w:hAnsi="宋体" w:eastAsia="宋体" w:cs="宋体"/>
                <w:bCs w:val="0"/>
                <w:color w:val="auto"/>
                <w:kern w:val="0"/>
                <w:sz w:val="18"/>
                <w:szCs w:val="18"/>
                <w:highlight w:val="none"/>
                <w:lang w:val="en-US" w:eastAsia="zh-CN"/>
              </w:rPr>
              <w:t>分布式文件存储，须</w:t>
            </w:r>
            <w:r>
              <w:rPr>
                <w:rFonts w:hint="eastAsia" w:ascii="宋体" w:hAnsi="宋体" w:eastAsia="宋体" w:cs="宋体"/>
                <w:bCs w:val="0"/>
                <w:color w:val="auto"/>
                <w:kern w:val="0"/>
                <w:sz w:val="18"/>
                <w:szCs w:val="18"/>
                <w:highlight w:val="none"/>
              </w:rPr>
              <w:t>保证系统具备较高的读写吞吐率</w:t>
            </w:r>
            <w:r>
              <w:rPr>
                <w:rFonts w:hint="eastAsia" w:ascii="宋体" w:hAnsi="宋体" w:eastAsia="宋体" w:cs="宋体"/>
                <w:bCs w:val="0"/>
                <w:color w:val="auto"/>
                <w:kern w:val="0"/>
                <w:sz w:val="18"/>
                <w:szCs w:val="18"/>
                <w:highlight w:val="none"/>
                <w:lang w:eastAsia="zh-CN"/>
              </w:rPr>
              <w:t>，</w:t>
            </w:r>
            <w:r>
              <w:rPr>
                <w:rFonts w:hint="eastAsia" w:ascii="宋体" w:hAnsi="宋体" w:eastAsia="宋体" w:cs="宋体"/>
                <w:bCs w:val="0"/>
                <w:color w:val="auto"/>
                <w:kern w:val="0"/>
                <w:sz w:val="18"/>
                <w:szCs w:val="18"/>
                <w:highlight w:val="none"/>
                <w:lang w:val="en-US" w:eastAsia="zh-CN"/>
              </w:rPr>
              <w:t>并</w:t>
            </w:r>
            <w:r>
              <w:rPr>
                <w:rFonts w:hint="eastAsia" w:ascii="宋体" w:hAnsi="宋体" w:eastAsia="宋体" w:cs="宋体"/>
                <w:bCs w:val="0"/>
                <w:color w:val="auto"/>
                <w:kern w:val="0"/>
                <w:sz w:val="18"/>
                <w:szCs w:val="18"/>
                <w:highlight w:val="none"/>
              </w:rPr>
              <w:t>考虑数据的多副本与容灾机制等。</w:t>
            </w:r>
            <w:r>
              <w:rPr>
                <w:rFonts w:hint="eastAsia" w:ascii="宋体" w:hAnsi="宋体" w:eastAsia="宋体" w:cs="宋体"/>
                <w:bCs w:val="0"/>
                <w:color w:val="auto"/>
                <w:kern w:val="0"/>
                <w:sz w:val="18"/>
                <w:szCs w:val="18"/>
                <w:highlight w:val="none"/>
                <w:lang w:val="en-US" w:eastAsia="zh-CN"/>
              </w:rPr>
              <w:t>本系统</w:t>
            </w:r>
            <w:r>
              <w:rPr>
                <w:rFonts w:hint="eastAsia" w:ascii="宋体" w:hAnsi="宋体" w:eastAsia="宋体" w:cs="宋体"/>
                <w:bCs w:val="0"/>
                <w:color w:val="auto"/>
                <w:kern w:val="0"/>
                <w:sz w:val="18"/>
                <w:szCs w:val="18"/>
                <w:highlight w:val="none"/>
              </w:rPr>
              <w:t>采用Hadoop构建分布式的大数据统一存储方法，</w:t>
            </w:r>
            <w:r>
              <w:rPr>
                <w:rFonts w:hint="eastAsia" w:ascii="宋体" w:hAnsi="宋体" w:eastAsia="宋体" w:cs="宋体"/>
                <w:bCs w:val="0"/>
                <w:color w:val="auto"/>
                <w:kern w:val="0"/>
                <w:sz w:val="18"/>
                <w:szCs w:val="18"/>
                <w:highlight w:val="none"/>
                <w:lang w:val="en-US" w:eastAsia="zh-CN"/>
              </w:rPr>
              <w:t>并</w:t>
            </w:r>
            <w:r>
              <w:rPr>
                <w:rFonts w:hint="eastAsia" w:ascii="宋体" w:hAnsi="宋体" w:eastAsia="宋体" w:cs="宋体"/>
                <w:bCs w:val="0"/>
                <w:color w:val="auto"/>
                <w:kern w:val="0"/>
                <w:sz w:val="18"/>
                <w:szCs w:val="18"/>
                <w:highlight w:val="none"/>
              </w:rPr>
              <w:t>针对频谱数据采用Hadoop分布式存储系统（HDFS）存储时全副本容错技术与存储空间的矛盾，采用基于纠删码的容错技术，有效实现数据的安全冗余存储。</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rPr>
            </w:pPr>
            <w:r>
              <w:rPr>
                <w:rFonts w:hint="eastAsia" w:ascii="宋体" w:hAnsi="宋体" w:eastAsia="宋体" w:cs="宋体"/>
                <w:bCs w:val="0"/>
                <w:color w:val="auto"/>
                <w:kern w:val="0"/>
                <w:sz w:val="18"/>
                <w:szCs w:val="18"/>
                <w:highlight w:val="none"/>
                <w:lang w:val="en-US" w:eastAsia="zh-CN"/>
              </w:rPr>
              <w:t>监测数据并行计算，</w:t>
            </w:r>
            <w:r>
              <w:rPr>
                <w:rFonts w:hint="eastAsia" w:ascii="宋体" w:hAnsi="宋体" w:eastAsia="宋体" w:cs="宋体"/>
                <w:bCs w:val="0"/>
                <w:color w:val="auto"/>
                <w:kern w:val="0"/>
                <w:sz w:val="18"/>
                <w:szCs w:val="18"/>
                <w:highlight w:val="none"/>
              </w:rPr>
              <w:t>面向离线批量处理、实时流处理等场景</w:t>
            </w:r>
            <w:r>
              <w:rPr>
                <w:rFonts w:hint="eastAsia" w:ascii="宋体" w:hAnsi="宋体" w:eastAsia="宋体" w:cs="宋体"/>
                <w:bCs w:val="0"/>
                <w:color w:val="auto"/>
                <w:kern w:val="0"/>
                <w:sz w:val="18"/>
                <w:szCs w:val="18"/>
                <w:highlight w:val="none"/>
                <w:lang w:val="en-US" w:eastAsia="zh-CN"/>
              </w:rPr>
              <w:t>提供</w:t>
            </w:r>
            <w:r>
              <w:rPr>
                <w:rFonts w:hint="eastAsia" w:ascii="宋体" w:hAnsi="宋体" w:eastAsia="宋体" w:cs="宋体"/>
                <w:bCs w:val="0"/>
                <w:color w:val="auto"/>
                <w:kern w:val="0"/>
                <w:sz w:val="18"/>
                <w:szCs w:val="18"/>
                <w:highlight w:val="none"/>
              </w:rPr>
              <w:t>Spark、Flink</w:t>
            </w:r>
            <w:r>
              <w:rPr>
                <w:rFonts w:hint="eastAsia" w:ascii="宋体" w:hAnsi="宋体" w:eastAsia="宋体" w:cs="宋体"/>
                <w:bCs w:val="0"/>
                <w:color w:val="auto"/>
                <w:kern w:val="0"/>
                <w:sz w:val="18"/>
                <w:szCs w:val="18"/>
                <w:highlight w:val="none"/>
                <w:lang w:val="en-US" w:eastAsia="zh-CN"/>
              </w:rPr>
              <w:t>等</w:t>
            </w:r>
            <w:r>
              <w:rPr>
                <w:rFonts w:hint="eastAsia" w:ascii="宋体" w:hAnsi="宋体" w:eastAsia="宋体" w:cs="宋体"/>
                <w:bCs w:val="0"/>
                <w:color w:val="auto"/>
                <w:kern w:val="0"/>
                <w:sz w:val="18"/>
                <w:szCs w:val="18"/>
                <w:highlight w:val="none"/>
              </w:rPr>
              <w:t>并行计算技术组件</w:t>
            </w:r>
            <w:r>
              <w:rPr>
                <w:rFonts w:hint="eastAsia" w:ascii="宋体" w:hAnsi="宋体" w:eastAsia="宋体" w:cs="宋体"/>
                <w:bCs w:val="0"/>
                <w:color w:val="auto"/>
                <w:kern w:val="0"/>
                <w:sz w:val="18"/>
                <w:szCs w:val="18"/>
                <w:highlight w:val="none"/>
                <w:lang w:eastAsia="zh-CN"/>
              </w:rPr>
              <w:t>，</w:t>
            </w:r>
            <w:r>
              <w:rPr>
                <w:rFonts w:hint="eastAsia" w:ascii="宋体" w:hAnsi="宋体" w:eastAsia="宋体" w:cs="宋体"/>
                <w:bCs w:val="0"/>
                <w:color w:val="auto"/>
                <w:kern w:val="0"/>
                <w:sz w:val="18"/>
                <w:szCs w:val="18"/>
                <w:highlight w:val="none"/>
              </w:rPr>
              <w:t>基于Hadoop的数据加工中间件搭建，用于对通过数据采集模块进入</w:t>
            </w:r>
            <w:r>
              <w:rPr>
                <w:rFonts w:hint="eastAsia" w:ascii="宋体" w:hAnsi="宋体" w:eastAsia="宋体" w:cs="宋体"/>
                <w:bCs w:val="0"/>
                <w:color w:val="auto"/>
                <w:kern w:val="0"/>
                <w:sz w:val="18"/>
                <w:szCs w:val="18"/>
                <w:highlight w:val="none"/>
                <w:lang w:val="en-US" w:eastAsia="zh-CN"/>
              </w:rPr>
              <w:t>监测数据平台</w:t>
            </w:r>
            <w:r>
              <w:rPr>
                <w:rFonts w:hint="eastAsia" w:ascii="宋体" w:hAnsi="宋体" w:eastAsia="宋体" w:cs="宋体"/>
                <w:bCs w:val="0"/>
                <w:color w:val="auto"/>
                <w:kern w:val="0"/>
                <w:sz w:val="18"/>
                <w:szCs w:val="18"/>
                <w:highlight w:val="none"/>
              </w:rPr>
              <w:t>的各种类型数据进行加工处理，主要分为实时计算、离线计算。在数据采集模块</w:t>
            </w:r>
            <w:r>
              <w:rPr>
                <w:rFonts w:hint="eastAsia" w:ascii="宋体" w:hAnsi="宋体" w:eastAsia="宋体" w:cs="宋体"/>
                <w:bCs w:val="0"/>
                <w:color w:val="auto"/>
                <w:kern w:val="0"/>
                <w:sz w:val="18"/>
                <w:szCs w:val="18"/>
                <w:highlight w:val="none"/>
                <w:lang w:eastAsia="zh-CN"/>
              </w:rPr>
              <w:t>前端</w:t>
            </w:r>
            <w:r>
              <w:rPr>
                <w:rFonts w:hint="eastAsia" w:ascii="宋体" w:hAnsi="宋体" w:eastAsia="宋体" w:cs="宋体"/>
                <w:bCs w:val="0"/>
                <w:color w:val="auto"/>
                <w:kern w:val="0"/>
                <w:sz w:val="18"/>
                <w:szCs w:val="18"/>
                <w:highlight w:val="none"/>
              </w:rPr>
              <w:t>进行数据清洗后，对清洗后的数据进行离线、实时的数据计算。</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lang w:val="en-US" w:eastAsia="zh-CN"/>
              </w:rPr>
            </w:pPr>
            <w:r>
              <w:rPr>
                <w:rFonts w:hint="eastAsia" w:ascii="宋体" w:hAnsi="宋体" w:eastAsia="宋体" w:cs="宋体"/>
                <w:bCs w:val="0"/>
                <w:color w:val="auto"/>
                <w:kern w:val="0"/>
                <w:sz w:val="18"/>
                <w:szCs w:val="18"/>
                <w:highlight w:val="none"/>
                <w:lang w:val="en-US" w:eastAsia="zh-CN"/>
              </w:rPr>
              <w:t>具体存储设计如下</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lang w:val="en-US" w:eastAsia="zh-CN"/>
              </w:rPr>
            </w:pPr>
            <w:r>
              <w:rPr>
                <w:rFonts w:hint="eastAsia" w:ascii="宋体" w:hAnsi="宋体" w:eastAsia="宋体" w:cs="宋体"/>
                <w:bCs w:val="0"/>
                <w:color w:val="auto"/>
                <w:kern w:val="0"/>
                <w:sz w:val="18"/>
                <w:szCs w:val="18"/>
                <w:highlight w:val="none"/>
                <w:lang w:val="en-US" w:eastAsia="zh-CN"/>
              </w:rPr>
              <w:t>1）结构数据规范存储</w:t>
            </w:r>
          </w:p>
          <w:p>
            <w:pPr>
              <w:pageBreakBefore w:val="0"/>
              <w:kinsoku/>
              <w:wordWrap/>
              <w:overflowPunct/>
              <w:topLinePunct w:val="0"/>
              <w:bidi w:val="0"/>
              <w:adjustRightInd/>
              <w:snapToGrid/>
              <w:spacing w:line="360" w:lineRule="auto"/>
              <w:ind w:firstLine="360" w:firstLineChars="200"/>
              <w:rPr>
                <w:rFonts w:hint="eastAsia" w:ascii="宋体" w:hAnsi="宋体" w:eastAsia="宋体" w:cs="宋体"/>
                <w:bCs w:val="0"/>
                <w:color w:val="auto"/>
                <w:kern w:val="0"/>
                <w:sz w:val="18"/>
                <w:szCs w:val="18"/>
                <w:highlight w:val="none"/>
              </w:rPr>
            </w:pPr>
            <w:r>
              <w:rPr>
                <w:rFonts w:hint="eastAsia" w:ascii="宋体" w:hAnsi="宋体" w:eastAsia="宋体" w:cs="宋体"/>
                <w:bCs w:val="0"/>
                <w:color w:val="auto"/>
                <w:kern w:val="0"/>
                <w:sz w:val="18"/>
                <w:szCs w:val="18"/>
                <w:highlight w:val="none"/>
                <w:lang w:val="en-US" w:eastAsia="zh-CN"/>
              </w:rPr>
              <w:t>按照</w:t>
            </w:r>
            <w:r>
              <w:rPr>
                <w:rFonts w:hint="eastAsia" w:ascii="宋体" w:hAnsi="宋体" w:eastAsia="宋体" w:cs="宋体"/>
                <w:bCs/>
                <w:color w:val="auto"/>
                <w:kern w:val="0"/>
                <w:sz w:val="18"/>
                <w:szCs w:val="18"/>
                <w:highlight w:val="none"/>
                <w:lang w:val="en-US" w:eastAsia="zh-CN" w:bidi="ar-SA"/>
              </w:rPr>
              <w:t>《超短波无线电监测数据库结构技术规范（征求意见稿）》</w:t>
            </w:r>
            <w:r>
              <w:rPr>
                <w:rFonts w:hint="eastAsia" w:ascii="宋体" w:hAnsi="宋体" w:eastAsia="宋体" w:cs="宋体"/>
                <w:bCs w:val="0"/>
                <w:color w:val="auto"/>
                <w:kern w:val="0"/>
                <w:sz w:val="18"/>
                <w:szCs w:val="18"/>
                <w:highlight w:val="none"/>
                <w:lang w:val="en-US" w:eastAsia="zh-CN"/>
              </w:rPr>
              <w:t>规范要求，</w:t>
            </w:r>
            <w:r>
              <w:rPr>
                <w:rFonts w:hint="eastAsia" w:ascii="宋体" w:hAnsi="宋体" w:eastAsia="宋体" w:cs="宋体"/>
                <w:bCs w:val="0"/>
                <w:color w:val="auto"/>
                <w:kern w:val="0"/>
                <w:sz w:val="18"/>
                <w:szCs w:val="18"/>
                <w:highlight w:val="none"/>
              </w:rPr>
              <w:t>对结构数据存储到规范定义的数据表中。具体数据表如下表所示</w:t>
            </w:r>
            <w:r>
              <w:rPr>
                <w:rFonts w:hint="eastAsia" w:ascii="宋体" w:hAnsi="宋体" w:eastAsia="宋体" w:cs="宋体"/>
                <w:bCs w:val="0"/>
                <w:color w:val="auto"/>
                <w:kern w:val="0"/>
                <w:sz w:val="18"/>
                <w:szCs w:val="18"/>
                <w:highlight w:val="none"/>
                <w:lang w:eastAsia="zh-CN"/>
              </w:rPr>
              <w:t>：</w:t>
            </w:r>
          </w:p>
          <w:tbl>
            <w:tblPr>
              <w:tblStyle w:val="48"/>
              <w:tblW w:w="0" w:type="auto"/>
              <w:tblInd w:w="91" w:type="dxa"/>
              <w:tblLayout w:type="autofit"/>
              <w:tblCellMar>
                <w:top w:w="0" w:type="dxa"/>
                <w:left w:w="108" w:type="dxa"/>
                <w:bottom w:w="0" w:type="dxa"/>
                <w:right w:w="108" w:type="dxa"/>
              </w:tblCellMar>
            </w:tblPr>
            <w:tblGrid>
              <w:gridCol w:w="886"/>
              <w:gridCol w:w="1033"/>
              <w:gridCol w:w="5161"/>
            </w:tblGrid>
            <w:tr>
              <w:tblPrEx>
                <w:tblCellMar>
                  <w:top w:w="0" w:type="dxa"/>
                  <w:left w:w="108" w:type="dxa"/>
                  <w:bottom w:w="0" w:type="dxa"/>
                  <w:right w:w="108" w:type="dxa"/>
                </w:tblCellMar>
              </w:tblPrEx>
              <w:trPr>
                <w:trHeight w:val="448" w:hRule="atLeast"/>
                <w:tblHeader/>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分类</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数据表名</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数据表描述</w:t>
                  </w:r>
                </w:p>
              </w:tc>
            </w:tr>
            <w:tr>
              <w:tblPrEx>
                <w:tblCellMar>
                  <w:top w:w="0" w:type="dxa"/>
                  <w:left w:w="108" w:type="dxa"/>
                  <w:bottom w:w="0" w:type="dxa"/>
                  <w:right w:w="108" w:type="dxa"/>
                </w:tblCellMar>
              </w:tblPrEx>
              <w:trPr>
                <w:trHeight w:val="450" w:hRule="atLeast"/>
              </w:trPr>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无线电监测设施描述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无线电监控中心表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记录行政区内全部监控中心的索引。</w:t>
                  </w:r>
                </w:p>
              </w:tc>
            </w:tr>
            <w:tr>
              <w:tblPrEx>
                <w:tblCellMar>
                  <w:top w:w="0" w:type="dxa"/>
                  <w:left w:w="108" w:type="dxa"/>
                  <w:bottom w:w="0" w:type="dxa"/>
                  <w:right w:w="108" w:type="dxa"/>
                </w:tblCellMar>
              </w:tblPrEx>
              <w:trPr>
                <w:trHeight w:val="45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无线电监测设施基本表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记录行政区内全部监测设施的索引。</w:t>
                  </w:r>
                </w:p>
              </w:tc>
            </w:tr>
            <w:tr>
              <w:tblPrEx>
                <w:tblCellMar>
                  <w:top w:w="0" w:type="dxa"/>
                  <w:left w:w="108" w:type="dxa"/>
                  <w:bottom w:w="0" w:type="dxa"/>
                  <w:right w:w="108" w:type="dxa"/>
                </w:tblCellMar>
              </w:tblPrEx>
              <w:trPr>
                <w:trHeight w:val="9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固定站信息表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记录固定站的基础信息，包括名称、位置、监测执行站类型、站址类型等信息。固定站的设备信息、天线信息在设备信息表和天线信息表中记录。</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移动监测设施信息表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记录移动监测设施的基础信息。移动监测设施的设备信息、天线信息在设备信息表和天线信息表中记录。</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可搬移监测设备信息表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记录可搬移监测设备的基础信息。可搬移监测设备的设备信息、天线信息在设备信息表和天线信息表中记录。</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管制设备信息表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记录管制设备的基本信息。包括功率、频率范围、最大实时带宽及调制方式。</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测向设备信息表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记录测向设备的基本信息。包括频率范围，工作模式、功率、侧向带宽等。</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无线电监测设备信息表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记录各类监测设施包含的监测设备信息。包括类型、制造厂商、型号、工作频率及设备数量等。</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无线电监测天线信息表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记录监测设备使用天线的基本信息。包括型号、制造厂商、极化方式、工作频率及距地面高度等。</w:t>
                  </w:r>
                </w:p>
              </w:tc>
            </w:tr>
            <w:tr>
              <w:tblPrEx>
                <w:tblCellMar>
                  <w:top w:w="0" w:type="dxa"/>
                  <w:left w:w="108" w:type="dxa"/>
                  <w:bottom w:w="0" w:type="dxa"/>
                  <w:right w:w="108" w:type="dxa"/>
                </w:tblCellMar>
              </w:tblPrEx>
              <w:trPr>
                <w:trHeight w:val="45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无线电监测设备与天线关系表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记录监测设备和天线的对照关系。</w:t>
                  </w:r>
                </w:p>
              </w:tc>
            </w:tr>
            <w:tr>
              <w:tblPrEx>
                <w:tblCellMar>
                  <w:top w:w="0" w:type="dxa"/>
                  <w:left w:w="108" w:type="dxa"/>
                  <w:bottom w:w="0" w:type="dxa"/>
                  <w:right w:w="108" w:type="dxa"/>
                </w:tblCellMar>
              </w:tblPrEx>
              <w:trPr>
                <w:trHeight w:val="78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资料管理描述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资料管理表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记录监测任务相关的文档资料，包括文档记录人，资料描述，资料内容（图片，音视频文件），备注信息等资料。</w:t>
                  </w:r>
                </w:p>
              </w:tc>
            </w:tr>
            <w:tr>
              <w:tblPrEx>
                <w:tblCellMar>
                  <w:top w:w="0" w:type="dxa"/>
                  <w:left w:w="108" w:type="dxa"/>
                  <w:bottom w:w="0" w:type="dxa"/>
                  <w:right w:w="108" w:type="dxa"/>
                </w:tblCellMar>
              </w:tblPrEx>
              <w:trPr>
                <w:trHeight w:val="78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任务管理描述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任务管理表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记录任务的起始时间，结束时间，任务联系人，执行人，任务执行状态，任务编号等信息。</w:t>
                  </w:r>
                </w:p>
              </w:tc>
            </w:tr>
            <w:tr>
              <w:tblPrEx>
                <w:tblCellMar>
                  <w:top w:w="0" w:type="dxa"/>
                  <w:left w:w="108" w:type="dxa"/>
                  <w:bottom w:w="0" w:type="dxa"/>
                  <w:right w:w="108" w:type="dxa"/>
                </w:tblCellMar>
              </w:tblPrEx>
              <w:trPr>
                <w:trHeight w:val="1110" w:hRule="atLeast"/>
              </w:trPr>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无线电监测信号样本描述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无线电监测设施信号模板表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记录无线电监测设施在不同监测地点监测的信号样本。同一监测设施监测地点不同，建立不同的信号模板；信号模板按频率完成信号样本的记录。</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监测设施监测信号样本表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记录监测信号在时域、频域、空域、调制域的特性，建立监测数据和台站数据的关联关系，掌握信号性质和发射规律。</w:t>
                  </w:r>
                </w:p>
              </w:tc>
            </w:tr>
            <w:tr>
              <w:tblPrEx>
                <w:tblCellMar>
                  <w:top w:w="0" w:type="dxa"/>
                  <w:left w:w="108" w:type="dxa"/>
                  <w:bottom w:w="0" w:type="dxa"/>
                  <w:right w:w="108" w:type="dxa"/>
                </w:tblCellMar>
              </w:tblPrEx>
              <w:trPr>
                <w:trHeight w:val="144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监测设施监测信号样本行政参数</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记录信号样本的台站数据主要技术参数。包括设台单位名称、台站发射经度、台站发射纬度、台站名称、台站地址、设台申请表号、技术资料表号等。通过设台申请表号和技术资料表号可以获取详细的台站信息。</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监控中心监测信号样本表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记录监控中心区域内的监测信号样本信息。监控中心通过将区域内监测设施的监测信号样本进行融合处理，建立监控中心监测信号样本。</w:t>
                  </w:r>
                </w:p>
              </w:tc>
            </w:tr>
            <w:tr>
              <w:tblPrEx>
                <w:tblCellMar>
                  <w:top w:w="0" w:type="dxa"/>
                  <w:left w:w="108" w:type="dxa"/>
                  <w:bottom w:w="0" w:type="dxa"/>
                  <w:right w:w="108" w:type="dxa"/>
                </w:tblCellMar>
              </w:tblPrEx>
              <w:trPr>
                <w:trHeight w:val="45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监控中心监测信号样本来源表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记录监控中心信号样本信息与监测设施信号样本之间的对照关系。</w:t>
                  </w:r>
                </w:p>
              </w:tc>
            </w:tr>
            <w:tr>
              <w:tblPrEx>
                <w:tblCellMar>
                  <w:top w:w="0" w:type="dxa"/>
                  <w:left w:w="108" w:type="dxa"/>
                  <w:bottom w:w="0" w:type="dxa"/>
                  <w:right w:w="108" w:type="dxa"/>
                </w:tblCellMar>
              </w:tblPrEx>
              <w:trPr>
                <w:trHeight w:val="1110" w:hRule="atLeast"/>
              </w:trPr>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频段扫描结果</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监测设施频点信息统计表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记录监测设施执行频段扫描任务后按小时单位存储的无线电信号频率</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幅度数据统计信息，包括监测地点参数、监测频段参数、扫描步进及各频点幅度值、时间占用度、幅度门限等。</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监测设施背景噪声信息统计表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记录扫描频段的背景噪声数据。包括背景噪声统计日期、幅度最大值、幅度平均值及幅度最小值。</w:t>
                  </w:r>
                </w:p>
              </w:tc>
            </w:tr>
            <w:tr>
              <w:tblPrEx>
                <w:tblCellMar>
                  <w:top w:w="0" w:type="dxa"/>
                  <w:left w:w="108" w:type="dxa"/>
                  <w:bottom w:w="0" w:type="dxa"/>
                  <w:right w:w="108" w:type="dxa"/>
                </w:tblCellMar>
              </w:tblPrEx>
              <w:trPr>
                <w:trHeight w:val="780" w:hRule="atLeast"/>
              </w:trPr>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电磁环境占用度描述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监测业务名称表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记录监测业务名称的基础信息。包括业务名称、行政区、标准业务、自定义业务。</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监测业务频段定义表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记录监测业务包括的每个业务频段信息。业务频段信息包括频段名称、频率范围、信道带宽。</w:t>
                  </w:r>
                </w:p>
              </w:tc>
            </w:tr>
            <w:tr>
              <w:tblPrEx>
                <w:tblCellMar>
                  <w:top w:w="0" w:type="dxa"/>
                  <w:left w:w="108" w:type="dxa"/>
                  <w:bottom w:w="0" w:type="dxa"/>
                  <w:right w:w="108" w:type="dxa"/>
                </w:tblCellMar>
              </w:tblPrEx>
              <w:trPr>
                <w:trHeight w:val="111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监测设施电磁环境频段统计表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记录监测设施电磁环境统计数据，包括频段内合法台站占用率、非法信号占用率、不明信号占用率及频段占用度等。该数据依据“无线电监测设施频点信息统计表”中的数据计算得出。</w:t>
                  </w:r>
                </w:p>
              </w:tc>
            </w:tr>
            <w:tr>
              <w:tblPrEx>
                <w:tblCellMar>
                  <w:top w:w="0" w:type="dxa"/>
                  <w:left w:w="108" w:type="dxa"/>
                  <w:bottom w:w="0" w:type="dxa"/>
                  <w:right w:w="108" w:type="dxa"/>
                </w:tblCellMar>
              </w:tblPrEx>
              <w:trPr>
                <w:trHeight w:val="111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监测设施电磁环境信号统计表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记录监测设施接收到的信号的相关数据，包括信号幅度最大值、幅度中值及时间占用度等。该数据依据“无线电监测设施频点信息统计表”中的数据计算得出。</w:t>
                  </w:r>
                </w:p>
              </w:tc>
            </w:tr>
            <w:tr>
              <w:tblPrEx>
                <w:tblCellMar>
                  <w:top w:w="0" w:type="dxa"/>
                  <w:left w:w="108" w:type="dxa"/>
                  <w:bottom w:w="0" w:type="dxa"/>
                  <w:right w:w="108" w:type="dxa"/>
                </w:tblCellMar>
              </w:tblPrEx>
              <w:trPr>
                <w:trHeight w:val="111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监控中心电磁环境频段统计表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记录监控中心电磁环境统计数据，掌握区域内各业务频段下的合法台站占用率、非法信号占用率、不明信号占用率及频段占用度等，该数据主要依据“监测设施电磁环境频段统计表”中的数据融合得出。</w:t>
                  </w:r>
                </w:p>
              </w:tc>
            </w:tr>
            <w:tr>
              <w:tblPrEx>
                <w:tblCellMar>
                  <w:top w:w="0" w:type="dxa"/>
                  <w:left w:w="108" w:type="dxa"/>
                  <w:bottom w:w="0" w:type="dxa"/>
                  <w:right w:w="108" w:type="dxa"/>
                </w:tblCellMar>
              </w:tblPrEx>
              <w:trPr>
                <w:trHeight w:val="111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监控中心电磁环境信号统计表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记录监控中心区域内接收到的信号的相关数据，掌握频点的幅度最大值、幅度中值及时间占用度等。该数据主要依据“监测设施电磁环境信号统计表”中的数据融合得出。</w:t>
                  </w:r>
                </w:p>
              </w:tc>
            </w:tr>
            <w:tr>
              <w:tblPrEx>
                <w:tblCellMar>
                  <w:top w:w="0" w:type="dxa"/>
                  <w:left w:w="108" w:type="dxa"/>
                  <w:bottom w:w="0" w:type="dxa"/>
                  <w:right w:w="108" w:type="dxa"/>
                </w:tblCellMar>
              </w:tblPrEx>
              <w:trPr>
                <w:trHeight w:val="780" w:hRule="atLeast"/>
              </w:trPr>
              <w:tc>
                <w:tcPr>
                  <w:tcW w:w="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排查记录描述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干扰排查记录表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记录监控中心完成的干扰排查结果信息。包括被干扰信号基本信息、干扰源信息及干扰排查结果报告等。</w:t>
                  </w:r>
                </w:p>
              </w:tc>
            </w:tr>
            <w:tr>
              <w:tblPrEx>
                <w:tblCellMar>
                  <w:top w:w="0" w:type="dxa"/>
                  <w:left w:w="108" w:type="dxa"/>
                  <w:bottom w:w="0" w:type="dxa"/>
                  <w:right w:w="108" w:type="dxa"/>
                </w:tblCellMar>
              </w:tblPrEx>
              <w:trPr>
                <w:trHeight w:val="780" w:hRule="atLeast"/>
              </w:trPr>
              <w:tc>
                <w:tcPr>
                  <w:tcW w:w="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rPr>
                      <w:rFonts w:hint="eastAsia" w:ascii="宋体" w:hAnsi="宋体" w:eastAsia="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信号排查记录表</w:t>
                  </w:r>
                </w:p>
              </w:tc>
              <w:tc>
                <w:tcPr>
                  <w:tcW w:w="5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记录监控中心完成的信号排查结果信息。包括排查信号的基本信息、信号排查结果报告等。</w:t>
                  </w:r>
                </w:p>
              </w:tc>
            </w:tr>
          </w:tbl>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2）数据文件规范存储</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超短波监测数据库存储的数据涉及非结构化数据和结构化数据，依据当前情况选择</w:t>
            </w:r>
            <w:r>
              <w:rPr>
                <w:rFonts w:hint="eastAsia" w:ascii="宋体" w:hAnsi="宋体" w:eastAsia="宋体" w:cs="宋体"/>
                <w:color w:val="auto"/>
                <w:sz w:val="18"/>
                <w:szCs w:val="18"/>
                <w:highlight w:val="none"/>
                <w:lang w:eastAsia="zh-CN"/>
              </w:rPr>
              <w:t>多节点</w:t>
            </w:r>
            <w:r>
              <w:rPr>
                <w:rFonts w:hint="eastAsia" w:ascii="宋体" w:hAnsi="宋体" w:eastAsia="宋体" w:cs="宋体"/>
                <w:color w:val="auto"/>
                <w:sz w:val="18"/>
                <w:szCs w:val="18"/>
                <w:highlight w:val="none"/>
              </w:rPr>
              <w:t>文件方式存储，存储功能应支持快速扩展，在存储空间不足的情况下，能够实现方便快捷的扩容。根据</w:t>
            </w:r>
            <w:r>
              <w:rPr>
                <w:rFonts w:hint="eastAsia" w:ascii="宋体" w:hAnsi="宋体" w:eastAsia="宋体" w:cs="宋体"/>
                <w:bCs/>
                <w:color w:val="auto"/>
                <w:kern w:val="0"/>
                <w:sz w:val="18"/>
                <w:szCs w:val="18"/>
                <w:highlight w:val="none"/>
                <w:lang w:val="en-US" w:eastAsia="zh-CN" w:bidi="ar-SA"/>
              </w:rPr>
              <w:t>《超短波无线电监测数据库结构技术规范（征求意见稿）》</w:t>
            </w:r>
            <w:r>
              <w:rPr>
                <w:rFonts w:hint="eastAsia" w:ascii="宋体" w:hAnsi="宋体" w:eastAsia="宋体" w:cs="宋体"/>
                <w:color w:val="auto"/>
                <w:sz w:val="18"/>
                <w:szCs w:val="18"/>
                <w:highlight w:val="none"/>
              </w:rPr>
              <w:t>标准规范要求，定义基础数据存储格式，统一管理超短波监测数据成果，具体存储文件内容如下：</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373"/>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Header/>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文件类型</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频谱数据文件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频段扫描数据文件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频率表扫描数据文件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IQ数据文件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IQD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ITU数据文件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音频数据帧文件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Audio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wav数据文件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Wave或MP3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视频格式确定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图片数据文件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图片格式确定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字节流数据文件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单频测向数据文件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宽带测向数据文件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频率表测向数据文件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位置数据</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定位结果数据文件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LOC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文件文本数据文件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非标准数据文件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NSD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861" w:type="pct"/>
                  <w:noWrap w:val="0"/>
                  <w:vAlign w:val="center"/>
                </w:tcPr>
                <w:p>
                  <w:pPr>
                    <w:pStyle w:val="234"/>
                    <w:pageBreakBefore w:val="0"/>
                    <w:kinsoku/>
                    <w:wordWrap/>
                    <w:overflowPunct/>
                    <w:topLinePunct w:val="0"/>
                    <w:bidi w:val="0"/>
                    <w:adjustRightInd/>
                    <w:snapToGrid/>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2242"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天线因子文件</w:t>
                  </w:r>
                </w:p>
              </w:tc>
              <w:tc>
                <w:tcPr>
                  <w:tcW w:w="1895" w:type="pct"/>
                  <w:noWrap w:val="0"/>
                  <w:vAlign w:val="center"/>
                </w:tcPr>
                <w:p>
                  <w:pPr>
                    <w:pStyle w:val="234"/>
                    <w:pageBreakBefore w:val="0"/>
                    <w:kinsoku/>
                    <w:wordWrap/>
                    <w:overflowPunct/>
                    <w:topLinePunct w:val="0"/>
                    <w:bidi w:val="0"/>
                    <w:adjustRightInd/>
                    <w:snapToGrid/>
                    <w:spacing w:line="240" w:lineRule="auto"/>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GEN</w:t>
                  </w:r>
                </w:p>
              </w:tc>
            </w:tr>
          </w:tbl>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（1）数据存储节点管理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中心存储节点管理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超短波无线电监测一体化平台及应用系统产生大量的非结构化数据，这些数据结构不规则或不完整，没有预定义的数据模型，不方便用数据库二维逻辑表来表现的数据。包括所有格式的办公文档、日志、文本、图片、各类报表、图像、音频和视频信息等数据。中心存储节点须提供存储节点的新增、编辑和删除等管理功能，支持存储节点名称、IP地址、类型、状态、存储总容量、使用容量、剩余容量等信息的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边端存储节点管理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由于监测业务场景和物理环境条件，无法采用一个统一集中的存储节点满足全部存储需求，分散的存储节点在管理上有各种各样的不便。系统须提供统一的数据存储节点配置功能，用于管理数据平台中所有数据存储节点，便于统一访问、管理，解决存储节点离散不便问题。同时能够生成对应的属性及运行信息，为数据存储管理、数据索引查询提供基础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以自治区中心节点为云端，以地市作为边缘节点，以固定监测站作为端节点，通过云端节点、边缘节点和端节点之间数据互通，实现对监测数据的存储、访问和处理能力。提供云、边、端的存储节点配置管理功能，形成云、边、端分布式存储管理的一体平台。具备全区各存储节点以拓扑图形式展示功能，形成云、边、端的逻辑结构。包括以下管理功能：</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边端节点的配置管理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在监测数据平台提供集中化的管理界面，为用户提供便捷的操作平台，确保边端节点的配置信息的准确性和一致性，包括配置节点的名称、节点类型、IP地址、存储容量等信息。提供对边端节点的添加、编辑、查看和删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支持算法包的部署和下发。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支持监控和优化数据在网络中的传输，确保数据的快速、准确和安全传递，支持不同数据源和目的地之间的通信，提供监控数据传输状态，及时发现并处理传输异常。</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边端节点远程操作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在监测数据平台提供集中化的管理界面，实现用户在云端远程操作边端节点存储节点内容，包括存储信息浏览、存储路径的管理、文件数据的管理等操作功能。</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云、边、端拓扑结构展示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提供云、边、端拓扑展示页面，让用户直观感受整个物理分离、逻辑一致的数据存储平台。</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（2）数据模型管理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为应对监测业务数据量庞大、复杂、各类数据间标准不一致，数据难以管理等问题。系统应具备数据建模服务化功能，能够将无序、杂乱、烦琐、庞大且难以管理的数据，进行结构化有序地管理，将监测业务产生的各类数据的价值最大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1）数据分层管理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数据模型管理过程中可以依赖数仓规划中分层管理思想对所建数据模型进行分层化管理。结合监测业务场景、数据场景综合考虑可设计为ODS数据贴源层、DWD数据明细层、DWS数据汇总层、ADS数据应用层等。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2）数据模型管理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提供数据模型的创建、编辑、查看和删除功能。结合数据模型分层展示各个层次的数据模型。</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（3）数据归档管理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数据归档管理是数据生命周期管理中重要的环节。为系统节省数据空间，提高数据的查询效率，系统具备对超出时效性范围的监测数据进行压缩、降维、归档、销毁等操作功能。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平台支持</w:t>
            </w:r>
            <w:r>
              <w:rPr>
                <w:rFonts w:hint="eastAsia" w:ascii="宋体" w:hAnsi="宋体" w:eastAsia="宋体" w:cs="宋体"/>
                <w:color w:val="auto"/>
                <w:sz w:val="18"/>
                <w:szCs w:val="18"/>
                <w:highlight w:val="none"/>
                <w:lang w:val="en-US" w:eastAsia="zh-CN"/>
              </w:rPr>
              <w:t>对数据库备份</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支持</w:t>
            </w:r>
            <w:r>
              <w:rPr>
                <w:rFonts w:hint="eastAsia" w:ascii="宋体" w:hAnsi="宋体" w:eastAsia="宋体" w:cs="宋体"/>
                <w:color w:val="auto"/>
                <w:sz w:val="18"/>
                <w:szCs w:val="18"/>
                <w:highlight w:val="none"/>
              </w:rPr>
              <w:t>立即备份与计划备份配置。备份管理方面，可实现对备份管理的功能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支持</w:t>
            </w:r>
            <w:r>
              <w:rPr>
                <w:rFonts w:hint="eastAsia" w:ascii="宋体" w:hAnsi="宋体" w:eastAsia="宋体" w:cs="宋体"/>
                <w:color w:val="auto"/>
                <w:sz w:val="18"/>
                <w:szCs w:val="18"/>
                <w:highlight w:val="none"/>
              </w:rPr>
              <w:t>备份运行日志的查看与监督</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数据还原</w:t>
            </w:r>
            <w:r>
              <w:rPr>
                <w:rFonts w:hint="eastAsia" w:ascii="宋体" w:hAnsi="宋体" w:eastAsia="宋体" w:cs="宋体"/>
                <w:color w:val="auto"/>
                <w:sz w:val="18"/>
                <w:szCs w:val="18"/>
                <w:highlight w:val="none"/>
                <w:lang w:val="en-US" w:eastAsia="zh-CN"/>
              </w:rPr>
              <w:t>方面</w:t>
            </w:r>
            <w:r>
              <w:rPr>
                <w:rFonts w:hint="eastAsia" w:ascii="宋体" w:hAnsi="宋体" w:eastAsia="宋体" w:cs="宋体"/>
                <w:color w:val="auto"/>
                <w:sz w:val="18"/>
                <w:szCs w:val="18"/>
                <w:highlight w:val="none"/>
              </w:rPr>
              <w:t>，可实现对已备份的数据源还原的目的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整体解决了数据丢失导致的数据还原问题</w:t>
            </w:r>
          </w:p>
          <w:p>
            <w:pPr>
              <w:pStyle w:val="234"/>
              <w:pageBreakBefore w:val="0"/>
              <w:kinsoku/>
              <w:wordWrap/>
              <w:overflowPunct/>
              <w:topLinePunct w:val="0"/>
              <w:bidi w:val="0"/>
              <w:adjustRightInd/>
              <w:snapToGrid/>
              <w:spacing w:line="360" w:lineRule="auto"/>
              <w:ind w:firstLine="48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支持对监测原始数据及监测数据库全过程的质量校验和控制管理，具备质量校验规则管理、数据表质量自动校验、数据文件质量自动校验、周期性质量控制报告生成等能力。</w:t>
            </w:r>
          </w:p>
          <w:p>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4.4系统管理</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（1）日志管理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1）操作日志管理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支持对平台用户的查看、新增、编辑和删除等行为操作进行日志记录，可通过对操作用户账号、姓名、操作名称、操作状态以及操作时间段等进行筛选查询，同时可查看详细的日志信息。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2）系统日志管理</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系统日志管理系统，通过统一归集分析各模块系统日志和业务日志汇总分析，及时发现系统异常点，分析系统压力点，为系统高可用提供支撑。对系统运行日志、关键业务日志、任务日志、状态日志、其他日志等进行统一归集、过滤、格式化，存入统一的日志服务器。提供通过</w:t>
            </w:r>
            <w:r>
              <w:rPr>
                <w:rFonts w:hint="eastAsia" w:ascii="宋体" w:hAnsi="宋体" w:eastAsia="宋体" w:cs="宋体"/>
                <w:color w:val="auto"/>
                <w:sz w:val="18"/>
                <w:szCs w:val="18"/>
                <w:highlight w:val="none"/>
                <w:lang w:val="en-US" w:eastAsia="zh-CN"/>
              </w:rPr>
              <w:t>操作时间段进行筛选</w:t>
            </w:r>
            <w:r>
              <w:rPr>
                <w:rFonts w:hint="eastAsia" w:ascii="宋体" w:hAnsi="宋体" w:eastAsia="宋体" w:cs="宋体"/>
                <w:color w:val="auto"/>
                <w:kern w:val="2"/>
                <w:sz w:val="18"/>
                <w:szCs w:val="18"/>
                <w:highlight w:val="none"/>
                <w:lang w:val="en-US" w:eastAsia="zh-CN" w:bidi="ar-SA"/>
              </w:rPr>
              <w:t>对系统日志进行查询。</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（2）权限管理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提供基础信息获取、数据权限管理等功能。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1）基础信息获取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通过用户已有的无线电管理一体化平台接口，获取部门信息、人员信息等基础数据，实现统一身份认证。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2）数据权限管理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支持增加用户对数据管理的权限。根据业务种类对数据表进行授权管理，将不同的数据权限授予给不同的用户，以达到数据细粒度控制的目的。</w:t>
            </w:r>
          </w:p>
          <w:p>
            <w:pPr>
              <w:pageBreakBefore w:val="0"/>
              <w:numPr>
                <w:ilvl w:val="3"/>
                <w:numId w:val="0"/>
              </w:numPr>
              <w:kinsoku/>
              <w:wordWrap/>
              <w:overflowPunct/>
              <w:topLinePunct w:val="0"/>
              <w:autoSpaceDE/>
              <w:autoSpaceDN/>
              <w:bidi w:val="0"/>
              <w:adjustRightInd/>
              <w:snapToGrid/>
              <w:spacing w:before="0" w:after="0" w:line="360" w:lineRule="auto"/>
              <w:ind w:left="0" w:leftChars="0" w:firstLine="361" w:firstLineChars="200"/>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（3）预警管理</w:t>
            </w:r>
          </w:p>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预警管理模块提供数据采集过程中的各类告警信息给用户，包括接口异常告警、网络中断告警、采集数据失败告警、数据导入失败告警、容量不足告警等。</w:t>
            </w:r>
          </w:p>
          <w:p>
            <w:pPr>
              <w:pStyle w:val="7"/>
              <w:bidi w:val="0"/>
              <w:rPr>
                <w:rFonts w:hint="eastAsia" w:ascii="宋体" w:hAnsi="宋体" w:eastAsia="宋体" w:cs="宋体"/>
                <w:color w:val="auto"/>
                <w:sz w:val="18"/>
                <w:szCs w:val="18"/>
                <w:highlight w:val="none"/>
                <w:lang w:val="en-US" w:eastAsia="zh-CN"/>
              </w:rPr>
            </w:pPr>
            <w:bookmarkStart w:id="69" w:name="_Toc29210"/>
            <w:bookmarkStart w:id="70" w:name="_Toc6870"/>
            <w:r>
              <w:rPr>
                <w:rFonts w:hint="eastAsia" w:ascii="宋体" w:hAnsi="宋体" w:eastAsia="宋体" w:cs="宋体"/>
                <w:color w:val="auto"/>
                <w:sz w:val="18"/>
                <w:szCs w:val="18"/>
                <w:highlight w:val="none"/>
                <w:lang w:val="en-US" w:eastAsia="zh-CN"/>
              </w:rPr>
              <w:t>5.项目配置清单</w:t>
            </w:r>
            <w:bookmarkEnd w:id="69"/>
            <w:bookmarkEnd w:id="70"/>
          </w:p>
          <w:p>
            <w:pPr>
              <w:widowControl w:val="0"/>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超短波无线电监测一体化平台存储数据标准化改造</w:t>
            </w:r>
            <w:r>
              <w:rPr>
                <w:rFonts w:hint="eastAsia" w:ascii="宋体" w:hAnsi="宋体" w:eastAsia="宋体" w:cs="宋体"/>
                <w:color w:val="auto"/>
                <w:kern w:val="2"/>
                <w:sz w:val="18"/>
                <w:szCs w:val="18"/>
                <w:highlight w:val="none"/>
                <w:lang w:val="en-US" w:eastAsia="zh-CN"/>
              </w:rPr>
              <w:t>配置清单</w:t>
            </w: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1469"/>
              <w:gridCol w:w="4507"/>
              <w:gridCol w:w="397"/>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设备及软件名称</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主要功能/性能指标</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451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超短波无线电监测一体化平台存储数据标准化改造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40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数据资源管理子系统</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数据资源归集模块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含标准数据的归集、非标准数据的归集。</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常态化采集模块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支持配置监测网采集计划，支持站点手动/自动选择，支持自动参数配置；支持根据采集计划分配监测资源；支持监测网采集地图查看，支持以区域/站点为维度查看实时采集状态（正常/异常提示）。</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元数据模块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通过元数据模块将监测数据平台中的数据资产的元信息进行收集起来并提供对外展示功能。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数据资源管理模块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根据最新的《超短波无线电监测数据库结构技术规范（征求意见稿）》标准规范要求，定义基础数据存储格式，统一管理超短波监测数据。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40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数据资源调配子系统</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数据服务管理模块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提供易于使用、可靠、安全和高度可扩展的数据服务解决方案，提供系列工具，以向导模式配置将数据库表或数据文件生成共享服务接口。</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数据交换中心模块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在数据交换中心，用户可以便捷找到业务所需的数据资源信息和申请调研用已将数据资源池中进行开放共享的文件和结构数据资源。</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数据服务监控模块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数据交换监控模块提供对数据服务调用监控功能。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服务申请记录模块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以列表展示用户申请数据交换共享服务的记录信息。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数据上报模块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支持国家监测数据平台按需抽取省级监测数据平台的数据或提供配置国家中心数据接收接口功能和选择上报数据进行一键上报功能。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40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数据存储管理子系统</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数据存储节点管理模块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含中心存储节点管理、边缘及站点端存储节点管理。</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数据模型管理模块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数据建模服务化，将无序、杂乱、烦琐、庞大且难以管理的数据，进行结构化有序地管理。</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数据归档管理模块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实现数据归档管理功能。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w:t>
                  </w:r>
                </w:p>
              </w:tc>
              <w:tc>
                <w:tcPr>
                  <w:tcW w:w="400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系统管理子系统</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日志管理模块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含操作日志管理、系统日志管理。</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权限管理模块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提供基础信息获取、数据权限管理等功能。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预警管理模块</w:t>
                  </w:r>
                </w:p>
              </w:tc>
              <w:tc>
                <w:tcPr>
                  <w:tcW w:w="3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提供数据采集过程中的各类告警信息给用户。</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pPr>
              <w:pStyle w:val="11"/>
              <w:rPr>
                <w:rFonts w:hint="eastAsia" w:ascii="宋体" w:hAnsi="宋体" w:eastAsia="宋体" w:cs="宋体"/>
                <w:color w:val="auto"/>
                <w:sz w:val="18"/>
                <w:szCs w:val="18"/>
                <w:highlight w:val="none"/>
                <w:lang w:val="en-US" w:eastAsia="zh-CN"/>
              </w:rPr>
            </w:pPr>
          </w:p>
          <w:p>
            <w:pPr>
              <w:pStyle w:val="18"/>
              <w:spacing w:line="40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3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highlight w:val="none"/>
              </w:rPr>
            </w:pPr>
            <w:r>
              <w:rPr>
                <w:rFonts w:hint="eastAsia" w:ascii="宋体" w:hAnsi="宋体"/>
                <w:b/>
                <w:szCs w:val="21"/>
                <w:highlight w:val="none"/>
                <w:lang w:val="en-US" w:eastAsia="zh-CN"/>
              </w:rPr>
              <w:t>二</w:t>
            </w:r>
            <w:r>
              <w:rPr>
                <w:rFonts w:hint="eastAsia" w:ascii="宋体" w:hAnsi="宋体"/>
                <w:b/>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exact"/>
              <w:jc w:val="center"/>
              <w:rPr>
                <w:rFonts w:ascii="宋体" w:hAnsi="宋体"/>
                <w:b/>
                <w:bCs/>
                <w:szCs w:val="21"/>
                <w:highlight w:val="none"/>
              </w:rPr>
            </w:pPr>
            <w:bookmarkStart w:id="71" w:name="OLE_LINK15" w:colFirst="0" w:colLast="1"/>
            <w:r>
              <w:rPr>
                <w:rFonts w:ascii="宋体" w:hAnsi="宋体" w:cs="仿宋"/>
                <w:b/>
                <w:bCs/>
                <w:szCs w:val="21"/>
                <w:highlight w:val="none"/>
              </w:rPr>
              <w:t>服务期限</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exact"/>
              <w:jc w:val="left"/>
              <w:rPr>
                <w:rFonts w:hint="eastAsia" w:ascii="宋体" w:hAnsi="宋体"/>
                <w:b w:val="0"/>
                <w:bCs w:val="0"/>
                <w:szCs w:val="21"/>
                <w:highlight w:val="none"/>
              </w:rPr>
            </w:pPr>
            <w:bookmarkStart w:id="72" w:name="OLE_LINK36"/>
            <w:r>
              <w:rPr>
                <w:rFonts w:hint="eastAsia" w:ascii="宋体" w:hAnsi="宋体"/>
                <w:szCs w:val="21"/>
                <w:highlight w:val="none"/>
              </w:rPr>
              <w:t>2025年10月10日前完成合同验收，直至完成初步验收及竣工验收。</w:t>
            </w:r>
            <w:bookmarkEnd w:id="72"/>
          </w:p>
        </w:tc>
      </w:tr>
      <w:bookmarkEnd w:id="7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exact"/>
              <w:jc w:val="center"/>
              <w:rPr>
                <w:rFonts w:hint="eastAsia" w:ascii="宋体" w:hAnsi="宋体"/>
                <w:b/>
                <w:bCs/>
                <w:szCs w:val="21"/>
                <w:highlight w:val="none"/>
              </w:rPr>
            </w:pPr>
            <w:r>
              <w:rPr>
                <w:rFonts w:hint="eastAsia" w:ascii="宋体" w:hAnsi="宋体" w:cs="仿宋"/>
                <w:b/>
                <w:bCs/>
                <w:szCs w:val="21"/>
                <w:highlight w:val="none"/>
              </w:rPr>
              <w:t>服务地点</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exact"/>
              <w:jc w:val="left"/>
              <w:rPr>
                <w:rFonts w:hint="eastAsia" w:ascii="宋体" w:hAnsi="宋体"/>
                <w:b w:val="0"/>
                <w:bCs w:val="0"/>
                <w:szCs w:val="21"/>
                <w:highlight w:val="none"/>
              </w:rPr>
            </w:pPr>
            <w:r>
              <w:rPr>
                <w:rFonts w:hint="eastAsia" w:ascii="宋体" w:hAnsi="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highlight w:val="none"/>
              </w:rPr>
            </w:pPr>
            <w:r>
              <w:rPr>
                <w:rFonts w:hint="eastAsia" w:ascii="宋体" w:hAnsi="宋体"/>
                <w:b/>
                <w:bCs/>
                <w:szCs w:val="21"/>
                <w:highlight w:val="none"/>
              </w:rPr>
              <w:t>合同签订时间</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 w:val="0"/>
                <w:bCs w:val="0"/>
                <w:szCs w:val="21"/>
                <w:highlight w:val="none"/>
              </w:rPr>
            </w:pPr>
            <w:r>
              <w:rPr>
                <w:rFonts w:hint="eastAsia" w:ascii="宋体" w:hAnsi="宋体"/>
                <w:b w:val="0"/>
                <w:bCs w:val="0"/>
                <w:szCs w:val="21"/>
                <w:highlight w:val="none"/>
              </w:rPr>
              <w:t>自成交通知书发出之日起</w:t>
            </w:r>
            <w:r>
              <w:rPr>
                <w:rFonts w:ascii="宋体" w:hAnsi="宋体"/>
                <w:b w:val="0"/>
                <w:bCs w:val="0"/>
                <w:szCs w:val="21"/>
                <w:highlight w:val="none"/>
              </w:rPr>
              <w:t>25</w:t>
            </w:r>
            <w:r>
              <w:rPr>
                <w:rFonts w:hint="eastAsia" w:ascii="宋体" w:hAnsi="宋体"/>
                <w:b w:val="0"/>
                <w:bCs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Cs w:val="21"/>
                <w:highlight w:val="none"/>
              </w:rPr>
            </w:pPr>
            <w:r>
              <w:rPr>
                <w:rFonts w:hint="eastAsia" w:ascii="宋体" w:hAnsi="宋体"/>
                <w:b/>
                <w:bCs/>
                <w:szCs w:val="21"/>
                <w:highlight w:val="none"/>
              </w:rPr>
              <w:t>报价要求</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val="0"/>
                <w:bCs w:val="0"/>
                <w:highlight w:val="none"/>
              </w:rPr>
            </w:pPr>
            <w:r>
              <w:rPr>
                <w:rFonts w:hint="eastAsia" w:ascii="宋体" w:hAnsi="宋体" w:cs="仿宋"/>
                <w:b w:val="0"/>
                <w:bCs w:val="0"/>
                <w:szCs w:val="21"/>
                <w:highlight w:val="none"/>
              </w:rPr>
              <w:t>本项目实行总承包报价，包含本项目所有服务内容、所需专用工具、税金等各种费用和其它所有成本费用的总和。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szCs w:val="21"/>
                <w:highlight w:val="none"/>
              </w:rPr>
            </w:pPr>
            <w:r>
              <w:rPr>
                <w:rFonts w:hint="eastAsia" w:ascii="宋体" w:hAnsi="宋体" w:cs="仿宋"/>
                <w:b/>
                <w:bCs/>
                <w:strike w:val="0"/>
                <w:dstrike w:val="0"/>
                <w:szCs w:val="21"/>
                <w:highlight w:val="none"/>
                <w:u w:val="none"/>
              </w:rPr>
              <w:t>付款方式</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仿宋"/>
                <w:b w:val="0"/>
                <w:bCs w:val="0"/>
                <w:strike w:val="0"/>
                <w:dstrike w:val="0"/>
                <w:szCs w:val="21"/>
                <w:highlight w:val="none"/>
                <w:u w:val="none"/>
                <w:lang w:val="en-US" w:eastAsia="zh-CN"/>
              </w:rPr>
            </w:pPr>
            <w:r>
              <w:rPr>
                <w:rFonts w:hint="eastAsia" w:ascii="宋体" w:hAnsi="宋体" w:cs="仿宋"/>
                <w:b w:val="0"/>
                <w:bCs w:val="0"/>
                <w:strike w:val="0"/>
                <w:dstrike w:val="0"/>
                <w:szCs w:val="21"/>
                <w:highlight w:val="none"/>
                <w:u w:val="none"/>
                <w:lang w:val="en-US" w:eastAsia="zh-CN"/>
              </w:rPr>
              <w:t>（1）合同签订后，甲方在合同生效后30个工作日内向乙方支付总价的50%作为预付款，乙方在收到上述货款后10个工作日内开具等额发票给甲方。</w:t>
            </w:r>
          </w:p>
          <w:p>
            <w:pPr>
              <w:spacing w:line="360" w:lineRule="exact"/>
              <w:rPr>
                <w:rFonts w:hint="eastAsia" w:ascii="宋体" w:hAnsi="宋体" w:cs="仿宋"/>
                <w:b w:val="0"/>
                <w:bCs w:val="0"/>
                <w:szCs w:val="21"/>
                <w:highlight w:val="none"/>
              </w:rPr>
            </w:pPr>
            <w:r>
              <w:rPr>
                <w:rFonts w:hint="eastAsia" w:ascii="宋体" w:hAnsi="宋体" w:cs="仿宋"/>
                <w:b w:val="0"/>
                <w:bCs w:val="0"/>
                <w:strike w:val="0"/>
                <w:dstrike w:val="0"/>
                <w:szCs w:val="21"/>
                <w:highlight w:val="none"/>
                <w:u w:val="none"/>
                <w:lang w:val="en-US" w:eastAsia="zh-CN"/>
              </w:rPr>
              <w:t>（2）乙方提供服务完毕且经验收合格后，向甲方申请支付尾款并附甲方出具的服务验收合格单，甲方收到乙方支付尾款申请书后30个工作日内支付合同剩余50%尾款给乙方，乙方在收到上述尾款10个工作日内开具等额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Cs w:val="21"/>
                <w:highlight w:val="none"/>
              </w:rPr>
            </w:pPr>
            <w:r>
              <w:rPr>
                <w:rFonts w:hint="eastAsia" w:ascii="宋体" w:hAnsi="宋体" w:cs="仿宋"/>
                <w:b/>
                <w:bCs/>
                <w:szCs w:val="21"/>
                <w:highlight w:val="none"/>
              </w:rPr>
              <w:t>培训要求</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针对不同的使用者，结合整个项目建设周期进行使用、维护、管理等不同方面的系统培训，使得使用者能够迅速熟练掌握使用本系统。</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人员培训范围包括平台使用人员培训和系统维护的专业人员培训。</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具体内容如下：</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（1）业务人员培训</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业务人员的培训主要包括以下几个方面：</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无线电管理相关工作人员应用培训。通过对无线电管理相关工作人员进行系统培训，使他们尽快熟悉掌握系统，并通过系统解决日常工作需求，提高工作效率和工作质量。</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（2）技术人员培训</w:t>
            </w:r>
          </w:p>
          <w:p>
            <w:pPr>
              <w:spacing w:line="360" w:lineRule="exact"/>
              <w:rPr>
                <w:rFonts w:ascii="宋体" w:hAnsi="宋体" w:cs="仿宋"/>
                <w:b w:val="0"/>
                <w:bCs w:val="0"/>
                <w:szCs w:val="21"/>
                <w:highlight w:val="none"/>
              </w:rPr>
            </w:pPr>
            <w:r>
              <w:rPr>
                <w:rFonts w:hint="eastAsia" w:ascii="宋体" w:hAnsi="宋体" w:cs="仿宋"/>
                <w:b w:val="0"/>
                <w:bCs w:val="0"/>
                <w:szCs w:val="21"/>
                <w:highlight w:val="none"/>
              </w:rPr>
              <w:t>与软硬件有关的技术培训。对相关人员进行设备、软件的功能、性能、安装及使用等进行专门的培训。</w:t>
            </w:r>
          </w:p>
          <w:p>
            <w:pPr>
              <w:spacing w:line="360" w:lineRule="exact"/>
              <w:rPr>
                <w:rFonts w:ascii="宋体" w:hAnsi="宋体"/>
                <w:b w:val="0"/>
                <w:bCs w:val="0"/>
                <w:szCs w:val="21"/>
                <w:highlight w:val="none"/>
              </w:rPr>
            </w:pPr>
            <w:r>
              <w:rPr>
                <w:rFonts w:hint="eastAsia" w:ascii="宋体" w:hAnsi="宋体" w:cs="仿宋"/>
                <w:b w:val="0"/>
                <w:bCs w:val="0"/>
                <w:szCs w:val="21"/>
                <w:highlight w:val="none"/>
              </w:rPr>
              <w:t>项目相关的人员培训由承建单位负责，具体培训人员数量、地点和培训时间由承建单位和建设单位协商确定。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szCs w:val="21"/>
                <w:highlight w:val="none"/>
              </w:rPr>
            </w:pPr>
            <w:r>
              <w:rPr>
                <w:rFonts w:hint="eastAsia" w:ascii="宋体" w:hAnsi="宋体" w:cs="仿宋"/>
                <w:b/>
                <w:bCs/>
                <w:szCs w:val="21"/>
                <w:highlight w:val="none"/>
              </w:rPr>
              <w:t>验收标准</w:t>
            </w:r>
          </w:p>
        </w:tc>
        <w:tc>
          <w:tcPr>
            <w:tcW w:w="85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val="0"/>
                <w:bCs w:val="0"/>
                <w:szCs w:val="21"/>
                <w:highlight w:val="none"/>
              </w:rPr>
            </w:pPr>
            <w:r>
              <w:rPr>
                <w:rFonts w:hint="eastAsia" w:ascii="宋体" w:hAnsi="宋体" w:cs="仿宋"/>
                <w:b w:val="0"/>
                <w:bCs w:val="0"/>
                <w:szCs w:val="21"/>
                <w:highlight w:val="none"/>
              </w:rPr>
              <w:t>符合现行国家相关标准、行业标准、地方标准或者其他标准、规范，以及合同约定条款。</w:t>
            </w:r>
          </w:p>
        </w:tc>
      </w:tr>
    </w:tbl>
    <w:p>
      <w:pPr>
        <w:spacing w:line="360" w:lineRule="auto"/>
        <w:ind w:firstLine="446" w:firstLineChars="202"/>
        <w:jc w:val="left"/>
        <w:rPr>
          <w:rFonts w:ascii="宋体" w:hAnsi="宋体"/>
          <w:b/>
          <w:bCs/>
          <w:sz w:val="22"/>
          <w:szCs w:val="22"/>
          <w:highlight w:val="none"/>
        </w:rPr>
        <w:sectPr>
          <w:footerReference r:id="rId7" w:type="first"/>
          <w:footerReference r:id="rId6" w:type="default"/>
          <w:pgSz w:w="11910" w:h="16840"/>
          <w:pgMar w:top="1340" w:right="1500" w:bottom="280" w:left="1680" w:header="720" w:footer="720" w:gutter="0"/>
          <w:cols w:space="720" w:num="1"/>
        </w:sectPr>
      </w:pPr>
    </w:p>
    <w:p>
      <w:pPr>
        <w:rPr>
          <w:rFonts w:ascii="宋体" w:hAnsi="宋体" w:cs="黑体"/>
          <w:sz w:val="32"/>
          <w:szCs w:val="32"/>
          <w:highlight w:val="none"/>
        </w:rPr>
      </w:pPr>
      <w:r>
        <w:rPr>
          <w:rFonts w:hint="eastAsia" w:ascii="宋体" w:hAnsi="宋体" w:cs="宋体"/>
          <w:b/>
          <w:bCs/>
          <w:szCs w:val="21"/>
          <w:highlight w:val="none"/>
        </w:rPr>
        <w:t>其他附件：</w:t>
      </w:r>
    </w:p>
    <w:p>
      <w:pPr>
        <w:pStyle w:val="20"/>
        <w:jc w:val="center"/>
        <w:rPr>
          <w:rFonts w:hint="eastAsia" w:ascii="宋体" w:hAnsi="宋体"/>
          <w:b/>
          <w:sz w:val="28"/>
          <w:szCs w:val="28"/>
          <w:highlight w:val="none"/>
        </w:rPr>
      </w:pPr>
      <w:r>
        <w:rPr>
          <w:rFonts w:hint="eastAsia" w:ascii="宋体" w:hAnsi="宋体"/>
          <w:b/>
          <w:sz w:val="28"/>
          <w:szCs w:val="28"/>
          <w:highlight w:val="none"/>
        </w:rPr>
        <w:t>中小企业划型标准规定</w:t>
      </w:r>
    </w:p>
    <w:p>
      <w:pPr>
        <w:pStyle w:val="20"/>
        <w:jc w:val="center"/>
        <w:rPr>
          <w:rFonts w:ascii="宋体" w:hAnsi="宋体"/>
          <w:szCs w:val="21"/>
          <w:highlight w:val="none"/>
        </w:rPr>
      </w:pPr>
      <w:r>
        <w:rPr>
          <w:rFonts w:hint="eastAsia" w:ascii="宋体" w:hAnsi="宋体"/>
          <w:szCs w:val="21"/>
          <w:highlight w:val="none"/>
        </w:rPr>
        <w:t>工信部联企业[2011]300号</w:t>
      </w:r>
    </w:p>
    <w:p>
      <w:pPr>
        <w:pStyle w:val="20"/>
        <w:rPr>
          <w:rFonts w:hint="eastAsia" w:ascii="宋体" w:hAnsi="宋体"/>
          <w:sz w:val="24"/>
          <w:szCs w:val="21"/>
          <w:highlight w:val="none"/>
        </w:rPr>
      </w:pPr>
    </w:p>
    <w:p>
      <w:pPr>
        <w:pStyle w:val="20"/>
        <w:rPr>
          <w:rFonts w:ascii="宋体" w:hAnsi="宋体"/>
          <w:szCs w:val="21"/>
          <w:highlight w:val="none"/>
        </w:rPr>
      </w:pPr>
      <w:r>
        <w:rPr>
          <w:rFonts w:hint="eastAsia" w:ascii="宋体" w:hAnsi="宋体"/>
          <w:szCs w:val="21"/>
          <w:highlight w:val="none"/>
        </w:rPr>
        <w:t>　　一、根据《中华人民共和国中小企业促进法》和《国务院关于进一步促进中小企业发展的若干意见》</w:t>
      </w:r>
      <w:r>
        <w:rPr>
          <w:rFonts w:ascii="宋体" w:hAnsi="宋体"/>
          <w:szCs w:val="21"/>
          <w:highlight w:val="none"/>
        </w:rPr>
        <w:t>(</w:t>
      </w:r>
      <w:r>
        <w:rPr>
          <w:rFonts w:hint="eastAsia" w:ascii="宋体" w:hAnsi="宋体"/>
          <w:szCs w:val="21"/>
          <w:highlight w:val="none"/>
        </w:rPr>
        <w:t>国发</w:t>
      </w:r>
      <w:r>
        <w:rPr>
          <w:rFonts w:ascii="宋体" w:hAnsi="宋体"/>
          <w:szCs w:val="21"/>
          <w:highlight w:val="none"/>
        </w:rPr>
        <w:t>[2009]36</w:t>
      </w:r>
      <w:r>
        <w:rPr>
          <w:rFonts w:hint="eastAsia" w:ascii="宋体" w:hAnsi="宋体"/>
          <w:szCs w:val="21"/>
          <w:highlight w:val="none"/>
        </w:rPr>
        <w:t>号</w:t>
      </w:r>
      <w:r>
        <w:rPr>
          <w:rFonts w:ascii="宋体" w:hAnsi="宋体"/>
          <w:szCs w:val="21"/>
          <w:highlight w:val="none"/>
        </w:rPr>
        <w:t>)</w:t>
      </w:r>
      <w:r>
        <w:rPr>
          <w:rFonts w:hint="eastAsia" w:ascii="宋体" w:hAnsi="宋体"/>
          <w:szCs w:val="21"/>
          <w:highlight w:val="none"/>
        </w:rPr>
        <w:t>，制定本规定。</w:t>
      </w:r>
    </w:p>
    <w:p>
      <w:pPr>
        <w:pStyle w:val="20"/>
        <w:rPr>
          <w:rFonts w:ascii="宋体" w:hAnsi="宋体"/>
          <w:szCs w:val="21"/>
          <w:highlight w:val="none"/>
        </w:rPr>
      </w:pPr>
      <w:r>
        <w:rPr>
          <w:rFonts w:hint="eastAsia" w:ascii="宋体" w:hAnsi="宋体"/>
          <w:szCs w:val="21"/>
          <w:highlight w:val="none"/>
        </w:rPr>
        <w:t>　　二、中小企业划分为中型、小型、微型三种类型，具体标准根据企业从业人员、营业收入、资产总额等指标，结合行业特点制定。</w:t>
      </w:r>
    </w:p>
    <w:p>
      <w:pPr>
        <w:pStyle w:val="20"/>
        <w:rPr>
          <w:rFonts w:ascii="宋体" w:hAnsi="宋体"/>
          <w:szCs w:val="21"/>
          <w:highlight w:val="none"/>
        </w:rPr>
      </w:pPr>
      <w:r>
        <w:rPr>
          <w:rFonts w:hint="eastAsia" w:ascii="宋体" w:hAnsi="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0"/>
        <w:rPr>
          <w:rFonts w:ascii="宋体" w:hAnsi="宋体"/>
          <w:szCs w:val="21"/>
          <w:highlight w:val="none"/>
        </w:rPr>
      </w:pPr>
      <w:r>
        <w:rPr>
          <w:rFonts w:hint="eastAsia" w:ascii="宋体" w:hAnsi="宋体"/>
          <w:szCs w:val="21"/>
          <w:highlight w:val="none"/>
        </w:rPr>
        <w:t>　　四、各行业划型标准为：</w:t>
      </w:r>
    </w:p>
    <w:p>
      <w:pPr>
        <w:pStyle w:val="20"/>
        <w:rPr>
          <w:rFonts w:ascii="宋体" w:hAnsi="宋体"/>
          <w:szCs w:val="21"/>
          <w:highlight w:val="none"/>
        </w:rPr>
      </w:pPr>
      <w:r>
        <w:rPr>
          <w:rFonts w:hint="eastAsia" w:ascii="宋体" w:hAnsi="宋体"/>
          <w:szCs w:val="21"/>
          <w:highlight w:val="none"/>
        </w:rPr>
        <w:t>　　（一）农、林、牧、渔业。营业收入</w:t>
      </w:r>
      <w:r>
        <w:rPr>
          <w:rFonts w:ascii="宋体" w:hAnsi="宋体"/>
          <w:szCs w:val="21"/>
          <w:highlight w:val="none"/>
        </w:rPr>
        <w:t>20000</w:t>
      </w:r>
      <w:r>
        <w:rPr>
          <w:rFonts w:hint="eastAsia" w:ascii="宋体" w:hAnsi="宋体"/>
          <w:szCs w:val="21"/>
          <w:highlight w:val="none"/>
        </w:rPr>
        <w:t>万元以下的为中小微型企业。其中，营业收入</w:t>
      </w:r>
      <w:r>
        <w:rPr>
          <w:rFonts w:ascii="宋体" w:hAnsi="宋体"/>
          <w:szCs w:val="21"/>
          <w:highlight w:val="none"/>
        </w:rPr>
        <w:t>500</w:t>
      </w:r>
      <w:r>
        <w:rPr>
          <w:rFonts w:hint="eastAsia" w:ascii="宋体" w:hAnsi="宋体"/>
          <w:szCs w:val="21"/>
          <w:highlight w:val="none"/>
        </w:rPr>
        <w:t>万元及以上的为中型企业，营业收入</w:t>
      </w:r>
      <w:r>
        <w:rPr>
          <w:rFonts w:ascii="宋体" w:hAnsi="宋体"/>
          <w:szCs w:val="21"/>
          <w:highlight w:val="none"/>
        </w:rPr>
        <w:t>50</w:t>
      </w:r>
      <w:r>
        <w:rPr>
          <w:rFonts w:hint="eastAsia" w:ascii="宋体" w:hAnsi="宋体"/>
          <w:szCs w:val="21"/>
          <w:highlight w:val="none"/>
        </w:rPr>
        <w:t>万元及以上的为小型企业，营业收入</w:t>
      </w:r>
      <w:r>
        <w:rPr>
          <w:rFonts w:ascii="宋体" w:hAnsi="宋体"/>
          <w:szCs w:val="21"/>
          <w:highlight w:val="none"/>
        </w:rPr>
        <w:t>50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（二）工业。从业人员</w:t>
      </w:r>
      <w:r>
        <w:rPr>
          <w:rFonts w:ascii="宋体" w:hAnsi="宋体"/>
          <w:szCs w:val="21"/>
          <w:highlight w:val="none"/>
        </w:rPr>
        <w:t>1000</w:t>
      </w:r>
      <w:r>
        <w:rPr>
          <w:rFonts w:hint="eastAsia" w:ascii="宋体" w:hAnsi="宋体"/>
          <w:szCs w:val="21"/>
          <w:highlight w:val="none"/>
        </w:rPr>
        <w:t>人以下或营业收入</w:t>
      </w:r>
      <w:r>
        <w:rPr>
          <w:rFonts w:ascii="宋体" w:hAnsi="宋体"/>
          <w:szCs w:val="21"/>
          <w:highlight w:val="none"/>
        </w:rPr>
        <w:t>40000</w:t>
      </w:r>
      <w:r>
        <w:rPr>
          <w:rFonts w:hint="eastAsia" w:ascii="宋体" w:hAnsi="宋体"/>
          <w:szCs w:val="21"/>
          <w:highlight w:val="none"/>
        </w:rPr>
        <w:t>万元以下的为中小微型企业。其中，从业人员</w:t>
      </w:r>
      <w:r>
        <w:rPr>
          <w:rFonts w:ascii="宋体" w:hAnsi="宋体"/>
          <w:szCs w:val="21"/>
          <w:highlight w:val="none"/>
        </w:rPr>
        <w:t>300</w:t>
      </w:r>
      <w:r>
        <w:rPr>
          <w:rFonts w:hint="eastAsia" w:ascii="宋体" w:hAnsi="宋体"/>
          <w:szCs w:val="21"/>
          <w:highlight w:val="none"/>
        </w:rPr>
        <w:t>人及以上，且营业收入</w:t>
      </w:r>
      <w:r>
        <w:rPr>
          <w:rFonts w:ascii="宋体" w:hAnsi="宋体"/>
          <w:szCs w:val="21"/>
          <w:highlight w:val="none"/>
        </w:rPr>
        <w:t>2000</w:t>
      </w:r>
      <w:r>
        <w:rPr>
          <w:rFonts w:hint="eastAsia" w:ascii="宋体" w:hAnsi="宋体"/>
          <w:szCs w:val="21"/>
          <w:highlight w:val="none"/>
        </w:rPr>
        <w:t>万元及以上的为中型企业；从业人员</w:t>
      </w:r>
      <w:r>
        <w:rPr>
          <w:rFonts w:ascii="宋体" w:hAnsi="宋体"/>
          <w:szCs w:val="21"/>
          <w:highlight w:val="none"/>
        </w:rPr>
        <w:t>20</w:t>
      </w:r>
      <w:r>
        <w:rPr>
          <w:rFonts w:hint="eastAsia" w:ascii="宋体" w:hAnsi="宋体"/>
          <w:szCs w:val="21"/>
          <w:highlight w:val="none"/>
        </w:rPr>
        <w:t>人及以上，且营业收入</w:t>
      </w:r>
      <w:r>
        <w:rPr>
          <w:rFonts w:ascii="宋体" w:hAnsi="宋体"/>
          <w:szCs w:val="21"/>
          <w:highlight w:val="none"/>
        </w:rPr>
        <w:t>300</w:t>
      </w:r>
      <w:r>
        <w:rPr>
          <w:rFonts w:hint="eastAsia" w:ascii="宋体" w:hAnsi="宋体"/>
          <w:szCs w:val="21"/>
          <w:highlight w:val="none"/>
        </w:rPr>
        <w:t>万元及以上的为小型企业；从业人员</w:t>
      </w:r>
      <w:r>
        <w:rPr>
          <w:rFonts w:ascii="宋体" w:hAnsi="宋体"/>
          <w:szCs w:val="21"/>
          <w:highlight w:val="none"/>
        </w:rPr>
        <w:t>20</w:t>
      </w:r>
      <w:r>
        <w:rPr>
          <w:rFonts w:hint="eastAsia" w:ascii="宋体" w:hAnsi="宋体"/>
          <w:szCs w:val="21"/>
          <w:highlight w:val="none"/>
        </w:rPr>
        <w:t>人以下或营业收入</w:t>
      </w:r>
      <w:r>
        <w:rPr>
          <w:rFonts w:ascii="宋体" w:hAnsi="宋体"/>
          <w:szCs w:val="21"/>
          <w:highlight w:val="none"/>
        </w:rPr>
        <w:t>300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（三）建筑业。营业收入</w:t>
      </w:r>
      <w:r>
        <w:rPr>
          <w:rFonts w:ascii="宋体" w:hAnsi="宋体"/>
          <w:szCs w:val="21"/>
          <w:highlight w:val="none"/>
        </w:rPr>
        <w:t>80000</w:t>
      </w:r>
      <w:r>
        <w:rPr>
          <w:rFonts w:hint="eastAsia" w:ascii="宋体" w:hAnsi="宋体"/>
          <w:szCs w:val="21"/>
          <w:highlight w:val="none"/>
        </w:rPr>
        <w:t>万元以下或资产总额</w:t>
      </w:r>
      <w:r>
        <w:rPr>
          <w:rFonts w:ascii="宋体" w:hAnsi="宋体"/>
          <w:szCs w:val="21"/>
          <w:highlight w:val="none"/>
        </w:rPr>
        <w:t>80000</w:t>
      </w:r>
      <w:r>
        <w:rPr>
          <w:rFonts w:hint="eastAsia" w:ascii="宋体" w:hAnsi="宋体"/>
          <w:szCs w:val="21"/>
          <w:highlight w:val="none"/>
        </w:rPr>
        <w:t>万元以下的为中小微型企业。其中，营业收入</w:t>
      </w:r>
      <w:r>
        <w:rPr>
          <w:rFonts w:ascii="宋体" w:hAnsi="宋体"/>
          <w:szCs w:val="21"/>
          <w:highlight w:val="none"/>
        </w:rPr>
        <w:t>6000</w:t>
      </w:r>
      <w:r>
        <w:rPr>
          <w:rFonts w:hint="eastAsia" w:ascii="宋体" w:hAnsi="宋体"/>
          <w:szCs w:val="21"/>
          <w:highlight w:val="none"/>
        </w:rPr>
        <w:t>万元及以上，且资产总额</w:t>
      </w:r>
      <w:r>
        <w:rPr>
          <w:rFonts w:ascii="宋体" w:hAnsi="宋体"/>
          <w:szCs w:val="21"/>
          <w:highlight w:val="none"/>
        </w:rPr>
        <w:t>5000</w:t>
      </w:r>
      <w:r>
        <w:rPr>
          <w:rFonts w:hint="eastAsia" w:ascii="宋体" w:hAnsi="宋体"/>
          <w:szCs w:val="21"/>
          <w:highlight w:val="none"/>
        </w:rPr>
        <w:t>万元及以上的为中型企业；营业收入</w:t>
      </w:r>
      <w:r>
        <w:rPr>
          <w:rFonts w:ascii="宋体" w:hAnsi="宋体"/>
          <w:szCs w:val="21"/>
          <w:highlight w:val="none"/>
        </w:rPr>
        <w:t>300</w:t>
      </w:r>
      <w:r>
        <w:rPr>
          <w:rFonts w:hint="eastAsia" w:ascii="宋体" w:hAnsi="宋体"/>
          <w:szCs w:val="21"/>
          <w:highlight w:val="none"/>
        </w:rPr>
        <w:t>万元及以上，且资产总额</w:t>
      </w:r>
      <w:r>
        <w:rPr>
          <w:rFonts w:ascii="宋体" w:hAnsi="宋体"/>
          <w:szCs w:val="21"/>
          <w:highlight w:val="none"/>
        </w:rPr>
        <w:t>300</w:t>
      </w:r>
      <w:r>
        <w:rPr>
          <w:rFonts w:hint="eastAsia" w:ascii="宋体" w:hAnsi="宋体"/>
          <w:szCs w:val="21"/>
          <w:highlight w:val="none"/>
        </w:rPr>
        <w:t>万元及以上的为小型企业；营业收入</w:t>
      </w:r>
      <w:r>
        <w:rPr>
          <w:rFonts w:ascii="宋体" w:hAnsi="宋体"/>
          <w:szCs w:val="21"/>
          <w:highlight w:val="none"/>
        </w:rPr>
        <w:t>300</w:t>
      </w:r>
      <w:r>
        <w:rPr>
          <w:rFonts w:hint="eastAsia" w:ascii="宋体" w:hAnsi="宋体"/>
          <w:szCs w:val="21"/>
          <w:highlight w:val="none"/>
        </w:rPr>
        <w:t>万元以下或资产总额</w:t>
      </w:r>
      <w:r>
        <w:rPr>
          <w:rFonts w:ascii="宋体" w:hAnsi="宋体"/>
          <w:szCs w:val="21"/>
          <w:highlight w:val="none"/>
        </w:rPr>
        <w:t>300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（四）批发业。从业人员</w:t>
      </w:r>
      <w:r>
        <w:rPr>
          <w:rFonts w:ascii="宋体" w:hAnsi="宋体"/>
          <w:szCs w:val="21"/>
          <w:highlight w:val="none"/>
        </w:rPr>
        <w:t>200</w:t>
      </w:r>
      <w:r>
        <w:rPr>
          <w:rFonts w:hint="eastAsia" w:ascii="宋体" w:hAnsi="宋体"/>
          <w:szCs w:val="21"/>
          <w:highlight w:val="none"/>
        </w:rPr>
        <w:t>人以下或营业收入</w:t>
      </w:r>
      <w:r>
        <w:rPr>
          <w:rFonts w:ascii="宋体" w:hAnsi="宋体"/>
          <w:szCs w:val="21"/>
          <w:highlight w:val="none"/>
        </w:rPr>
        <w:t>40000</w:t>
      </w:r>
      <w:r>
        <w:rPr>
          <w:rFonts w:hint="eastAsia" w:ascii="宋体" w:hAnsi="宋体"/>
          <w:szCs w:val="21"/>
          <w:highlight w:val="none"/>
        </w:rPr>
        <w:t>万元以下的为中小微型企业。其中，从业人员</w:t>
      </w:r>
      <w:r>
        <w:rPr>
          <w:rFonts w:ascii="宋体" w:hAnsi="宋体"/>
          <w:szCs w:val="21"/>
          <w:highlight w:val="none"/>
        </w:rPr>
        <w:t>20</w:t>
      </w:r>
      <w:r>
        <w:rPr>
          <w:rFonts w:hint="eastAsia" w:ascii="宋体" w:hAnsi="宋体"/>
          <w:szCs w:val="21"/>
          <w:highlight w:val="none"/>
        </w:rPr>
        <w:t>人及以上，且营业收入</w:t>
      </w:r>
      <w:r>
        <w:rPr>
          <w:rFonts w:ascii="宋体" w:hAnsi="宋体"/>
          <w:szCs w:val="21"/>
          <w:highlight w:val="none"/>
        </w:rPr>
        <w:t>5000</w:t>
      </w:r>
      <w:r>
        <w:rPr>
          <w:rFonts w:hint="eastAsia" w:ascii="宋体" w:hAnsi="宋体"/>
          <w:szCs w:val="21"/>
          <w:highlight w:val="none"/>
        </w:rPr>
        <w:t>万元及以上的为中型企业；从业人员</w:t>
      </w:r>
      <w:r>
        <w:rPr>
          <w:rFonts w:ascii="宋体" w:hAnsi="宋体"/>
          <w:szCs w:val="21"/>
          <w:highlight w:val="none"/>
        </w:rPr>
        <w:t>5</w:t>
      </w:r>
      <w:r>
        <w:rPr>
          <w:rFonts w:hint="eastAsia" w:ascii="宋体" w:hAnsi="宋体"/>
          <w:szCs w:val="21"/>
          <w:highlight w:val="none"/>
        </w:rPr>
        <w:t>人及以上，且营业收入</w:t>
      </w:r>
      <w:r>
        <w:rPr>
          <w:rFonts w:ascii="宋体" w:hAnsi="宋体"/>
          <w:szCs w:val="21"/>
          <w:highlight w:val="none"/>
        </w:rPr>
        <w:t>1000</w:t>
      </w:r>
      <w:r>
        <w:rPr>
          <w:rFonts w:hint="eastAsia" w:ascii="宋体" w:hAnsi="宋体"/>
          <w:szCs w:val="21"/>
          <w:highlight w:val="none"/>
        </w:rPr>
        <w:t>万元及以上的为小型企业；从业人员</w:t>
      </w:r>
      <w:r>
        <w:rPr>
          <w:rFonts w:ascii="宋体" w:hAnsi="宋体"/>
          <w:szCs w:val="21"/>
          <w:highlight w:val="none"/>
        </w:rPr>
        <w:t>5</w:t>
      </w:r>
      <w:r>
        <w:rPr>
          <w:rFonts w:hint="eastAsia" w:ascii="宋体" w:hAnsi="宋体"/>
          <w:szCs w:val="21"/>
          <w:highlight w:val="none"/>
        </w:rPr>
        <w:t>人以下或营业收入</w:t>
      </w:r>
      <w:r>
        <w:rPr>
          <w:rFonts w:ascii="宋体" w:hAnsi="宋体"/>
          <w:szCs w:val="21"/>
          <w:highlight w:val="none"/>
        </w:rPr>
        <w:t>1000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（五）零售业。从业人员</w:t>
      </w:r>
      <w:r>
        <w:rPr>
          <w:rFonts w:ascii="宋体" w:hAnsi="宋体"/>
          <w:szCs w:val="21"/>
          <w:highlight w:val="none"/>
        </w:rPr>
        <w:t>300</w:t>
      </w:r>
      <w:r>
        <w:rPr>
          <w:rFonts w:hint="eastAsia" w:ascii="宋体" w:hAnsi="宋体"/>
          <w:szCs w:val="21"/>
          <w:highlight w:val="none"/>
        </w:rPr>
        <w:t>人以下或营业收入</w:t>
      </w:r>
      <w:r>
        <w:rPr>
          <w:rFonts w:ascii="宋体" w:hAnsi="宋体"/>
          <w:szCs w:val="21"/>
          <w:highlight w:val="none"/>
        </w:rPr>
        <w:t>20000</w:t>
      </w:r>
      <w:r>
        <w:rPr>
          <w:rFonts w:hint="eastAsia" w:ascii="宋体" w:hAnsi="宋体"/>
          <w:szCs w:val="21"/>
          <w:highlight w:val="none"/>
        </w:rPr>
        <w:t>万元以下的为中小微型企业。其中，从业人员</w:t>
      </w:r>
      <w:r>
        <w:rPr>
          <w:rFonts w:ascii="宋体" w:hAnsi="宋体"/>
          <w:szCs w:val="21"/>
          <w:highlight w:val="none"/>
        </w:rPr>
        <w:t>50</w:t>
      </w:r>
      <w:r>
        <w:rPr>
          <w:rFonts w:hint="eastAsia" w:ascii="宋体" w:hAnsi="宋体"/>
          <w:szCs w:val="21"/>
          <w:highlight w:val="none"/>
        </w:rPr>
        <w:t>人及以上，且营业收入</w:t>
      </w:r>
      <w:r>
        <w:rPr>
          <w:rFonts w:ascii="宋体" w:hAnsi="宋体"/>
          <w:szCs w:val="21"/>
          <w:highlight w:val="none"/>
        </w:rPr>
        <w:t>500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（六）交通运输业。从业人员</w:t>
      </w:r>
      <w:r>
        <w:rPr>
          <w:rFonts w:ascii="宋体" w:hAnsi="宋体"/>
          <w:szCs w:val="21"/>
          <w:highlight w:val="none"/>
        </w:rPr>
        <w:t>1000</w:t>
      </w:r>
      <w:r>
        <w:rPr>
          <w:rFonts w:hint="eastAsia" w:ascii="宋体" w:hAnsi="宋体"/>
          <w:szCs w:val="21"/>
          <w:highlight w:val="none"/>
        </w:rPr>
        <w:t>人以下或营业收入</w:t>
      </w:r>
      <w:r>
        <w:rPr>
          <w:rFonts w:ascii="宋体" w:hAnsi="宋体"/>
          <w:szCs w:val="21"/>
          <w:highlight w:val="none"/>
        </w:rPr>
        <w:t>30000</w:t>
      </w:r>
      <w:r>
        <w:rPr>
          <w:rFonts w:hint="eastAsia" w:ascii="宋体" w:hAnsi="宋体"/>
          <w:szCs w:val="21"/>
          <w:highlight w:val="none"/>
        </w:rPr>
        <w:t>万元以下的为中小微型企业。其中，从业人员</w:t>
      </w:r>
      <w:r>
        <w:rPr>
          <w:rFonts w:ascii="宋体" w:hAnsi="宋体"/>
          <w:szCs w:val="21"/>
          <w:highlight w:val="none"/>
        </w:rPr>
        <w:t>300</w:t>
      </w:r>
      <w:r>
        <w:rPr>
          <w:rFonts w:hint="eastAsia" w:ascii="宋体" w:hAnsi="宋体"/>
          <w:szCs w:val="21"/>
          <w:highlight w:val="none"/>
        </w:rPr>
        <w:t>人及以上，且营业收入</w:t>
      </w:r>
      <w:r>
        <w:rPr>
          <w:rFonts w:ascii="宋体" w:hAnsi="宋体"/>
          <w:szCs w:val="21"/>
          <w:highlight w:val="none"/>
        </w:rPr>
        <w:t>3000</w:t>
      </w:r>
      <w:r>
        <w:rPr>
          <w:rFonts w:hint="eastAsia" w:ascii="宋体" w:hAnsi="宋体"/>
          <w:szCs w:val="21"/>
          <w:highlight w:val="none"/>
        </w:rPr>
        <w:t>万元及以上的为中型企业；从业人员</w:t>
      </w:r>
      <w:r>
        <w:rPr>
          <w:rFonts w:ascii="宋体" w:hAnsi="宋体"/>
          <w:szCs w:val="21"/>
          <w:highlight w:val="none"/>
        </w:rPr>
        <w:t>20</w:t>
      </w:r>
      <w:r>
        <w:rPr>
          <w:rFonts w:hint="eastAsia" w:ascii="宋体" w:hAnsi="宋体"/>
          <w:szCs w:val="21"/>
          <w:highlight w:val="none"/>
        </w:rPr>
        <w:t>人及以上，且营业收入</w:t>
      </w:r>
      <w:r>
        <w:rPr>
          <w:rFonts w:ascii="宋体" w:hAnsi="宋体"/>
          <w:szCs w:val="21"/>
          <w:highlight w:val="none"/>
        </w:rPr>
        <w:t>200</w:t>
      </w:r>
      <w:r>
        <w:rPr>
          <w:rFonts w:hint="eastAsia" w:ascii="宋体" w:hAnsi="宋体"/>
          <w:szCs w:val="21"/>
          <w:highlight w:val="none"/>
        </w:rPr>
        <w:t>万元及以上的为小型企业；从业人员</w:t>
      </w:r>
      <w:r>
        <w:rPr>
          <w:rFonts w:ascii="宋体" w:hAnsi="宋体"/>
          <w:szCs w:val="21"/>
          <w:highlight w:val="none"/>
        </w:rPr>
        <w:t>20</w:t>
      </w:r>
      <w:r>
        <w:rPr>
          <w:rFonts w:hint="eastAsia" w:ascii="宋体" w:hAnsi="宋体"/>
          <w:szCs w:val="21"/>
          <w:highlight w:val="none"/>
        </w:rPr>
        <w:t>人以下或营业收入</w:t>
      </w:r>
      <w:r>
        <w:rPr>
          <w:rFonts w:ascii="宋体" w:hAnsi="宋体"/>
          <w:szCs w:val="21"/>
          <w:highlight w:val="none"/>
        </w:rPr>
        <w:t>200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（七）仓储业。从业人员</w:t>
      </w:r>
      <w:r>
        <w:rPr>
          <w:rFonts w:ascii="宋体" w:hAnsi="宋体"/>
          <w:szCs w:val="21"/>
          <w:highlight w:val="none"/>
        </w:rPr>
        <w:t>200</w:t>
      </w:r>
      <w:r>
        <w:rPr>
          <w:rFonts w:hint="eastAsia" w:ascii="宋体" w:hAnsi="宋体"/>
          <w:szCs w:val="21"/>
          <w:highlight w:val="none"/>
        </w:rPr>
        <w:t>人以下或营业收入</w:t>
      </w:r>
      <w:r>
        <w:rPr>
          <w:rFonts w:ascii="宋体" w:hAnsi="宋体"/>
          <w:szCs w:val="21"/>
          <w:highlight w:val="none"/>
        </w:rPr>
        <w:t>30000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1000</w:t>
      </w:r>
      <w:r>
        <w:rPr>
          <w:rFonts w:hint="eastAsia" w:ascii="宋体" w:hAnsi="宋体"/>
          <w:szCs w:val="21"/>
          <w:highlight w:val="none"/>
        </w:rPr>
        <w:t>万元及以上的为中型企业；从业人员</w:t>
      </w:r>
      <w:r>
        <w:rPr>
          <w:rFonts w:ascii="宋体" w:hAnsi="宋体"/>
          <w:szCs w:val="21"/>
          <w:highlight w:val="none"/>
        </w:rPr>
        <w:t>20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20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（八）邮政业。从业人员</w:t>
      </w:r>
      <w:r>
        <w:rPr>
          <w:rFonts w:ascii="宋体" w:hAnsi="宋体"/>
          <w:szCs w:val="21"/>
          <w:highlight w:val="none"/>
        </w:rPr>
        <w:t>1000</w:t>
      </w:r>
      <w:r>
        <w:rPr>
          <w:rFonts w:hint="eastAsia" w:ascii="宋体" w:hAnsi="宋体"/>
          <w:szCs w:val="21"/>
          <w:highlight w:val="none"/>
        </w:rPr>
        <w:t>人以下或营业收入</w:t>
      </w:r>
      <w:r>
        <w:rPr>
          <w:rFonts w:ascii="宋体" w:hAnsi="宋体"/>
          <w:szCs w:val="21"/>
          <w:highlight w:val="none"/>
        </w:rPr>
        <w:t>30000</w:t>
      </w:r>
      <w:r>
        <w:rPr>
          <w:rFonts w:hint="eastAsia" w:ascii="宋体" w:hAnsi="宋体"/>
          <w:szCs w:val="21"/>
          <w:highlight w:val="none"/>
        </w:rPr>
        <w:t>万元以下的为中小微型企业。其中，从业人员</w:t>
      </w:r>
      <w:r>
        <w:rPr>
          <w:rFonts w:ascii="宋体" w:hAnsi="宋体"/>
          <w:szCs w:val="21"/>
          <w:highlight w:val="none"/>
        </w:rPr>
        <w:t>300</w:t>
      </w:r>
      <w:r>
        <w:rPr>
          <w:rFonts w:hint="eastAsia" w:ascii="宋体" w:hAnsi="宋体"/>
          <w:szCs w:val="21"/>
          <w:highlight w:val="none"/>
        </w:rPr>
        <w:t>人及以上，且营业收入</w:t>
      </w:r>
      <w:r>
        <w:rPr>
          <w:rFonts w:ascii="宋体" w:hAnsi="宋体"/>
          <w:szCs w:val="21"/>
          <w:highlight w:val="none"/>
        </w:rPr>
        <w:t>2000</w:t>
      </w:r>
      <w:r>
        <w:rPr>
          <w:rFonts w:hint="eastAsia" w:ascii="宋体" w:hAnsi="宋体"/>
          <w:szCs w:val="21"/>
          <w:highlight w:val="none"/>
        </w:rPr>
        <w:t>万元及以上的为中型企业；从业人员</w:t>
      </w:r>
      <w:r>
        <w:rPr>
          <w:rFonts w:ascii="宋体" w:hAnsi="宋体"/>
          <w:szCs w:val="21"/>
          <w:highlight w:val="none"/>
        </w:rPr>
        <w:t>20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20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（九）住宿业。从业人员</w:t>
      </w:r>
      <w:r>
        <w:rPr>
          <w:rFonts w:ascii="宋体" w:hAnsi="宋体"/>
          <w:szCs w:val="21"/>
          <w:highlight w:val="none"/>
        </w:rPr>
        <w:t>300</w:t>
      </w:r>
      <w:r>
        <w:rPr>
          <w:rFonts w:hint="eastAsia" w:ascii="宋体" w:hAnsi="宋体"/>
          <w:szCs w:val="21"/>
          <w:highlight w:val="none"/>
        </w:rPr>
        <w:t>人以下或营业收入</w:t>
      </w:r>
      <w:r>
        <w:rPr>
          <w:rFonts w:ascii="宋体" w:hAnsi="宋体"/>
          <w:szCs w:val="21"/>
          <w:highlight w:val="none"/>
        </w:rPr>
        <w:t>10000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2000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（十）餐饮业。从业人员</w:t>
      </w:r>
      <w:r>
        <w:rPr>
          <w:rFonts w:ascii="宋体" w:hAnsi="宋体"/>
          <w:szCs w:val="21"/>
          <w:highlight w:val="none"/>
        </w:rPr>
        <w:t>300</w:t>
      </w:r>
      <w:r>
        <w:rPr>
          <w:rFonts w:hint="eastAsia" w:ascii="宋体" w:hAnsi="宋体"/>
          <w:szCs w:val="21"/>
          <w:highlight w:val="none"/>
        </w:rPr>
        <w:t>人以下或营业收入</w:t>
      </w:r>
      <w:r>
        <w:rPr>
          <w:rFonts w:ascii="宋体" w:hAnsi="宋体"/>
          <w:szCs w:val="21"/>
          <w:highlight w:val="none"/>
        </w:rPr>
        <w:t>10000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2000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（十一）信息传输业。从业人员</w:t>
      </w:r>
      <w:r>
        <w:rPr>
          <w:rFonts w:ascii="宋体" w:hAnsi="宋体"/>
          <w:szCs w:val="21"/>
          <w:highlight w:val="none"/>
        </w:rPr>
        <w:t>2000</w:t>
      </w:r>
      <w:r>
        <w:rPr>
          <w:rFonts w:hint="eastAsia" w:ascii="宋体" w:hAnsi="宋体"/>
          <w:szCs w:val="21"/>
          <w:highlight w:val="none"/>
        </w:rPr>
        <w:t>人以下或营业收入</w:t>
      </w:r>
      <w:r>
        <w:rPr>
          <w:rFonts w:ascii="宋体" w:hAnsi="宋体"/>
          <w:szCs w:val="21"/>
          <w:highlight w:val="none"/>
        </w:rPr>
        <w:t>100000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1000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人及以上，且营业收入</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人以下或营业收入</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（十二）软件和信息技术服务业。从业人员</w:t>
      </w:r>
      <w:r>
        <w:rPr>
          <w:rFonts w:ascii="宋体" w:hAnsi="宋体"/>
          <w:szCs w:val="21"/>
          <w:highlight w:val="none"/>
        </w:rPr>
        <w:t>300</w:t>
      </w:r>
      <w:r>
        <w:rPr>
          <w:rFonts w:hint="eastAsia" w:ascii="宋体" w:hAnsi="宋体"/>
          <w:szCs w:val="21"/>
          <w:highlight w:val="none"/>
        </w:rPr>
        <w:t>人以下或营业收入</w:t>
      </w:r>
      <w:r>
        <w:rPr>
          <w:rFonts w:ascii="宋体" w:hAnsi="宋体"/>
          <w:szCs w:val="21"/>
          <w:highlight w:val="none"/>
        </w:rPr>
        <w:t>10000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1000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人及以上，且营业收入</w:t>
      </w:r>
      <w:r>
        <w:rPr>
          <w:rFonts w:ascii="宋体" w:hAnsi="宋体"/>
          <w:szCs w:val="21"/>
          <w:highlight w:val="none"/>
        </w:rPr>
        <w:t>50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人以下或营业收入</w:t>
      </w:r>
      <w:r>
        <w:rPr>
          <w:rFonts w:ascii="宋体" w:hAnsi="宋体"/>
          <w:szCs w:val="21"/>
          <w:highlight w:val="none"/>
        </w:rPr>
        <w:t>50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（十三）房地产开发经营。营业收入</w:t>
      </w:r>
      <w:r>
        <w:rPr>
          <w:rFonts w:ascii="宋体" w:hAnsi="宋体"/>
          <w:szCs w:val="21"/>
          <w:highlight w:val="none"/>
        </w:rPr>
        <w:t>200000</w:t>
      </w:r>
      <w:r>
        <w:rPr>
          <w:rFonts w:hint="eastAsia" w:ascii="宋体" w:hAnsi="宋体"/>
          <w:szCs w:val="21"/>
          <w:highlight w:val="none"/>
        </w:rPr>
        <w:t>万元以下或资产总额</w:t>
      </w:r>
      <w:r>
        <w:rPr>
          <w:rFonts w:ascii="宋体" w:hAnsi="宋体"/>
          <w:szCs w:val="21"/>
          <w:highlight w:val="none"/>
        </w:rPr>
        <w:t>10000</w:t>
      </w:r>
      <w:r>
        <w:rPr>
          <w:rFonts w:hint="eastAsia" w:ascii="宋体" w:hAnsi="宋体"/>
          <w:szCs w:val="21"/>
          <w:highlight w:val="none"/>
        </w:rPr>
        <w:t>万元以下的为中小微型企业。其中，营业收入</w:t>
      </w:r>
      <w:r>
        <w:rPr>
          <w:rFonts w:ascii="宋体" w:hAnsi="宋体"/>
          <w:szCs w:val="21"/>
          <w:highlight w:val="none"/>
        </w:rPr>
        <w:t>1000</w:t>
      </w:r>
      <w:r>
        <w:rPr>
          <w:rFonts w:hint="eastAsia" w:ascii="宋体" w:hAnsi="宋体"/>
          <w:szCs w:val="21"/>
          <w:highlight w:val="none"/>
        </w:rPr>
        <w:t>万元及以上，且资产总额</w:t>
      </w:r>
      <w:r>
        <w:rPr>
          <w:rFonts w:ascii="宋体" w:hAnsi="宋体"/>
          <w:szCs w:val="21"/>
          <w:highlight w:val="none"/>
        </w:rPr>
        <w:t>5000</w:t>
      </w:r>
      <w:r>
        <w:rPr>
          <w:rFonts w:hint="eastAsia" w:ascii="宋体" w:hAnsi="宋体"/>
          <w:szCs w:val="21"/>
          <w:highlight w:val="none"/>
        </w:rPr>
        <w:t>万元及以上的为中型企业；营业收入</w:t>
      </w:r>
      <w:r>
        <w:rPr>
          <w:rFonts w:ascii="宋体" w:hAnsi="宋体"/>
          <w:szCs w:val="21"/>
          <w:highlight w:val="none"/>
        </w:rPr>
        <w:t>100</w:t>
      </w:r>
      <w:r>
        <w:rPr>
          <w:rFonts w:hint="eastAsia" w:ascii="宋体" w:hAnsi="宋体"/>
          <w:szCs w:val="21"/>
          <w:highlight w:val="none"/>
        </w:rPr>
        <w:t>万元及以上，且资产总额</w:t>
      </w:r>
      <w:r>
        <w:rPr>
          <w:rFonts w:ascii="宋体" w:hAnsi="宋体"/>
          <w:szCs w:val="21"/>
          <w:highlight w:val="none"/>
        </w:rPr>
        <w:t>2000</w:t>
      </w:r>
      <w:r>
        <w:rPr>
          <w:rFonts w:hint="eastAsia" w:ascii="宋体" w:hAnsi="宋体"/>
          <w:szCs w:val="21"/>
          <w:highlight w:val="none"/>
        </w:rPr>
        <w:t>万元及以上的为小型企业；营业收入</w:t>
      </w:r>
      <w:r>
        <w:rPr>
          <w:rFonts w:ascii="宋体" w:hAnsi="宋体"/>
          <w:szCs w:val="21"/>
          <w:highlight w:val="none"/>
        </w:rPr>
        <w:t>100</w:t>
      </w:r>
      <w:r>
        <w:rPr>
          <w:rFonts w:hint="eastAsia" w:ascii="宋体" w:hAnsi="宋体"/>
          <w:szCs w:val="21"/>
          <w:highlight w:val="none"/>
        </w:rPr>
        <w:t>万元以下或资产总额</w:t>
      </w:r>
      <w:r>
        <w:rPr>
          <w:rFonts w:ascii="宋体" w:hAnsi="宋体"/>
          <w:szCs w:val="21"/>
          <w:highlight w:val="none"/>
        </w:rPr>
        <w:t>2000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（十四）物业管理。从业人员</w:t>
      </w:r>
      <w:r>
        <w:rPr>
          <w:rFonts w:ascii="宋体" w:hAnsi="宋体"/>
          <w:szCs w:val="21"/>
          <w:highlight w:val="none"/>
        </w:rPr>
        <w:t>1000</w:t>
      </w:r>
      <w:r>
        <w:rPr>
          <w:rFonts w:hint="eastAsia" w:ascii="宋体" w:hAnsi="宋体"/>
          <w:szCs w:val="21"/>
          <w:highlight w:val="none"/>
        </w:rPr>
        <w:t>人以下或营业收入</w:t>
      </w:r>
      <w:r>
        <w:rPr>
          <w:rFonts w:ascii="宋体" w:hAnsi="宋体"/>
          <w:szCs w:val="21"/>
          <w:highlight w:val="none"/>
        </w:rPr>
        <w:t>5000</w:t>
      </w:r>
      <w:r>
        <w:rPr>
          <w:rFonts w:hint="eastAsia" w:ascii="宋体" w:hAnsi="宋体"/>
          <w:szCs w:val="21"/>
          <w:highlight w:val="none"/>
        </w:rPr>
        <w:t>万元以下的为中小微型企业。其中，从业人员</w:t>
      </w:r>
      <w:r>
        <w:rPr>
          <w:rFonts w:ascii="宋体" w:hAnsi="宋体"/>
          <w:szCs w:val="21"/>
          <w:highlight w:val="none"/>
        </w:rPr>
        <w:t>300</w:t>
      </w:r>
      <w:r>
        <w:rPr>
          <w:rFonts w:hint="eastAsia" w:ascii="宋体" w:hAnsi="宋体"/>
          <w:szCs w:val="21"/>
          <w:highlight w:val="none"/>
        </w:rPr>
        <w:t>人及以上，且营业收入</w:t>
      </w:r>
      <w:r>
        <w:rPr>
          <w:rFonts w:ascii="宋体" w:hAnsi="宋体"/>
          <w:szCs w:val="21"/>
          <w:highlight w:val="none"/>
        </w:rPr>
        <w:t>1000</w:t>
      </w:r>
      <w:r>
        <w:rPr>
          <w:rFonts w:hint="eastAsia" w:ascii="宋体" w:hAnsi="宋体"/>
          <w:szCs w:val="21"/>
          <w:highlight w:val="none"/>
        </w:rPr>
        <w:t>万元及以上的为中型企业；从业人员</w:t>
      </w:r>
      <w:r>
        <w:rPr>
          <w:rFonts w:ascii="宋体" w:hAnsi="宋体"/>
          <w:szCs w:val="21"/>
          <w:highlight w:val="none"/>
        </w:rPr>
        <w:t>100</w:t>
      </w:r>
      <w:r>
        <w:rPr>
          <w:rFonts w:hint="eastAsia" w:ascii="宋体" w:hAnsi="宋体"/>
          <w:szCs w:val="21"/>
          <w:highlight w:val="none"/>
        </w:rPr>
        <w:t>人及以上，且营业收入</w:t>
      </w:r>
      <w:r>
        <w:rPr>
          <w:rFonts w:ascii="宋体" w:hAnsi="宋体"/>
          <w:szCs w:val="21"/>
          <w:highlight w:val="none"/>
        </w:rPr>
        <w:t>500</w:t>
      </w:r>
      <w:r>
        <w:rPr>
          <w:rFonts w:hint="eastAsia" w:ascii="宋体" w:hAnsi="宋体"/>
          <w:szCs w:val="21"/>
          <w:highlight w:val="none"/>
        </w:rPr>
        <w:t>万元及以上的为小型企业；从业人员</w:t>
      </w:r>
      <w:r>
        <w:rPr>
          <w:rFonts w:ascii="宋体" w:hAnsi="宋体"/>
          <w:szCs w:val="21"/>
          <w:highlight w:val="none"/>
        </w:rPr>
        <w:t>100</w:t>
      </w:r>
      <w:r>
        <w:rPr>
          <w:rFonts w:hint="eastAsia" w:ascii="宋体" w:hAnsi="宋体"/>
          <w:szCs w:val="21"/>
          <w:highlight w:val="none"/>
        </w:rPr>
        <w:t>人以下或营业收入</w:t>
      </w:r>
      <w:r>
        <w:rPr>
          <w:rFonts w:ascii="宋体" w:hAnsi="宋体"/>
          <w:szCs w:val="21"/>
          <w:highlight w:val="none"/>
        </w:rPr>
        <w:t>500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（十五）租赁和商务服务业。从业人员</w:t>
      </w:r>
      <w:r>
        <w:rPr>
          <w:rFonts w:ascii="宋体" w:hAnsi="宋体"/>
          <w:szCs w:val="21"/>
          <w:highlight w:val="none"/>
        </w:rPr>
        <w:t>300</w:t>
      </w:r>
      <w:r>
        <w:rPr>
          <w:rFonts w:hint="eastAsia" w:ascii="宋体" w:hAnsi="宋体"/>
          <w:szCs w:val="21"/>
          <w:highlight w:val="none"/>
        </w:rPr>
        <w:t>人以下或资产总额</w:t>
      </w:r>
      <w:r>
        <w:rPr>
          <w:rFonts w:ascii="宋体" w:hAnsi="宋体"/>
          <w:szCs w:val="21"/>
          <w:highlight w:val="none"/>
        </w:rPr>
        <w:t>120000</w:t>
      </w:r>
      <w:r>
        <w:rPr>
          <w:rFonts w:hint="eastAsia" w:ascii="宋体" w:hAnsi="宋体"/>
          <w:szCs w:val="21"/>
          <w:highlight w:val="none"/>
        </w:rPr>
        <w:t>万元以下的为中小微型企业。其中，从业人员</w:t>
      </w:r>
      <w:r>
        <w:rPr>
          <w:rFonts w:ascii="宋体" w:hAnsi="宋体"/>
          <w:szCs w:val="21"/>
          <w:highlight w:val="none"/>
        </w:rPr>
        <w:t>100</w:t>
      </w:r>
      <w:r>
        <w:rPr>
          <w:rFonts w:hint="eastAsia" w:ascii="宋体" w:hAnsi="宋体"/>
          <w:szCs w:val="21"/>
          <w:highlight w:val="none"/>
        </w:rPr>
        <w:t>人及以上，且资产总额</w:t>
      </w:r>
      <w:r>
        <w:rPr>
          <w:rFonts w:ascii="宋体" w:hAnsi="宋体"/>
          <w:szCs w:val="21"/>
          <w:highlight w:val="none"/>
        </w:rPr>
        <w:t>8000</w:t>
      </w:r>
      <w:r>
        <w:rPr>
          <w:rFonts w:hint="eastAsia" w:ascii="宋体" w:hAnsi="宋体"/>
          <w:szCs w:val="21"/>
          <w:highlight w:val="none"/>
        </w:rPr>
        <w:t>万元及以上的为中型企业；从业人员</w:t>
      </w:r>
      <w:r>
        <w:rPr>
          <w:rFonts w:ascii="宋体" w:hAnsi="宋体"/>
          <w:szCs w:val="21"/>
          <w:highlight w:val="none"/>
        </w:rPr>
        <w:t>10</w:t>
      </w:r>
      <w:r>
        <w:rPr>
          <w:rFonts w:hint="eastAsia" w:ascii="宋体" w:hAnsi="宋体"/>
          <w:szCs w:val="21"/>
          <w:highlight w:val="none"/>
        </w:rPr>
        <w:t>人及以上，且资产总额</w:t>
      </w:r>
      <w:r>
        <w:rPr>
          <w:rFonts w:ascii="宋体" w:hAnsi="宋体"/>
          <w:szCs w:val="21"/>
          <w:highlight w:val="none"/>
        </w:rPr>
        <w:t>100</w:t>
      </w:r>
      <w:r>
        <w:rPr>
          <w:rFonts w:hint="eastAsia" w:ascii="宋体" w:hAnsi="宋体"/>
          <w:szCs w:val="21"/>
          <w:highlight w:val="none"/>
        </w:rPr>
        <w:t>万元及以上的为小型企业；从业人员</w:t>
      </w:r>
      <w:r>
        <w:rPr>
          <w:rFonts w:ascii="宋体" w:hAnsi="宋体"/>
          <w:szCs w:val="21"/>
          <w:highlight w:val="none"/>
        </w:rPr>
        <w:t>10</w:t>
      </w:r>
      <w:r>
        <w:rPr>
          <w:rFonts w:hint="eastAsia" w:ascii="宋体" w:hAnsi="宋体"/>
          <w:szCs w:val="21"/>
          <w:highlight w:val="none"/>
        </w:rPr>
        <w:t>人以下或资产总额</w:t>
      </w:r>
      <w:r>
        <w:rPr>
          <w:rFonts w:ascii="宋体" w:hAnsi="宋体"/>
          <w:szCs w:val="21"/>
          <w:highlight w:val="none"/>
        </w:rPr>
        <w:t>100</w:t>
      </w:r>
      <w:r>
        <w:rPr>
          <w:rFonts w:hint="eastAsia" w:ascii="宋体" w:hAnsi="宋体"/>
          <w:szCs w:val="21"/>
          <w:highlight w:val="none"/>
        </w:rPr>
        <w:t>万元以下的为微型企业。</w:t>
      </w:r>
    </w:p>
    <w:p>
      <w:pPr>
        <w:pStyle w:val="20"/>
        <w:rPr>
          <w:rFonts w:ascii="宋体" w:hAnsi="宋体"/>
          <w:szCs w:val="21"/>
          <w:highlight w:val="none"/>
        </w:rPr>
      </w:pPr>
      <w:r>
        <w:rPr>
          <w:rFonts w:hint="eastAsia" w:ascii="宋体" w:hAnsi="宋体"/>
          <w:szCs w:val="21"/>
          <w:highlight w:val="none"/>
        </w:rPr>
        <w:t>　　（十六）其他未列明行业。从业人员</w:t>
      </w:r>
      <w:r>
        <w:rPr>
          <w:rFonts w:ascii="宋体" w:hAnsi="宋体"/>
          <w:szCs w:val="21"/>
          <w:highlight w:val="none"/>
        </w:rPr>
        <w:t>300</w:t>
      </w:r>
      <w:r>
        <w:rPr>
          <w:rFonts w:hint="eastAsia" w:ascii="宋体" w:hAnsi="宋体"/>
          <w:szCs w:val="21"/>
          <w:highlight w:val="none"/>
        </w:rPr>
        <w:t>人以下的为中小微型企业。其中，从业人员</w:t>
      </w:r>
      <w:r>
        <w:rPr>
          <w:rFonts w:ascii="宋体" w:hAnsi="宋体"/>
          <w:szCs w:val="21"/>
          <w:highlight w:val="none"/>
        </w:rPr>
        <w:t>100</w:t>
      </w:r>
      <w:r>
        <w:rPr>
          <w:rFonts w:hint="eastAsia" w:ascii="宋体" w:hAnsi="宋体"/>
          <w:szCs w:val="21"/>
          <w:highlight w:val="none"/>
        </w:rPr>
        <w:t>人及以上的为中型企业；从业人员</w:t>
      </w:r>
      <w:r>
        <w:rPr>
          <w:rFonts w:ascii="宋体" w:hAnsi="宋体"/>
          <w:szCs w:val="21"/>
          <w:highlight w:val="none"/>
        </w:rPr>
        <w:t>10</w:t>
      </w:r>
      <w:r>
        <w:rPr>
          <w:rFonts w:hint="eastAsia" w:ascii="宋体" w:hAnsi="宋体"/>
          <w:szCs w:val="21"/>
          <w:highlight w:val="none"/>
        </w:rPr>
        <w:t>人及以上的为小型企业；从业人员</w:t>
      </w:r>
      <w:r>
        <w:rPr>
          <w:rFonts w:ascii="宋体" w:hAnsi="宋体"/>
          <w:szCs w:val="21"/>
          <w:highlight w:val="none"/>
        </w:rPr>
        <w:t>10</w:t>
      </w:r>
      <w:r>
        <w:rPr>
          <w:rFonts w:hint="eastAsia" w:ascii="宋体" w:hAnsi="宋体"/>
          <w:szCs w:val="21"/>
          <w:highlight w:val="none"/>
        </w:rPr>
        <w:t>人以下的为微型企业。</w:t>
      </w:r>
    </w:p>
    <w:p>
      <w:pPr>
        <w:pStyle w:val="20"/>
        <w:rPr>
          <w:rFonts w:ascii="宋体" w:hAnsi="宋体"/>
          <w:szCs w:val="21"/>
          <w:highlight w:val="none"/>
        </w:rPr>
      </w:pPr>
      <w:r>
        <w:rPr>
          <w:rFonts w:hint="eastAsia" w:ascii="宋体" w:hAnsi="宋体"/>
          <w:szCs w:val="21"/>
          <w:highlight w:val="none"/>
        </w:rPr>
        <w:t>　　五、企业类型的划分以统计部门的统计数据为依据。</w:t>
      </w:r>
    </w:p>
    <w:p>
      <w:pPr>
        <w:pStyle w:val="20"/>
        <w:rPr>
          <w:rFonts w:ascii="宋体" w:hAnsi="宋体"/>
          <w:szCs w:val="21"/>
          <w:highlight w:val="none"/>
        </w:rPr>
      </w:pPr>
      <w:r>
        <w:rPr>
          <w:rFonts w:hint="eastAsia" w:ascii="宋体" w:hAnsi="宋体"/>
          <w:szCs w:val="21"/>
          <w:highlight w:val="none"/>
        </w:rPr>
        <w:t>　　六、本规定适用于在中华人民共和国境内依法设立的各类所有制和各种组织形式的企业。个体工商户和本规定以外的行业，参照本规定进行划型。</w:t>
      </w:r>
    </w:p>
    <w:p>
      <w:pPr>
        <w:pStyle w:val="20"/>
        <w:rPr>
          <w:rFonts w:ascii="宋体" w:hAnsi="宋体"/>
          <w:szCs w:val="21"/>
          <w:highlight w:val="none"/>
        </w:rPr>
      </w:pPr>
      <w:r>
        <w:rPr>
          <w:rFonts w:hint="eastAsia" w:ascii="宋体" w:hAnsi="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0"/>
        <w:rPr>
          <w:rFonts w:ascii="宋体" w:hAnsi="宋体"/>
          <w:szCs w:val="21"/>
          <w:highlight w:val="none"/>
        </w:rPr>
      </w:pPr>
      <w:r>
        <w:rPr>
          <w:rFonts w:hint="eastAsia" w:ascii="宋体" w:hAnsi="宋体"/>
          <w:szCs w:val="21"/>
          <w:highlight w:val="none"/>
        </w:rPr>
        <w:t>　　八、本规定由工业和信息化部、国家统计局会同有关部门根据《国民经济行业分类》修订情况和企业发展变化情况适时修订。</w:t>
      </w:r>
    </w:p>
    <w:p>
      <w:pPr>
        <w:pStyle w:val="20"/>
        <w:rPr>
          <w:rFonts w:ascii="宋体" w:hAnsi="宋体"/>
          <w:szCs w:val="21"/>
          <w:highlight w:val="none"/>
        </w:rPr>
      </w:pPr>
      <w:r>
        <w:rPr>
          <w:rFonts w:hint="eastAsia" w:ascii="宋体" w:hAnsi="宋体"/>
          <w:szCs w:val="21"/>
          <w:highlight w:val="none"/>
        </w:rPr>
        <w:t>　　九、本规定由工业和信息化部、国家统计局会同有关部门负责解释。</w:t>
      </w:r>
    </w:p>
    <w:p>
      <w:pPr>
        <w:pStyle w:val="20"/>
        <w:ind w:firstLine="420"/>
        <w:rPr>
          <w:rFonts w:ascii="宋体" w:hAnsi="宋体"/>
          <w:szCs w:val="21"/>
          <w:highlight w:val="none"/>
        </w:rPr>
      </w:pPr>
      <w:r>
        <w:rPr>
          <w:rFonts w:hint="eastAsia" w:ascii="宋体" w:hAnsi="宋体"/>
          <w:szCs w:val="21"/>
          <w:highlight w:val="none"/>
        </w:rPr>
        <w:t>十、本规定自发布之日起执行，原国家经贸委、原国家计委、财政部和国家统计局</w:t>
      </w:r>
      <w:r>
        <w:rPr>
          <w:rFonts w:ascii="宋体" w:hAnsi="宋体"/>
          <w:szCs w:val="21"/>
          <w:highlight w:val="none"/>
        </w:rPr>
        <w:t>2003</w:t>
      </w:r>
      <w:r>
        <w:rPr>
          <w:rFonts w:hint="eastAsia" w:ascii="宋体" w:hAnsi="宋体"/>
          <w:szCs w:val="21"/>
          <w:highlight w:val="none"/>
        </w:rPr>
        <w:t>年颁布的《中小企业标准暂行规定》同时废止。</w:t>
      </w:r>
    </w:p>
    <w:p>
      <w:pPr>
        <w:rPr>
          <w:rFonts w:ascii="宋体" w:hAnsi="宋体" w:cs="宋体"/>
          <w:sz w:val="20"/>
          <w:szCs w:val="20"/>
          <w:highlight w:val="none"/>
        </w:rPr>
      </w:pPr>
    </w:p>
    <w:p>
      <w:pPr>
        <w:pStyle w:val="3"/>
        <w:spacing w:before="0" w:after="0" w:line="360" w:lineRule="auto"/>
        <w:jc w:val="center"/>
        <w:rPr>
          <w:rFonts w:hint="eastAsia" w:ascii="宋体" w:hAnsi="宋体"/>
          <w:highlight w:val="none"/>
        </w:rPr>
      </w:pPr>
      <w:r>
        <w:rPr>
          <w:rFonts w:ascii="宋体" w:hAnsi="宋体" w:cs="宋体"/>
          <w:sz w:val="20"/>
          <w:szCs w:val="20"/>
          <w:highlight w:val="none"/>
        </w:rPr>
        <w:br w:type="page"/>
      </w:r>
      <w:bookmarkStart w:id="73" w:name="OLE_LINK16"/>
      <w:bookmarkStart w:id="74" w:name="_Toc23318"/>
      <w:bookmarkStart w:id="75" w:name="_Toc74323459"/>
      <w:r>
        <w:rPr>
          <w:rFonts w:hint="eastAsia" w:ascii="宋体" w:hAnsi="宋体"/>
          <w:highlight w:val="none"/>
        </w:rPr>
        <w:t>第四章  评审程序、评审方法和评审标准</w:t>
      </w:r>
      <w:bookmarkEnd w:id="73"/>
      <w:bookmarkEnd w:id="74"/>
      <w:bookmarkEnd w:id="75"/>
    </w:p>
    <w:p>
      <w:pPr>
        <w:spacing w:line="360" w:lineRule="auto"/>
        <w:jc w:val="center"/>
        <w:outlineLvl w:val="1"/>
        <w:rPr>
          <w:rFonts w:hint="eastAsia" w:ascii="宋体" w:hAnsi="宋体"/>
          <w:b/>
          <w:sz w:val="32"/>
          <w:szCs w:val="32"/>
          <w:highlight w:val="none"/>
        </w:rPr>
      </w:pPr>
      <w:r>
        <w:rPr>
          <w:rFonts w:hint="eastAsia" w:ascii="宋体" w:hAnsi="宋体"/>
          <w:b/>
          <w:sz w:val="32"/>
          <w:szCs w:val="32"/>
          <w:highlight w:val="none"/>
        </w:rPr>
        <w:t>一、评审程序和评审方法</w:t>
      </w:r>
    </w:p>
    <w:p>
      <w:pPr>
        <w:spacing w:line="360" w:lineRule="auto"/>
        <w:ind w:firstLine="482" w:firstLineChars="200"/>
        <w:outlineLvl w:val="2"/>
        <w:rPr>
          <w:rFonts w:hint="eastAsia" w:ascii="宋体" w:hAnsi="宋体" w:cs="宋体"/>
          <w:b/>
          <w:bCs/>
          <w:sz w:val="24"/>
          <w:highlight w:val="none"/>
        </w:rPr>
      </w:pPr>
      <w:r>
        <w:rPr>
          <w:rFonts w:ascii="宋体" w:hAnsi="宋体" w:cs="宋体"/>
          <w:b/>
          <w:bCs/>
          <w:sz w:val="24"/>
          <w:highlight w:val="none"/>
        </w:rPr>
        <w:t>1</w:t>
      </w:r>
      <w:r>
        <w:rPr>
          <w:rFonts w:hint="eastAsia" w:ascii="宋体" w:hAnsi="宋体" w:cs="宋体"/>
          <w:b/>
          <w:bCs/>
          <w:sz w:val="24"/>
          <w:highlight w:val="none"/>
        </w:rPr>
        <w:t>.资格审查</w:t>
      </w:r>
    </w:p>
    <w:p>
      <w:pPr>
        <w:snapToGrid w:val="0"/>
        <w:spacing w:line="360" w:lineRule="auto"/>
        <w:ind w:firstLine="422" w:firstLineChars="200"/>
        <w:rPr>
          <w:rFonts w:ascii="宋体" w:hAnsi="宋体"/>
          <w:b/>
          <w:bCs/>
          <w:szCs w:val="21"/>
          <w:highlight w:val="none"/>
        </w:rPr>
      </w:pPr>
      <w:r>
        <w:rPr>
          <w:rFonts w:ascii="宋体" w:hAnsi="宋体" w:cs="宋体"/>
          <w:b/>
          <w:bCs/>
          <w:szCs w:val="21"/>
          <w:highlight w:val="none"/>
        </w:rPr>
        <w:t>1</w:t>
      </w:r>
      <w:r>
        <w:rPr>
          <w:rFonts w:hint="eastAsia" w:ascii="宋体" w:hAnsi="宋体" w:cs="宋体"/>
          <w:b/>
          <w:bCs/>
          <w:szCs w:val="21"/>
          <w:highlight w:val="none"/>
        </w:rPr>
        <w:t>.1</w:t>
      </w:r>
      <w:r>
        <w:rPr>
          <w:rFonts w:hint="eastAsia" w:ascii="宋体" w:hAnsi="宋体"/>
          <w:b/>
          <w:bCs/>
          <w:szCs w:val="21"/>
          <w:highlight w:val="none"/>
        </w:rPr>
        <w:t>响应文件开启后，磋商小组依法对供应商的资格证明文件进行审查。</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w:t>
      </w:r>
      <w:r>
        <w:rPr>
          <w:rFonts w:hint="eastAsia" w:ascii="宋体" w:hAnsi="宋体"/>
          <w:highlight w:val="none"/>
        </w:rPr>
        <w:t>磋商小组</w:t>
      </w:r>
      <w:r>
        <w:rPr>
          <w:rFonts w:hint="eastAsia" w:ascii="宋体" w:hAnsi="宋体" w:cs="宋体"/>
          <w:szCs w:val="21"/>
          <w:highlight w:val="none"/>
        </w:rPr>
        <w:t>在资格审查结束前，对供应商进行信用查询。</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（1）查询渠道：”广西政府采购云平台”“信用中国”网站(www.creditchina.gov.cn)、中国政府采购网(www.ccgp.gov.cn)链接入口。</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（2）信用查询截止时点：资格审查结束前。</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highlight w:val="none"/>
        </w:rPr>
        <w:t>。</w:t>
      </w:r>
    </w:p>
    <w:p>
      <w:pPr>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2资格审查标准为本磋商文件中载明对供应商资格要求的条件。资格审查采用合格制，凡符合磋商文件规定的供应商资格要求的响应文件均通过资格审查。本项目资格审查采用合格制，凡符合磋商文件规定的供应商资格要求的供应商均通过资格审查。资格审查表如下，缺少任何一项或有任何一项不合格者，其资格审查视为不合格。</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906"/>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3" w:type="dxa"/>
            <w:noWrap w:val="0"/>
            <w:vAlign w:val="center"/>
          </w:tcPr>
          <w:p>
            <w:pPr>
              <w:spacing w:line="360" w:lineRule="exact"/>
              <w:jc w:val="center"/>
              <w:rPr>
                <w:rFonts w:hint="eastAsia" w:ascii="宋体" w:hAnsi="宋体" w:cs="宋体"/>
                <w:b/>
                <w:kern w:val="0"/>
                <w:szCs w:val="21"/>
                <w:highlight w:val="none"/>
              </w:rPr>
            </w:pPr>
            <w:bookmarkStart w:id="76" w:name="OLE_LINK21"/>
            <w:r>
              <w:rPr>
                <w:rFonts w:hint="eastAsia" w:ascii="宋体" w:hAnsi="宋体" w:cs="宋体"/>
                <w:b/>
                <w:kern w:val="0"/>
                <w:szCs w:val="21"/>
                <w:highlight w:val="none"/>
              </w:rPr>
              <w:t>序号</w:t>
            </w:r>
          </w:p>
        </w:tc>
        <w:tc>
          <w:tcPr>
            <w:tcW w:w="1906" w:type="dxa"/>
            <w:noWrap w:val="0"/>
            <w:vAlign w:val="center"/>
          </w:tcPr>
          <w:p>
            <w:pPr>
              <w:spacing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评审因素</w:t>
            </w:r>
          </w:p>
        </w:tc>
        <w:tc>
          <w:tcPr>
            <w:tcW w:w="5973" w:type="dxa"/>
            <w:noWrap w:val="0"/>
            <w:vAlign w:val="center"/>
          </w:tcPr>
          <w:p>
            <w:pPr>
              <w:spacing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43" w:type="dxa"/>
            <w:vMerge w:val="restart"/>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1906"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具有独立承担民事责任的能力</w:t>
            </w:r>
          </w:p>
        </w:tc>
        <w:tc>
          <w:tcPr>
            <w:tcW w:w="5973" w:type="dxa"/>
            <w:noWrap w:val="0"/>
            <w:vAlign w:val="top"/>
          </w:tcPr>
          <w:p>
            <w:pPr>
              <w:spacing w:line="360" w:lineRule="auto"/>
              <w:jc w:val="left"/>
              <w:rPr>
                <w:rFonts w:hint="eastAsia" w:ascii="宋体" w:hAnsi="宋体" w:cs="宋体"/>
                <w:szCs w:val="21"/>
                <w:highlight w:val="none"/>
              </w:rPr>
            </w:pPr>
            <w:r>
              <w:rPr>
                <w:rFonts w:hint="eastAsia" w:ascii="宋体" w:hAnsi="宋体" w:cs="宋体"/>
                <w:szCs w:val="21"/>
                <w:highlight w:val="none"/>
              </w:rPr>
              <w:t>审查法人或者其他组织的营业执照等证明文件、自然人的身份证明。须按以下要求提供，材料须有效。</w:t>
            </w:r>
          </w:p>
          <w:p>
            <w:pPr>
              <w:spacing w:line="360" w:lineRule="auto"/>
              <w:jc w:val="left"/>
              <w:rPr>
                <w:rFonts w:hint="eastAsia" w:ascii="宋体" w:hAnsi="宋体" w:cs="宋体"/>
                <w:szCs w:val="21"/>
                <w:highlight w:val="none"/>
              </w:rPr>
            </w:pPr>
            <w:r>
              <w:rPr>
                <w:rFonts w:hint="eastAsia" w:ascii="宋体" w:hAnsi="宋体" w:cs="宋体"/>
                <w:szCs w:val="21"/>
                <w:highlight w:val="none"/>
              </w:rPr>
              <w:t>供应商是企业则审查营业执照（副本）</w:t>
            </w:r>
            <w:r>
              <w:rPr>
                <w:rFonts w:hint="eastAsia" w:ascii="宋体" w:hAnsi="宋体" w:cs="宋体"/>
                <w:szCs w:val="21"/>
                <w:highlight w:val="none"/>
                <w:lang w:eastAsia="zh-CN"/>
              </w:rPr>
              <w:t>扫描件</w:t>
            </w:r>
            <w:r>
              <w:rPr>
                <w:rFonts w:hint="eastAsia" w:ascii="宋体" w:hAnsi="宋体" w:cs="宋体"/>
                <w:szCs w:val="21"/>
                <w:highlight w:val="none"/>
              </w:rPr>
              <w:t>；供应商是事业单位，则审查事业单位法人证书（副本）</w:t>
            </w:r>
            <w:r>
              <w:rPr>
                <w:rFonts w:hint="eastAsia" w:ascii="宋体" w:hAnsi="宋体" w:cs="宋体"/>
                <w:szCs w:val="21"/>
                <w:highlight w:val="none"/>
                <w:lang w:eastAsia="zh-CN"/>
              </w:rPr>
              <w:t>扫描件</w:t>
            </w:r>
            <w:r>
              <w:rPr>
                <w:rFonts w:hint="eastAsia" w:ascii="宋体" w:hAnsi="宋体" w:cs="宋体"/>
                <w:szCs w:val="21"/>
                <w:highlight w:val="none"/>
              </w:rPr>
              <w:t>；供应商是非企业专业服务机构的，则审查执业许可证等证明文件</w:t>
            </w:r>
            <w:r>
              <w:rPr>
                <w:rFonts w:hint="eastAsia" w:ascii="宋体" w:hAnsi="宋体" w:cs="宋体"/>
                <w:szCs w:val="21"/>
                <w:highlight w:val="none"/>
                <w:lang w:eastAsia="zh-CN"/>
              </w:rPr>
              <w:t>扫描件</w:t>
            </w:r>
            <w:r>
              <w:rPr>
                <w:rFonts w:hint="eastAsia" w:ascii="宋体" w:hAnsi="宋体" w:cs="宋体"/>
                <w:szCs w:val="21"/>
                <w:highlight w:val="none"/>
              </w:rPr>
              <w:t>；供应商是个体工商户，则审查个体工商户营业执照</w:t>
            </w:r>
            <w:r>
              <w:rPr>
                <w:rFonts w:hint="eastAsia" w:ascii="宋体" w:hAnsi="宋体" w:cs="宋体"/>
                <w:szCs w:val="21"/>
                <w:highlight w:val="none"/>
                <w:lang w:eastAsia="zh-CN"/>
              </w:rPr>
              <w:t>扫描件</w:t>
            </w:r>
            <w:r>
              <w:rPr>
                <w:rFonts w:hint="eastAsia" w:ascii="宋体" w:hAnsi="宋体" w:cs="宋体"/>
                <w:szCs w:val="21"/>
                <w:highlight w:val="none"/>
              </w:rPr>
              <w:t>；供应商是自然人，则审查自然人身份证明</w:t>
            </w:r>
            <w:r>
              <w:rPr>
                <w:rFonts w:hint="eastAsia" w:ascii="宋体" w:hAnsi="宋体" w:cs="宋体"/>
                <w:szCs w:val="21"/>
                <w:highlight w:val="none"/>
                <w:lang w:eastAsia="zh-CN"/>
              </w:rPr>
              <w:t>扫描件</w:t>
            </w:r>
            <w:r>
              <w:rPr>
                <w:rFonts w:hint="eastAsia" w:ascii="宋体" w:hAnsi="宋体" w:cs="宋体"/>
                <w:szCs w:val="21"/>
                <w:highlight w:val="none"/>
              </w:rPr>
              <w:t>；如供应商不是以上所列的法人、组织、自然人的，则提供国家规定的相关证明材料。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643" w:type="dxa"/>
            <w:vMerge w:val="continue"/>
            <w:noWrap w:val="0"/>
            <w:vAlign w:val="center"/>
          </w:tcPr>
          <w:p>
            <w:pPr>
              <w:spacing w:line="360" w:lineRule="auto"/>
              <w:jc w:val="center"/>
              <w:rPr>
                <w:rFonts w:hint="eastAsia" w:ascii="宋体" w:hAnsi="宋体" w:cs="宋体"/>
                <w:szCs w:val="21"/>
                <w:highlight w:val="none"/>
              </w:rPr>
            </w:pPr>
          </w:p>
        </w:tc>
        <w:tc>
          <w:tcPr>
            <w:tcW w:w="1906" w:type="dxa"/>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具有良好的商业信誉和健全的财务会计制度</w:t>
            </w:r>
          </w:p>
        </w:tc>
        <w:tc>
          <w:tcPr>
            <w:tcW w:w="5973" w:type="dxa"/>
            <w:noWrap w:val="0"/>
            <w:vAlign w:val="top"/>
          </w:tcPr>
          <w:p>
            <w:pPr>
              <w:spacing w:line="360" w:lineRule="auto"/>
              <w:jc w:val="left"/>
              <w:rPr>
                <w:rFonts w:hint="eastAsia"/>
                <w:highlight w:val="none"/>
              </w:rPr>
            </w:pPr>
            <w:r>
              <w:rPr>
                <w:rFonts w:hint="eastAsia"/>
                <w:highlight w:val="none"/>
              </w:rPr>
              <w:t>（1）审查商业信誉声明。须提供，格式见</w:t>
            </w:r>
            <w:r>
              <w:rPr>
                <w:rFonts w:hint="eastAsia"/>
                <w:highlight w:val="none"/>
                <w:lang w:eastAsia="zh-CN"/>
              </w:rPr>
              <w:t>“第五章 响应文件格式”</w:t>
            </w:r>
            <w:r>
              <w:rPr>
                <w:rFonts w:hint="eastAsia"/>
                <w:highlight w:val="none"/>
                <w:lang w:val="en-US" w:eastAsia="zh-CN"/>
              </w:rPr>
              <w:t>中</w:t>
            </w:r>
            <w:r>
              <w:rPr>
                <w:rFonts w:hint="eastAsia"/>
                <w:highlight w:val="none"/>
              </w:rPr>
              <w:t>“</w:t>
            </w:r>
            <w:r>
              <w:rPr>
                <w:rFonts w:hint="eastAsia"/>
                <w:highlight w:val="none"/>
                <w:lang w:eastAsia="zh-CN"/>
              </w:rPr>
              <w:t>竞标声明书</w:t>
            </w:r>
            <w:r>
              <w:rPr>
                <w:rFonts w:hint="eastAsia"/>
                <w:highlight w:val="none"/>
              </w:rPr>
              <w:t>”。</w:t>
            </w:r>
          </w:p>
          <w:p>
            <w:pPr>
              <w:spacing w:line="360" w:lineRule="auto"/>
              <w:jc w:val="left"/>
              <w:rPr>
                <w:rFonts w:hint="eastAsia"/>
                <w:highlight w:val="none"/>
              </w:rPr>
            </w:pPr>
            <w:r>
              <w:rPr>
                <w:rFonts w:hint="eastAsia"/>
                <w:highlight w:val="none"/>
              </w:rPr>
              <w:t>（2）审查供应商财务状况报告（提供2023年或2024年任意一年的财务报表或经审计的财务报告（审计报告）</w:t>
            </w:r>
            <w:r>
              <w:rPr>
                <w:rFonts w:hint="eastAsia"/>
                <w:b/>
                <w:bCs/>
                <w:color w:val="FF0000"/>
                <w:highlight w:val="none"/>
              </w:rPr>
              <w:t>（如提供审计报告的，审计报告须经过“注册会计师行业统一监管平台”自动赋码，审计报告编码（二维码）能通过统一监管平台进行查验，否则无效）</w:t>
            </w:r>
            <w:r>
              <w:rPr>
                <w:rFonts w:hint="eastAsia"/>
                <w:highlight w:val="none"/>
              </w:rPr>
              <w:t>扫描件，或者提供银行出具的资信证明或者中国人民银行征信中心出具的信用报告扫描件；成立年限不足一年的，按实际月份财务报表提供，或者中国人民银行征信中心出具的信用报告（企业竞标的提供企业信用报告，自然人竞标的提供个人信用报告）；供应商属于成立时间在规定年度之后的，需提供成立之日起至响应文件提交截止时间前的月报表或银行出具的资信证明或者中国人民银行征信中心出具的信用报告；资信证明应在有效期内，未注明有效期的，银行出具时间至响应文件提交截止时间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643" w:type="dxa"/>
            <w:vMerge w:val="continue"/>
            <w:noWrap w:val="0"/>
            <w:vAlign w:val="center"/>
          </w:tcPr>
          <w:p>
            <w:pPr>
              <w:spacing w:line="360" w:lineRule="auto"/>
              <w:jc w:val="center"/>
              <w:rPr>
                <w:rFonts w:hint="eastAsia" w:ascii="宋体" w:hAnsi="宋体" w:cs="宋体"/>
                <w:szCs w:val="21"/>
                <w:highlight w:val="none"/>
              </w:rPr>
            </w:pPr>
          </w:p>
        </w:tc>
        <w:tc>
          <w:tcPr>
            <w:tcW w:w="1906" w:type="dxa"/>
            <w:noWrap w:val="0"/>
            <w:vAlign w:val="center"/>
          </w:tcPr>
          <w:p>
            <w:pPr>
              <w:spacing w:line="360" w:lineRule="auto"/>
              <w:rPr>
                <w:rFonts w:hint="eastAsia"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lang w:val="zh-CN"/>
              </w:rPr>
              <w:t>具有履行合同所必需的设备和专业技术能力</w:t>
            </w:r>
          </w:p>
        </w:tc>
        <w:tc>
          <w:tcPr>
            <w:tcW w:w="5973" w:type="dxa"/>
            <w:noWrap w:val="0"/>
            <w:vAlign w:val="top"/>
          </w:tcPr>
          <w:p>
            <w:pPr>
              <w:spacing w:line="360" w:lineRule="auto"/>
              <w:jc w:val="left"/>
              <w:rPr>
                <w:rFonts w:hint="eastAsia" w:ascii="宋体" w:hAnsi="宋体" w:cs="宋体"/>
                <w:szCs w:val="21"/>
                <w:highlight w:val="none"/>
              </w:rPr>
            </w:pPr>
            <w:r>
              <w:rPr>
                <w:rFonts w:hint="eastAsia" w:ascii="宋体" w:hAnsi="宋体" w:cs="宋体"/>
                <w:szCs w:val="21"/>
                <w:highlight w:val="none"/>
              </w:rPr>
              <w:t>审查书面声明。须提供，格式见</w:t>
            </w:r>
            <w:r>
              <w:rPr>
                <w:rFonts w:hint="eastAsia" w:ascii="宋体" w:hAnsi="宋体" w:cs="宋体"/>
                <w:szCs w:val="21"/>
                <w:highlight w:val="none"/>
                <w:lang w:eastAsia="zh-CN"/>
              </w:rPr>
              <w:t>“第五章 响应文件格式”</w:t>
            </w:r>
            <w:r>
              <w:rPr>
                <w:rFonts w:hint="eastAsia" w:ascii="宋体" w:hAnsi="宋体" w:cs="宋体"/>
                <w:szCs w:val="21"/>
                <w:highlight w:val="none"/>
                <w:lang w:val="en-US" w:eastAsia="zh-CN"/>
              </w:rPr>
              <w:t>中</w:t>
            </w:r>
            <w:r>
              <w:rPr>
                <w:rFonts w:hint="eastAsia" w:ascii="宋体" w:hAnsi="宋体" w:cs="宋体"/>
                <w:szCs w:val="21"/>
                <w:highlight w:val="none"/>
              </w:rPr>
              <w:t>“</w:t>
            </w:r>
            <w:r>
              <w:rPr>
                <w:rFonts w:hint="eastAsia" w:ascii="宋体" w:hAnsi="宋体" w:cs="宋体"/>
                <w:szCs w:val="21"/>
                <w:highlight w:val="none"/>
                <w:lang w:eastAsia="zh-CN"/>
              </w:rPr>
              <w:t>竞标声明书</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643" w:type="dxa"/>
            <w:vMerge w:val="continue"/>
            <w:noWrap w:val="0"/>
            <w:vAlign w:val="center"/>
          </w:tcPr>
          <w:p>
            <w:pPr>
              <w:spacing w:line="360" w:lineRule="auto"/>
              <w:jc w:val="center"/>
              <w:rPr>
                <w:rFonts w:hint="eastAsia" w:ascii="宋体" w:hAnsi="宋体" w:cs="宋体"/>
                <w:szCs w:val="21"/>
                <w:highlight w:val="none"/>
              </w:rPr>
            </w:pPr>
          </w:p>
        </w:tc>
        <w:tc>
          <w:tcPr>
            <w:tcW w:w="1906" w:type="dxa"/>
            <w:noWrap w:val="0"/>
            <w:vAlign w:val="center"/>
          </w:tcPr>
          <w:p>
            <w:pPr>
              <w:spacing w:line="360" w:lineRule="auto"/>
              <w:rPr>
                <w:rFonts w:hint="eastAsia"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lang w:val="zh-CN"/>
              </w:rPr>
              <w:t>有依法缴纳税收和社会保障金的良好记录</w:t>
            </w:r>
          </w:p>
        </w:tc>
        <w:tc>
          <w:tcPr>
            <w:tcW w:w="5973" w:type="dxa"/>
            <w:noWrap w:val="0"/>
            <w:vAlign w:val="top"/>
          </w:tcPr>
          <w:p>
            <w:pPr>
              <w:spacing w:line="360" w:lineRule="auto"/>
              <w:jc w:val="left"/>
              <w:rPr>
                <w:rFonts w:hint="eastAsia" w:ascii="宋体" w:hAnsi="宋体" w:cs="宋体"/>
                <w:szCs w:val="21"/>
                <w:highlight w:val="none"/>
              </w:rPr>
            </w:pPr>
            <w:r>
              <w:rPr>
                <w:rFonts w:hint="eastAsia" w:ascii="宋体" w:hAnsi="宋体" w:cs="宋体"/>
                <w:szCs w:val="21"/>
                <w:highlight w:val="none"/>
              </w:rPr>
              <w:t>（1）审查</w:t>
            </w:r>
            <w:r>
              <w:rPr>
                <w:rFonts w:hint="eastAsia" w:ascii="宋体" w:hAnsi="宋体" w:cs="宋体"/>
                <w:szCs w:val="21"/>
                <w:highlight w:val="none"/>
                <w:lang w:eastAsia="zh-CN"/>
              </w:rPr>
              <w:t>2024年12月</w:t>
            </w:r>
            <w:r>
              <w:rPr>
                <w:rFonts w:hint="eastAsia" w:ascii="宋体" w:hAnsi="宋体" w:cs="宋体"/>
                <w:szCs w:val="21"/>
                <w:highlight w:val="none"/>
              </w:rPr>
              <w:t>至响应文件提交截止时间内任意1个月</w:t>
            </w:r>
            <w:bookmarkStart w:id="77" w:name="OLE_LINK32"/>
            <w:r>
              <w:rPr>
                <w:rFonts w:hint="eastAsia" w:ascii="宋体" w:hAnsi="宋体" w:cs="宋体"/>
                <w:szCs w:val="21"/>
                <w:highlight w:val="none"/>
              </w:rPr>
              <w:t>供应商</w:t>
            </w:r>
            <w:bookmarkEnd w:id="77"/>
            <w:r>
              <w:rPr>
                <w:rFonts w:hint="eastAsia" w:ascii="宋体" w:hAnsi="宋体" w:cs="宋体"/>
                <w:szCs w:val="21"/>
                <w:highlight w:val="none"/>
              </w:rPr>
              <w:t>依法缴纳税收的凭据</w:t>
            </w:r>
            <w:r>
              <w:rPr>
                <w:rFonts w:hint="eastAsia" w:ascii="宋体" w:hAnsi="宋体" w:cs="宋体"/>
                <w:szCs w:val="21"/>
                <w:highlight w:val="none"/>
                <w:lang w:eastAsia="zh-CN"/>
              </w:rPr>
              <w:t>扫描件</w:t>
            </w:r>
            <w:bookmarkStart w:id="78" w:name="OLE_LINK18"/>
            <w:r>
              <w:rPr>
                <w:rFonts w:hint="eastAsia" w:ascii="宋体" w:hAnsi="宋体" w:cs="宋体"/>
                <w:szCs w:val="21"/>
                <w:highlight w:val="none"/>
                <w:lang w:eastAsia="zh-CN"/>
              </w:rPr>
              <w:t>，</w:t>
            </w:r>
            <w:r>
              <w:rPr>
                <w:rFonts w:hint="eastAsia" w:ascii="宋体" w:hAnsi="宋体" w:cs="宋体"/>
                <w:szCs w:val="21"/>
                <w:highlight w:val="none"/>
              </w:rPr>
              <w:t>加盖供应商</w:t>
            </w:r>
            <w:r>
              <w:rPr>
                <w:rFonts w:hint="eastAsia" w:ascii="宋体" w:hAnsi="宋体" w:cs="宋体"/>
                <w:szCs w:val="21"/>
                <w:highlight w:val="none"/>
                <w:lang w:val="en-US" w:eastAsia="zh-CN"/>
              </w:rPr>
              <w:t>公章（或</w:t>
            </w:r>
            <w:r>
              <w:rPr>
                <w:rFonts w:hint="eastAsia" w:ascii="宋体" w:hAnsi="宋体" w:cs="宋体"/>
                <w:szCs w:val="21"/>
                <w:highlight w:val="none"/>
                <w:lang w:eastAsia="zh-CN"/>
              </w:rPr>
              <w:t>电子签章</w:t>
            </w:r>
            <w:r>
              <w:rPr>
                <w:rFonts w:hint="eastAsia" w:ascii="宋体" w:hAnsi="宋体" w:cs="宋体"/>
                <w:szCs w:val="21"/>
                <w:highlight w:val="none"/>
                <w:lang w:val="en-US" w:eastAsia="zh-CN"/>
              </w:rPr>
              <w:t>）</w:t>
            </w:r>
            <w:bookmarkEnd w:id="78"/>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（2）审查</w:t>
            </w:r>
            <w:r>
              <w:rPr>
                <w:rFonts w:hint="eastAsia" w:ascii="宋体" w:hAnsi="宋体" w:cs="宋体"/>
                <w:szCs w:val="21"/>
                <w:highlight w:val="none"/>
                <w:lang w:eastAsia="zh-CN"/>
              </w:rPr>
              <w:t>2024年12月</w:t>
            </w:r>
            <w:r>
              <w:rPr>
                <w:rFonts w:hint="eastAsia" w:ascii="宋体" w:hAnsi="宋体" w:cs="宋体"/>
                <w:szCs w:val="21"/>
                <w:highlight w:val="none"/>
              </w:rPr>
              <w:t>至响应文件提交截止时间内任意1个月供应商依法缴纳社会保障资金的缴费凭证</w:t>
            </w:r>
            <w:r>
              <w:rPr>
                <w:rFonts w:hint="eastAsia" w:ascii="宋体" w:hAnsi="宋体" w:cs="宋体"/>
                <w:szCs w:val="21"/>
                <w:highlight w:val="none"/>
                <w:lang w:eastAsia="zh-CN"/>
              </w:rPr>
              <w:t>扫描件，</w:t>
            </w:r>
            <w:r>
              <w:rPr>
                <w:rFonts w:hint="eastAsia" w:ascii="宋体" w:hAnsi="宋体" w:cs="宋体"/>
                <w:szCs w:val="21"/>
                <w:highlight w:val="none"/>
              </w:rPr>
              <w:t>加盖供应商</w:t>
            </w:r>
            <w:r>
              <w:rPr>
                <w:rFonts w:hint="eastAsia" w:ascii="宋体" w:hAnsi="宋体" w:cs="宋体"/>
                <w:szCs w:val="21"/>
                <w:highlight w:val="none"/>
                <w:lang w:val="en-US" w:eastAsia="zh-CN"/>
              </w:rPr>
              <w:t>公章（或</w:t>
            </w:r>
            <w:r>
              <w:rPr>
                <w:rFonts w:hint="eastAsia" w:ascii="宋体" w:hAnsi="宋体" w:cs="宋体"/>
                <w:szCs w:val="21"/>
                <w:highlight w:val="none"/>
                <w:lang w:eastAsia="zh-CN"/>
              </w:rPr>
              <w:t>电子签章</w:t>
            </w:r>
            <w:r>
              <w:rPr>
                <w:rFonts w:hint="eastAsia" w:ascii="宋体" w:hAnsi="宋体" w:cs="宋体"/>
                <w:szCs w:val="21"/>
                <w:highlight w:val="none"/>
                <w:lang w:val="en-US" w:eastAsia="zh-CN"/>
              </w:rPr>
              <w:t>）</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供应商成立不足1个月的，无须提供缴纳税费证明及社保缴费证明。</w:t>
            </w:r>
          </w:p>
          <w:p>
            <w:pPr>
              <w:spacing w:line="360" w:lineRule="auto"/>
              <w:jc w:val="left"/>
              <w:rPr>
                <w:rFonts w:hint="eastAsia" w:ascii="宋体" w:hAnsi="宋体" w:cs="宋体"/>
                <w:szCs w:val="21"/>
                <w:highlight w:val="none"/>
              </w:rPr>
            </w:pPr>
            <w:r>
              <w:rPr>
                <w:rFonts w:hint="eastAsia" w:ascii="宋体" w:hAnsi="宋体" w:cs="宋体"/>
                <w:szCs w:val="21"/>
                <w:highlight w:val="none"/>
              </w:rPr>
              <w:t>依法免税或不需要缴纳社会保障资金的供应商，须提供相应文件证明其依法免税或不需要缴纳社会保障资金</w:t>
            </w:r>
            <w:r>
              <w:rPr>
                <w:rFonts w:hint="eastAsia" w:ascii="宋体" w:hAnsi="宋体" w:cs="宋体"/>
                <w:szCs w:val="21"/>
                <w:highlight w:val="none"/>
                <w:lang w:val="en-US" w:eastAsia="zh-CN"/>
              </w:rPr>
              <w:t>证明材料</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643" w:type="dxa"/>
            <w:vMerge w:val="continue"/>
            <w:noWrap w:val="0"/>
            <w:vAlign w:val="center"/>
          </w:tcPr>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p>
        </w:tc>
        <w:tc>
          <w:tcPr>
            <w:tcW w:w="1906"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lang w:val="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参加政府采购活动前三年内，在经营活动中没有重大违法记录及不良信用记录</w:t>
            </w:r>
          </w:p>
        </w:tc>
        <w:tc>
          <w:tcPr>
            <w:tcW w:w="5973"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cs="宋体"/>
                <w:szCs w:val="21"/>
                <w:highlight w:val="none"/>
              </w:rPr>
              <w:t>审查无重大违法记录声明。须提供，格式见</w:t>
            </w:r>
            <w:bookmarkStart w:id="79" w:name="OLE_LINK24"/>
            <w:r>
              <w:rPr>
                <w:rFonts w:hint="eastAsia" w:ascii="宋体" w:hAnsi="宋体" w:cs="宋体"/>
                <w:szCs w:val="21"/>
                <w:highlight w:val="none"/>
                <w:lang w:eastAsia="zh-CN"/>
              </w:rPr>
              <w:t>“第五章 响应文件格式”</w:t>
            </w:r>
            <w:bookmarkEnd w:id="79"/>
            <w:r>
              <w:rPr>
                <w:rFonts w:hint="eastAsia" w:ascii="宋体" w:hAnsi="宋体" w:cs="宋体"/>
                <w:szCs w:val="21"/>
                <w:highlight w:val="none"/>
                <w:lang w:val="en-US" w:eastAsia="zh-CN"/>
              </w:rPr>
              <w:t>中</w:t>
            </w:r>
            <w:r>
              <w:rPr>
                <w:rFonts w:hint="eastAsia" w:ascii="宋体" w:hAnsi="宋体" w:cs="宋体"/>
                <w:szCs w:val="21"/>
                <w:highlight w:val="none"/>
              </w:rPr>
              <w:t>“</w:t>
            </w:r>
            <w:r>
              <w:rPr>
                <w:rFonts w:hint="eastAsia" w:ascii="宋体" w:hAnsi="宋体" w:cs="宋体"/>
                <w:szCs w:val="21"/>
                <w:highlight w:val="none"/>
                <w:lang w:eastAsia="zh-CN"/>
              </w:rPr>
              <w:t>竞标声明书</w:t>
            </w:r>
            <w:r>
              <w:rPr>
                <w:rFonts w:hint="eastAsia" w:ascii="宋体" w:hAnsi="宋体" w:cs="宋体"/>
                <w:szCs w:val="21"/>
                <w:highlight w:val="none"/>
              </w:rPr>
              <w:t>”。一旦发现供应商提供的</w:t>
            </w:r>
            <w:r>
              <w:rPr>
                <w:rFonts w:hint="eastAsia" w:ascii="宋体" w:hAnsi="宋体" w:cs="宋体"/>
                <w:szCs w:val="21"/>
                <w:highlight w:val="none"/>
                <w:lang w:eastAsia="zh-CN"/>
              </w:rPr>
              <w:t>竞标声明书</w:t>
            </w:r>
            <w:r>
              <w:rPr>
                <w:rFonts w:hint="eastAsia" w:ascii="宋体" w:hAnsi="宋体" w:cs="宋体"/>
                <w:szCs w:val="21"/>
                <w:highlight w:val="none"/>
              </w:rPr>
              <w:t>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643"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906" w:type="dxa"/>
            <w:noWrap w:val="0"/>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highlight w:val="none"/>
              </w:rPr>
            </w:pPr>
            <w:r>
              <w:rPr>
                <w:rFonts w:hint="eastAsia" w:ascii="宋体" w:hAnsi="宋体" w:cs="宋体"/>
                <w:szCs w:val="21"/>
                <w:highlight w:val="none"/>
              </w:rPr>
              <w:t>落实政府采购政策需满足的资格要求</w:t>
            </w:r>
          </w:p>
        </w:tc>
        <w:tc>
          <w:tcPr>
            <w:tcW w:w="5973" w:type="dxa"/>
            <w:noWrap w:val="0"/>
            <w:vAlign w:val="center"/>
          </w:tcPr>
          <w:p>
            <w:pPr>
              <w:keepNext/>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highlight w:val="none"/>
              </w:rPr>
            </w:pPr>
            <w:r>
              <w:rPr>
                <w:rFonts w:hint="eastAsia" w:ascii="宋体" w:hAnsi="宋体" w:cs="宋体"/>
                <w:szCs w:val="21"/>
                <w:highlight w:val="none"/>
              </w:rPr>
              <w:t>本项目为专门面向小微企业采购的项目，供应商应为</w:t>
            </w:r>
            <w:bookmarkStart w:id="80" w:name="OLE_LINK6"/>
            <w:r>
              <w:rPr>
                <w:rFonts w:hint="eastAsia" w:ascii="宋体" w:hAnsi="宋体" w:cs="宋体"/>
                <w:szCs w:val="21"/>
                <w:highlight w:val="none"/>
              </w:rPr>
              <w:t>小微</w:t>
            </w:r>
            <w:bookmarkEnd w:id="80"/>
            <w:r>
              <w:rPr>
                <w:rFonts w:hint="eastAsia" w:ascii="宋体" w:hAnsi="宋体" w:cs="宋体"/>
                <w:szCs w:val="21"/>
                <w:highlight w:val="none"/>
              </w:rPr>
              <w:t>企业或监狱企业或残疾人福利性单位。</w:t>
            </w:r>
          </w:p>
          <w:p>
            <w:pPr>
              <w:keepNext/>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highlight w:val="none"/>
              </w:rPr>
            </w:pPr>
            <w:r>
              <w:rPr>
                <w:rFonts w:hint="eastAsia" w:ascii="宋体" w:hAnsi="宋体" w:cs="宋体"/>
                <w:szCs w:val="21"/>
                <w:highlight w:val="none"/>
              </w:rPr>
              <w:t>审查中小企业声明函或者残疾人福利性单位声明函或者供应商属于监狱企业的证明材料。须提供，格式见“第五章 响应文件格式”</w:t>
            </w:r>
            <w:r>
              <w:rPr>
                <w:rFonts w:hint="eastAsia" w:ascii="宋体" w:hAnsi="宋体" w:cs="宋体"/>
                <w:szCs w:val="21"/>
                <w:highlight w:val="none"/>
                <w:lang w:val="en-US" w:eastAsia="zh-CN"/>
              </w:rPr>
              <w:t>相应格式</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3"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906"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Cs w:val="21"/>
                <w:highlight w:val="none"/>
              </w:rPr>
            </w:pPr>
            <w:r>
              <w:rPr>
                <w:rFonts w:hint="eastAsia" w:ascii="宋体" w:hAnsi="宋体" w:cs="宋体"/>
                <w:kern w:val="0"/>
                <w:szCs w:val="21"/>
                <w:highlight w:val="none"/>
              </w:rPr>
              <w:t>特定资格要求</w:t>
            </w:r>
          </w:p>
        </w:tc>
        <w:tc>
          <w:tcPr>
            <w:tcW w:w="5973" w:type="dxa"/>
            <w:noWrap w:val="0"/>
            <w:vAlign w:val="center"/>
          </w:tcPr>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Cs w:val="21"/>
                <w:highlight w:val="none"/>
              </w:rPr>
            </w:pPr>
            <w:r>
              <w:rPr>
                <w:rFonts w:hint="eastAsia" w:ascii="宋体" w:hAnsi="宋体" w:cs="宋体"/>
                <w:kern w:val="0"/>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Cs w:val="21"/>
                <w:highlight w:val="none"/>
              </w:rPr>
            </w:pPr>
            <w:r>
              <w:rPr>
                <w:rFonts w:hint="eastAsia" w:ascii="宋体" w:hAnsi="宋体" w:cs="宋体"/>
                <w:szCs w:val="21"/>
                <w:highlight w:val="none"/>
              </w:rPr>
              <w:t>审查“</w:t>
            </w:r>
            <w:r>
              <w:rPr>
                <w:rFonts w:hint="eastAsia" w:ascii="宋体" w:hAnsi="宋体" w:cs="宋体"/>
                <w:szCs w:val="21"/>
                <w:highlight w:val="none"/>
                <w:lang w:eastAsia="zh-CN"/>
              </w:rPr>
              <w:t>供应商直接控股、管理关系信息表</w:t>
            </w:r>
            <w:r>
              <w:rPr>
                <w:rFonts w:hint="eastAsia" w:ascii="宋体" w:hAnsi="宋体" w:cs="宋体"/>
                <w:szCs w:val="21"/>
                <w:highlight w:val="none"/>
              </w:rPr>
              <w:t>”。须提供，格式见</w:t>
            </w:r>
            <w:r>
              <w:rPr>
                <w:rFonts w:hint="eastAsia" w:ascii="宋体" w:hAnsi="宋体" w:cs="宋体"/>
                <w:szCs w:val="21"/>
                <w:highlight w:val="none"/>
                <w:lang w:eastAsia="zh-CN"/>
              </w:rPr>
              <w:t>“第五章 响应文件格式”</w:t>
            </w:r>
            <w:r>
              <w:rPr>
                <w:rFonts w:hint="eastAsia" w:ascii="宋体" w:hAnsi="宋体" w:cs="宋体"/>
                <w:szCs w:val="21"/>
                <w:highlight w:val="none"/>
                <w:lang w:val="en-US" w:eastAsia="zh-CN"/>
              </w:rPr>
              <w:t>中</w:t>
            </w:r>
            <w:r>
              <w:rPr>
                <w:rFonts w:hint="eastAsia" w:ascii="宋体" w:hAnsi="宋体" w:cs="宋体"/>
                <w:szCs w:val="21"/>
                <w:highlight w:val="none"/>
              </w:rPr>
              <w:t>“</w:t>
            </w:r>
            <w:r>
              <w:rPr>
                <w:rFonts w:hint="eastAsia" w:ascii="宋体" w:hAnsi="宋体" w:cs="宋体"/>
                <w:szCs w:val="21"/>
                <w:highlight w:val="none"/>
                <w:lang w:eastAsia="zh-CN"/>
              </w:rPr>
              <w:t>供应商直接控股、管理关系信息表</w:t>
            </w:r>
            <w:r>
              <w:rPr>
                <w:rFonts w:hint="eastAsia" w:ascii="宋体" w:hAnsi="宋体" w:cs="宋体"/>
                <w:szCs w:val="21"/>
                <w:highlight w:val="none"/>
              </w:rPr>
              <w:t>”。</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Cs w:val="21"/>
                <w:highlight w:val="none"/>
              </w:rPr>
            </w:pP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kern w:val="0"/>
                <w:szCs w:val="21"/>
                <w:highlight w:val="none"/>
              </w:rPr>
            </w:pPr>
            <w:r>
              <w:rPr>
                <w:rFonts w:hint="eastAsia" w:ascii="宋体" w:hAnsi="宋体" w:cs="宋体"/>
                <w:kern w:val="0"/>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cs="宋体"/>
                <w:szCs w:val="21"/>
                <w:highlight w:val="none"/>
              </w:rPr>
              <w:t>①审核标准：供应商如被列入失信被执行人、重大税收违法失信主体、政府采购严重违法失信行为记录名单，则资格审查不予通过，其投标被否决。</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cs="宋体"/>
                <w:szCs w:val="21"/>
                <w:highlight w:val="none"/>
              </w:rPr>
              <w:t>②信用信息查询渠道：中国政府采购网 “政府采购严重违法失信行为记录名单” 信用中国网：“失信被执行人”、“重大税收违法失信主体”。</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highlight w:val="none"/>
              </w:rPr>
            </w:pPr>
            <w:r>
              <w:rPr>
                <w:rFonts w:hint="eastAsia" w:ascii="宋体" w:hAnsi="宋体" w:cs="宋体"/>
                <w:szCs w:val="21"/>
                <w:highlight w:val="none"/>
              </w:rPr>
              <w:t>③查询方式：资格审查时，采购人或采购代理机构通过上述渠道查询供应商的信用记录供评委审核。</w:t>
            </w:r>
          </w:p>
          <w:p>
            <w:pPr>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highlight w:val="none"/>
                <w:lang w:eastAsia="zh-CN"/>
              </w:rPr>
            </w:pPr>
            <w:r>
              <w:rPr>
                <w:rFonts w:hint="eastAsia" w:ascii="宋体" w:hAnsi="宋体" w:cs="宋体"/>
                <w:szCs w:val="21"/>
                <w:highlight w:val="none"/>
              </w:rPr>
              <w:t>④信用信息查询记录和证据留存的具体方式：通过上述查询渠道查询的供应商信用记录查询结果，将作为政府采购活动档案留存。</w:t>
            </w:r>
          </w:p>
        </w:tc>
      </w:tr>
      <w:bookmarkEnd w:id="76"/>
    </w:tbl>
    <w:p>
      <w:pPr>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.3供应商有下列情形之一的，资格审查不通过，其响应文件按无效响应处理：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）不具备磋商文件中规定的资格要求的；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（2）未按磋商文件规定的方式获取本磋商文件的供应商；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）响应文件的资格证明文件缺少任一项“供应商须知前附表”资格证明文件规定的“必须提供”的文件资料的；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.4通过资格审查的合格供应商不足3家的，不得进入符合性审查环节，</w:t>
      </w:r>
      <w:r>
        <w:rPr>
          <w:rFonts w:hint="eastAsia" w:ascii="宋体" w:hAnsi="宋体"/>
          <w:b/>
          <w:bCs/>
          <w:szCs w:val="21"/>
          <w:highlight w:val="none"/>
        </w:rPr>
        <w:t>采购人或者采购代理机构应当重新开展采购活动。</w:t>
      </w:r>
    </w:p>
    <w:p>
      <w:pPr>
        <w:spacing w:line="360" w:lineRule="auto"/>
        <w:ind w:firstLine="482" w:firstLineChars="200"/>
        <w:outlineLvl w:val="2"/>
        <w:rPr>
          <w:rFonts w:hint="eastAsia" w:ascii="宋体" w:hAnsi="宋体" w:cs="宋体"/>
          <w:b/>
          <w:bCs/>
          <w:sz w:val="24"/>
          <w:highlight w:val="none"/>
        </w:rPr>
      </w:pPr>
      <w:r>
        <w:rPr>
          <w:rFonts w:ascii="宋体" w:hAnsi="宋体" w:cs="宋体"/>
          <w:b/>
          <w:bCs/>
          <w:sz w:val="24"/>
          <w:highlight w:val="none"/>
        </w:rPr>
        <w:t>2</w:t>
      </w:r>
      <w:r>
        <w:rPr>
          <w:rFonts w:hint="eastAsia" w:ascii="宋体" w:hAnsi="宋体" w:cs="宋体"/>
          <w:b/>
          <w:bCs/>
          <w:sz w:val="24"/>
          <w:highlight w:val="none"/>
        </w:rPr>
        <w:t>.符合性审查</w:t>
      </w:r>
    </w:p>
    <w:p>
      <w:pPr>
        <w:spacing w:line="360" w:lineRule="auto"/>
        <w:ind w:firstLine="422" w:firstLineChars="200"/>
        <w:rPr>
          <w:rFonts w:hint="eastAsia" w:ascii="宋体" w:hAnsi="宋体" w:cs="宋体"/>
          <w:b/>
          <w:bCs/>
          <w:szCs w:val="21"/>
          <w:highlight w:val="none"/>
        </w:rPr>
      </w:pPr>
      <w:bookmarkStart w:id="81" w:name="_Hlk42528882"/>
      <w:r>
        <w:rPr>
          <w:rFonts w:ascii="宋体" w:hAnsi="宋体" w:cs="宋体"/>
          <w:b/>
          <w:bCs/>
          <w:szCs w:val="21"/>
          <w:highlight w:val="none"/>
        </w:rPr>
        <w:t>2.1</w:t>
      </w:r>
      <w:r>
        <w:rPr>
          <w:rFonts w:hint="eastAsia" w:ascii="宋体" w:hAnsi="宋体" w:cs="宋体"/>
          <w:b/>
          <w:bCs/>
          <w:szCs w:val="21"/>
          <w:highlight w:val="none"/>
        </w:rPr>
        <w:t>由磋商小组对通过资格审查的合格供应商的响应文件的竞标报价、商务、技术等实质性要求进行符合性审查，以确定其是否满足磋商文件的实质性要求。符合性检查表如下，缺少任何一项或有任何一项不合格者，其符合性检查视为不合格。</w:t>
      </w:r>
    </w:p>
    <w:bookmarkEnd w:id="81"/>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187"/>
        <w:gridCol w:w="187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8" w:type="dxa"/>
            <w:vAlign w:val="center"/>
          </w:tcPr>
          <w:p>
            <w:pPr>
              <w:spacing w:line="360" w:lineRule="exact"/>
              <w:jc w:val="center"/>
              <w:rPr>
                <w:b/>
                <w:kern w:val="0"/>
                <w:szCs w:val="21"/>
                <w:highlight w:val="none"/>
              </w:rPr>
            </w:pPr>
            <w:r>
              <w:rPr>
                <w:b/>
                <w:kern w:val="0"/>
                <w:szCs w:val="21"/>
                <w:highlight w:val="none"/>
              </w:rPr>
              <w:t>序号</w:t>
            </w:r>
          </w:p>
        </w:tc>
        <w:tc>
          <w:tcPr>
            <w:tcW w:w="3057" w:type="dxa"/>
            <w:gridSpan w:val="2"/>
            <w:vAlign w:val="center"/>
          </w:tcPr>
          <w:p>
            <w:pPr>
              <w:spacing w:line="360" w:lineRule="exact"/>
              <w:jc w:val="center"/>
              <w:rPr>
                <w:b/>
                <w:kern w:val="0"/>
                <w:szCs w:val="21"/>
                <w:highlight w:val="none"/>
              </w:rPr>
            </w:pPr>
            <w:r>
              <w:rPr>
                <w:rFonts w:hint="eastAsia"/>
                <w:b/>
                <w:kern w:val="0"/>
                <w:szCs w:val="21"/>
                <w:highlight w:val="none"/>
              </w:rPr>
              <w:t>评审</w:t>
            </w:r>
            <w:r>
              <w:rPr>
                <w:b/>
                <w:kern w:val="0"/>
                <w:szCs w:val="21"/>
                <w:highlight w:val="none"/>
              </w:rPr>
              <w:t>因素</w:t>
            </w:r>
          </w:p>
        </w:tc>
        <w:tc>
          <w:tcPr>
            <w:tcW w:w="0" w:type="auto"/>
            <w:vAlign w:val="center"/>
          </w:tcPr>
          <w:p>
            <w:pPr>
              <w:spacing w:line="360" w:lineRule="exact"/>
              <w:jc w:val="center"/>
              <w:rPr>
                <w:b/>
                <w:kern w:val="0"/>
                <w:szCs w:val="21"/>
                <w:highlight w:val="none"/>
              </w:rPr>
            </w:pPr>
            <w:r>
              <w:rPr>
                <w:rFonts w:hint="eastAsia"/>
                <w:b/>
                <w:kern w:val="0"/>
                <w:szCs w:val="21"/>
                <w:highlight w:val="none"/>
              </w:rPr>
              <w:t>评审</w:t>
            </w:r>
            <w:r>
              <w:rPr>
                <w:b/>
                <w:kern w:val="0"/>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8" w:type="dxa"/>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1</w:t>
            </w:r>
          </w:p>
        </w:tc>
        <w:tc>
          <w:tcPr>
            <w:tcW w:w="1187" w:type="dxa"/>
            <w:vMerge w:val="restart"/>
            <w:vAlign w:val="center"/>
          </w:tcPr>
          <w:p>
            <w:pPr>
              <w:spacing w:line="360" w:lineRule="exact"/>
              <w:rPr>
                <w:kern w:val="0"/>
                <w:szCs w:val="21"/>
                <w:highlight w:val="none"/>
              </w:rPr>
            </w:pPr>
            <w:r>
              <w:rPr>
                <w:kern w:val="0"/>
                <w:szCs w:val="21"/>
                <w:highlight w:val="none"/>
              </w:rPr>
              <w:t>有效性审查</w:t>
            </w:r>
          </w:p>
        </w:tc>
        <w:tc>
          <w:tcPr>
            <w:tcW w:w="1870" w:type="dxa"/>
            <w:vAlign w:val="center"/>
          </w:tcPr>
          <w:p>
            <w:pPr>
              <w:spacing w:line="360" w:lineRule="exact"/>
              <w:rPr>
                <w:kern w:val="0"/>
                <w:szCs w:val="21"/>
                <w:highlight w:val="none"/>
              </w:rPr>
            </w:pPr>
            <w:r>
              <w:rPr>
                <w:rFonts w:hint="eastAsia"/>
                <w:szCs w:val="21"/>
                <w:highlight w:val="none"/>
              </w:rPr>
              <w:t>响应文件</w:t>
            </w:r>
            <w:r>
              <w:rPr>
                <w:szCs w:val="21"/>
                <w:highlight w:val="none"/>
              </w:rPr>
              <w:t>签署</w:t>
            </w:r>
          </w:p>
        </w:tc>
        <w:tc>
          <w:tcPr>
            <w:tcW w:w="0" w:type="auto"/>
            <w:vAlign w:val="center"/>
          </w:tcPr>
          <w:p>
            <w:pPr>
              <w:spacing w:line="360" w:lineRule="exact"/>
              <w:rPr>
                <w:kern w:val="0"/>
                <w:szCs w:val="21"/>
                <w:highlight w:val="none"/>
              </w:rPr>
            </w:pPr>
            <w:r>
              <w:rPr>
                <w:rFonts w:hint="eastAsia"/>
                <w:szCs w:val="21"/>
                <w:highlight w:val="none"/>
                <w:lang w:val="en-US" w:eastAsia="zh-CN"/>
              </w:rPr>
              <w:t>响应</w:t>
            </w:r>
            <w:r>
              <w:rPr>
                <w:rFonts w:hint="eastAsia"/>
                <w:szCs w:val="21"/>
                <w:highlight w:val="none"/>
              </w:rPr>
              <w:t>文件上法定代表人或其授权代表人已按要求签字（或者电子签名）。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8" w:type="dxa"/>
            <w:vMerge w:val="continue"/>
            <w:vAlign w:val="center"/>
          </w:tcPr>
          <w:p>
            <w:pPr>
              <w:spacing w:line="360" w:lineRule="exact"/>
              <w:jc w:val="center"/>
              <w:rPr>
                <w:szCs w:val="21"/>
                <w:highlight w:val="none"/>
              </w:rPr>
            </w:pPr>
          </w:p>
        </w:tc>
        <w:tc>
          <w:tcPr>
            <w:tcW w:w="1187" w:type="dxa"/>
            <w:vMerge w:val="continue"/>
            <w:vAlign w:val="center"/>
          </w:tcPr>
          <w:p>
            <w:pPr>
              <w:spacing w:line="360" w:lineRule="exact"/>
              <w:rPr>
                <w:kern w:val="0"/>
                <w:szCs w:val="21"/>
                <w:highlight w:val="none"/>
              </w:rPr>
            </w:pPr>
          </w:p>
        </w:tc>
        <w:tc>
          <w:tcPr>
            <w:tcW w:w="1870" w:type="dxa"/>
            <w:vAlign w:val="center"/>
          </w:tcPr>
          <w:p>
            <w:pPr>
              <w:spacing w:line="360" w:lineRule="exact"/>
              <w:rPr>
                <w:szCs w:val="21"/>
                <w:highlight w:val="none"/>
              </w:rPr>
            </w:pPr>
            <w:r>
              <w:rPr>
                <w:szCs w:val="21"/>
                <w:highlight w:val="none"/>
              </w:rPr>
              <w:t>法定代表人身份证明及授权委托书</w:t>
            </w:r>
          </w:p>
        </w:tc>
        <w:tc>
          <w:tcPr>
            <w:tcW w:w="0" w:type="auto"/>
            <w:vAlign w:val="center"/>
          </w:tcPr>
          <w:p>
            <w:pPr>
              <w:spacing w:line="360" w:lineRule="exact"/>
              <w:rPr>
                <w:szCs w:val="21"/>
                <w:highlight w:val="none"/>
              </w:rPr>
            </w:pPr>
            <w:r>
              <w:rPr>
                <w:rFonts w:hint="eastAsia"/>
                <w:szCs w:val="21"/>
                <w:highlight w:val="none"/>
              </w:rPr>
              <w:t>授权</w:t>
            </w:r>
            <w:r>
              <w:rPr>
                <w:szCs w:val="21"/>
                <w:highlight w:val="none"/>
              </w:rPr>
              <w:t>代表</w:t>
            </w:r>
            <w:r>
              <w:rPr>
                <w:rFonts w:hint="eastAsia"/>
                <w:szCs w:val="21"/>
                <w:highlight w:val="none"/>
              </w:rPr>
              <w:t>参加竞标</w:t>
            </w:r>
            <w:r>
              <w:rPr>
                <w:szCs w:val="21"/>
                <w:highlight w:val="none"/>
              </w:rPr>
              <w:t>时审查</w:t>
            </w:r>
            <w:r>
              <w:rPr>
                <w:highlight w:val="none"/>
              </w:rPr>
              <w:t>：</w:t>
            </w:r>
            <w:r>
              <w:rPr>
                <w:rFonts w:ascii="宋体" w:hAnsi="宋体"/>
                <w:szCs w:val="21"/>
                <w:highlight w:val="none"/>
              </w:rPr>
              <w:t>法定代表人授权委托书及附件，格式及附件见</w:t>
            </w:r>
            <w:r>
              <w:rPr>
                <w:rFonts w:hint="eastAsia" w:ascii="宋体" w:hAnsi="宋体"/>
                <w:szCs w:val="21"/>
                <w:highlight w:val="none"/>
              </w:rPr>
              <w:t>“第五章 响应文件格式”</w:t>
            </w:r>
            <w:r>
              <w:rPr>
                <w:rFonts w:ascii="宋体" w:hAnsi="宋体"/>
                <w:szCs w:val="21"/>
                <w:highlight w:val="none"/>
              </w:rPr>
              <w:t>要求；</w:t>
            </w:r>
          </w:p>
          <w:p>
            <w:pPr>
              <w:spacing w:line="360" w:lineRule="exact"/>
              <w:rPr>
                <w:szCs w:val="21"/>
                <w:highlight w:val="none"/>
              </w:rPr>
            </w:pPr>
            <w:r>
              <w:rPr>
                <w:rFonts w:hint="eastAsia"/>
                <w:szCs w:val="21"/>
                <w:highlight w:val="none"/>
              </w:rPr>
              <w:t>法定代表人直接参加竞标</w:t>
            </w:r>
            <w:r>
              <w:rPr>
                <w:szCs w:val="21"/>
                <w:highlight w:val="none"/>
              </w:rPr>
              <w:t>时审查</w:t>
            </w:r>
            <w:r>
              <w:rPr>
                <w:highlight w:val="none"/>
              </w:rPr>
              <w:t>：</w:t>
            </w:r>
            <w:r>
              <w:rPr>
                <w:rFonts w:ascii="宋体" w:hAnsi="宋体"/>
                <w:szCs w:val="21"/>
                <w:highlight w:val="none"/>
              </w:rPr>
              <w:t>法定代表人身份证明</w:t>
            </w:r>
            <w:r>
              <w:rPr>
                <w:rFonts w:hint="eastAsia" w:ascii="宋体" w:hAnsi="宋体"/>
                <w:szCs w:val="21"/>
                <w:highlight w:val="none"/>
              </w:rPr>
              <w:t>及</w:t>
            </w:r>
            <w:r>
              <w:rPr>
                <w:rFonts w:ascii="宋体" w:hAnsi="宋体"/>
                <w:szCs w:val="21"/>
                <w:highlight w:val="none"/>
              </w:rPr>
              <w:t>附件，格式及附件见</w:t>
            </w:r>
            <w:r>
              <w:rPr>
                <w:rFonts w:hint="eastAsia" w:ascii="宋体" w:hAnsi="宋体"/>
                <w:szCs w:val="21"/>
                <w:highlight w:val="none"/>
              </w:rPr>
              <w:t>“第五章 响应文件格式”</w:t>
            </w:r>
            <w:r>
              <w:rPr>
                <w:rFonts w:ascii="宋体" w:hAnsi="宋体"/>
                <w:szCs w:val="21"/>
                <w:highlight w:val="none"/>
              </w:rPr>
              <w:t>要求</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kern w:val="0"/>
                <w:szCs w:val="21"/>
                <w:highlight w:val="none"/>
              </w:rPr>
            </w:pPr>
          </w:p>
        </w:tc>
        <w:tc>
          <w:tcPr>
            <w:tcW w:w="1870" w:type="dxa"/>
            <w:vAlign w:val="center"/>
          </w:tcPr>
          <w:p>
            <w:pPr>
              <w:spacing w:line="360" w:lineRule="exact"/>
              <w:rPr>
                <w:szCs w:val="21"/>
                <w:highlight w:val="none"/>
                <w:lang w:val="zh-CN"/>
              </w:rPr>
            </w:pPr>
            <w:r>
              <w:rPr>
                <w:rFonts w:hint="eastAsia"/>
                <w:highlight w:val="none"/>
              </w:rPr>
              <w:t>响应文件或者竞标报价唯一性</w:t>
            </w:r>
          </w:p>
        </w:tc>
        <w:tc>
          <w:tcPr>
            <w:tcW w:w="0" w:type="auto"/>
            <w:vAlign w:val="center"/>
          </w:tcPr>
          <w:p>
            <w:pPr>
              <w:spacing w:line="360" w:lineRule="exact"/>
              <w:rPr>
                <w:kern w:val="0"/>
                <w:szCs w:val="21"/>
                <w:highlight w:val="none"/>
              </w:rPr>
            </w:pPr>
            <w:r>
              <w:rPr>
                <w:rFonts w:hint="eastAsia"/>
                <w:highlight w:val="none"/>
              </w:rPr>
              <w:t>同</w:t>
            </w:r>
            <w:r>
              <w:rPr>
                <w:rFonts w:hint="eastAsia"/>
                <w:szCs w:val="21"/>
                <w:highlight w:val="none"/>
              </w:rPr>
              <w:t>一供应商不得提交两个以上不同的响应文件或者竞标报价，但磋商文件要求提交</w:t>
            </w:r>
            <w:r>
              <w:rPr>
                <w:szCs w:val="21"/>
                <w:highlight w:val="none"/>
              </w:rPr>
              <w:t>备选</w:t>
            </w:r>
            <w:r>
              <w:rPr>
                <w:rFonts w:hint="eastAsia"/>
                <w:szCs w:val="21"/>
                <w:highlight w:val="none"/>
              </w:rPr>
              <w:t>竞标的除外。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kern w:val="0"/>
                <w:szCs w:val="21"/>
                <w:highlight w:val="none"/>
              </w:rPr>
            </w:pPr>
          </w:p>
        </w:tc>
        <w:tc>
          <w:tcPr>
            <w:tcW w:w="1870" w:type="dxa"/>
            <w:vAlign w:val="center"/>
          </w:tcPr>
          <w:p>
            <w:pPr>
              <w:spacing w:line="360" w:lineRule="exact"/>
              <w:rPr>
                <w:highlight w:val="none"/>
              </w:rPr>
            </w:pPr>
            <w:r>
              <w:rPr>
                <w:rFonts w:hint="eastAsia"/>
                <w:highlight w:val="none"/>
              </w:rPr>
              <w:t>竞标报价</w:t>
            </w:r>
          </w:p>
        </w:tc>
        <w:tc>
          <w:tcPr>
            <w:tcW w:w="0" w:type="auto"/>
          </w:tcPr>
          <w:p>
            <w:pPr>
              <w:spacing w:line="360" w:lineRule="exact"/>
              <w:rPr>
                <w:highlight w:val="none"/>
              </w:rPr>
            </w:pPr>
            <w:r>
              <w:rPr>
                <w:szCs w:val="21"/>
                <w:highlight w:val="none"/>
              </w:rPr>
              <w:t>报价超出最高限价（如有）的，否决其</w:t>
            </w:r>
            <w:r>
              <w:rPr>
                <w:rFonts w:hint="eastAsia"/>
                <w:szCs w:val="21"/>
                <w:highlight w:val="none"/>
              </w:rPr>
              <w:t>竞标</w:t>
            </w:r>
            <w:r>
              <w:rPr>
                <w:highlight w:val="none"/>
              </w:rPr>
              <w:t>。</w:t>
            </w:r>
            <w:r>
              <w:rPr>
                <w:szCs w:val="21"/>
                <w:highlight w:val="none"/>
              </w:rPr>
              <w:t>提交选择性报价的，否决其</w:t>
            </w:r>
            <w:r>
              <w:rPr>
                <w:rFonts w:hint="eastAsia"/>
                <w:szCs w:val="21"/>
                <w:highlight w:val="none"/>
              </w:rPr>
              <w:t>竞标</w:t>
            </w: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kern w:val="0"/>
                <w:szCs w:val="21"/>
                <w:highlight w:val="none"/>
              </w:rPr>
            </w:pPr>
          </w:p>
        </w:tc>
        <w:tc>
          <w:tcPr>
            <w:tcW w:w="1870" w:type="dxa"/>
            <w:vAlign w:val="center"/>
          </w:tcPr>
          <w:p>
            <w:pPr>
              <w:spacing w:line="360" w:lineRule="exact"/>
              <w:rPr>
                <w:szCs w:val="21"/>
                <w:highlight w:val="none"/>
                <w:lang w:val="zh-CN"/>
              </w:rPr>
            </w:pPr>
            <w:r>
              <w:rPr>
                <w:szCs w:val="21"/>
                <w:highlight w:val="none"/>
                <w:lang w:val="zh-CN"/>
              </w:rPr>
              <w:t>联合体供应商</w:t>
            </w:r>
          </w:p>
        </w:tc>
        <w:tc>
          <w:tcPr>
            <w:tcW w:w="0" w:type="auto"/>
            <w:vAlign w:val="center"/>
          </w:tcPr>
          <w:p>
            <w:pPr>
              <w:spacing w:line="360" w:lineRule="exact"/>
              <w:rPr>
                <w:kern w:val="0"/>
                <w:szCs w:val="21"/>
                <w:highlight w:val="none"/>
              </w:rPr>
            </w:pPr>
            <w:r>
              <w:rPr>
                <w:rFonts w:hint="eastAsia"/>
                <w:szCs w:val="21"/>
                <w:highlight w:val="none"/>
                <w:lang w:val="zh-CN"/>
              </w:rPr>
              <w:t>不</w:t>
            </w:r>
            <w:r>
              <w:rPr>
                <w:szCs w:val="21"/>
                <w:highlight w:val="none"/>
                <w:lang w:val="zh-CN"/>
              </w:rPr>
              <w:t>接受联合体</w:t>
            </w:r>
            <w:r>
              <w:rPr>
                <w:rFonts w:hint="eastAsia"/>
                <w:szCs w:val="21"/>
                <w:highlight w:val="none"/>
                <w:lang w:val="zh-CN"/>
              </w:rPr>
              <w:t>。联合体竞标的，作无效竞标处理。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kern w:val="0"/>
                <w:szCs w:val="21"/>
                <w:highlight w:val="none"/>
              </w:rPr>
            </w:pPr>
          </w:p>
        </w:tc>
        <w:tc>
          <w:tcPr>
            <w:tcW w:w="1870" w:type="dxa"/>
            <w:vAlign w:val="center"/>
          </w:tcPr>
          <w:p>
            <w:pPr>
              <w:spacing w:line="360" w:lineRule="exact"/>
              <w:rPr>
                <w:szCs w:val="21"/>
                <w:highlight w:val="none"/>
              </w:rPr>
            </w:pPr>
            <w:r>
              <w:rPr>
                <w:szCs w:val="21"/>
                <w:highlight w:val="none"/>
              </w:rPr>
              <w:t>转包</w:t>
            </w:r>
            <w:r>
              <w:rPr>
                <w:rFonts w:hint="eastAsia"/>
                <w:szCs w:val="21"/>
                <w:highlight w:val="none"/>
              </w:rPr>
              <w:t>及</w:t>
            </w:r>
            <w:r>
              <w:rPr>
                <w:szCs w:val="21"/>
                <w:highlight w:val="none"/>
              </w:rPr>
              <w:t>分包</w:t>
            </w:r>
          </w:p>
        </w:tc>
        <w:tc>
          <w:tcPr>
            <w:tcW w:w="0" w:type="auto"/>
            <w:vAlign w:val="center"/>
          </w:tcPr>
          <w:p>
            <w:pPr>
              <w:spacing w:line="360" w:lineRule="exact"/>
              <w:rPr>
                <w:szCs w:val="21"/>
                <w:highlight w:val="none"/>
              </w:rPr>
            </w:pPr>
            <w:r>
              <w:rPr>
                <w:szCs w:val="21"/>
                <w:highlight w:val="none"/>
              </w:rPr>
              <w:t>满足</w:t>
            </w:r>
            <w:r>
              <w:rPr>
                <w:rFonts w:hint="eastAsia"/>
                <w:szCs w:val="21"/>
                <w:highlight w:val="none"/>
              </w:rPr>
              <w:t>磋商文件</w:t>
            </w:r>
            <w:r>
              <w:rPr>
                <w:szCs w:val="21"/>
                <w:highlight w:val="none"/>
              </w:rPr>
              <w:t>规定</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8" w:type="dxa"/>
            <w:vMerge w:val="restart"/>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2</w:t>
            </w:r>
          </w:p>
        </w:tc>
        <w:tc>
          <w:tcPr>
            <w:tcW w:w="1187" w:type="dxa"/>
            <w:vMerge w:val="restart"/>
            <w:vAlign w:val="center"/>
          </w:tcPr>
          <w:p>
            <w:pPr>
              <w:spacing w:line="360" w:lineRule="exact"/>
              <w:rPr>
                <w:szCs w:val="21"/>
                <w:highlight w:val="none"/>
                <w:lang w:val="zh-CN"/>
              </w:rPr>
            </w:pPr>
            <w:r>
              <w:rPr>
                <w:kern w:val="0"/>
                <w:szCs w:val="21"/>
                <w:highlight w:val="none"/>
              </w:rPr>
              <w:t>对</w:t>
            </w:r>
            <w:r>
              <w:rPr>
                <w:rFonts w:hint="eastAsia"/>
                <w:kern w:val="0"/>
                <w:szCs w:val="21"/>
                <w:highlight w:val="none"/>
              </w:rPr>
              <w:t>磋商文件</w:t>
            </w:r>
            <w:r>
              <w:rPr>
                <w:kern w:val="0"/>
                <w:szCs w:val="21"/>
                <w:highlight w:val="none"/>
              </w:rPr>
              <w:t>的响应程度审查</w:t>
            </w:r>
          </w:p>
        </w:tc>
        <w:tc>
          <w:tcPr>
            <w:tcW w:w="1870" w:type="dxa"/>
            <w:vAlign w:val="center"/>
          </w:tcPr>
          <w:p>
            <w:pPr>
              <w:spacing w:line="360" w:lineRule="exact"/>
              <w:rPr>
                <w:szCs w:val="21"/>
                <w:highlight w:val="none"/>
                <w:lang w:val="zh-CN"/>
              </w:rPr>
            </w:pPr>
            <w:r>
              <w:rPr>
                <w:szCs w:val="21"/>
                <w:highlight w:val="none"/>
                <w:lang w:val="zh-CN"/>
              </w:rPr>
              <w:t>实质性条款响应</w:t>
            </w:r>
          </w:p>
        </w:tc>
        <w:tc>
          <w:tcPr>
            <w:tcW w:w="0" w:type="auto"/>
            <w:vAlign w:val="center"/>
          </w:tcPr>
          <w:p>
            <w:pPr>
              <w:spacing w:line="360" w:lineRule="exact"/>
              <w:rPr>
                <w:szCs w:val="21"/>
                <w:highlight w:val="none"/>
                <w:lang w:val="zh-CN"/>
              </w:rPr>
            </w:pPr>
            <w:r>
              <w:rPr>
                <w:szCs w:val="21"/>
                <w:highlight w:val="none"/>
                <w:lang w:val="zh-CN"/>
              </w:rPr>
              <w:t>对</w:t>
            </w:r>
            <w:r>
              <w:rPr>
                <w:rFonts w:hint="eastAsia"/>
                <w:szCs w:val="21"/>
                <w:highlight w:val="none"/>
                <w:lang w:val="zh-CN"/>
              </w:rPr>
              <w:t>磋商文件</w:t>
            </w:r>
            <w:r>
              <w:rPr>
                <w:szCs w:val="21"/>
                <w:highlight w:val="none"/>
                <w:lang w:val="zh-CN"/>
              </w:rPr>
              <w:t>中所有标注▲号的实质性条款要求响应均无负偏离</w:t>
            </w:r>
            <w:r>
              <w:rPr>
                <w:rFonts w:hint="eastAsia"/>
                <w:szCs w:val="21"/>
                <w:highlight w:val="none"/>
                <w:lang w:val="zh-CN"/>
              </w:rPr>
              <w:t>，</w:t>
            </w:r>
            <w:r>
              <w:rPr>
                <w:szCs w:val="21"/>
                <w:highlight w:val="none"/>
                <w:lang w:val="zh-CN"/>
              </w:rPr>
              <w:t>并</w:t>
            </w:r>
            <w:r>
              <w:rPr>
                <w:rFonts w:hint="eastAsia"/>
                <w:szCs w:val="21"/>
                <w:highlight w:val="none"/>
                <w:lang w:val="zh-CN"/>
              </w:rPr>
              <w:t>符合磋商文件其他实质性要求。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szCs w:val="21"/>
                <w:highlight w:val="none"/>
                <w:lang w:val="zh-CN"/>
              </w:rPr>
            </w:pPr>
          </w:p>
        </w:tc>
        <w:tc>
          <w:tcPr>
            <w:tcW w:w="1870" w:type="dxa"/>
            <w:vAlign w:val="center"/>
          </w:tcPr>
          <w:p>
            <w:pPr>
              <w:spacing w:line="360" w:lineRule="exact"/>
              <w:rPr>
                <w:szCs w:val="21"/>
                <w:highlight w:val="none"/>
              </w:rPr>
            </w:pPr>
            <w:r>
              <w:rPr>
                <w:rFonts w:hint="eastAsia"/>
                <w:szCs w:val="21"/>
                <w:highlight w:val="none"/>
              </w:rPr>
              <w:t>竞标</w:t>
            </w:r>
            <w:r>
              <w:rPr>
                <w:szCs w:val="21"/>
                <w:highlight w:val="none"/>
              </w:rPr>
              <w:t>有效期</w:t>
            </w:r>
          </w:p>
        </w:tc>
        <w:tc>
          <w:tcPr>
            <w:tcW w:w="0" w:type="auto"/>
            <w:vAlign w:val="center"/>
          </w:tcPr>
          <w:p>
            <w:pPr>
              <w:spacing w:line="360" w:lineRule="exact"/>
              <w:rPr>
                <w:szCs w:val="21"/>
                <w:highlight w:val="none"/>
              </w:rPr>
            </w:pPr>
            <w:r>
              <w:rPr>
                <w:szCs w:val="21"/>
                <w:highlight w:val="none"/>
              </w:rPr>
              <w:t>满足</w:t>
            </w:r>
            <w:r>
              <w:rPr>
                <w:rFonts w:hint="eastAsia"/>
                <w:szCs w:val="21"/>
                <w:highlight w:val="none"/>
              </w:rPr>
              <w:t>磋商文件</w:t>
            </w:r>
            <w:r>
              <w:rPr>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8" w:type="dxa"/>
            <w:vMerge w:val="continue"/>
            <w:vAlign w:val="center"/>
          </w:tcPr>
          <w:p>
            <w:pPr>
              <w:spacing w:line="360" w:lineRule="exact"/>
              <w:jc w:val="center"/>
              <w:rPr>
                <w:kern w:val="0"/>
                <w:szCs w:val="21"/>
                <w:highlight w:val="none"/>
              </w:rPr>
            </w:pPr>
          </w:p>
        </w:tc>
        <w:tc>
          <w:tcPr>
            <w:tcW w:w="1187" w:type="dxa"/>
            <w:vMerge w:val="continue"/>
            <w:vAlign w:val="center"/>
          </w:tcPr>
          <w:p>
            <w:pPr>
              <w:spacing w:line="360" w:lineRule="exact"/>
              <w:rPr>
                <w:szCs w:val="21"/>
                <w:highlight w:val="none"/>
                <w:lang w:val="zh-CN"/>
              </w:rPr>
            </w:pPr>
          </w:p>
        </w:tc>
        <w:tc>
          <w:tcPr>
            <w:tcW w:w="1870" w:type="dxa"/>
            <w:vAlign w:val="center"/>
          </w:tcPr>
          <w:p>
            <w:pPr>
              <w:spacing w:line="360" w:lineRule="exact"/>
              <w:rPr>
                <w:szCs w:val="21"/>
                <w:highlight w:val="none"/>
              </w:rPr>
            </w:pPr>
            <w:r>
              <w:rPr>
                <w:rFonts w:hint="eastAsia"/>
                <w:szCs w:val="21"/>
                <w:highlight w:val="none"/>
              </w:rPr>
              <w:t>应答</w:t>
            </w:r>
            <w:r>
              <w:rPr>
                <w:szCs w:val="21"/>
                <w:highlight w:val="none"/>
                <w:lang w:val="zh-CN"/>
              </w:rPr>
              <w:t>响应</w:t>
            </w:r>
            <w:r>
              <w:rPr>
                <w:rFonts w:hint="eastAsia"/>
                <w:szCs w:val="21"/>
                <w:highlight w:val="none"/>
              </w:rPr>
              <w:t>有效性</w:t>
            </w:r>
          </w:p>
        </w:tc>
        <w:tc>
          <w:tcPr>
            <w:tcW w:w="0" w:type="auto"/>
            <w:vAlign w:val="center"/>
          </w:tcPr>
          <w:p>
            <w:pPr>
              <w:spacing w:line="360" w:lineRule="exact"/>
              <w:rPr>
                <w:szCs w:val="21"/>
                <w:highlight w:val="none"/>
              </w:rPr>
            </w:pPr>
            <w:r>
              <w:rPr>
                <w:rFonts w:hint="eastAsia"/>
                <w:szCs w:val="21"/>
                <w:highlight w:val="none"/>
              </w:rPr>
              <w:t>不属于</w:t>
            </w:r>
            <w:r>
              <w:rPr>
                <w:rFonts w:hint="eastAsia"/>
                <w:szCs w:val="21"/>
                <w:highlight w:val="none"/>
                <w:lang w:val="en-US" w:eastAsia="zh-CN"/>
              </w:rPr>
              <w:t>竞争性磋商文件</w:t>
            </w:r>
            <w:r>
              <w:rPr>
                <w:rFonts w:hint="eastAsia"/>
                <w:szCs w:val="21"/>
                <w:highlight w:val="none"/>
              </w:rPr>
              <w:t>“第四章  评审程序、评审方法和评审标准”中“2.5商务技术报价评审”被视为响应文件无效处理</w:t>
            </w:r>
            <w:r>
              <w:rPr>
                <w:rFonts w:hint="eastAsia"/>
                <w:szCs w:val="21"/>
                <w:highlight w:val="none"/>
                <w:lang w:val="en-US" w:eastAsia="zh-CN"/>
              </w:rPr>
              <w:t>的情形</w:t>
            </w:r>
            <w:r>
              <w:rPr>
                <w:rFonts w:hint="eastAsia"/>
                <w:szCs w:val="21"/>
                <w:highlight w:val="none"/>
              </w:rPr>
              <w:t>。</w:t>
            </w:r>
          </w:p>
        </w:tc>
      </w:tr>
    </w:tbl>
    <w:p>
      <w:pPr>
        <w:spacing w:line="360" w:lineRule="auto"/>
        <w:ind w:firstLine="420" w:firstLineChars="200"/>
        <w:rPr>
          <w:rFonts w:ascii="宋体" w:hAnsi="宋体" w:cs="宋体"/>
          <w:szCs w:val="21"/>
          <w:highlight w:val="none"/>
        </w:rPr>
      </w:pPr>
      <w:r>
        <w:rPr>
          <w:rFonts w:ascii="宋体" w:hAnsi="宋体" w:cs="宋体"/>
          <w:szCs w:val="21"/>
          <w:highlight w:val="none"/>
        </w:rPr>
        <w:t>2.2</w:t>
      </w:r>
      <w:r>
        <w:rPr>
          <w:rFonts w:hint="eastAsia" w:ascii="宋体" w:hAnsi="宋体" w:cs="宋体"/>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公章（或电子签章）</w:t>
      </w:r>
      <w:r>
        <w:rPr>
          <w:rFonts w:hint="eastAsia" w:ascii="宋体" w:hAnsi="宋体" w:cs="宋体"/>
          <w:spacing w:val="-6"/>
          <w:szCs w:val="21"/>
          <w:highlight w:val="none"/>
        </w:rPr>
        <w:t>。</w:t>
      </w:r>
    </w:p>
    <w:p>
      <w:pPr>
        <w:spacing w:line="360" w:lineRule="auto"/>
        <w:ind w:firstLine="420" w:firstLineChars="200"/>
        <w:rPr>
          <w:rFonts w:ascii="宋体" w:hAnsi="宋体" w:cs="宋体"/>
          <w:spacing w:val="-6"/>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电子签章，或者由法定代表人或者其授权的代表签字（或者电子签章）。</w:t>
      </w:r>
    </w:p>
    <w:p>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2.4</w:t>
      </w:r>
      <w:r>
        <w:rPr>
          <w:rFonts w:hint="eastAsia" w:ascii="宋体" w:hAnsi="宋体" w:cs="宋体"/>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2" w:firstLineChars="200"/>
        <w:rPr>
          <w:rFonts w:hint="eastAsia" w:ascii="宋体" w:hAns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w:t>
      </w:r>
      <w:r>
        <w:rPr>
          <w:rFonts w:ascii="宋体" w:hAnsi="宋体" w:cs="宋体"/>
          <w:b/>
          <w:bCs/>
          <w:szCs w:val="21"/>
          <w:highlight w:val="none"/>
        </w:rPr>
        <w:t>5</w:t>
      </w:r>
      <w:r>
        <w:rPr>
          <w:rFonts w:hint="eastAsia" w:ascii="宋体" w:hAnsi="宋体" w:cs="宋体"/>
          <w:b/>
          <w:bCs/>
          <w:szCs w:val="21"/>
          <w:highlight w:val="none"/>
        </w:rPr>
        <w:t>商务技术报价评审</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在评审时，如发现下列情形之一的，将被视为响应文件无效处理：</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（1）商务技术评审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1）响应文件未按磋商文件要求签署、盖章；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2）委托代理人未能出具有效身份证或者出具的身份证与授权委托书中的信息不符的；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5）商务要求允许负偏离的条款数超过“供应商须知前附表”规定项数的；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10）属于“供应商须知正文”第7.</w:t>
      </w:r>
      <w:r>
        <w:rPr>
          <w:rFonts w:ascii="宋体" w:hAnsi="宋体" w:cs="宋体"/>
          <w:szCs w:val="21"/>
          <w:highlight w:val="none"/>
        </w:rPr>
        <w:t>5</w:t>
      </w:r>
      <w:r>
        <w:rPr>
          <w:rFonts w:hint="eastAsia" w:ascii="宋体" w:hAnsi="宋体" w:cs="宋体"/>
          <w:szCs w:val="21"/>
          <w:highlight w:val="none"/>
        </w:rPr>
        <w:t>条情形；</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1）技术要求允许负偏离的条款数超过“供应商须知前附表”规定项数；</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2）虚假竞标，或者出现其他情形而导致被磋商小组认定无效；</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w:t>
      </w:r>
      <w:bookmarkStart w:id="82" w:name="_Hlk71704147"/>
      <w:r>
        <w:rPr>
          <w:rFonts w:hint="eastAsia" w:ascii="宋体" w:hAnsi="宋体" w:cs="宋体"/>
          <w:szCs w:val="21"/>
          <w:highlight w:val="none"/>
        </w:rPr>
        <w:t>磋商文件未载明允许提供备选（替代）竞标方案或明确不允许提供备选（替代）竞标方案时，供应商提供了备选（替代）竞标方案的；</w:t>
      </w:r>
      <w:bookmarkEnd w:id="82"/>
    </w:p>
    <w:p>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4）响应文件标注的项目名称或者项目编号与磋商文件标注的项目名称或者项目编号不一致的；</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w:t>
      </w:r>
      <w:r>
        <w:rPr>
          <w:rFonts w:hint="eastAsia" w:ascii="宋体" w:hAnsi="宋体"/>
          <w:b/>
          <w:szCs w:val="21"/>
          <w:highlight w:val="none"/>
        </w:rPr>
        <w:t>竞争性磋商文件明确不允许分包，响应文件拟分包的；</w:t>
      </w:r>
    </w:p>
    <w:p>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6）未响应磋商文件实质性要求；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17）法律、法规和磋商文件规定的其他无效情形。</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w:t>
      </w:r>
      <w:r>
        <w:rPr>
          <w:rFonts w:ascii="宋体" w:hAnsi="宋体" w:cs="宋体"/>
          <w:b/>
          <w:bCs/>
          <w:szCs w:val="21"/>
          <w:highlight w:val="none"/>
        </w:rPr>
        <w:t>2</w:t>
      </w:r>
      <w:r>
        <w:rPr>
          <w:rFonts w:hint="eastAsia" w:ascii="宋体" w:hAnsi="宋体" w:cs="宋体"/>
          <w:b/>
          <w:bCs/>
          <w:szCs w:val="21"/>
          <w:highlight w:val="none"/>
        </w:rPr>
        <w:t>）报价评审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 </w:t>
      </w:r>
      <w:r>
        <w:rPr>
          <w:rFonts w:hint="eastAsia" w:ascii="宋体" w:hAnsi="宋体" w:cs="宋体"/>
          <w:szCs w:val="21"/>
          <w:highlight w:val="none"/>
        </w:rPr>
        <w:t>响应文件未提供“供应商须知前附表” 报价文件中规定的“竞标报价表”；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2）未采用人民币报价或者未按照磋商文件标明的币种报价；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w:t>
      </w:r>
      <w:bookmarkStart w:id="83" w:name="_Hlk42596405"/>
      <w:r>
        <w:rPr>
          <w:rFonts w:hint="eastAsia" w:ascii="宋体" w:hAnsi="宋体" w:cs="宋体"/>
          <w:szCs w:val="21"/>
          <w:highlight w:val="none"/>
        </w:rPr>
        <w:t>竞标报价（包含首次报价、最后报价）</w:t>
      </w:r>
      <w:bookmarkEnd w:id="83"/>
      <w:bookmarkStart w:id="84" w:name="_Hlk42596276"/>
      <w:r>
        <w:rPr>
          <w:rFonts w:hint="eastAsia" w:ascii="宋体" w:hAnsi="宋体" w:cs="宋体"/>
          <w:szCs w:val="21"/>
          <w:highlight w:val="none"/>
        </w:rPr>
        <w:t>超过磋商文件分项采购预算金额或者最高限价的</w:t>
      </w:r>
      <w:bookmarkEnd w:id="84"/>
      <w:r>
        <w:rPr>
          <w:rFonts w:hint="eastAsia" w:ascii="宋体" w:hAnsi="宋体" w:cs="宋体"/>
          <w:szCs w:val="21"/>
          <w:highlight w:val="none"/>
        </w:rPr>
        <w:t>（如本项目公布了最高限价）；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响应文件响应的标的数量及单位与竞争性磋商采购文件要求实质性不一致的。</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2.6</w:t>
      </w:r>
      <w:r>
        <w:rPr>
          <w:rFonts w:hint="eastAsia" w:ascii="宋体" w:hAnsi="宋体" w:cs="宋体"/>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2.7</w:t>
      </w:r>
      <w:r>
        <w:rPr>
          <w:rFonts w:hint="eastAsia" w:ascii="宋体" w:hAnsi="宋体"/>
          <w:szCs w:val="21"/>
          <w:highlight w:val="none"/>
        </w:rPr>
        <w:t>通过符合性审查的合格供应商不足3家的，不得进入磋商环节，采购人或者采购代理机构应当重新开展采购活动。</w:t>
      </w:r>
    </w:p>
    <w:p>
      <w:pPr>
        <w:spacing w:line="360" w:lineRule="auto"/>
        <w:ind w:firstLine="482" w:firstLineChars="200"/>
        <w:outlineLvl w:val="2"/>
        <w:rPr>
          <w:rFonts w:ascii="宋体" w:hAnsi="宋体" w:cs="宋体"/>
          <w:b/>
          <w:bCs/>
          <w:sz w:val="24"/>
          <w:highlight w:val="none"/>
        </w:rPr>
      </w:pPr>
      <w:r>
        <w:rPr>
          <w:rFonts w:ascii="宋体" w:hAnsi="宋体" w:cs="宋体"/>
          <w:b/>
          <w:bCs/>
          <w:sz w:val="24"/>
          <w:highlight w:val="none"/>
        </w:rPr>
        <w:t>3</w:t>
      </w:r>
      <w:r>
        <w:rPr>
          <w:rFonts w:hint="eastAsia" w:ascii="宋体" w:hAnsi="宋体" w:cs="宋体"/>
          <w:b/>
          <w:bCs/>
          <w:sz w:val="24"/>
          <w:highlight w:val="none"/>
        </w:rPr>
        <w:t>.磋商程序</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.1</w:t>
      </w:r>
      <w:r>
        <w:rPr>
          <w:rFonts w:hint="eastAsia" w:ascii="宋体" w:hAnsi="宋体" w:cs="宋体"/>
          <w:kern w:val="0"/>
          <w:szCs w:val="21"/>
          <w:highlight w:val="none"/>
        </w:rPr>
        <w:t>磋商小组</w:t>
      </w:r>
      <w:r>
        <w:rPr>
          <w:rFonts w:hint="eastAsia" w:ascii="宋体" w:hAnsi="宋体" w:cs="宋体"/>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3.3</w:t>
      </w:r>
      <w:r>
        <w:rPr>
          <w:rFonts w:hint="eastAsia" w:ascii="宋体" w:hAnsi="宋体" w:cs="宋体"/>
          <w:szCs w:val="21"/>
          <w:highlight w:val="none"/>
        </w:rPr>
        <w:t>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3.4</w:t>
      </w:r>
      <w:r>
        <w:rPr>
          <w:rFonts w:hint="eastAsia" w:ascii="宋体" w:hAnsi="宋体" w:cs="宋体"/>
          <w:szCs w:val="21"/>
          <w:highlight w:val="none"/>
        </w:rPr>
        <w:t>供应商必须按照磋商文件的变动情况和磋商小组的要求以回函的形式重新提交响应文件，并加盖公章（或电子签章）。参加磋商的供应商未在规定时间内重新提交响应文件的，视同退出磋商，其响应文件按无效处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磋商中，</w:t>
      </w:r>
      <w:r>
        <w:rPr>
          <w:rFonts w:hint="eastAsia" w:ascii="宋体" w:hAnsi="宋体" w:cs="宋体"/>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szCs w:val="21"/>
          <w:highlight w:val="none"/>
        </w:rPr>
      </w:pPr>
      <w:r>
        <w:rPr>
          <w:rFonts w:ascii="宋体" w:hAnsi="宋体" w:cs="宋体"/>
          <w:szCs w:val="21"/>
          <w:highlight w:val="none"/>
        </w:rPr>
        <w:t>3.6</w:t>
      </w:r>
      <w:r>
        <w:rPr>
          <w:rFonts w:hint="eastAsia" w:ascii="宋体" w:hAnsi="宋体" w:cs="宋体"/>
          <w:szCs w:val="21"/>
          <w:highlight w:val="none"/>
        </w:rPr>
        <w:t>采购代理机构对磋商过程和重要磋商内容进行记录。</w:t>
      </w:r>
    </w:p>
    <w:p>
      <w:pPr>
        <w:widowControl/>
        <w:tabs>
          <w:tab w:val="left" w:pos="5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.7</w:t>
      </w:r>
      <w:r>
        <w:rPr>
          <w:rFonts w:ascii="宋体" w:hAnsi="宋体"/>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3.8除</w:t>
      </w:r>
      <w:r>
        <w:rPr>
          <w:rFonts w:ascii="宋体" w:hAnsi="宋体"/>
          <w:highlight w:val="none"/>
        </w:rPr>
        <w:t>本章第3.7条情形</w:t>
      </w:r>
      <w:r>
        <w:rPr>
          <w:rFonts w:hint="eastAsia" w:ascii="宋体" w:hAnsi="宋体"/>
          <w:highlight w:val="none"/>
        </w:rPr>
        <w:t>外，</w:t>
      </w:r>
      <w:r>
        <w:rPr>
          <w:rFonts w:hint="eastAsia" w:ascii="宋体" w:hAnsi="宋体"/>
          <w:szCs w:val="21"/>
          <w:highlight w:val="none"/>
        </w:rPr>
        <w:t>对磋商过程提交的响应文件进行有效性、完整性和响应程度审查，通过审查的合格供应商不足3家的，采购人或者采购代理机构应当重新开展采购活动。</w:t>
      </w:r>
    </w:p>
    <w:p>
      <w:pPr>
        <w:spacing w:line="360" w:lineRule="auto"/>
        <w:ind w:firstLine="482" w:firstLineChars="200"/>
        <w:outlineLvl w:val="2"/>
        <w:rPr>
          <w:rFonts w:ascii="宋体" w:hAnsi="宋体" w:cs="宋体"/>
          <w:b/>
          <w:bCs/>
          <w:sz w:val="24"/>
          <w:highlight w:val="none"/>
        </w:rPr>
      </w:pPr>
      <w:r>
        <w:rPr>
          <w:rFonts w:ascii="宋体" w:hAnsi="宋体" w:cs="宋体"/>
          <w:b/>
          <w:bCs/>
          <w:sz w:val="24"/>
          <w:highlight w:val="none"/>
        </w:rPr>
        <w:t>4</w:t>
      </w:r>
      <w:r>
        <w:rPr>
          <w:rFonts w:hint="eastAsia" w:ascii="宋体" w:hAnsi="宋体" w:cs="宋体"/>
          <w:b/>
          <w:bCs/>
          <w:sz w:val="24"/>
          <w:highlight w:val="none"/>
          <w:lang w:eastAsia="zh-CN"/>
        </w:rPr>
        <w:t>.</w:t>
      </w:r>
      <w:r>
        <w:rPr>
          <w:rFonts w:hint="eastAsia" w:ascii="宋体" w:hAnsi="宋体" w:cs="宋体"/>
          <w:b/>
          <w:bCs/>
          <w:sz w:val="24"/>
          <w:highlight w:val="none"/>
        </w:rPr>
        <w:t>最后报价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highlight w:val="none"/>
        </w:rPr>
        <w:t>4.3</w:t>
      </w:r>
      <w:r>
        <w:rPr>
          <w:rFonts w:hint="eastAsia" w:ascii="宋体" w:hAnsi="宋体" w:cs="宋体"/>
          <w:szCs w:val="21"/>
          <w:highlight w:val="none"/>
        </w:rPr>
        <w:t>条外，提交最后报价的供应商不得少于3家，否则必须重新采购。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highlight w:val="none"/>
        </w:rPr>
        <w:t>本章第3.7条情形的，</w:t>
      </w:r>
      <w:r>
        <w:rPr>
          <w:rFonts w:hint="eastAsia" w:ascii="宋体" w:hAnsi="宋体" w:cs="宋体"/>
          <w:szCs w:val="21"/>
          <w:highlight w:val="none"/>
        </w:rPr>
        <w:t>提交最后报价的供应商可以为2家。</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供应商未在规定时间内提交最后报价的，视同退出磋商，其响应文件按无效处理。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最后报价统一开启后，磋商小组对最后报价进行有效性、完整性和响应程度的审查。</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4.7</w:t>
      </w:r>
      <w:r>
        <w:rPr>
          <w:rFonts w:hint="eastAsia" w:ascii="宋体" w:hAnsi="宋体" w:cs="宋体"/>
          <w:szCs w:val="21"/>
          <w:highlight w:val="none"/>
        </w:rPr>
        <w:t>最后报价出现前后不一致的，按照本章第</w:t>
      </w:r>
      <w:r>
        <w:rPr>
          <w:rFonts w:ascii="宋体" w:hAnsi="宋体" w:cs="宋体"/>
          <w:szCs w:val="21"/>
          <w:highlight w:val="none"/>
        </w:rPr>
        <w:t>2.4</w:t>
      </w:r>
      <w:r>
        <w:rPr>
          <w:rFonts w:hint="eastAsia" w:ascii="宋体" w:hAnsi="宋体" w:cs="宋体"/>
          <w:szCs w:val="21"/>
          <w:highlight w:val="none"/>
        </w:rPr>
        <w:t xml:space="preserve">条的规定修正。 </w:t>
      </w:r>
    </w:p>
    <w:p>
      <w:pPr>
        <w:spacing w:line="360" w:lineRule="auto"/>
        <w:ind w:firstLine="420" w:firstLineChars="200"/>
        <w:rPr>
          <w:rFonts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修正后的报价出现下列情形的，按无效响应处理：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4.9</w:t>
      </w:r>
      <w:r>
        <w:rPr>
          <w:rFonts w:hint="eastAsia" w:ascii="宋体" w:hAnsi="宋体" w:cs="宋体"/>
          <w:szCs w:val="21"/>
          <w:highlight w:val="none"/>
        </w:rPr>
        <w:t>经供应商确认修正后的最后报价作为评审及签订合同的依据。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4.10供应商出现最后报价按无效响应处理或者响应文件按无效处理时</w:t>
      </w:r>
      <w:r>
        <w:rPr>
          <w:rFonts w:hint="eastAsia" w:ascii="宋体" w:hAnsi="宋体"/>
          <w:sz w:val="22"/>
          <w:szCs w:val="22"/>
          <w:highlight w:val="none"/>
        </w:rPr>
        <w:t>，磋商小组应当告知有关供应商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1最后报价结束后，磋商小组不得再与供应商进行任何形式的商谈。</w:t>
      </w:r>
    </w:p>
    <w:p>
      <w:pPr>
        <w:spacing w:line="360" w:lineRule="auto"/>
        <w:ind w:firstLine="482" w:firstLineChars="200"/>
        <w:outlineLvl w:val="2"/>
        <w:rPr>
          <w:rFonts w:ascii="宋体" w:hAnsi="宋体" w:cs="宋体"/>
          <w:b/>
          <w:bCs/>
          <w:sz w:val="24"/>
          <w:highlight w:val="none"/>
        </w:rPr>
      </w:pPr>
      <w:r>
        <w:rPr>
          <w:rFonts w:hint="eastAsia" w:ascii="宋体" w:hAnsi="宋体" w:cs="宋体"/>
          <w:b/>
          <w:bCs/>
          <w:sz w:val="24"/>
          <w:highlight w:val="none"/>
        </w:rPr>
        <w:t>5</w:t>
      </w:r>
      <w:r>
        <w:rPr>
          <w:rFonts w:ascii="宋体" w:hAnsi="宋体" w:cs="宋体"/>
          <w:b/>
          <w:bCs/>
          <w:sz w:val="24"/>
          <w:highlight w:val="none"/>
        </w:rPr>
        <w:t>.</w:t>
      </w:r>
      <w:r>
        <w:rPr>
          <w:rFonts w:hint="eastAsia" w:ascii="宋体" w:hAnsi="宋体" w:cs="宋体"/>
          <w:b/>
          <w:bCs/>
          <w:sz w:val="24"/>
          <w:highlight w:val="none"/>
        </w:rPr>
        <w:t>比较与评价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评审方法：综合评分法。</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5.2</w:t>
      </w:r>
      <w:r>
        <w:rPr>
          <w:rFonts w:hint="eastAsia" w:ascii="宋体" w:hAnsi="宋体" w:cs="宋体"/>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pPr>
        <w:spacing w:line="360" w:lineRule="auto"/>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kern w:val="0"/>
          <w:szCs w:val="21"/>
          <w:highlight w:val="none"/>
        </w:rPr>
      </w:pPr>
      <w:r>
        <w:rPr>
          <w:rFonts w:ascii="宋体" w:hAnsi="宋体" w:cs="宋体"/>
          <w:szCs w:val="21"/>
          <w:highlight w:val="none"/>
        </w:rPr>
        <w:t>5.5</w:t>
      </w:r>
      <w:r>
        <w:rPr>
          <w:rFonts w:hint="eastAsia" w:ascii="宋体" w:hAnsi="宋体" w:cs="宋体"/>
          <w:szCs w:val="21"/>
          <w:highlight w:val="none"/>
        </w:rPr>
        <w:t>由磋商小组根据综合评分情况，按照评审得分由高到低顺序推荐3名以上成交候选供应商，并编写评</w:t>
      </w:r>
      <w:r>
        <w:rPr>
          <w:rFonts w:hint="eastAsia" w:ascii="宋体" w:hAnsi="宋体"/>
          <w:kern w:val="0"/>
          <w:szCs w:val="21"/>
          <w:highlight w:val="none"/>
        </w:rPr>
        <w:t>审报告。符合本章第</w:t>
      </w:r>
      <w:r>
        <w:rPr>
          <w:rFonts w:ascii="宋体" w:hAnsi="宋体"/>
          <w:kern w:val="0"/>
          <w:szCs w:val="21"/>
          <w:highlight w:val="none"/>
        </w:rPr>
        <w:t>4.3</w:t>
      </w:r>
      <w:r>
        <w:rPr>
          <w:rFonts w:hint="eastAsia" w:ascii="宋体" w:hAnsi="宋体"/>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kern w:val="0"/>
          <w:szCs w:val="21"/>
          <w:highlight w:val="none"/>
        </w:rPr>
      </w:pPr>
      <w:r>
        <w:rPr>
          <w:rFonts w:ascii="宋体" w:hAnsi="宋体"/>
          <w:kern w:val="0"/>
          <w:szCs w:val="21"/>
          <w:highlight w:val="none"/>
        </w:rPr>
        <w:t>5.6</w:t>
      </w:r>
      <w:r>
        <w:rPr>
          <w:rFonts w:hint="eastAsia" w:ascii="宋体" w:hAnsi="宋体"/>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firstLineChars="200"/>
        <w:rPr>
          <w:rFonts w:hint="eastAsia" w:ascii="宋体" w:hAnsi="宋体" w:cs="宋体"/>
          <w:szCs w:val="21"/>
          <w:highlight w:val="none"/>
        </w:rPr>
      </w:pPr>
    </w:p>
    <w:p>
      <w:pPr>
        <w:spacing w:line="360" w:lineRule="auto"/>
        <w:jc w:val="center"/>
        <w:outlineLvl w:val="1"/>
        <w:rPr>
          <w:rFonts w:hint="eastAsia" w:ascii="宋体" w:hAnsi="宋体"/>
          <w:b/>
          <w:sz w:val="32"/>
          <w:szCs w:val="32"/>
          <w:highlight w:val="none"/>
        </w:rPr>
      </w:pPr>
      <w:r>
        <w:rPr>
          <w:rFonts w:hint="eastAsia" w:ascii="宋体" w:hAnsi="宋体"/>
          <w:b/>
          <w:sz w:val="32"/>
          <w:szCs w:val="32"/>
          <w:highlight w:val="none"/>
        </w:rPr>
        <w:t>二、评审标准</w:t>
      </w:r>
    </w:p>
    <w:p>
      <w:pPr>
        <w:spacing w:line="360" w:lineRule="auto"/>
        <w:ind w:firstLine="422" w:firstLineChars="200"/>
        <w:outlineLvl w:val="2"/>
        <w:rPr>
          <w:rFonts w:hint="eastAsia" w:ascii="宋体" w:hAnsi="宋体"/>
          <w:b/>
          <w:bCs w:val="0"/>
          <w:highlight w:val="none"/>
        </w:rPr>
      </w:pPr>
      <w:r>
        <w:rPr>
          <w:rFonts w:hint="eastAsia" w:ascii="宋体" w:hAnsi="宋体"/>
          <w:b/>
          <w:bCs w:val="0"/>
          <w:szCs w:val="21"/>
          <w:highlight w:val="none"/>
        </w:rPr>
        <w:t>6</w:t>
      </w:r>
      <w:r>
        <w:rPr>
          <w:rFonts w:ascii="宋体" w:hAnsi="宋体"/>
          <w:b/>
          <w:bCs w:val="0"/>
          <w:szCs w:val="21"/>
          <w:highlight w:val="none"/>
        </w:rPr>
        <w:t>.</w:t>
      </w:r>
      <w:r>
        <w:rPr>
          <w:rFonts w:hint="eastAsia" w:ascii="宋体" w:hAnsi="宋体"/>
          <w:b/>
          <w:bCs w:val="0"/>
          <w:szCs w:val="21"/>
          <w:highlight w:val="none"/>
        </w:rPr>
        <w:t>评审依据：磋商小组将以磋商响应文件为评审依据，对供应商的报价、技术、商务等方面内容按百分制打分。（计分方法按四舍五入取至百分位）</w:t>
      </w:r>
    </w:p>
    <w:tbl>
      <w:tblPr>
        <w:tblStyle w:val="4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503"/>
        <w:gridCol w:w="940"/>
        <w:gridCol w:w="6147"/>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评审因素</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竞标报价</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1.评审价为供应商的竞标报价进行政策性扣除后的价格，评审价只是作为评审时使用。最终成交人的成交金额等于竞标报价。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2.政策性扣除计算方法：本项目属于专门面向</w:t>
            </w:r>
            <w:r>
              <w:rPr>
                <w:rFonts w:hint="eastAsia" w:ascii="宋体" w:hAnsi="宋体" w:cs="宋体"/>
                <w:i w:val="0"/>
                <w:iCs w:val="0"/>
                <w:color w:val="000000"/>
                <w:kern w:val="0"/>
                <w:sz w:val="21"/>
                <w:szCs w:val="21"/>
                <w:highlight w:val="none"/>
                <w:u w:val="none"/>
                <w:lang w:val="en-US" w:eastAsia="zh-CN" w:bidi="ar"/>
              </w:rPr>
              <w:t>小微</w:t>
            </w:r>
            <w:r>
              <w:rPr>
                <w:rFonts w:hint="eastAsia" w:ascii="宋体" w:hAnsi="宋体" w:eastAsia="宋体" w:cs="宋体"/>
                <w:i w:val="0"/>
                <w:iCs w:val="0"/>
                <w:color w:val="000000"/>
                <w:kern w:val="0"/>
                <w:sz w:val="21"/>
                <w:szCs w:val="21"/>
                <w:highlight w:val="none"/>
                <w:u w:val="none"/>
                <w:lang w:val="en-US" w:eastAsia="zh-CN" w:bidi="ar"/>
              </w:rPr>
              <w:t>企业采购的项目，评审价=竞标报价。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3.以进入比较与评价环节的最低的评审价为基准价，基准价得分为</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4.价格分计算公式：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价格分=（</w:t>
            </w:r>
            <w:r>
              <w:rPr>
                <w:rFonts w:hint="eastAsia" w:ascii="宋体" w:hAnsi="宋体" w:cs="宋体"/>
                <w:i w:val="0"/>
                <w:iCs w:val="0"/>
                <w:color w:val="000000"/>
                <w:kern w:val="0"/>
                <w:sz w:val="21"/>
                <w:szCs w:val="21"/>
                <w:highlight w:val="none"/>
                <w:u w:val="none"/>
                <w:lang w:val="en-US" w:eastAsia="zh-CN" w:bidi="ar"/>
              </w:rPr>
              <w:t>评审</w:t>
            </w:r>
            <w:r>
              <w:rPr>
                <w:rFonts w:hint="eastAsia" w:ascii="宋体" w:hAnsi="宋体" w:eastAsia="宋体" w:cs="宋体"/>
                <w:i w:val="0"/>
                <w:iCs w:val="0"/>
                <w:color w:val="000000"/>
                <w:kern w:val="0"/>
                <w:sz w:val="21"/>
                <w:szCs w:val="21"/>
                <w:highlight w:val="none"/>
                <w:u w:val="none"/>
                <w:lang w:val="en-US" w:eastAsia="zh-CN" w:bidi="ar"/>
              </w:rPr>
              <w:t>基准价／评审价）×</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团队人员配备</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235"/>
                <w:rFonts w:hint="eastAsia" w:ascii="宋体" w:hAnsi="宋体" w:eastAsia="宋体" w:cs="宋体"/>
                <w:sz w:val="21"/>
                <w:szCs w:val="21"/>
                <w:highlight w:val="none"/>
                <w:lang w:val="en-US" w:eastAsia="zh-CN" w:bidi="ar"/>
              </w:rPr>
              <w:t>根据供应商拟投入的团队人员进行评分：</w:t>
            </w:r>
            <w:r>
              <w:rPr>
                <w:rStyle w:val="235"/>
                <w:rFonts w:hint="eastAsia" w:ascii="宋体" w:hAnsi="宋体" w:eastAsia="宋体" w:cs="宋体"/>
                <w:sz w:val="21"/>
                <w:szCs w:val="21"/>
                <w:highlight w:val="none"/>
                <w:lang w:val="en-US" w:eastAsia="zh-CN" w:bidi="ar"/>
              </w:rPr>
              <w:br w:type="textWrapping"/>
            </w:r>
            <w:r>
              <w:rPr>
                <w:rStyle w:val="235"/>
                <w:rFonts w:hint="eastAsia" w:ascii="宋体" w:hAnsi="宋体" w:eastAsia="宋体" w:cs="宋体"/>
                <w:sz w:val="21"/>
                <w:szCs w:val="21"/>
                <w:highlight w:val="none"/>
                <w:lang w:val="en-US" w:eastAsia="zh-CN" w:bidi="ar"/>
              </w:rPr>
              <w:t>（1）拟派本项目</w:t>
            </w:r>
            <w:bookmarkStart w:id="85" w:name="OLE_LINK9"/>
            <w:r>
              <w:rPr>
                <w:rStyle w:val="235"/>
                <w:rFonts w:hint="eastAsia" w:ascii="宋体" w:hAnsi="宋体" w:eastAsia="宋体" w:cs="宋体"/>
                <w:sz w:val="21"/>
                <w:szCs w:val="21"/>
                <w:highlight w:val="none"/>
                <w:lang w:val="en-US" w:eastAsia="zh-CN" w:bidi="ar"/>
              </w:rPr>
              <w:t>技术负责人</w:t>
            </w:r>
            <w:bookmarkEnd w:id="85"/>
            <w:r>
              <w:rPr>
                <w:rStyle w:val="235"/>
                <w:rFonts w:hint="eastAsia" w:ascii="宋体" w:hAnsi="宋体" w:eastAsia="宋体" w:cs="宋体"/>
                <w:sz w:val="21"/>
                <w:szCs w:val="21"/>
                <w:highlight w:val="none"/>
                <w:lang w:val="en-US" w:eastAsia="zh-CN" w:bidi="ar"/>
              </w:rPr>
              <w:t>具备计算机集成类或电子类或信息类中级职称、或具备计算机技术与软件专业技术资格（水平）考试中级资格（信息系统管理工程师或信息安全工程师或系统集成项目管理工程师）的得1分，具备计算机集成类或电子类或信息类高级（含）以上职称、或具备计算机技术与软件专业技术资格（水平）考试高级资格（信息系统项目管理师）的得2分，本项最高得2分。</w:t>
            </w:r>
            <w:r>
              <w:rPr>
                <w:rStyle w:val="235"/>
                <w:rFonts w:hint="eastAsia" w:ascii="宋体" w:hAnsi="宋体" w:eastAsia="宋体" w:cs="宋体"/>
                <w:sz w:val="21"/>
                <w:szCs w:val="21"/>
                <w:highlight w:val="none"/>
                <w:lang w:val="en-US" w:eastAsia="zh-CN" w:bidi="ar"/>
              </w:rPr>
              <w:br w:type="textWrapping"/>
            </w:r>
            <w:r>
              <w:rPr>
                <w:rStyle w:val="235"/>
                <w:rFonts w:hint="eastAsia" w:ascii="宋体" w:hAnsi="宋体" w:eastAsia="宋体" w:cs="宋体"/>
                <w:sz w:val="21"/>
                <w:szCs w:val="21"/>
                <w:highlight w:val="none"/>
                <w:lang w:val="en-US" w:eastAsia="zh-CN" w:bidi="ar"/>
              </w:rPr>
              <w:t>（2）拟投入本项目的团队人员</w:t>
            </w:r>
            <w:r>
              <w:rPr>
                <w:rStyle w:val="235"/>
                <w:rFonts w:hint="eastAsia" w:ascii="宋体" w:hAnsi="宋体" w:cs="宋体"/>
                <w:sz w:val="21"/>
                <w:szCs w:val="21"/>
                <w:highlight w:val="none"/>
                <w:lang w:val="en-US" w:eastAsia="zh-CN" w:bidi="ar"/>
              </w:rPr>
              <w:t>（不含技术负责人）</w:t>
            </w:r>
            <w:r>
              <w:rPr>
                <w:rStyle w:val="235"/>
                <w:rFonts w:hint="eastAsia" w:ascii="宋体" w:hAnsi="宋体" w:eastAsia="宋体" w:cs="宋体"/>
                <w:sz w:val="21"/>
                <w:szCs w:val="21"/>
                <w:highlight w:val="none"/>
                <w:lang w:val="en-US" w:eastAsia="zh-CN" w:bidi="ar"/>
              </w:rPr>
              <w:t>需满足4人以上（含4人），否则本项不得分。团队人员中每具有1个人员具备无线电相关专业中级（含）以上工程师职称的得1分，本项最高得2分。</w:t>
            </w:r>
            <w:r>
              <w:rPr>
                <w:rStyle w:val="235"/>
                <w:rFonts w:hint="eastAsia" w:ascii="宋体" w:hAnsi="宋体" w:eastAsia="宋体" w:cs="宋体"/>
                <w:sz w:val="21"/>
                <w:szCs w:val="21"/>
                <w:highlight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注：需提供拟投入团队人员名单、身份证</w:t>
            </w:r>
            <w:r>
              <w:rPr>
                <w:rFonts w:hint="eastAsia" w:ascii="宋体" w:hAnsi="宋体" w:eastAsia="宋体" w:cs="宋体"/>
                <w:b/>
                <w:bCs/>
                <w:i w:val="0"/>
                <w:iCs w:val="0"/>
                <w:color w:val="FF0000"/>
                <w:kern w:val="0"/>
                <w:sz w:val="21"/>
                <w:szCs w:val="21"/>
                <w:highlight w:val="none"/>
                <w:u w:val="none"/>
                <w:lang w:val="en-US" w:eastAsia="zh-CN" w:bidi="ar"/>
              </w:rPr>
              <w:t>正反面</w:t>
            </w:r>
            <w:r>
              <w:rPr>
                <w:rFonts w:hint="eastAsia" w:ascii="宋体" w:hAnsi="宋体" w:eastAsia="宋体" w:cs="宋体"/>
                <w:b/>
                <w:bCs/>
                <w:i w:val="0"/>
                <w:iCs w:val="0"/>
                <w:color w:val="000000"/>
                <w:kern w:val="0"/>
                <w:sz w:val="21"/>
                <w:szCs w:val="21"/>
                <w:highlight w:val="none"/>
                <w:u w:val="none"/>
                <w:lang w:val="en-US" w:eastAsia="zh-CN" w:bidi="ar"/>
              </w:rPr>
              <w:t>扫描件，以及供应商为拟投入团队人员缴纳的</w:t>
            </w:r>
            <w:r>
              <w:rPr>
                <w:rFonts w:hint="eastAsia" w:ascii="宋体" w:hAnsi="宋体" w:cs="宋体"/>
                <w:b/>
                <w:bCs/>
                <w:i w:val="0"/>
                <w:iCs w:val="0"/>
                <w:color w:val="000000"/>
                <w:kern w:val="0"/>
                <w:sz w:val="21"/>
                <w:szCs w:val="21"/>
                <w:highlight w:val="none"/>
                <w:u w:val="none"/>
                <w:lang w:val="en-US" w:eastAsia="zh-CN" w:bidi="ar"/>
              </w:rPr>
              <w:t>2024年12月</w:t>
            </w:r>
            <w:r>
              <w:rPr>
                <w:rFonts w:hint="eastAsia" w:ascii="宋体" w:hAnsi="宋体" w:eastAsia="宋体" w:cs="宋体"/>
                <w:b/>
                <w:bCs/>
                <w:i w:val="0"/>
                <w:iCs w:val="0"/>
                <w:color w:val="000000"/>
                <w:kern w:val="0"/>
                <w:sz w:val="21"/>
                <w:szCs w:val="21"/>
                <w:highlight w:val="none"/>
                <w:u w:val="none"/>
                <w:lang w:val="en-US" w:eastAsia="zh-CN" w:bidi="ar"/>
              </w:rPr>
              <w:t>至响应文件提交截止时间内任意1个月的社保证明或劳动合同扫描件；提供的身份证及相关证明扫描件须加盖供应商公章（或电子签章），否则不得分。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技术方案</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根据供应商提供的技术方案（包括总体设计、硬件配套配置、系统设计及集成安装要求等）进行综合评分：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四档（25分）：能准确理解本项目的建设内容（系统建设包括数据资源管理子系统、数据资源调配子系统、数据存储管理子系统和系统管理子系统等四个部分）、目标，总体设计方案详细，能根据本项目实施地点、实施环境等特点准确把握本项目需求的重点、难点和要求，硬件配套配置、系统设计及集成安装要求等方案满足度高，方案整体架构、网络架构合理，技术性能指标和系统功能完全符合本项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档（20分）：较准确理解本项目的建设内容（系统建设包括数据资源管理子系统、数据资源调配子系统、数据存储管理子系统和系统管理子系统等四个部分）、目标，总体设计方案较为详细，较好地把握本项目需求的重点、难点和要求，硬件配套配置、系统设计及集成安装要求等方案满足度较高，方案整体架构、网络架构较为合理，技术性能指标和系统功能比较符合本项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档（15分）：基本理解本项目的建设内容（系统建设包括数据资源管理子系统、数据资源调配子系统、数据存储管理子系统和系统管理子系统等四个部分）、目标，总体设计方案较为简单，总体设计方案整体性、可靠性、优先性、兼容性较弱，技术性能指标和系统功能基本满足本项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（4）一档（0分）：未提供方案的，或提供的方案明显与本项目严重不符或不合理的。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项目实施方案</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根据供应商提供的针对本项目的实施方案（包括质量管理体系与措施、实施组织与工期保证措施、实施计划与时间安排）进行综合评分：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四档（20分）：实施方案详细完善、合理可行，针对性强，包含质量控制、组织机构与进度计划、设备进场与配套设施集成方案等。质量管理体系与措施可行性强，实施组织与工期保证措施科学合理，实施计划与时间安排全面可行，各阶段进度安排措施和质量控制内容完整，完全满足采购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（2）三档（15分）：实施方案详细、合理，有较强的针对性，质量管理体系与措施可行性较强，实施组织与工期保证措施科学合理，实施计划与时间安排基本可行。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（3）二档（10分）：实施方案较详细、合理，有一定的针对性，质量管理体系与措施、实施组织与工期保证措施、实施计划与时间安排的可行性、合理性一般。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（4）一档（0分）：未提供方案的，或提供的方案明显与本项目严重不符或不合理的。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根据供应商提供的售后服务方案中服务承诺和质量保证措施进行综合评价，包括服务保障体系、售后服务响应时间、备品备件配置、故障处理流程等方面。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四档（15分）：针对本项目有专门的售后服务机构、专职协调人员及专职工程技术人员,售后服务保障体系及措施完善，技术支持能力强，服务响应快，响应程度高或优于采购需求，质保期后长期保修、维护、服务以及今后技术支持的措施计划和承诺（包括收费维修维护的内容、费用及服务方式）满足要求。（提供人员名单及学历、职称、同类项目服务经验证明材料及供应商为其缴纳的</w:t>
            </w:r>
            <w:r>
              <w:rPr>
                <w:rFonts w:hint="eastAsia" w:ascii="宋体" w:hAnsi="宋体" w:cs="宋体"/>
                <w:i w:val="0"/>
                <w:iCs w:val="0"/>
                <w:color w:val="000000"/>
                <w:kern w:val="0"/>
                <w:sz w:val="21"/>
                <w:szCs w:val="21"/>
                <w:highlight w:val="none"/>
                <w:u w:val="none"/>
                <w:lang w:val="en-US" w:eastAsia="zh-CN" w:bidi="ar"/>
              </w:rPr>
              <w:t>2024年12月</w:t>
            </w:r>
            <w:r>
              <w:rPr>
                <w:rFonts w:hint="eastAsia" w:ascii="宋体" w:hAnsi="宋体" w:eastAsia="宋体" w:cs="宋体"/>
                <w:i w:val="0"/>
                <w:iCs w:val="0"/>
                <w:color w:val="000000"/>
                <w:kern w:val="0"/>
                <w:sz w:val="21"/>
                <w:szCs w:val="21"/>
                <w:highlight w:val="none"/>
                <w:u w:val="none"/>
                <w:lang w:val="en-US" w:eastAsia="zh-CN" w:bidi="ar"/>
              </w:rPr>
              <w:t>至响应文件提交截止时间内任意1个月的社保证明或劳动合同扫描件。）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档（10分）：售后服务保障体系及措施较好，技术支持能力较强，服务响应较快，满足采购需求，质保期后长期保修、维护、服务以及今后技术支持的措施计划和承诺（包括收费维修维护的内容、费用及服务方式）基本满足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（3）二档（5分）：售后服务保障体系及措施基本符合</w:t>
            </w:r>
            <w:r>
              <w:rPr>
                <w:rFonts w:hint="eastAsia" w:ascii="宋体" w:hAnsi="宋体" w:cs="宋体"/>
                <w:i w:val="0"/>
                <w:iCs w:val="0"/>
                <w:color w:val="000000"/>
                <w:kern w:val="0"/>
                <w:sz w:val="21"/>
                <w:szCs w:val="21"/>
                <w:highlight w:val="none"/>
                <w:u w:val="none"/>
                <w:lang w:val="en-US" w:eastAsia="zh-CN" w:bidi="ar"/>
              </w:rPr>
              <w:t>采购需求</w:t>
            </w:r>
            <w:r>
              <w:rPr>
                <w:rFonts w:hint="eastAsia" w:ascii="宋体" w:hAnsi="宋体" w:eastAsia="宋体" w:cs="宋体"/>
                <w:i w:val="0"/>
                <w:iCs w:val="0"/>
                <w:color w:val="000000"/>
                <w:kern w:val="0"/>
                <w:sz w:val="21"/>
                <w:szCs w:val="21"/>
                <w:highlight w:val="none"/>
                <w:u w:val="none"/>
                <w:lang w:val="en-US" w:eastAsia="zh-CN" w:bidi="ar"/>
              </w:rPr>
              <w:t>，但技术支持能力和服务响应速度较差或一般，质保期后长期保修、维护、服务以及今后技术支持的措施计划和承诺（包括收费维修维护的内容、费用及服务方式）不满足要求。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（4）一档（0分）：未提供方案的，或提供的方案明显与本项目严重不符或不合理的。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培训方案</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根据供应商所提供的培训方案是否具体完整、科学、合理，是否有严谨且可执行的保障措施，各供应商需对培训方案作详细说明和承诺（包括培训方式、培训内容、培训时间、培训资料等）：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四档（10分）：培训方案能体现详细的培训方式（线上或线下培训），培训内容符合本项目实际需要，培训时间安排科学合理，培训资料包含与本项目需求所需详细资料，培训方案中包含详细可实施的培训保障方案，可操作及针对性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档（7分）：培训方案能体现完整的培训方式（线上或线下培训），培训内容比较符合本项目实际需要，培训时间安排比较合理，培训资料包含与本项目需求所需完整资料，培训方案中包含完整可实施的培训保障方案，方案整体可操作性较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（3）二档（4分）：培训方案能体现培训方式（线上或线下培训），培训内容基本满足本项目需求，培训时间安排基本合理，培训资料较简单，方案整体可操作及针对性一般。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（4）一档（0分）：未提供方案的，或提供的方案明显与本项目严重不符或不合理的。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商务分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项目业绩</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2022年1月1日至响应文件递交截止时间内（以合同签订日期为准），供应商</w:t>
            </w:r>
            <w:r>
              <w:rPr>
                <w:rFonts w:hint="eastAsia" w:ascii="宋体" w:hAnsi="宋体" w:cs="宋体"/>
                <w:i w:val="0"/>
                <w:iCs w:val="0"/>
                <w:color w:val="000000"/>
                <w:kern w:val="0"/>
                <w:sz w:val="21"/>
                <w:szCs w:val="21"/>
                <w:highlight w:val="none"/>
                <w:u w:val="none"/>
                <w:lang w:val="en-US" w:eastAsia="zh-CN" w:bidi="ar"/>
              </w:rPr>
              <w:t>承接过同类</w:t>
            </w:r>
            <w:r>
              <w:rPr>
                <w:rFonts w:hint="eastAsia" w:ascii="宋体" w:hAnsi="宋体" w:eastAsia="宋体" w:cs="宋体"/>
                <w:i w:val="0"/>
                <w:iCs w:val="0"/>
                <w:color w:val="000000"/>
                <w:kern w:val="0"/>
                <w:sz w:val="21"/>
                <w:szCs w:val="21"/>
                <w:highlight w:val="none"/>
                <w:u w:val="none"/>
                <w:lang w:val="en-US" w:eastAsia="zh-CN" w:bidi="ar"/>
              </w:rPr>
              <w:t>项目业绩的，每项得1分，本项最高得3分。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注：需提供项目合同扫描件，并加盖供应商公章（或电子签章），否则不得分。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管理体系认证</w:t>
            </w:r>
          </w:p>
        </w:tc>
        <w:tc>
          <w:tcPr>
            <w:tcW w:w="6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235"/>
                <w:rFonts w:hint="eastAsia" w:ascii="宋体" w:hAnsi="宋体" w:eastAsia="宋体" w:cs="宋体"/>
                <w:sz w:val="21"/>
                <w:szCs w:val="21"/>
                <w:highlight w:val="none"/>
                <w:lang w:val="en-US" w:eastAsia="zh-CN" w:bidi="ar"/>
              </w:rPr>
              <w:t>根据供应商提供的管理体系认证证书进行评分：</w:t>
            </w:r>
            <w:r>
              <w:rPr>
                <w:rStyle w:val="235"/>
                <w:rFonts w:hint="eastAsia" w:ascii="宋体" w:hAnsi="宋体" w:eastAsia="宋体" w:cs="宋体"/>
                <w:sz w:val="21"/>
                <w:szCs w:val="21"/>
                <w:highlight w:val="none"/>
                <w:lang w:val="en-US" w:eastAsia="zh-CN" w:bidi="ar"/>
              </w:rPr>
              <w:br w:type="textWrapping"/>
            </w:r>
            <w:r>
              <w:rPr>
                <w:rStyle w:val="235"/>
                <w:rFonts w:hint="eastAsia" w:ascii="宋体" w:hAnsi="宋体" w:eastAsia="宋体" w:cs="宋体"/>
                <w:sz w:val="21"/>
                <w:szCs w:val="21"/>
                <w:highlight w:val="none"/>
                <w:lang w:val="en-US" w:eastAsia="zh-CN" w:bidi="ar"/>
              </w:rPr>
              <w:t>（1）具备有效的质量管理体系认证证书得1分；</w:t>
            </w:r>
            <w:r>
              <w:rPr>
                <w:rStyle w:val="235"/>
                <w:rFonts w:hint="eastAsia" w:ascii="宋体" w:hAnsi="宋体" w:eastAsia="宋体" w:cs="宋体"/>
                <w:sz w:val="21"/>
                <w:szCs w:val="21"/>
                <w:highlight w:val="none"/>
                <w:lang w:val="en-US" w:eastAsia="zh-CN" w:bidi="ar"/>
              </w:rPr>
              <w:br w:type="textWrapping"/>
            </w:r>
            <w:r>
              <w:rPr>
                <w:rStyle w:val="235"/>
                <w:rFonts w:hint="eastAsia" w:ascii="宋体" w:hAnsi="宋体" w:eastAsia="宋体" w:cs="宋体"/>
                <w:sz w:val="21"/>
                <w:szCs w:val="21"/>
                <w:highlight w:val="none"/>
                <w:lang w:val="en-US" w:eastAsia="zh-CN" w:bidi="ar"/>
              </w:rPr>
              <w:t>（2）具备有效的信息技术服务管理体系认证证书得1分；</w:t>
            </w:r>
            <w:r>
              <w:rPr>
                <w:rStyle w:val="235"/>
                <w:rFonts w:hint="eastAsia" w:ascii="宋体" w:hAnsi="宋体" w:eastAsia="宋体" w:cs="宋体"/>
                <w:sz w:val="21"/>
                <w:szCs w:val="21"/>
                <w:highlight w:val="none"/>
                <w:lang w:val="en-US" w:eastAsia="zh-CN" w:bidi="ar"/>
              </w:rPr>
              <w:br w:type="textWrapping"/>
            </w:r>
            <w:r>
              <w:rPr>
                <w:rStyle w:val="235"/>
                <w:rFonts w:hint="eastAsia" w:ascii="宋体" w:hAnsi="宋体" w:eastAsia="宋体" w:cs="宋体"/>
                <w:sz w:val="21"/>
                <w:szCs w:val="21"/>
                <w:highlight w:val="none"/>
                <w:lang w:val="en-US" w:eastAsia="zh-CN" w:bidi="ar"/>
              </w:rPr>
              <w:t>（3）具备有效的信息安全管理体系认证证书得1分。</w:t>
            </w:r>
            <w:r>
              <w:rPr>
                <w:rStyle w:val="235"/>
                <w:rFonts w:hint="eastAsia" w:ascii="宋体" w:hAnsi="宋体" w:eastAsia="宋体" w:cs="宋体"/>
                <w:sz w:val="21"/>
                <w:szCs w:val="21"/>
                <w:highlight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注：需提供认证证书扫描件，并加盖供应商公章（或电子签章），否则不得分。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总得分＝价格分＋技术分＋商务分</w:t>
            </w:r>
          </w:p>
        </w:tc>
      </w:tr>
    </w:tbl>
    <w:p>
      <w:pPr>
        <w:spacing w:line="360" w:lineRule="auto"/>
        <w:ind w:firstLine="420" w:firstLineChars="200"/>
        <w:jc w:val="left"/>
        <w:rPr>
          <w:rFonts w:hint="eastAsia" w:ascii="宋体" w:hAnsi="宋体"/>
          <w:b/>
          <w:highlight w:val="none"/>
        </w:rPr>
      </w:pPr>
      <w:r>
        <w:rPr>
          <w:rFonts w:hint="eastAsia" w:ascii="宋体" w:hAnsi="宋体"/>
          <w:bCs/>
          <w:highlight w:val="none"/>
        </w:rPr>
        <w:t>注：计分方法按四舍五入取至百分位。</w:t>
      </w:r>
    </w:p>
    <w:p>
      <w:pPr>
        <w:widowControl/>
        <w:numPr>
          <w:ilvl w:val="0"/>
          <w:numId w:val="0"/>
        </w:numPr>
        <w:spacing w:line="440" w:lineRule="exact"/>
        <w:ind w:firstLine="422" w:firstLineChars="200"/>
        <w:outlineLvl w:val="2"/>
        <w:rPr>
          <w:rFonts w:hint="eastAsia" w:ascii="宋体" w:hAnsi="宋体"/>
          <w:b/>
          <w:bCs/>
          <w:highlight w:val="none"/>
        </w:rPr>
      </w:pPr>
      <w:r>
        <w:rPr>
          <w:rFonts w:hint="eastAsia" w:ascii="宋体" w:hAnsi="宋体" w:eastAsia="宋体" w:cs="Times New Roman"/>
          <w:b/>
          <w:bCs/>
          <w:kern w:val="2"/>
          <w:sz w:val="21"/>
          <w:szCs w:val="24"/>
          <w:highlight w:val="none"/>
          <w:lang w:val="en-US" w:eastAsia="zh-CN" w:bidi="ar-SA"/>
        </w:rPr>
        <w:t>7.</w:t>
      </w:r>
      <w:r>
        <w:rPr>
          <w:rFonts w:hint="eastAsia" w:ascii="宋体" w:hAnsi="宋体"/>
          <w:b/>
          <w:bCs/>
          <w:szCs w:val="21"/>
          <w:highlight w:val="none"/>
        </w:rPr>
        <w:t>由磋商小组根据综合评分情况，按照评审得分由高到低顺序推荐3名以上成交候选供应商，并编写评审报告，</w:t>
      </w:r>
      <w:r>
        <w:rPr>
          <w:rFonts w:hint="eastAsia" w:ascii="宋体" w:hAnsi="宋体" w:cs="宋体"/>
          <w:b/>
          <w:bCs/>
          <w:highlight w:val="none"/>
        </w:rPr>
        <w:t>评审报告</w:t>
      </w:r>
      <w:r>
        <w:rPr>
          <w:rFonts w:hint="eastAsia" w:ascii="宋体" w:hAnsi="宋体"/>
          <w:b/>
          <w:bCs/>
          <w:highlight w:val="none"/>
        </w:rPr>
        <w:t>通过电子交易平台向采购人、采购代理机构提交。</w:t>
      </w:r>
      <w:r>
        <w:rPr>
          <w:rFonts w:hint="eastAsia" w:ascii="宋体" w:hAnsi="宋体"/>
          <w:b/>
          <w:bCs/>
          <w:szCs w:val="21"/>
          <w:highlight w:val="none"/>
        </w:rPr>
        <w:t>符合本章第</w:t>
      </w:r>
      <w:r>
        <w:rPr>
          <w:rFonts w:ascii="宋体" w:hAnsi="宋体"/>
          <w:b/>
          <w:bCs/>
          <w:szCs w:val="21"/>
          <w:highlight w:val="none"/>
        </w:rPr>
        <w:t>4.3</w:t>
      </w:r>
      <w:r>
        <w:rPr>
          <w:rFonts w:hint="eastAsia" w:ascii="宋体" w:hAnsi="宋体"/>
          <w:b/>
          <w:bCs/>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b/>
          <w:bCs/>
          <w:highlight w:val="none"/>
        </w:rPr>
        <w:t>（另有约定的除外）</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bookmarkStart w:id="86" w:name="_Toc4011"/>
      <w:bookmarkStart w:id="87" w:name="_Toc74323460"/>
      <w:r>
        <w:rPr>
          <w:rFonts w:hint="eastAsia" w:ascii="宋体" w:hAnsi="宋体"/>
          <w:highlight w:val="none"/>
        </w:rPr>
        <w:br w:type="page"/>
      </w:r>
    </w:p>
    <w:p>
      <w:pPr>
        <w:pStyle w:val="3"/>
        <w:spacing w:before="0" w:after="0" w:line="360" w:lineRule="auto"/>
        <w:jc w:val="center"/>
        <w:rPr>
          <w:rFonts w:hint="eastAsia" w:ascii="宋体" w:hAnsi="宋体"/>
          <w:highlight w:val="none"/>
        </w:rPr>
      </w:pPr>
      <w:r>
        <w:rPr>
          <w:rFonts w:hint="eastAsia" w:ascii="宋体" w:hAnsi="宋体"/>
          <w:highlight w:val="none"/>
        </w:rPr>
        <w:t>第五章 响应文件格式</w:t>
      </w:r>
      <w:bookmarkEnd w:id="86"/>
      <w:bookmarkEnd w:id="87"/>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sz w:val="32"/>
          <w:szCs w:val="32"/>
          <w:highlight w:val="none"/>
        </w:rPr>
      </w:pPr>
    </w:p>
    <w:p>
      <w:pPr>
        <w:spacing w:line="240" w:lineRule="atLeast"/>
        <w:rPr>
          <w:rFonts w:hint="eastAsia" w:ascii="宋体" w:hAnsi="宋体"/>
          <w:b/>
          <w:bCs/>
          <w:sz w:val="24"/>
          <w:highlight w:val="none"/>
        </w:rPr>
      </w:pPr>
      <w:bookmarkStart w:id="88" w:name="_Toc74323461"/>
    </w:p>
    <w:p>
      <w:pPr>
        <w:snapToGrid w:val="0"/>
        <w:spacing w:before="120" w:beforeLines="50" w:after="50"/>
        <w:jc w:val="center"/>
        <w:rPr>
          <w:rFonts w:hint="eastAsia" w:ascii="宋体" w:hAnsi="宋体" w:cs="仿宋_GB2312"/>
          <w:bCs/>
          <w:sz w:val="32"/>
          <w:szCs w:val="32"/>
          <w:highlight w:val="none"/>
        </w:rPr>
      </w:pPr>
    </w:p>
    <w:p>
      <w:pPr>
        <w:outlineLvl w:val="1"/>
        <w:rPr>
          <w:rFonts w:hint="eastAsia" w:ascii="宋体" w:hAnsi="宋体"/>
          <w:b/>
          <w:sz w:val="32"/>
          <w:szCs w:val="32"/>
          <w:highlight w:val="none"/>
        </w:rPr>
      </w:pPr>
      <w:bookmarkStart w:id="89" w:name="_Toc71366186"/>
      <w:bookmarkStart w:id="90" w:name="_Toc44229899"/>
      <w:bookmarkStart w:id="91" w:name="_Toc31723070"/>
      <w:bookmarkStart w:id="92" w:name="_Toc35611516"/>
      <w:bookmarkStart w:id="93" w:name="_Toc35611438"/>
      <w:bookmarkStart w:id="94" w:name="_Toc31728084"/>
      <w:r>
        <w:rPr>
          <w:rFonts w:ascii="宋体" w:hAnsi="宋体"/>
          <w:b/>
          <w:sz w:val="32"/>
          <w:szCs w:val="32"/>
          <w:highlight w:val="none"/>
        </w:rPr>
        <w:br w:type="page"/>
      </w:r>
      <w:r>
        <w:rPr>
          <w:rFonts w:hint="eastAsia" w:ascii="宋体" w:hAnsi="宋体"/>
          <w:b/>
          <w:sz w:val="32"/>
          <w:szCs w:val="32"/>
          <w:highlight w:val="none"/>
        </w:rPr>
        <w:t>一、资格证明文件格式</w:t>
      </w:r>
      <w:bookmarkEnd w:id="89"/>
      <w:bookmarkEnd w:id="90"/>
      <w:bookmarkEnd w:id="91"/>
      <w:bookmarkEnd w:id="92"/>
      <w:bookmarkEnd w:id="93"/>
      <w:bookmarkEnd w:id="94"/>
    </w:p>
    <w:p>
      <w:pPr>
        <w:snapToGrid w:val="0"/>
        <w:spacing w:before="120" w:beforeLines="50" w:after="50" w:line="360" w:lineRule="auto"/>
        <w:jc w:val="left"/>
        <w:outlineLvl w:val="2"/>
        <w:rPr>
          <w:rFonts w:hint="eastAsia" w:ascii="宋体" w:hAnsi="宋体"/>
          <w:b/>
          <w:sz w:val="24"/>
          <w:highlight w:val="none"/>
        </w:rPr>
      </w:pPr>
      <w:r>
        <w:rPr>
          <w:rFonts w:hint="eastAsia" w:ascii="宋体" w:hAnsi="宋体"/>
          <w:b/>
          <w:sz w:val="32"/>
          <w:szCs w:val="32"/>
          <w:highlight w:val="none"/>
        </w:rPr>
        <w:t>1.资格证明文件封面格式</w:t>
      </w:r>
    </w:p>
    <w:p>
      <w:pPr>
        <w:snapToGrid w:val="0"/>
        <w:spacing w:before="120" w:beforeLines="50" w:after="50"/>
        <w:jc w:val="center"/>
        <w:rPr>
          <w:rFonts w:ascii="宋体" w:hAnsi="宋体"/>
          <w:sz w:val="44"/>
          <w:szCs w:val="44"/>
          <w:highlight w:val="none"/>
        </w:rPr>
      </w:pPr>
    </w:p>
    <w:p>
      <w:pPr>
        <w:snapToGrid w:val="0"/>
        <w:spacing w:before="120" w:beforeLines="50" w:after="50"/>
        <w:jc w:val="center"/>
        <w:rPr>
          <w:rFonts w:ascii="宋体" w:hAnsi="宋体"/>
          <w:sz w:val="44"/>
          <w:szCs w:val="44"/>
          <w:highlight w:val="none"/>
        </w:rPr>
      </w:pPr>
      <w:r>
        <w:rPr>
          <w:rFonts w:hint="eastAsia" w:ascii="宋体" w:hAnsi="宋体"/>
          <w:sz w:val="44"/>
          <w:szCs w:val="44"/>
          <w:highlight w:val="none"/>
        </w:rPr>
        <w:t>电 子 响 应 文 件</w:t>
      </w: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宋体" w:hAnsi="宋体" w:cs="方正小标宋简体"/>
          <w:bCs/>
          <w:sz w:val="44"/>
          <w:szCs w:val="44"/>
          <w:highlight w:val="none"/>
        </w:rPr>
      </w:pPr>
      <w:r>
        <w:rPr>
          <w:rFonts w:hint="eastAsia" w:ascii="宋体" w:hAnsi="宋体" w:cs="方正小标宋简体"/>
          <w:bCs/>
          <w:sz w:val="44"/>
          <w:szCs w:val="44"/>
          <w:highlight w:val="none"/>
        </w:rPr>
        <w:t>资  格  证  明  文  件</w:t>
      </w: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pPr>
        <w:snapToGrid w:val="0"/>
        <w:spacing w:before="120" w:beforeLines="50" w:after="50"/>
        <w:ind w:firstLine="720" w:firstLineChars="225"/>
        <w:rPr>
          <w:rFonts w:hint="eastAsia" w:ascii="宋体" w:hAnsi="宋体" w:cs="仿宋_GB2312"/>
          <w:bCs/>
          <w:sz w:val="32"/>
          <w:szCs w:val="32"/>
          <w:highlight w:val="none"/>
        </w:rPr>
      </w:pP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highlight w:val="none"/>
        </w:rPr>
      </w:pPr>
    </w:p>
    <w:p>
      <w:pPr>
        <w:pStyle w:val="10"/>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pPr>
        <w:snapToGrid w:val="0"/>
        <w:spacing w:before="120" w:beforeLines="50" w:after="50"/>
        <w:ind w:firstLine="640" w:firstLineChars="200"/>
        <w:rPr>
          <w:rFonts w:hint="eastAsia" w:ascii="宋体" w:hAnsi="宋体" w:cs="仿宋_GB2312"/>
          <w:bCs/>
          <w:sz w:val="32"/>
          <w:szCs w:val="32"/>
          <w:highlight w:val="none"/>
        </w:rPr>
      </w:pPr>
    </w:p>
    <w:p>
      <w:pPr>
        <w:pStyle w:val="10"/>
        <w:snapToGrid w:val="0"/>
        <w:spacing w:before="50" w:after="50"/>
        <w:ind w:firstLine="720" w:firstLineChars="225"/>
        <w:rPr>
          <w:rFonts w:hint="eastAsia" w:ascii="宋体" w:hAnsi="宋体" w:cs="仿宋_GB2312"/>
          <w:bCs/>
          <w:sz w:val="32"/>
          <w:szCs w:val="32"/>
          <w:highlight w:val="none"/>
        </w:rPr>
      </w:pPr>
    </w:p>
    <w:p>
      <w:pPr>
        <w:pStyle w:val="10"/>
        <w:snapToGrid w:val="0"/>
        <w:spacing w:before="50" w:after="50"/>
        <w:ind w:firstLine="720" w:firstLineChars="225"/>
        <w:rPr>
          <w:rFonts w:hint="eastAsia" w:ascii="宋体" w:hAnsi="宋体" w:cs="仿宋_GB2312"/>
          <w:bCs/>
          <w:sz w:val="32"/>
          <w:szCs w:val="32"/>
          <w:highlight w:val="none"/>
        </w:rPr>
      </w:pPr>
    </w:p>
    <w:p>
      <w:pPr>
        <w:pStyle w:val="10"/>
        <w:snapToGrid w:val="0"/>
        <w:spacing w:before="50" w:after="50"/>
        <w:ind w:firstLine="1280" w:firstLineChars="400"/>
        <w:rPr>
          <w:rFonts w:hint="eastAsia" w:ascii="宋体" w:hAnsi="宋体" w:cs="仿宋_GB2312"/>
          <w:bCs/>
          <w:sz w:val="32"/>
          <w:szCs w:val="32"/>
          <w:highlight w:val="none"/>
        </w:rPr>
      </w:pPr>
    </w:p>
    <w:p>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pPr>
        <w:snapToGrid w:val="0"/>
        <w:spacing w:before="120" w:beforeLines="50" w:after="50" w:line="360" w:lineRule="auto"/>
        <w:ind w:left="142"/>
        <w:jc w:val="left"/>
        <w:outlineLvl w:val="2"/>
        <w:rPr>
          <w:rFonts w:hint="eastAsia" w:ascii="宋体" w:hAnsi="宋体"/>
          <w:b/>
          <w:bCs/>
          <w:sz w:val="32"/>
          <w:szCs w:val="32"/>
          <w:highlight w:val="none"/>
        </w:rPr>
      </w:pPr>
      <w:r>
        <w:rPr>
          <w:rStyle w:val="228"/>
          <w:highlight w:val="none"/>
        </w:rPr>
        <w:br w:type="page"/>
      </w:r>
      <w:r>
        <w:rPr>
          <w:rFonts w:hint="eastAsia" w:ascii="宋体" w:hAnsi="宋体"/>
          <w:b/>
          <w:bCs/>
          <w:sz w:val="32"/>
          <w:szCs w:val="32"/>
          <w:highlight w:val="none"/>
        </w:rPr>
        <w:t>2.资格证明文件目录</w:t>
      </w:r>
    </w:p>
    <w:p>
      <w:pPr>
        <w:snapToGrid w:val="0"/>
        <w:spacing w:before="120" w:beforeLines="50" w:after="50" w:line="360" w:lineRule="auto"/>
        <w:ind w:firstLine="645"/>
        <w:rPr>
          <w:rFonts w:ascii="宋体" w:hAnsi="宋体"/>
          <w:sz w:val="24"/>
          <w:highlight w:val="none"/>
        </w:rPr>
      </w:pPr>
      <w:r>
        <w:rPr>
          <w:rFonts w:hint="eastAsia" w:ascii="宋体" w:hAnsi="宋体"/>
          <w:sz w:val="24"/>
          <w:highlight w:val="none"/>
        </w:rPr>
        <w:t>根据磋商文件规定及供应商提供的材料自行编写目录（部分格式后附）。</w:t>
      </w:r>
    </w:p>
    <w:p>
      <w:pPr>
        <w:snapToGrid w:val="0"/>
        <w:spacing w:before="120" w:beforeLines="50" w:after="50"/>
        <w:rPr>
          <w:rFonts w:ascii="宋体" w:hAnsi="宋体"/>
          <w:sz w:val="24"/>
          <w:szCs w:val="20"/>
          <w:highlight w:val="none"/>
        </w:rPr>
      </w:pPr>
      <w:r>
        <w:rPr>
          <w:rFonts w:ascii="宋体" w:hAnsi="宋体"/>
          <w:sz w:val="24"/>
          <w:szCs w:val="20"/>
          <w:highlight w:val="none"/>
        </w:rPr>
        <w:t xml:space="preserve"> </w:t>
      </w: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00" w:lineRule="auto"/>
        <w:rPr>
          <w:rFonts w:hint="eastAsia" w:ascii="宋体" w:hAnsi="宋体"/>
          <w:szCs w:val="21"/>
          <w:highlight w:val="none"/>
        </w:rPr>
      </w:pPr>
    </w:p>
    <w:p>
      <w:pPr>
        <w:spacing w:line="320" w:lineRule="exact"/>
        <w:jc w:val="lef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 xml:space="preserve"> </w:t>
      </w:r>
    </w:p>
    <w:p>
      <w:pPr>
        <w:wordWrap w:val="0"/>
        <w:spacing w:before="120" w:beforeLines="50" w:after="50" w:line="320" w:lineRule="exact"/>
        <w:ind w:right="482" w:firstLine="210" w:firstLineChars="100"/>
        <w:contextualSpacing/>
        <w:jc w:val="center"/>
        <w:rPr>
          <w:rFonts w:hint="eastAsia" w:ascii="宋体" w:hAnsi="宋体"/>
          <w:szCs w:val="21"/>
          <w:highlight w:val="none"/>
        </w:rPr>
      </w:pPr>
    </w:p>
    <w:p>
      <w:pPr>
        <w:spacing w:line="320" w:lineRule="exact"/>
        <w:jc w:val="center"/>
        <w:outlineLvl w:val="2"/>
        <w:rPr>
          <w:rFonts w:hint="eastAsia" w:ascii="宋体" w:hAnsi="宋体"/>
          <w:b/>
          <w:sz w:val="32"/>
          <w:szCs w:val="32"/>
          <w:highlight w:val="none"/>
        </w:rPr>
      </w:pPr>
      <w:r>
        <w:rPr>
          <w:rFonts w:hint="eastAsia" w:ascii="宋体" w:hAnsi="宋体"/>
          <w:b/>
          <w:sz w:val="32"/>
          <w:szCs w:val="32"/>
          <w:highlight w:val="none"/>
        </w:rPr>
        <w:t>供应商直接控股、管理关系信息表</w:t>
      </w:r>
    </w:p>
    <w:p>
      <w:pPr>
        <w:snapToGrid w:val="0"/>
        <w:spacing w:before="120" w:beforeLines="50" w:after="50" w:line="360" w:lineRule="auto"/>
        <w:jc w:val="center"/>
        <w:rPr>
          <w:rFonts w:hint="eastAsia" w:ascii="宋体" w:hAnsi="宋体"/>
          <w:b/>
          <w:sz w:val="24"/>
          <w:highlight w:val="none"/>
        </w:rPr>
      </w:pPr>
    </w:p>
    <w:p>
      <w:pPr>
        <w:spacing w:line="360" w:lineRule="auto"/>
        <w:contextualSpacing/>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p>
      <w:pPr>
        <w:spacing w:line="360" w:lineRule="auto"/>
        <w:contextualSpacing/>
        <w:jc w:val="center"/>
        <w:rPr>
          <w:rFonts w:hint="eastAsia" w:ascii="宋体" w:hAnsi="宋体"/>
          <w:b/>
          <w:sz w:val="24"/>
          <w:highlight w:val="none"/>
        </w:rPr>
      </w:pPr>
    </w:p>
    <w:tbl>
      <w:tblPr>
        <w:tblStyle w:val="48"/>
        <w:tblW w:w="9423" w:type="dxa"/>
        <w:jc w:val="center"/>
        <w:shd w:val="clear" w:color="auto" w:fill="FBFBFB"/>
        <w:tblLayout w:type="fixed"/>
        <w:tblCellMar>
          <w:top w:w="0" w:type="dxa"/>
          <w:left w:w="0" w:type="dxa"/>
          <w:bottom w:w="0" w:type="dxa"/>
          <w:right w:w="0" w:type="dxa"/>
        </w:tblCellMar>
      </w:tblPr>
      <w:tblGrid>
        <w:gridCol w:w="880"/>
        <w:gridCol w:w="2306"/>
        <w:gridCol w:w="1276"/>
        <w:gridCol w:w="3969"/>
        <w:gridCol w:w="99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highlight w:val="none"/>
              </w:rPr>
            </w:pPr>
            <w:r>
              <w:rPr>
                <w:rFonts w:hint="eastAsia" w:ascii="宋体" w:hAnsi="宋体" w:cs="宋体"/>
                <w:b/>
                <w:bCs/>
                <w:kern w:val="0"/>
                <w:sz w:val="24"/>
                <w:highlight w:val="none"/>
              </w:rPr>
              <w:t>直接控股股东名称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highlight w:val="none"/>
              </w:rPr>
            </w:pPr>
            <w:r>
              <w:rPr>
                <w:rFonts w:hint="eastAsia" w:ascii="宋体" w:hAnsi="宋体" w:cs="宋体"/>
                <w:b/>
                <w:bCs/>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r>
              <w:rPr>
                <w:rFonts w:hint="eastAsia" w:ascii="宋体" w:hAnsi="宋体" w:cs="宋体"/>
                <w:kern w:val="0"/>
                <w:sz w:val="24"/>
                <w:highlight w:val="none"/>
              </w:rPr>
              <w:t>……</w:t>
            </w:r>
          </w:p>
        </w:tc>
        <w:tc>
          <w:tcPr>
            <w:tcW w:w="230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kern w:val="0"/>
                <w:sz w:val="24"/>
                <w:highlight w:val="none"/>
              </w:rPr>
            </w:pPr>
          </w:p>
        </w:tc>
      </w:tr>
    </w:tbl>
    <w:p>
      <w:pPr>
        <w:spacing w:line="360" w:lineRule="auto"/>
        <w:contextualSpacing/>
        <w:jc w:val="left"/>
        <w:rPr>
          <w:rFonts w:hint="eastAsia" w:ascii="宋体" w:hAnsi="宋体" w:cs="宋体"/>
          <w:sz w:val="24"/>
          <w:highlight w:val="none"/>
        </w:rPr>
      </w:pPr>
      <w:r>
        <w:rPr>
          <w:rFonts w:hint="eastAsia" w:ascii="宋体" w:hAnsi="宋体" w:cs="宋体"/>
          <w:sz w:val="24"/>
          <w:highlight w:val="none"/>
        </w:rPr>
        <w:t>注：</w:t>
      </w:r>
    </w:p>
    <w:p>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3.供应商不存在直接控股股东的，</w:t>
      </w:r>
      <w:r>
        <w:rPr>
          <w:rFonts w:hint="eastAsia" w:ascii="宋体" w:hAnsi="宋体"/>
          <w:sz w:val="24"/>
          <w:highlight w:val="none"/>
        </w:rPr>
        <w:t>则在“直接控股股东名称”填“无”</w:t>
      </w:r>
      <w:r>
        <w:rPr>
          <w:rFonts w:hint="eastAsia" w:ascii="宋体" w:hAnsi="宋体" w:cs="宋体"/>
          <w:sz w:val="24"/>
          <w:highlight w:val="none"/>
        </w:rPr>
        <w:t>。</w:t>
      </w:r>
    </w:p>
    <w:p>
      <w:pPr>
        <w:spacing w:line="360" w:lineRule="auto"/>
        <w:ind w:firstLine="420" w:firstLineChars="200"/>
        <w:contextualSpacing/>
        <w:jc w:val="left"/>
        <w:rPr>
          <w:rFonts w:ascii="宋体" w:hAnsi="宋体" w:cs="宋体"/>
          <w:szCs w:val="21"/>
          <w:highlight w:val="none"/>
        </w:rPr>
      </w:pPr>
    </w:p>
    <w:p>
      <w:pPr>
        <w:spacing w:line="360" w:lineRule="auto"/>
        <w:ind w:firstLine="560" w:firstLineChars="200"/>
        <w:contextualSpacing/>
        <w:jc w:val="left"/>
        <w:rPr>
          <w:rFonts w:hint="eastAsia" w:ascii="宋体" w:hAnsi="宋体" w:cs="宋体"/>
          <w:sz w:val="28"/>
          <w:szCs w:val="28"/>
          <w:highlight w:val="none"/>
        </w:rPr>
      </w:pPr>
    </w:p>
    <w:p>
      <w:pPr>
        <w:spacing w:line="360" w:lineRule="auto"/>
        <w:ind w:right="480"/>
        <w:contextualSpacing/>
        <w:jc w:val="center"/>
        <w:rPr>
          <w:rStyle w:val="228"/>
          <w:rFonts w:hint="eastAsia"/>
          <w:highlight w:val="none"/>
        </w:rPr>
      </w:pPr>
      <w:r>
        <w:rPr>
          <w:rStyle w:val="228"/>
          <w:rFonts w:hint="eastAsia"/>
          <w:highlight w:val="none"/>
        </w:rPr>
        <w:t xml:space="preserve"> </w:t>
      </w:r>
      <w:r>
        <w:rPr>
          <w:rStyle w:val="228"/>
          <w:highlight w:val="none"/>
        </w:rPr>
        <w:t xml:space="preserve">       </w:t>
      </w:r>
      <w:r>
        <w:rPr>
          <w:rStyle w:val="228"/>
          <w:rFonts w:hint="eastAsia"/>
          <w:highlight w:val="none"/>
        </w:rPr>
        <w:t xml:space="preserve">法定代表人或者委托代理人（签字或者电子签名）： </w:t>
      </w:r>
      <w:r>
        <w:rPr>
          <w:rStyle w:val="228"/>
          <w:highlight w:val="none"/>
        </w:rPr>
        <w:t xml:space="preserve">                   </w:t>
      </w:r>
    </w:p>
    <w:p>
      <w:pPr>
        <w:spacing w:line="360" w:lineRule="auto"/>
        <w:ind w:right="480" w:firstLine="2625" w:firstLineChars="1250"/>
        <w:contextualSpacing/>
        <w:rPr>
          <w:rStyle w:val="228"/>
          <w:rFonts w:hint="eastAsia"/>
          <w:highlight w:val="none"/>
        </w:rPr>
      </w:pPr>
      <w:r>
        <w:rPr>
          <w:rStyle w:val="228"/>
          <w:rFonts w:hint="eastAsia"/>
          <w:highlight w:val="none"/>
        </w:rPr>
        <w:t>供应商（</w:t>
      </w:r>
      <w:bookmarkStart w:id="95" w:name="OLE_LINK20"/>
      <w:r>
        <w:rPr>
          <w:rStyle w:val="228"/>
          <w:rFonts w:hint="eastAsia"/>
          <w:highlight w:val="none"/>
        </w:rPr>
        <w:t>公章或者电子签章</w:t>
      </w:r>
      <w:bookmarkEnd w:id="95"/>
      <w:r>
        <w:rPr>
          <w:rStyle w:val="228"/>
          <w:rFonts w:hint="eastAsia"/>
          <w:highlight w:val="none"/>
        </w:rPr>
        <w:t xml:space="preserve">）：                               </w:t>
      </w:r>
    </w:p>
    <w:p>
      <w:pPr>
        <w:spacing w:line="360" w:lineRule="auto"/>
        <w:ind w:firstLine="420" w:firstLineChars="200"/>
        <w:contextualSpacing/>
        <w:jc w:val="right"/>
        <w:rPr>
          <w:rStyle w:val="228"/>
          <w:rFonts w:hint="eastAsia"/>
          <w:highlight w:val="none"/>
        </w:rPr>
      </w:pPr>
      <w:r>
        <w:rPr>
          <w:rStyle w:val="228"/>
          <w:rFonts w:hint="eastAsia"/>
          <w:highlight w:val="none"/>
        </w:rPr>
        <w:t>年    月    日</w:t>
      </w:r>
    </w:p>
    <w:p>
      <w:pPr>
        <w:snapToGrid w:val="0"/>
        <w:jc w:val="center"/>
        <w:rPr>
          <w:rFonts w:hint="eastAsia" w:ascii="宋体" w:hAnsi="宋体"/>
          <w:b/>
          <w:sz w:val="28"/>
          <w:szCs w:val="28"/>
          <w:highlight w:val="none"/>
        </w:rPr>
      </w:pPr>
      <w:r>
        <w:rPr>
          <w:rFonts w:ascii="宋体" w:hAnsi="宋体"/>
          <w:b/>
          <w:sz w:val="28"/>
          <w:szCs w:val="28"/>
          <w:highlight w:val="none"/>
        </w:rPr>
        <w:br w:type="page"/>
      </w:r>
    </w:p>
    <w:p>
      <w:pPr>
        <w:spacing w:line="320" w:lineRule="exact"/>
        <w:jc w:val="center"/>
        <w:outlineLvl w:val="2"/>
        <w:rPr>
          <w:rFonts w:hint="eastAsia" w:ascii="宋体" w:hAnsi="宋体"/>
          <w:b/>
          <w:sz w:val="32"/>
          <w:szCs w:val="32"/>
          <w:highlight w:val="none"/>
        </w:rPr>
      </w:pPr>
      <w:r>
        <w:rPr>
          <w:rFonts w:hint="eastAsia" w:ascii="宋体" w:hAnsi="宋体"/>
          <w:b/>
          <w:sz w:val="32"/>
          <w:szCs w:val="32"/>
          <w:highlight w:val="none"/>
        </w:rPr>
        <w:t>供应商直接管理关系信息表</w:t>
      </w:r>
    </w:p>
    <w:p>
      <w:pPr>
        <w:snapToGrid w:val="0"/>
        <w:spacing w:line="360" w:lineRule="auto"/>
        <w:jc w:val="center"/>
        <w:rPr>
          <w:rFonts w:hint="eastAsia" w:ascii="宋体" w:hAnsi="宋体"/>
          <w:b/>
          <w:sz w:val="24"/>
          <w:highlight w:val="none"/>
        </w:rPr>
      </w:pPr>
    </w:p>
    <w:tbl>
      <w:tblPr>
        <w:tblStyle w:val="48"/>
        <w:tblW w:w="8751" w:type="dxa"/>
        <w:jc w:val="center"/>
        <w:shd w:val="clear" w:color="auto" w:fill="FBFBFB"/>
        <w:tblLayout w:type="fixed"/>
        <w:tblCellMar>
          <w:top w:w="0" w:type="dxa"/>
          <w:left w:w="0" w:type="dxa"/>
          <w:bottom w:w="0" w:type="dxa"/>
          <w:right w:w="0" w:type="dxa"/>
        </w:tblCellMar>
      </w:tblPr>
      <w:tblGrid>
        <w:gridCol w:w="808"/>
        <w:gridCol w:w="3123"/>
        <w:gridCol w:w="3402"/>
        <w:gridCol w:w="1418"/>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3</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w:t>
            </w:r>
          </w:p>
        </w:tc>
        <w:tc>
          <w:tcPr>
            <w:tcW w:w="3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highlight w:val="none"/>
              </w:rPr>
            </w:pPr>
          </w:p>
        </w:tc>
      </w:tr>
    </w:tbl>
    <w:p>
      <w:pPr>
        <w:spacing w:line="360" w:lineRule="auto"/>
        <w:contextualSpacing/>
        <w:jc w:val="left"/>
        <w:rPr>
          <w:rFonts w:hint="eastAsia" w:ascii="宋体" w:hAnsi="宋体"/>
          <w:sz w:val="24"/>
          <w:highlight w:val="none"/>
        </w:rPr>
      </w:pPr>
      <w:r>
        <w:rPr>
          <w:rFonts w:hint="eastAsia" w:ascii="宋体" w:hAnsi="宋体"/>
          <w:sz w:val="24"/>
          <w:highlight w:val="none"/>
        </w:rPr>
        <w:t>注：</w:t>
      </w:r>
    </w:p>
    <w:p>
      <w:pPr>
        <w:spacing w:line="360" w:lineRule="auto"/>
        <w:ind w:firstLine="480" w:firstLineChars="200"/>
        <w:contextualSpacing/>
        <w:jc w:val="left"/>
        <w:rPr>
          <w:rFonts w:hint="eastAsia"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pPr>
        <w:spacing w:line="360" w:lineRule="auto"/>
        <w:ind w:firstLine="420" w:firstLineChars="200"/>
        <w:contextualSpacing/>
        <w:jc w:val="left"/>
        <w:rPr>
          <w:rStyle w:val="228"/>
          <w:rFonts w:hint="eastAsia"/>
          <w:highlight w:val="none"/>
        </w:rPr>
      </w:pPr>
      <w:r>
        <w:rPr>
          <w:rStyle w:val="228"/>
          <w:rFonts w:hint="eastAsia"/>
          <w:highlight w:val="none"/>
        </w:rPr>
        <w:t>2.</w:t>
      </w:r>
      <w:r>
        <w:rPr>
          <w:rFonts w:hint="eastAsia" w:ascii="宋体" w:hAnsi="宋体"/>
          <w:spacing w:val="-6"/>
          <w:sz w:val="24"/>
          <w:highlight w:val="none"/>
        </w:rPr>
        <w:t>本表所指的管理关系仅限于直接管理关系，不包括间接的管理关系。</w:t>
      </w:r>
    </w:p>
    <w:p>
      <w:pPr>
        <w:spacing w:line="360" w:lineRule="auto"/>
        <w:ind w:firstLine="480" w:firstLineChars="200"/>
        <w:contextualSpacing/>
        <w:jc w:val="left"/>
        <w:rPr>
          <w:rFonts w:hint="eastAsia" w:ascii="宋体" w:hAnsi="宋体"/>
          <w:sz w:val="24"/>
          <w:highlight w:val="none"/>
        </w:rPr>
      </w:pPr>
      <w:r>
        <w:rPr>
          <w:rFonts w:hint="eastAsia" w:ascii="宋体" w:hAnsi="宋体"/>
          <w:sz w:val="24"/>
          <w:highlight w:val="none"/>
        </w:rPr>
        <w:t>3.供应商不存在直接管理关系的，则在“直接管理关系单位名称”填“无”。</w:t>
      </w:r>
    </w:p>
    <w:p>
      <w:pPr>
        <w:spacing w:line="360" w:lineRule="auto"/>
        <w:contextualSpacing/>
        <w:jc w:val="left"/>
        <w:rPr>
          <w:rFonts w:hint="eastAsia" w:ascii="宋体" w:hAnsi="宋体"/>
          <w:sz w:val="28"/>
          <w:szCs w:val="28"/>
          <w:highlight w:val="none"/>
        </w:rPr>
      </w:pPr>
    </w:p>
    <w:p>
      <w:pPr>
        <w:spacing w:line="360" w:lineRule="auto"/>
        <w:contextualSpacing/>
        <w:jc w:val="left"/>
        <w:rPr>
          <w:rFonts w:hint="eastAsia" w:ascii="宋体" w:hAnsi="宋体"/>
          <w:sz w:val="28"/>
          <w:szCs w:val="28"/>
          <w:highlight w:val="none"/>
        </w:rPr>
      </w:pPr>
    </w:p>
    <w:p>
      <w:pPr>
        <w:spacing w:line="360" w:lineRule="auto"/>
        <w:contextualSpacing/>
        <w:jc w:val="left"/>
        <w:rPr>
          <w:rFonts w:hint="eastAsia" w:ascii="宋体" w:hAnsi="宋体"/>
          <w:sz w:val="28"/>
          <w:szCs w:val="28"/>
          <w:highlight w:val="none"/>
        </w:rPr>
      </w:pPr>
    </w:p>
    <w:p>
      <w:pPr>
        <w:spacing w:line="360" w:lineRule="auto"/>
        <w:ind w:right="480"/>
        <w:contextualSpacing/>
        <w:jc w:val="center"/>
        <w:rPr>
          <w:rStyle w:val="228"/>
          <w:rFonts w:hint="eastAsia"/>
          <w:highlight w:val="none"/>
        </w:rPr>
      </w:pPr>
      <w:r>
        <w:rPr>
          <w:rStyle w:val="228"/>
          <w:rFonts w:hint="eastAsia"/>
          <w:highlight w:val="none"/>
        </w:rPr>
        <w:t xml:space="preserve"> </w:t>
      </w:r>
      <w:r>
        <w:rPr>
          <w:rStyle w:val="228"/>
          <w:highlight w:val="none"/>
        </w:rPr>
        <w:t xml:space="preserve">             </w:t>
      </w:r>
      <w:r>
        <w:rPr>
          <w:rStyle w:val="228"/>
          <w:rFonts w:hint="eastAsia"/>
          <w:highlight w:val="none"/>
        </w:rPr>
        <w:t xml:space="preserve">法定代表人或者委托代理人（签字或者电子签名）： </w:t>
      </w:r>
      <w:r>
        <w:rPr>
          <w:rStyle w:val="228"/>
          <w:highlight w:val="none"/>
        </w:rPr>
        <w:t xml:space="preserve">                  </w:t>
      </w:r>
    </w:p>
    <w:p>
      <w:pPr>
        <w:spacing w:line="360" w:lineRule="auto"/>
        <w:ind w:right="480" w:firstLine="2940" w:firstLineChars="1400"/>
        <w:contextualSpacing/>
        <w:rPr>
          <w:rStyle w:val="228"/>
          <w:rFonts w:hint="eastAsia"/>
          <w:highlight w:val="none"/>
        </w:rPr>
      </w:pPr>
      <w:r>
        <w:rPr>
          <w:rStyle w:val="228"/>
          <w:rFonts w:hint="eastAsia"/>
          <w:highlight w:val="none"/>
        </w:rPr>
        <w:t xml:space="preserve">供应商（公章或者电子签章）：                </w:t>
      </w:r>
    </w:p>
    <w:p>
      <w:pPr>
        <w:spacing w:line="360" w:lineRule="auto"/>
        <w:ind w:firstLine="420" w:firstLineChars="200"/>
        <w:contextualSpacing/>
        <w:jc w:val="left"/>
        <w:rPr>
          <w:rFonts w:ascii="宋体" w:hAnsi="宋体"/>
          <w:sz w:val="28"/>
          <w:szCs w:val="28"/>
          <w:highlight w:val="none"/>
        </w:rPr>
      </w:pPr>
      <w:r>
        <w:rPr>
          <w:rStyle w:val="228"/>
          <w:rFonts w:hint="eastAsia"/>
          <w:highlight w:val="none"/>
        </w:rPr>
        <w:t xml:space="preserve">                                        年    月    日</w:t>
      </w:r>
    </w:p>
    <w:p>
      <w:pPr>
        <w:spacing w:line="320" w:lineRule="exact"/>
        <w:jc w:val="center"/>
        <w:outlineLvl w:val="2"/>
        <w:rPr>
          <w:rFonts w:hint="eastAsia" w:ascii="宋体" w:hAnsi="宋体"/>
          <w:b/>
          <w:sz w:val="32"/>
          <w:szCs w:val="32"/>
          <w:highlight w:val="none"/>
        </w:rPr>
      </w:pPr>
      <w:r>
        <w:rPr>
          <w:rFonts w:ascii="宋体" w:hAnsi="宋体"/>
          <w:sz w:val="28"/>
          <w:szCs w:val="28"/>
          <w:highlight w:val="none"/>
        </w:rPr>
        <w:br w:type="page"/>
      </w:r>
      <w:r>
        <w:rPr>
          <w:rFonts w:hint="eastAsia" w:ascii="宋体" w:hAnsi="宋体"/>
          <w:b/>
          <w:sz w:val="32"/>
          <w:szCs w:val="32"/>
          <w:highlight w:val="none"/>
        </w:rPr>
        <w:t>竞标声明</w:t>
      </w:r>
    </w:p>
    <w:p>
      <w:pPr>
        <w:spacing w:line="320" w:lineRule="exact"/>
        <w:jc w:val="center"/>
        <w:rPr>
          <w:rFonts w:hint="eastAsia" w:ascii="宋体" w:hAnsi="宋体"/>
          <w:sz w:val="24"/>
          <w:szCs w:val="20"/>
          <w:highlight w:val="none"/>
        </w:rPr>
      </w:pPr>
    </w:p>
    <w:p>
      <w:pPr>
        <w:spacing w:line="360" w:lineRule="auto"/>
        <w:contextualSpacing/>
        <w:rPr>
          <w:rStyle w:val="228"/>
          <w:rFonts w:hint="eastAsia"/>
          <w:highlight w:val="none"/>
        </w:rPr>
      </w:pPr>
      <w:r>
        <w:rPr>
          <w:rStyle w:val="228"/>
          <w:rFonts w:hint="eastAsia"/>
          <w:highlight w:val="none"/>
        </w:rPr>
        <w:t>致：</w:t>
      </w:r>
      <w:r>
        <w:rPr>
          <w:rFonts w:hint="eastAsia" w:ascii="宋体" w:hAnsi="宋体" w:cs="宋体"/>
          <w:sz w:val="24"/>
          <w:highlight w:val="none"/>
          <w:u w:val="single"/>
        </w:rPr>
        <w:t>（采购人名称）</w:t>
      </w:r>
      <w:r>
        <w:rPr>
          <w:rStyle w:val="228"/>
          <w:rFonts w:hint="eastAsia"/>
          <w:highlight w:val="none"/>
        </w:rPr>
        <w:t>：</w:t>
      </w:r>
    </w:p>
    <w:p>
      <w:pPr>
        <w:spacing w:line="360" w:lineRule="auto"/>
        <w:ind w:firstLine="480" w:firstLineChars="200"/>
        <w:contextualSpacing/>
        <w:rPr>
          <w:rStyle w:val="228"/>
          <w:rFonts w:hint="eastAsia"/>
          <w:highlight w:val="none"/>
        </w:rPr>
      </w:pPr>
      <w:r>
        <w:rPr>
          <w:rFonts w:hint="eastAsia" w:ascii="宋体" w:hAnsi="宋体" w:cs="宋体"/>
          <w:sz w:val="24"/>
          <w:highlight w:val="none"/>
          <w:u w:val="single"/>
        </w:rPr>
        <w:t>（供应商名称）</w:t>
      </w:r>
      <w:r>
        <w:rPr>
          <w:rStyle w:val="228"/>
          <w:rFonts w:hint="eastAsia"/>
          <w:highlight w:val="none"/>
        </w:rPr>
        <w:t>系中华人民共和国合法供应商，经营地址</w:t>
      </w:r>
      <w:r>
        <w:rPr>
          <w:rFonts w:hint="eastAsia" w:ascii="宋体" w:hAnsi="宋体" w:cs="宋体"/>
          <w:sz w:val="24"/>
          <w:highlight w:val="none"/>
          <w:u w:val="single"/>
        </w:rPr>
        <w:t xml:space="preserve">                 </w:t>
      </w:r>
      <w:r>
        <w:rPr>
          <w:rStyle w:val="228"/>
          <w:rFonts w:hint="eastAsia"/>
          <w:highlight w:val="none"/>
        </w:rPr>
        <w:t>。</w:t>
      </w:r>
    </w:p>
    <w:p>
      <w:pPr>
        <w:spacing w:line="360" w:lineRule="auto"/>
        <w:ind w:firstLine="420" w:firstLineChars="200"/>
        <w:contextualSpacing/>
        <w:rPr>
          <w:rStyle w:val="228"/>
          <w:rFonts w:hint="eastAsia"/>
          <w:highlight w:val="none"/>
        </w:rPr>
      </w:pPr>
      <w:r>
        <w:rPr>
          <w:rStyle w:val="228"/>
          <w:rFonts w:hint="eastAsia"/>
          <w:highlight w:val="none"/>
        </w:rPr>
        <w:t>我方愿意参加贵方组织的</w:t>
      </w:r>
      <w:r>
        <w:rPr>
          <w:rFonts w:hint="eastAsia" w:ascii="宋体" w:hAnsi="宋体" w:cs="宋体"/>
          <w:sz w:val="24"/>
          <w:highlight w:val="none"/>
          <w:u w:val="single"/>
        </w:rPr>
        <w:t>（项目名称）</w:t>
      </w:r>
      <w:r>
        <w:rPr>
          <w:rStyle w:val="228"/>
          <w:rFonts w:hint="eastAsia"/>
          <w:highlight w:val="none"/>
        </w:rPr>
        <w:t>项目的竞标，为便于贵方公正、择优地确定成交供应商及其竞标产品和服务，我方就本次竞标有关事项郑重声明如下：</w:t>
      </w:r>
    </w:p>
    <w:p>
      <w:pPr>
        <w:pStyle w:val="227"/>
        <w:ind w:firstLine="420"/>
        <w:rPr>
          <w:rFonts w:hint="eastAsia"/>
          <w:highlight w:val="none"/>
        </w:rPr>
      </w:pPr>
      <w:r>
        <w:rPr>
          <w:rFonts w:hint="eastAsia"/>
          <w:highlight w:val="none"/>
        </w:rPr>
        <w:t>1.我方向贵方提交的所有响应文件、资料都是准确的和真实的。</w:t>
      </w:r>
    </w:p>
    <w:p>
      <w:pPr>
        <w:pStyle w:val="227"/>
        <w:ind w:firstLine="420"/>
        <w:rPr>
          <w:rFonts w:hint="eastAsia"/>
          <w:highlight w:val="none"/>
        </w:rPr>
      </w:pPr>
      <w:r>
        <w:rPr>
          <w:rFonts w:hint="eastAsia"/>
          <w:highlight w:val="none"/>
        </w:rPr>
        <w:t>2.我方不是为本次采购项目提供整体设计、规范编制或者项目管理、监理、检测等服务的供应商。</w:t>
      </w:r>
    </w:p>
    <w:p>
      <w:pPr>
        <w:pStyle w:val="227"/>
        <w:ind w:firstLine="420"/>
        <w:rPr>
          <w:rFonts w:hint="eastAsia"/>
          <w:highlight w:val="none"/>
        </w:rPr>
      </w:pPr>
      <w:r>
        <w:rPr>
          <w:rFonts w:hint="eastAsia"/>
          <w:highlight w:val="none"/>
        </w:rPr>
        <w:t>3.在此，我方宣布同意如下：</w:t>
      </w:r>
    </w:p>
    <w:p>
      <w:pPr>
        <w:pStyle w:val="227"/>
        <w:ind w:firstLine="420"/>
        <w:rPr>
          <w:rFonts w:hint="eastAsia"/>
          <w:highlight w:val="none"/>
        </w:rPr>
      </w:pPr>
      <w:r>
        <w:rPr>
          <w:rFonts w:hint="eastAsia"/>
          <w:highlight w:val="none"/>
        </w:rPr>
        <w:t>（1）将按磋商文件的约定履行合同责任和义务；</w:t>
      </w:r>
    </w:p>
    <w:p>
      <w:pPr>
        <w:pStyle w:val="227"/>
        <w:ind w:firstLine="420"/>
        <w:rPr>
          <w:rFonts w:hint="eastAsia"/>
          <w:highlight w:val="none"/>
        </w:rPr>
      </w:pPr>
      <w:r>
        <w:rPr>
          <w:rFonts w:hint="eastAsia"/>
          <w:highlight w:val="none"/>
        </w:rPr>
        <w:t>（2）已详细审查全部磋商文件，包括澄清或者更正公告（如有）；</w:t>
      </w:r>
    </w:p>
    <w:p>
      <w:pPr>
        <w:pStyle w:val="227"/>
        <w:ind w:firstLine="420"/>
        <w:rPr>
          <w:rFonts w:hint="eastAsia"/>
          <w:highlight w:val="none"/>
        </w:rPr>
      </w:pPr>
      <w:r>
        <w:rPr>
          <w:rFonts w:hint="eastAsia"/>
          <w:highlight w:val="none"/>
        </w:rPr>
        <w:t>（3）同意提供按照贵方可能要求的与磋商有关的一切数据或者资料；</w:t>
      </w:r>
    </w:p>
    <w:p>
      <w:pPr>
        <w:pStyle w:val="227"/>
        <w:ind w:firstLine="420"/>
        <w:rPr>
          <w:rFonts w:hint="eastAsia"/>
          <w:highlight w:val="none"/>
        </w:rPr>
      </w:pPr>
      <w:r>
        <w:rPr>
          <w:rFonts w:hint="eastAsia"/>
          <w:highlight w:val="none"/>
        </w:rPr>
        <w:t>（4）响应磋商文件规定的竞标有效期。</w:t>
      </w:r>
    </w:p>
    <w:p>
      <w:pPr>
        <w:pStyle w:val="227"/>
        <w:ind w:firstLine="420"/>
        <w:rPr>
          <w:rFonts w:hint="eastAsia"/>
          <w:highlight w:val="none"/>
        </w:rPr>
      </w:pPr>
      <w:r>
        <w:rPr>
          <w:rFonts w:hint="eastAsia"/>
          <w:highlight w:val="none"/>
        </w:rPr>
        <w:t>4.我方承诺符合《中华人民共和国政府采购法》第二十二条规定：</w:t>
      </w:r>
    </w:p>
    <w:p>
      <w:pPr>
        <w:pStyle w:val="227"/>
        <w:ind w:firstLine="420"/>
        <w:rPr>
          <w:rFonts w:hint="eastAsia"/>
          <w:highlight w:val="none"/>
        </w:rPr>
      </w:pPr>
      <w:r>
        <w:rPr>
          <w:rFonts w:hint="eastAsia"/>
          <w:highlight w:val="none"/>
        </w:rPr>
        <w:t>（1）具有独立承担民事责任的能力；</w:t>
      </w:r>
    </w:p>
    <w:p>
      <w:pPr>
        <w:pStyle w:val="227"/>
        <w:ind w:firstLine="420"/>
        <w:rPr>
          <w:rFonts w:hint="eastAsia"/>
          <w:highlight w:val="none"/>
        </w:rPr>
      </w:pPr>
      <w:r>
        <w:rPr>
          <w:rFonts w:hint="eastAsia"/>
          <w:highlight w:val="none"/>
        </w:rPr>
        <w:t>（2）具有良好的商业信誉和健全的财务会计制度；</w:t>
      </w:r>
    </w:p>
    <w:p>
      <w:pPr>
        <w:pStyle w:val="227"/>
        <w:ind w:firstLine="420"/>
        <w:rPr>
          <w:rFonts w:hint="eastAsia"/>
          <w:highlight w:val="none"/>
        </w:rPr>
      </w:pPr>
      <w:r>
        <w:rPr>
          <w:rFonts w:hint="eastAsia"/>
          <w:highlight w:val="none"/>
        </w:rPr>
        <w:t>（3）具有履行合同所必需的设备和专业技术能力；</w:t>
      </w:r>
    </w:p>
    <w:p>
      <w:pPr>
        <w:pStyle w:val="227"/>
        <w:ind w:firstLine="420"/>
        <w:rPr>
          <w:rFonts w:hint="eastAsia"/>
          <w:highlight w:val="none"/>
        </w:rPr>
      </w:pPr>
      <w:r>
        <w:rPr>
          <w:rFonts w:hint="eastAsia"/>
          <w:highlight w:val="none"/>
        </w:rPr>
        <w:t>（4）有依法缴纳税收和社会保障资金的良好记录；</w:t>
      </w:r>
    </w:p>
    <w:p>
      <w:pPr>
        <w:pStyle w:val="227"/>
        <w:ind w:firstLine="420"/>
        <w:rPr>
          <w:rFonts w:hint="eastAsia"/>
          <w:highlight w:val="none"/>
        </w:rPr>
      </w:pPr>
      <w:r>
        <w:rPr>
          <w:rFonts w:hint="eastAsia"/>
          <w:highlight w:val="none"/>
        </w:rPr>
        <w:t>（5）参加政府采购活动前三年内，在经营活动中没有重大违法记录；</w:t>
      </w:r>
    </w:p>
    <w:p>
      <w:pPr>
        <w:pStyle w:val="227"/>
        <w:ind w:firstLine="420"/>
        <w:rPr>
          <w:rFonts w:hint="eastAsia"/>
          <w:highlight w:val="none"/>
        </w:rPr>
      </w:pPr>
      <w:r>
        <w:rPr>
          <w:rFonts w:hint="eastAsia"/>
          <w:highlight w:val="none"/>
        </w:rPr>
        <w:t>（6）法律、行政法规规定的其他条件。</w:t>
      </w:r>
    </w:p>
    <w:p>
      <w:pPr>
        <w:pStyle w:val="227"/>
        <w:ind w:firstLine="420"/>
        <w:rPr>
          <w:rFonts w:hint="eastAsia"/>
          <w:highlight w:val="none"/>
        </w:rPr>
      </w:pPr>
      <w:r>
        <w:rPr>
          <w:rFonts w:hint="eastAsia"/>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pStyle w:val="227"/>
        <w:ind w:firstLine="420"/>
        <w:rPr>
          <w:rFonts w:hint="eastAsia"/>
          <w:highlight w:val="none"/>
        </w:rPr>
      </w:pPr>
      <w:r>
        <w:rPr>
          <w:rFonts w:hint="eastAsia"/>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Style w:val="228"/>
          <w:rFonts w:hint="eastAsia"/>
          <w:highlight w:val="none"/>
        </w:rPr>
      </w:pPr>
      <w:r>
        <w:rPr>
          <w:rStyle w:val="228"/>
          <w:rFonts w:hint="eastAsia"/>
          <w:highlight w:val="none"/>
        </w:rPr>
        <w:t>□我方本次响应文件</w:t>
      </w:r>
      <w:r>
        <w:rPr>
          <w:rFonts w:hint="eastAsia" w:ascii="宋体" w:hAnsi="宋体" w:cs="宋体"/>
          <w:kern w:val="0"/>
          <w:sz w:val="24"/>
          <w:highlight w:val="none"/>
        </w:rPr>
        <w:t>内容中</w:t>
      </w:r>
      <w:r>
        <w:rPr>
          <w:rStyle w:val="228"/>
          <w:rFonts w:hint="eastAsia"/>
          <w:highlight w:val="none"/>
        </w:rPr>
        <w:t>未</w:t>
      </w:r>
      <w:r>
        <w:rPr>
          <w:rFonts w:hint="eastAsia" w:ascii="宋体" w:hAnsi="宋体" w:cs="宋体"/>
          <w:kern w:val="0"/>
          <w:sz w:val="24"/>
          <w:highlight w:val="none"/>
        </w:rPr>
        <w:t>涉及商业秘密；</w:t>
      </w:r>
    </w:p>
    <w:p>
      <w:pPr>
        <w:spacing w:line="360" w:lineRule="auto"/>
        <w:ind w:firstLine="420" w:firstLineChars="200"/>
        <w:contextualSpacing/>
        <w:rPr>
          <w:rStyle w:val="228"/>
          <w:rFonts w:hint="eastAsia"/>
          <w:highlight w:val="none"/>
        </w:rPr>
      </w:pPr>
      <w:r>
        <w:rPr>
          <w:rStyle w:val="228"/>
          <w:rFonts w:hint="eastAsia"/>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11"/>
        <w:spacing w:line="360" w:lineRule="auto"/>
        <w:ind w:firstLine="480" w:firstLineChars="200"/>
        <w:contextualSpacing/>
        <w:rPr>
          <w:rFonts w:hint="eastAsia"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pPr>
        <w:pStyle w:val="11"/>
        <w:spacing w:line="360" w:lineRule="auto"/>
        <w:ind w:firstLine="480" w:firstLineChars="200"/>
        <w:contextualSpacing/>
        <w:rPr>
          <w:rFonts w:hint="eastAsia"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电子邮箱：</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pPr>
        <w:pStyle w:val="24"/>
        <w:tabs>
          <w:tab w:val="left" w:pos="939"/>
        </w:tabs>
        <w:spacing w:line="360" w:lineRule="auto"/>
        <w:ind w:left="141" w:leftChars="67" w:firstLine="360" w:firstLineChars="150"/>
        <w:rPr>
          <w:rFonts w:hint="eastAsia"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pPr>
        <w:pStyle w:val="24"/>
        <w:tabs>
          <w:tab w:val="left" w:pos="939"/>
        </w:tabs>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pPr>
        <w:pStyle w:val="24"/>
        <w:tabs>
          <w:tab w:val="left" w:pos="939"/>
        </w:tabs>
        <w:spacing w:line="360" w:lineRule="auto"/>
        <w:ind w:left="141" w:leftChars="67" w:firstLine="360" w:firstLineChars="150"/>
        <w:rPr>
          <w:rFonts w:hint="eastAsia" w:ascii="宋体" w:hAnsi="宋体" w:cs="宋体"/>
          <w:sz w:val="24"/>
          <w:highlight w:val="none"/>
        </w:rPr>
      </w:pPr>
      <w:r>
        <w:rPr>
          <w:rFonts w:hint="eastAsia" w:ascii="宋体" w:hAnsi="宋体" w:cs="宋体"/>
          <w:sz w:val="24"/>
          <w:highlight w:val="none"/>
        </w:rPr>
        <w:t>特此承诺。</w:t>
      </w:r>
    </w:p>
    <w:p>
      <w:pPr>
        <w:spacing w:line="360" w:lineRule="auto"/>
        <w:contextualSpacing/>
        <w:jc w:val="left"/>
        <w:rPr>
          <w:rFonts w:hint="eastAsia" w:ascii="宋体" w:hAnsi="宋体"/>
          <w:b/>
          <w:sz w:val="24"/>
          <w:highlight w:val="none"/>
        </w:rPr>
      </w:pPr>
      <w:r>
        <w:rPr>
          <w:rFonts w:hint="eastAsia" w:ascii="宋体" w:hAnsi="宋体" w:cs="宋体"/>
          <w:b/>
          <w:sz w:val="24"/>
          <w:highlight w:val="none"/>
        </w:rPr>
        <w:t>注：</w:t>
      </w:r>
      <w:r>
        <w:rPr>
          <w:rFonts w:hint="eastAsia" w:ascii="宋体" w:hAnsi="宋体"/>
          <w:b/>
          <w:sz w:val="24"/>
          <w:highlight w:val="none"/>
        </w:rPr>
        <w:t>如为联合体竞标，盖章处须加盖联合体牵头人</w:t>
      </w:r>
      <w:r>
        <w:rPr>
          <w:rFonts w:hint="eastAsia" w:ascii="宋体" w:hAnsi="宋体"/>
          <w:b/>
          <w:sz w:val="24"/>
          <w:highlight w:val="none"/>
          <w:lang w:val="en-US" w:eastAsia="zh-CN"/>
        </w:rPr>
        <w:t>公章（或电子签章）</w:t>
      </w:r>
      <w:r>
        <w:rPr>
          <w:rFonts w:hint="eastAsia" w:ascii="宋体" w:hAnsi="宋体"/>
          <w:b/>
          <w:sz w:val="24"/>
          <w:highlight w:val="none"/>
        </w:rPr>
        <w:t>并由联合体牵头人法定代表人分别签字或者电子签名，否则响应文件按无效处理。</w:t>
      </w:r>
    </w:p>
    <w:p>
      <w:pPr>
        <w:spacing w:line="360" w:lineRule="auto"/>
        <w:contextualSpacing/>
        <w:jc w:val="left"/>
        <w:rPr>
          <w:rFonts w:hint="eastAsia" w:ascii="宋体" w:hAnsi="宋体" w:cs="宋体"/>
          <w:szCs w:val="21"/>
          <w:highlight w:val="none"/>
        </w:rPr>
      </w:pPr>
    </w:p>
    <w:p>
      <w:pPr>
        <w:spacing w:line="360" w:lineRule="auto"/>
        <w:ind w:firstLine="1575" w:firstLineChars="750"/>
        <w:contextualSpacing/>
        <w:rPr>
          <w:rFonts w:hint="eastAsia" w:ascii="宋体" w:hAnsi="宋体"/>
          <w:highlight w:val="none"/>
        </w:rPr>
      </w:pPr>
      <w:r>
        <w:rPr>
          <w:rStyle w:val="228"/>
          <w:rFonts w:hint="eastAsia"/>
          <w:highlight w:val="none"/>
        </w:rPr>
        <w:t>法定代表人（签字或者电子签名）</w:t>
      </w:r>
      <w:r>
        <w:rPr>
          <w:rFonts w:hint="eastAsia" w:ascii="宋体" w:hAnsi="宋体"/>
          <w:highlight w:val="none"/>
        </w:rPr>
        <w:t>：</w:t>
      </w:r>
      <w:r>
        <w:rPr>
          <w:rFonts w:hint="eastAsia" w:ascii="宋体" w:hAnsi="宋体"/>
          <w:highlight w:val="none"/>
          <w:u w:val="single"/>
        </w:rPr>
        <w:t xml:space="preserve">                          </w:t>
      </w:r>
    </w:p>
    <w:p>
      <w:pPr>
        <w:spacing w:line="360" w:lineRule="auto"/>
        <w:ind w:firstLine="1575" w:firstLineChars="750"/>
        <w:contextualSpacing/>
        <w:rPr>
          <w:rStyle w:val="228"/>
          <w:rFonts w:hint="eastAsia"/>
          <w:highlight w:val="none"/>
        </w:rPr>
      </w:pPr>
      <w:r>
        <w:rPr>
          <w:rStyle w:val="228"/>
          <w:rFonts w:hint="eastAsia"/>
          <w:highlight w:val="none"/>
        </w:rPr>
        <w:t xml:space="preserve">供应商（公章或者电子签章）： </w:t>
      </w:r>
      <w:r>
        <w:rPr>
          <w:rStyle w:val="228"/>
          <w:rFonts w:hint="eastAsia"/>
          <w:highlight w:val="none"/>
          <w:u w:val="single"/>
        </w:rPr>
        <w:t xml:space="preserve">                               </w:t>
      </w:r>
      <w:r>
        <w:rPr>
          <w:rStyle w:val="228"/>
          <w:rFonts w:hint="eastAsia"/>
          <w:highlight w:val="none"/>
        </w:rPr>
        <w:t xml:space="preserve">          </w:t>
      </w:r>
    </w:p>
    <w:p>
      <w:pPr>
        <w:pStyle w:val="24"/>
        <w:tabs>
          <w:tab w:val="left" w:pos="939"/>
        </w:tabs>
        <w:spacing w:line="360" w:lineRule="auto"/>
        <w:ind w:left="0" w:leftChars="0" w:firstLine="420" w:firstLineChars="200"/>
        <w:rPr>
          <w:rFonts w:hint="eastAsia" w:ascii="宋体" w:hAnsi="宋体"/>
          <w:sz w:val="24"/>
          <w:highlight w:val="none"/>
        </w:rPr>
      </w:pPr>
      <w:r>
        <w:rPr>
          <w:rFonts w:hint="eastAsia" w:ascii="宋体" w:hAnsi="宋体" w:cs="宋体"/>
          <w:szCs w:val="21"/>
          <w:highlight w:val="none"/>
        </w:rPr>
        <w:t xml:space="preserve">                                                        </w:t>
      </w:r>
      <w:r>
        <w:rPr>
          <w:rFonts w:hint="eastAsia" w:ascii="宋体" w:hAnsi="宋体"/>
          <w:highlight w:val="none"/>
        </w:rPr>
        <w:t xml:space="preserve"> 年    月    日</w:t>
      </w:r>
    </w:p>
    <w:p>
      <w:pPr>
        <w:pStyle w:val="10"/>
        <w:overflowPunct w:val="0"/>
        <w:spacing w:line="520" w:lineRule="exact"/>
        <w:ind w:firstLine="0"/>
        <w:rPr>
          <w:rStyle w:val="228"/>
          <w:highlight w:val="none"/>
        </w:rPr>
      </w:pPr>
      <w:r>
        <w:rPr>
          <w:rStyle w:val="228"/>
          <w:highlight w:val="none"/>
        </w:rPr>
        <w:t xml:space="preserve"> </w:t>
      </w:r>
    </w:p>
    <w:p>
      <w:pPr>
        <w:jc w:val="center"/>
        <w:outlineLvl w:val="2"/>
        <w:rPr>
          <w:rFonts w:hint="eastAsia" w:ascii="宋体" w:hAnsi="宋体" w:cs="方正小标宋简体"/>
          <w:sz w:val="44"/>
          <w:szCs w:val="44"/>
          <w:highlight w:val="none"/>
        </w:rPr>
      </w:pPr>
      <w:r>
        <w:rPr>
          <w:rStyle w:val="228"/>
          <w:highlight w:val="none"/>
        </w:rPr>
        <w:br w:type="page"/>
      </w:r>
      <w:r>
        <w:rPr>
          <w:rFonts w:hint="eastAsia" w:ascii="宋体" w:hAnsi="宋体" w:cs="方正小标宋简体"/>
          <w:sz w:val="44"/>
          <w:szCs w:val="44"/>
          <w:highlight w:val="none"/>
        </w:rPr>
        <w:t>中小企业声明函（服务）</w:t>
      </w:r>
    </w:p>
    <w:p>
      <w:pPr>
        <w:spacing w:before="2" w:line="500" w:lineRule="exact"/>
        <w:rPr>
          <w:rFonts w:ascii="宋体" w:hAnsi="宋体" w:cs="宋体"/>
          <w:b/>
          <w:bCs/>
          <w:sz w:val="24"/>
          <w:highlight w:val="none"/>
        </w:rPr>
      </w:pPr>
    </w:p>
    <w:p>
      <w:pPr>
        <w:spacing w:line="500" w:lineRule="exact"/>
        <w:ind w:right="142" w:firstLine="480" w:firstLineChars="200"/>
        <w:rPr>
          <w:rFonts w:ascii="宋体" w:hAnsi="宋体"/>
          <w:kern w:val="0"/>
          <w:sz w:val="24"/>
          <w:highlight w:val="none"/>
        </w:rPr>
      </w:pPr>
      <w:r>
        <w:rPr>
          <w:rFonts w:ascii="宋体" w:hAnsi="宋体"/>
          <w:kern w:val="0"/>
          <w:sz w:val="24"/>
          <w:highlight w:val="none"/>
        </w:rPr>
        <w:t>本公司（联合体）郑重声明，根据《政府采购促进中小企业发展管理办法》（财库﹝2020﹞46号）的规定，本公司（联合体）参加</w:t>
      </w:r>
      <w:r>
        <w:rPr>
          <w:rFonts w:ascii="宋体" w:hAnsi="宋体"/>
          <w:b/>
          <w:bCs/>
          <w:kern w:val="0"/>
          <w:sz w:val="24"/>
          <w:highlight w:val="none"/>
          <w:u w:val="single"/>
        </w:rPr>
        <w:t>（单位名称）</w:t>
      </w:r>
      <w:r>
        <w:rPr>
          <w:rFonts w:ascii="宋体" w:hAnsi="宋体"/>
          <w:kern w:val="0"/>
          <w:sz w:val="24"/>
          <w:highlight w:val="none"/>
        </w:rPr>
        <w:t>的</w:t>
      </w:r>
      <w:r>
        <w:rPr>
          <w:rFonts w:ascii="宋体" w:hAnsi="宋体"/>
          <w:b/>
          <w:bCs/>
          <w:kern w:val="0"/>
          <w:sz w:val="24"/>
          <w:highlight w:val="none"/>
          <w:u w:val="single"/>
        </w:rPr>
        <w:t>（项目名称）</w:t>
      </w:r>
      <w:r>
        <w:rPr>
          <w:rFonts w:ascii="宋体" w:hAnsi="宋体"/>
          <w:kern w:val="0"/>
          <w:sz w:val="24"/>
          <w:highlight w:val="none"/>
        </w:rPr>
        <w:t>采购活动，</w:t>
      </w:r>
      <w:r>
        <w:rPr>
          <w:rFonts w:hint="eastAsia" w:ascii="宋体" w:hAnsi="宋体"/>
          <w:kern w:val="0"/>
          <w:sz w:val="24"/>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sz w:val="24"/>
          <w:highlight w:val="none"/>
        </w:rPr>
      </w:pPr>
      <w:r>
        <w:rPr>
          <w:rFonts w:ascii="宋体" w:hAnsi="宋体"/>
          <w:sz w:val="24"/>
          <w:highlight w:val="none"/>
        </w:rPr>
        <w:t>1.</w:t>
      </w:r>
      <w:r>
        <w:rPr>
          <w:rFonts w:hint="eastAsia" w:ascii="宋体" w:hAnsi="宋体"/>
          <w:b/>
          <w:bCs/>
          <w:sz w:val="24"/>
          <w:highlight w:val="none"/>
          <w:u w:val="single"/>
        </w:rPr>
        <w:t>超短波无线电监测一体化平台存储数据标准化改造</w:t>
      </w:r>
      <w:r>
        <w:rPr>
          <w:rFonts w:ascii="宋体" w:hAnsi="宋体"/>
          <w:sz w:val="24"/>
          <w:highlight w:val="none"/>
        </w:rPr>
        <w:t>，属于</w:t>
      </w:r>
      <w:r>
        <w:rPr>
          <w:rFonts w:ascii="宋体" w:hAnsi="宋体"/>
          <w:b/>
          <w:bCs/>
          <w:sz w:val="24"/>
          <w:highlight w:val="none"/>
          <w:u w:val="single"/>
        </w:rPr>
        <w:t>（采购文件中明确的所属</w:t>
      </w:r>
      <w:r>
        <w:rPr>
          <w:rFonts w:hint="eastAsia" w:ascii="宋体" w:hAnsi="宋体"/>
          <w:b/>
          <w:bCs/>
          <w:sz w:val="24"/>
          <w:highlight w:val="none"/>
          <w:u w:val="single"/>
        </w:rPr>
        <w:t>行</w:t>
      </w:r>
      <w:r>
        <w:rPr>
          <w:rFonts w:ascii="宋体" w:hAnsi="宋体"/>
          <w:b/>
          <w:bCs/>
          <w:sz w:val="24"/>
          <w:highlight w:val="none"/>
          <w:u w:val="single"/>
        </w:rPr>
        <w:t>业）</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w:t>
      </w:r>
      <w:r>
        <w:rPr>
          <w:rFonts w:hint="eastAsia" w:ascii="宋体" w:hAnsi="宋体"/>
          <w:b/>
          <w:bCs/>
          <w:sz w:val="24"/>
          <w:highlight w:val="none"/>
          <w:u w:val="single"/>
        </w:rPr>
        <w:t>企业名称）</w:t>
      </w:r>
      <w:r>
        <w:rPr>
          <w:rFonts w:hint="eastAsia"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w:t>
      </w:r>
      <w:r>
        <w:rPr>
          <w:rFonts w:ascii="宋体" w:hAnsi="宋体"/>
          <w:sz w:val="24"/>
          <w:highlight w:val="none"/>
        </w:rPr>
        <w:t>，属于</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pPr>
        <w:tabs>
          <w:tab w:val="left" w:pos="1065"/>
          <w:tab w:val="left" w:pos="4262"/>
          <w:tab w:val="left" w:pos="6477"/>
        </w:tabs>
        <w:spacing w:before="20" w:line="500" w:lineRule="exact"/>
        <w:ind w:right="84" w:firstLine="686" w:firstLineChars="286"/>
        <w:rPr>
          <w:rFonts w:ascii="宋体" w:hAnsi="宋体"/>
          <w:sz w:val="24"/>
          <w:highlight w:val="none"/>
          <w:u w:val="singl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w:t>
      </w:r>
      <w:r>
        <w:rPr>
          <w:rFonts w:hint="eastAsia" w:ascii="宋体" w:hAnsi="宋体"/>
          <w:sz w:val="24"/>
          <w:highlight w:val="none"/>
          <w:u w:val="single"/>
        </w:rPr>
        <w:t>行业</w:t>
      </w:r>
      <w:r>
        <w:rPr>
          <w:rFonts w:ascii="宋体" w:hAnsi="宋体"/>
          <w:sz w:val="24"/>
          <w:highlight w:val="none"/>
          <w:u w:val="single"/>
        </w:rPr>
        <w:t>）</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（企业名称）</w:t>
      </w:r>
      <w:r>
        <w:rPr>
          <w:rFonts w:hint="eastAsia"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w:t>
      </w:r>
      <w:r>
        <w:rPr>
          <w:rFonts w:ascii="宋体" w:hAnsi="宋体"/>
          <w:sz w:val="24"/>
          <w:highlight w:val="none"/>
        </w:rPr>
        <w:t>，属于</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pPr>
        <w:spacing w:before="34" w:line="500" w:lineRule="exact"/>
        <w:ind w:left="765" w:right="142" w:hanging="5"/>
        <w:rPr>
          <w:rFonts w:ascii="宋体" w:hAnsi="宋体"/>
          <w:kern w:val="0"/>
          <w:sz w:val="24"/>
          <w:highlight w:val="none"/>
        </w:rPr>
      </w:pPr>
      <w:r>
        <w:rPr>
          <w:rFonts w:ascii="宋体" w:hAnsi="宋体"/>
          <w:kern w:val="0"/>
          <w:sz w:val="24"/>
          <w:highlight w:val="none"/>
        </w:rPr>
        <w:t xml:space="preserve">…… </w:t>
      </w:r>
    </w:p>
    <w:p>
      <w:pPr>
        <w:spacing w:before="34" w:line="500" w:lineRule="exact"/>
        <w:ind w:right="142" w:firstLine="480" w:firstLineChars="200"/>
        <w:rPr>
          <w:rFonts w:hint="eastAsia" w:ascii="宋体" w:hAnsi="宋体"/>
          <w:kern w:val="0"/>
          <w:sz w:val="24"/>
          <w:highlight w:val="none"/>
        </w:rPr>
      </w:pPr>
      <w:r>
        <w:rPr>
          <w:rFonts w:ascii="宋体" w:hAnsi="宋体"/>
          <w:kern w:val="0"/>
          <w:sz w:val="24"/>
          <w:highlight w:val="none"/>
        </w:rPr>
        <w:t>以上企业，不属于大企业的分支机构，不存在控股股东为大企业的情形，也不存在与大企业的负责人为同一人的情形。</w:t>
      </w:r>
    </w:p>
    <w:p>
      <w:pPr>
        <w:spacing w:before="34" w:line="500" w:lineRule="exact"/>
        <w:ind w:right="142" w:firstLine="480" w:firstLineChars="200"/>
        <w:rPr>
          <w:rFonts w:ascii="宋体" w:hAnsi="宋体"/>
          <w:kern w:val="0"/>
          <w:sz w:val="24"/>
          <w:highlight w:val="none"/>
        </w:rPr>
      </w:pPr>
      <w:r>
        <w:rPr>
          <w:rFonts w:ascii="宋体" w:hAnsi="宋体"/>
          <w:kern w:val="0"/>
          <w:sz w:val="24"/>
          <w:highlight w:val="none"/>
        </w:rPr>
        <w:t>本企业对上述声明内容的真实性负责。如有虚假，将依法承担相应责任。</w:t>
      </w:r>
    </w:p>
    <w:p>
      <w:pPr>
        <w:spacing w:before="56" w:line="500" w:lineRule="exact"/>
        <w:ind w:left="3960" w:right="1808"/>
        <w:rPr>
          <w:rFonts w:ascii="宋体" w:hAnsi="宋体"/>
          <w:kern w:val="0"/>
          <w:sz w:val="24"/>
          <w:highlight w:val="none"/>
        </w:rPr>
      </w:pPr>
      <w:r>
        <w:rPr>
          <w:rFonts w:ascii="宋体" w:hAnsi="宋体"/>
          <w:kern w:val="0"/>
          <w:sz w:val="24"/>
          <w:highlight w:val="none"/>
        </w:rPr>
        <w:t xml:space="preserve">企业名称（章）： </w:t>
      </w:r>
    </w:p>
    <w:p>
      <w:pPr>
        <w:spacing w:before="56" w:line="500" w:lineRule="exact"/>
        <w:ind w:left="3960" w:right="1808"/>
        <w:rPr>
          <w:rFonts w:ascii="宋体" w:hAnsi="宋体"/>
          <w:kern w:val="0"/>
          <w:sz w:val="24"/>
          <w:highlight w:val="none"/>
        </w:rPr>
      </w:pPr>
      <w:r>
        <w:rPr>
          <w:rFonts w:ascii="宋体" w:hAnsi="宋体"/>
          <w:kern w:val="0"/>
          <w:sz w:val="24"/>
          <w:highlight w:val="none"/>
        </w:rPr>
        <w:t>日 期：</w:t>
      </w:r>
    </w:p>
    <w:p>
      <w:pPr>
        <w:spacing w:line="500" w:lineRule="exact"/>
        <w:ind w:firstLine="480" w:firstLineChars="200"/>
        <w:rPr>
          <w:rFonts w:hint="eastAsia" w:ascii="宋体" w:hAnsi="宋体"/>
          <w:kern w:val="0"/>
          <w:sz w:val="24"/>
          <w:highlight w:val="none"/>
        </w:rPr>
      </w:pPr>
      <w:r>
        <w:rPr>
          <w:rFonts w:hint="eastAsia" w:ascii="宋体" w:hAnsi="宋体"/>
          <w:kern w:val="0"/>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line="320" w:lineRule="exact"/>
        <w:jc w:val="center"/>
        <w:rPr>
          <w:rFonts w:hint="eastAsia" w:ascii="宋体" w:hAnsi="宋体" w:cs="仿宋_GB2312"/>
          <w:sz w:val="24"/>
          <w:highlight w:val="none"/>
        </w:rPr>
      </w:pPr>
    </w:p>
    <w:p>
      <w:pPr>
        <w:spacing w:line="520" w:lineRule="exact"/>
        <w:jc w:val="center"/>
        <w:outlineLvl w:val="2"/>
        <w:rPr>
          <w:rFonts w:hint="eastAsia" w:ascii="宋体" w:hAnsi="宋体" w:cs="仿宋_GB2312"/>
          <w:sz w:val="32"/>
          <w:szCs w:val="32"/>
          <w:highlight w:val="none"/>
        </w:rPr>
      </w:pPr>
      <w:r>
        <w:rPr>
          <w:rStyle w:val="228"/>
          <w:highlight w:val="none"/>
        </w:rPr>
        <w:br w:type="page"/>
      </w:r>
      <w:r>
        <w:rPr>
          <w:rFonts w:hint="eastAsia" w:ascii="宋体" w:hAnsi="宋体" w:cs="方正小标宋简体"/>
          <w:sz w:val="44"/>
          <w:szCs w:val="44"/>
          <w:highlight w:val="none"/>
        </w:rPr>
        <w:t>残疾人福利性单位声明函</w:t>
      </w:r>
    </w:p>
    <w:p>
      <w:pPr>
        <w:spacing w:line="360" w:lineRule="auto"/>
        <w:contextualSpacing/>
        <w:rPr>
          <w:rFonts w:hint="eastAsia" w:ascii="宋体" w:hAnsi="宋体" w:cs="仿宋_GB2312"/>
          <w:sz w:val="32"/>
          <w:szCs w:val="32"/>
          <w:highlight w:val="none"/>
        </w:rPr>
      </w:pPr>
    </w:p>
    <w:p>
      <w:pPr>
        <w:spacing w:line="360" w:lineRule="auto"/>
        <w:ind w:firstLine="420" w:firstLineChars="200"/>
        <w:contextualSpacing/>
        <w:rPr>
          <w:rStyle w:val="228"/>
          <w:rFonts w:hint="eastAsia"/>
          <w:highlight w:val="none"/>
        </w:rPr>
      </w:pPr>
      <w:r>
        <w:rPr>
          <w:rStyle w:val="228"/>
          <w:rFonts w:hint="eastAsia"/>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highlight w:val="none"/>
          <w:u w:val="single"/>
        </w:rPr>
        <w:t xml:space="preserve">       </w:t>
      </w:r>
      <w:r>
        <w:rPr>
          <w:rStyle w:val="228"/>
          <w:rFonts w:hint="eastAsia"/>
          <w:highlight w:val="none"/>
        </w:rPr>
        <w:t>单位的</w:t>
      </w:r>
      <w:r>
        <w:rPr>
          <w:rFonts w:hint="eastAsia" w:ascii="宋体" w:hAnsi="宋体" w:cs="仿宋_GB2312"/>
          <w:sz w:val="24"/>
          <w:highlight w:val="none"/>
          <w:u w:val="single"/>
        </w:rPr>
        <w:t xml:space="preserve">        </w:t>
      </w:r>
      <w:r>
        <w:rPr>
          <w:rStyle w:val="228"/>
          <w:rFonts w:hint="eastAsia"/>
          <w:highlight w:val="none"/>
        </w:rPr>
        <w:t>项目采购活动提供本单位制造的货物（由本单位承担工程/提供服务），或者提供其他残疾人福利性单位制造的货物（不包括使用非残疾人福利性单位注册商标的货物）。</w:t>
      </w:r>
    </w:p>
    <w:p>
      <w:pPr>
        <w:pStyle w:val="227"/>
        <w:ind w:firstLine="420"/>
        <w:rPr>
          <w:rFonts w:hint="eastAsia"/>
          <w:highlight w:val="none"/>
        </w:rPr>
      </w:pPr>
      <w:r>
        <w:rPr>
          <w:rFonts w:hint="eastAsia"/>
          <w:highlight w:val="none"/>
        </w:rPr>
        <w:t>本单位对上述声明的真实性负责。如有虚假，将依法承担相应责任。</w:t>
      </w: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ind w:firstLine="2400" w:firstLineChars="1000"/>
        <w:contextualSpacing/>
        <w:rPr>
          <w:rFonts w:hint="eastAsia" w:ascii="宋体" w:hAnsi="宋体" w:cs="仿宋_GB2312"/>
          <w:sz w:val="24"/>
          <w:highlight w:val="none"/>
        </w:rPr>
      </w:pPr>
      <w:r>
        <w:rPr>
          <w:rFonts w:hint="eastAsia" w:ascii="宋体" w:hAnsi="宋体" w:cs="仿宋_GB2312"/>
          <w:sz w:val="24"/>
          <w:highlight w:val="none"/>
        </w:rPr>
        <w:t>单位名称（盖章）：</w:t>
      </w:r>
    </w:p>
    <w:p>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日  期：</w:t>
      </w: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p>
    <w:p>
      <w:pPr>
        <w:pStyle w:val="10"/>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ind w:right="480" w:firstLine="240" w:firstLineChars="100"/>
        <w:contextualSpacing/>
        <w:jc w:val="center"/>
        <w:rPr>
          <w:rFonts w:hint="eastAsia" w:ascii="宋体" w:hAnsi="宋体" w:cs="仿宋_GB2312"/>
          <w:sz w:val="24"/>
          <w:highlight w:val="none"/>
        </w:rPr>
      </w:pPr>
      <w:r>
        <w:rPr>
          <w:rFonts w:hint="eastAsia" w:ascii="宋体" w:hAnsi="宋体" w:cs="仿宋_GB2312"/>
          <w:sz w:val="24"/>
          <w:highlight w:val="none"/>
        </w:rPr>
        <w:t xml:space="preserve"> </w:t>
      </w:r>
    </w:p>
    <w:p>
      <w:pPr>
        <w:spacing w:line="360" w:lineRule="auto"/>
        <w:ind w:right="480" w:firstLine="210" w:firstLineChars="100"/>
        <w:contextualSpacing/>
        <w:jc w:val="center"/>
        <w:rPr>
          <w:rStyle w:val="228"/>
          <w:highlight w:val="none"/>
        </w:rPr>
      </w:pPr>
      <w:r>
        <w:rPr>
          <w:rStyle w:val="228"/>
          <w:rFonts w:hint="eastAsia"/>
          <w:highlight w:val="none"/>
        </w:rPr>
        <w:t xml:space="preserve">                                                年  </w:t>
      </w:r>
      <w:r>
        <w:rPr>
          <w:rStyle w:val="228"/>
          <w:rFonts w:hint="eastAsia"/>
          <w:highlight w:val="none"/>
        </w:rPr>
        <w:tab/>
      </w:r>
      <w:r>
        <w:rPr>
          <w:rStyle w:val="228"/>
          <w:rFonts w:hint="eastAsia"/>
          <w:highlight w:val="none"/>
        </w:rPr>
        <w:t xml:space="preserve">月  </w:t>
      </w:r>
      <w:r>
        <w:rPr>
          <w:rStyle w:val="228"/>
          <w:rFonts w:hint="eastAsia"/>
          <w:highlight w:val="none"/>
        </w:rPr>
        <w:tab/>
      </w:r>
      <w:r>
        <w:rPr>
          <w:rStyle w:val="228"/>
          <w:rFonts w:hint="eastAsia"/>
          <w:highlight w:val="none"/>
        </w:rPr>
        <w:t>日</w:t>
      </w:r>
    </w:p>
    <w:p>
      <w:pPr>
        <w:spacing w:line="360" w:lineRule="auto"/>
        <w:ind w:right="420"/>
        <w:contextualSpacing/>
        <w:jc w:val="left"/>
        <w:outlineLvl w:val="1"/>
        <w:rPr>
          <w:rFonts w:ascii="宋体" w:hAnsi="宋体"/>
          <w:b/>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报价文件格式 </w:t>
      </w:r>
    </w:p>
    <w:p>
      <w:pPr>
        <w:snapToGrid w:val="0"/>
        <w:spacing w:before="120" w:beforeLines="50" w:after="50" w:line="360" w:lineRule="auto"/>
        <w:jc w:val="left"/>
        <w:outlineLvl w:val="2"/>
        <w:rPr>
          <w:rFonts w:hint="eastAsia" w:ascii="宋体" w:hAnsi="宋体"/>
          <w:b/>
          <w:sz w:val="32"/>
          <w:szCs w:val="32"/>
          <w:highlight w:val="none"/>
        </w:rPr>
      </w:pPr>
      <w:r>
        <w:rPr>
          <w:rFonts w:hint="eastAsia" w:ascii="宋体" w:hAnsi="宋体"/>
          <w:b/>
          <w:sz w:val="32"/>
          <w:szCs w:val="32"/>
          <w:highlight w:val="none"/>
        </w:rPr>
        <w:t>1.报价文件封面格式</w:t>
      </w:r>
    </w:p>
    <w:p>
      <w:pPr>
        <w:snapToGrid w:val="0"/>
        <w:spacing w:before="120" w:beforeLines="50" w:after="50"/>
        <w:rPr>
          <w:rStyle w:val="228"/>
          <w:rFonts w:hint="eastAsia"/>
          <w:highlight w:val="none"/>
        </w:rPr>
      </w:pPr>
      <w:r>
        <w:rPr>
          <w:rStyle w:val="228"/>
          <w:rFonts w:hint="eastAsia"/>
          <w:highlight w:val="none"/>
        </w:rPr>
        <w:t xml:space="preserve">                                                    </w:t>
      </w:r>
    </w:p>
    <w:p>
      <w:pPr>
        <w:snapToGrid w:val="0"/>
        <w:spacing w:before="120" w:beforeLines="50" w:after="50"/>
        <w:jc w:val="center"/>
        <w:rPr>
          <w:rStyle w:val="228"/>
          <w:rFonts w:hint="eastAsia"/>
          <w:highlight w:val="none"/>
        </w:rPr>
      </w:pPr>
      <w:r>
        <w:rPr>
          <w:rFonts w:hint="eastAsia" w:ascii="宋体" w:hAnsi="宋体"/>
          <w:sz w:val="44"/>
          <w:szCs w:val="44"/>
          <w:highlight w:val="none"/>
        </w:rPr>
        <w:t>电 子 响 应 文 件</w:t>
      </w:r>
    </w:p>
    <w:p>
      <w:pPr>
        <w:snapToGrid w:val="0"/>
        <w:spacing w:before="120" w:beforeLines="50" w:after="50"/>
        <w:rPr>
          <w:rFonts w:hint="eastAsia" w:ascii="宋体" w:hAnsi="宋体"/>
          <w:sz w:val="24"/>
          <w:szCs w:val="20"/>
          <w:highlight w:val="none"/>
        </w:rPr>
      </w:pP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宋体" w:hAnsi="宋体" w:cs="方正小标宋简体"/>
          <w:bCs/>
          <w:sz w:val="44"/>
          <w:szCs w:val="44"/>
          <w:highlight w:val="none"/>
        </w:rPr>
      </w:pPr>
      <w:r>
        <w:rPr>
          <w:rFonts w:hint="eastAsia" w:ascii="宋体" w:hAnsi="宋体" w:cs="方正小标宋简体"/>
          <w:bCs/>
          <w:sz w:val="44"/>
          <w:szCs w:val="44"/>
          <w:highlight w:val="none"/>
        </w:rPr>
        <w:t>报  价  文  件</w:t>
      </w: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pPr>
        <w:snapToGrid w:val="0"/>
        <w:spacing w:before="120" w:beforeLines="50" w:after="50"/>
        <w:ind w:firstLine="720" w:firstLineChars="225"/>
        <w:rPr>
          <w:rFonts w:hint="eastAsia" w:ascii="宋体" w:hAnsi="宋体" w:cs="仿宋_GB2312"/>
          <w:bCs/>
          <w:sz w:val="32"/>
          <w:szCs w:val="32"/>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highlight w:val="none"/>
        </w:rPr>
      </w:pPr>
    </w:p>
    <w:p>
      <w:pPr>
        <w:pStyle w:val="10"/>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pPr>
        <w:pStyle w:val="10"/>
        <w:snapToGrid w:val="0"/>
        <w:spacing w:before="50" w:after="50"/>
        <w:ind w:firstLine="640" w:firstLineChars="200"/>
        <w:rPr>
          <w:rFonts w:hint="eastAsia" w:ascii="宋体" w:hAnsi="宋体" w:cs="仿宋_GB2312"/>
          <w:bCs/>
          <w:sz w:val="32"/>
          <w:szCs w:val="32"/>
          <w:highlight w:val="none"/>
        </w:rPr>
      </w:pPr>
    </w:p>
    <w:p>
      <w:pPr>
        <w:pStyle w:val="10"/>
        <w:snapToGrid w:val="0"/>
        <w:spacing w:before="50" w:after="50"/>
        <w:ind w:firstLine="720" w:firstLineChars="225"/>
        <w:rPr>
          <w:rFonts w:hint="eastAsia" w:ascii="宋体" w:hAnsi="宋体" w:cs="仿宋_GB2312"/>
          <w:bCs/>
          <w:sz w:val="32"/>
          <w:szCs w:val="32"/>
          <w:highlight w:val="none"/>
        </w:rPr>
      </w:pPr>
    </w:p>
    <w:p>
      <w:pPr>
        <w:pStyle w:val="10"/>
        <w:snapToGrid w:val="0"/>
        <w:spacing w:before="50" w:after="50"/>
        <w:ind w:firstLine="0"/>
        <w:rPr>
          <w:rFonts w:hint="eastAsia" w:ascii="宋体" w:hAnsi="宋体" w:cs="仿宋_GB2312"/>
          <w:bCs/>
          <w:sz w:val="32"/>
          <w:szCs w:val="32"/>
          <w:highlight w:val="none"/>
        </w:rPr>
      </w:pPr>
    </w:p>
    <w:p>
      <w:pPr>
        <w:pStyle w:val="10"/>
        <w:snapToGrid w:val="0"/>
        <w:spacing w:before="50" w:after="50"/>
        <w:ind w:firstLine="1280" w:firstLineChars="400"/>
        <w:rPr>
          <w:rFonts w:hint="eastAsia" w:ascii="宋体" w:hAnsi="宋体" w:cs="仿宋_GB2312"/>
          <w:bCs/>
          <w:sz w:val="32"/>
          <w:szCs w:val="32"/>
          <w:highlight w:val="none"/>
        </w:rPr>
      </w:pPr>
    </w:p>
    <w:p>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pPr>
        <w:snapToGrid w:val="0"/>
        <w:spacing w:before="120" w:beforeLines="50" w:after="50" w:line="360" w:lineRule="auto"/>
        <w:ind w:left="142"/>
        <w:jc w:val="left"/>
        <w:outlineLvl w:val="2"/>
        <w:rPr>
          <w:rFonts w:hint="eastAsia" w:ascii="宋体" w:hAnsi="宋体"/>
          <w:b/>
          <w:bCs/>
          <w:sz w:val="24"/>
          <w:highlight w:val="none"/>
        </w:rPr>
      </w:pPr>
      <w:r>
        <w:rPr>
          <w:rFonts w:hint="eastAsia" w:ascii="宋体" w:hAnsi="宋体"/>
          <w:szCs w:val="21"/>
          <w:highlight w:val="none"/>
        </w:rPr>
        <w:br w:type="page"/>
      </w:r>
      <w:r>
        <w:rPr>
          <w:rFonts w:hint="eastAsia" w:ascii="宋体" w:hAnsi="宋体"/>
          <w:b/>
          <w:bCs/>
          <w:sz w:val="32"/>
          <w:szCs w:val="32"/>
          <w:highlight w:val="none"/>
        </w:rPr>
        <w:t>2.报价文件目录</w:t>
      </w:r>
    </w:p>
    <w:p>
      <w:pPr>
        <w:spacing w:line="520" w:lineRule="exact"/>
        <w:jc w:val="center"/>
        <w:outlineLvl w:val="9"/>
        <w:rPr>
          <w:rFonts w:hint="eastAsia" w:ascii="宋体" w:hAnsi="宋体"/>
          <w:sz w:val="32"/>
          <w:szCs w:val="32"/>
          <w:highlight w:val="none"/>
        </w:rPr>
      </w:pPr>
      <w:r>
        <w:rPr>
          <w:rFonts w:hint="eastAsia" w:ascii="宋体" w:hAnsi="宋体"/>
          <w:sz w:val="32"/>
          <w:szCs w:val="32"/>
          <w:highlight w:val="none"/>
        </w:rPr>
        <w:t>根据磋商文件规定及供应商提供的材料自行编写目录（部分格式后附）。</w:t>
      </w:r>
    </w:p>
    <w:p>
      <w:pPr>
        <w:spacing w:line="520" w:lineRule="exact"/>
        <w:jc w:val="center"/>
        <w:outlineLvl w:val="2"/>
        <w:rPr>
          <w:rFonts w:hint="eastAsia" w:ascii="宋体" w:hAnsi="宋体" w:cs="方正小标宋简体"/>
          <w:bCs/>
          <w:sz w:val="32"/>
          <w:szCs w:val="32"/>
          <w:highlight w:val="none"/>
        </w:rPr>
      </w:pPr>
      <w:r>
        <w:rPr>
          <w:rFonts w:ascii="宋体" w:hAnsi="宋体"/>
          <w:b/>
          <w:bCs/>
          <w:sz w:val="32"/>
          <w:szCs w:val="32"/>
          <w:highlight w:val="none"/>
        </w:rPr>
        <w:br w:type="page"/>
      </w:r>
      <w:r>
        <w:rPr>
          <w:rFonts w:hint="eastAsia" w:ascii="宋体" w:hAnsi="宋体" w:cs="方正小标宋简体"/>
          <w:bCs/>
          <w:sz w:val="44"/>
          <w:szCs w:val="44"/>
          <w:highlight w:val="none"/>
        </w:rPr>
        <w:t>竞标报价表</w:t>
      </w:r>
    </w:p>
    <w:p>
      <w:pPr>
        <w:spacing w:line="440" w:lineRule="exact"/>
        <w:jc w:val="center"/>
        <w:rPr>
          <w:rFonts w:hint="eastAsia" w:ascii="宋体" w:hAnsi="宋体" w:cs="方正小标宋简体"/>
          <w:bCs/>
          <w:sz w:val="32"/>
          <w:szCs w:val="32"/>
          <w:highlight w:val="none"/>
        </w:rPr>
      </w:pPr>
    </w:p>
    <w:p>
      <w:pPr>
        <w:spacing w:line="360" w:lineRule="auto"/>
        <w:contextualSpacing/>
        <w:rPr>
          <w:rStyle w:val="228"/>
          <w:rFonts w:hint="eastAsia"/>
          <w:szCs w:val="21"/>
          <w:highlight w:val="none"/>
        </w:rPr>
      </w:pPr>
      <w:r>
        <w:rPr>
          <w:rStyle w:val="228"/>
          <w:rFonts w:hint="eastAsia"/>
          <w:szCs w:val="21"/>
          <w:highlight w:val="none"/>
        </w:rPr>
        <w:t>项目名称：</w:t>
      </w:r>
      <w:r>
        <w:rPr>
          <w:rFonts w:hint="eastAsia" w:ascii="宋体" w:hAnsi="宋体" w:cs="仿宋_GB2312"/>
          <w:szCs w:val="21"/>
          <w:highlight w:val="none"/>
          <w:u w:val="single"/>
        </w:rPr>
        <w:t xml:space="preserve">                </w:t>
      </w:r>
      <w:r>
        <w:rPr>
          <w:rStyle w:val="228"/>
          <w:rFonts w:hint="eastAsia"/>
          <w:szCs w:val="21"/>
          <w:highlight w:val="none"/>
        </w:rPr>
        <w:t>项目编号：</w:t>
      </w:r>
      <w:r>
        <w:rPr>
          <w:rFonts w:hint="eastAsia" w:ascii="宋体" w:hAnsi="宋体" w:cs="仿宋_GB2312"/>
          <w:szCs w:val="21"/>
          <w:highlight w:val="none"/>
          <w:u w:val="single"/>
        </w:rPr>
        <w:t xml:space="preserve">                   </w:t>
      </w:r>
      <w:r>
        <w:rPr>
          <w:rStyle w:val="228"/>
          <w:rFonts w:hint="eastAsia"/>
          <w:szCs w:val="21"/>
          <w:highlight w:val="none"/>
        </w:rPr>
        <w:t xml:space="preserve">     </w:t>
      </w:r>
    </w:p>
    <w:p>
      <w:pPr>
        <w:spacing w:line="360" w:lineRule="auto"/>
        <w:contextualSpacing/>
        <w:rPr>
          <w:rStyle w:val="228"/>
          <w:szCs w:val="21"/>
          <w:highlight w:val="none"/>
        </w:rPr>
      </w:pPr>
      <w:r>
        <w:rPr>
          <w:rStyle w:val="228"/>
          <w:rFonts w:hint="eastAsia"/>
          <w:szCs w:val="21"/>
          <w:highlight w:val="none"/>
        </w:rPr>
        <w:t>供应商名称：</w:t>
      </w:r>
      <w:r>
        <w:rPr>
          <w:rFonts w:hint="eastAsia" w:ascii="宋体" w:hAnsi="宋体" w:cs="仿宋_GB2312"/>
          <w:szCs w:val="21"/>
          <w:highlight w:val="none"/>
          <w:u w:val="single"/>
        </w:rPr>
        <w:t xml:space="preserve">                                           </w:t>
      </w:r>
      <w:r>
        <w:rPr>
          <w:rStyle w:val="228"/>
          <w:rFonts w:hint="eastAsia"/>
          <w:szCs w:val="21"/>
          <w:highlight w:val="none"/>
        </w:rPr>
        <w:t xml:space="preserve">   </w:t>
      </w:r>
    </w:p>
    <w:tbl>
      <w:tblPr>
        <w:tblStyle w:val="4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ascii="宋体" w:hAnsi="宋体" w:cs="仿宋_GB2312"/>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ascii="宋体" w:hAnsi="宋体" w:cs="仿宋_GB2312"/>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sz w:val="24"/>
                <w:highlight w:val="none"/>
                <w:lang w:eastAsia="zh-CN"/>
              </w:rPr>
            </w:pPr>
            <w:r>
              <w:rPr>
                <w:rFonts w:hint="eastAsia" w:ascii="宋体" w:hAnsi="宋体" w:cs="仿宋_GB2312"/>
                <w:sz w:val="24"/>
                <w:highlight w:val="none"/>
              </w:rPr>
              <w:t>单价</w:t>
            </w:r>
            <w:bookmarkStart w:id="96" w:name="OLE_LINK27"/>
            <w:r>
              <w:rPr>
                <w:rFonts w:hint="eastAsia" w:ascii="宋体" w:hAnsi="宋体" w:cs="仿宋_GB2312"/>
                <w:sz w:val="24"/>
                <w:highlight w:val="none"/>
                <w:lang w:eastAsia="zh-CN"/>
              </w:rPr>
              <w:t>（</w:t>
            </w:r>
            <w:r>
              <w:rPr>
                <w:rFonts w:hint="eastAsia" w:ascii="宋体" w:hAnsi="宋体" w:cs="仿宋_GB2312"/>
                <w:sz w:val="24"/>
                <w:highlight w:val="none"/>
                <w:lang w:val="en-US" w:eastAsia="zh-CN"/>
              </w:rPr>
              <w:t>元</w:t>
            </w:r>
            <w:r>
              <w:rPr>
                <w:rFonts w:hint="eastAsia" w:ascii="宋体" w:hAnsi="宋体" w:cs="仿宋_GB2312"/>
                <w:sz w:val="24"/>
                <w:highlight w:val="none"/>
                <w:lang w:eastAsia="zh-CN"/>
              </w:rPr>
              <w:t>）</w:t>
            </w:r>
            <w:bookmarkEnd w:id="96"/>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hint="eastAsia" w:ascii="宋体" w:hAnsi="宋体" w:cs="仿宋_GB2312"/>
                <w:sz w:val="24"/>
                <w:highlight w:val="none"/>
              </w:rPr>
              <w:t>总价</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元</w:t>
            </w:r>
            <w:r>
              <w:rPr>
                <w:rFonts w:hint="eastAsia" w:ascii="宋体" w:hAnsi="宋体" w:cs="仿宋_GB2312"/>
                <w:sz w:val="24"/>
                <w:highlight w:val="none"/>
                <w:lang w:eastAsia="zh-CN"/>
              </w:rPr>
              <w:t>）</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ascii="宋体" w:hAnsi="宋体" w:cs="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r>
              <w:rPr>
                <w:rFonts w:ascii="宋体" w:hAnsi="宋体" w:cs="仿宋_GB2312"/>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超短波无线电监测一体化平台存储数据标准化改造</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cs="仿宋_GB2312"/>
                <w:sz w:val="24"/>
                <w:highlight w:val="none"/>
                <w:lang w:val="en-US" w:eastAsia="zh-CN"/>
              </w:rPr>
            </w:pPr>
            <w:r>
              <w:rPr>
                <w:rFonts w:hint="eastAsia" w:ascii="宋体" w:hAnsi="宋体" w:cs="仿宋_GB2312"/>
                <w:sz w:val="24"/>
                <w:highlight w:val="none"/>
                <w:lang w:val="en-US" w:eastAsia="zh-CN"/>
              </w:rPr>
              <w:t>1</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cs="仿宋_GB2312"/>
                <w:sz w:val="24"/>
                <w:highlight w:val="none"/>
                <w:lang w:val="en-US" w:eastAsia="zh-CN"/>
              </w:rPr>
            </w:pPr>
            <w:r>
              <w:rPr>
                <w:rFonts w:hint="eastAsia" w:ascii="宋体" w:hAnsi="宋体" w:cs="仿宋_GB2312"/>
                <w:sz w:val="24"/>
                <w:highlight w:val="none"/>
                <w:lang w:val="en-US" w:eastAsia="zh-CN"/>
              </w:rPr>
              <w:t>项</w:t>
            </w: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sz w:val="24"/>
                <w:highlight w:val="none"/>
              </w:rPr>
            </w:pPr>
            <w:r>
              <w:rPr>
                <w:rFonts w:hint="eastAsia" w:ascii="宋体" w:hAnsi="宋体" w:cs="仿宋_GB2312"/>
                <w:sz w:val="24"/>
                <w:highlight w:val="none"/>
              </w:rPr>
              <w:t>合计金额大写：人民币</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lang w:val="en-US" w:eastAsia="zh-CN"/>
              </w:rPr>
              <w:t>¥</w:t>
            </w:r>
            <w:r>
              <w:rPr>
                <w:rFonts w:hint="eastAsia" w:ascii="宋体" w:hAnsi="宋体" w:cs="仿宋_GB2312"/>
                <w:sz w:val="24"/>
                <w:highlight w:val="none"/>
                <w:u w:val="single"/>
              </w:rPr>
              <w:t xml:space="preserve">           </w:t>
            </w:r>
            <w:r>
              <w:rPr>
                <w:rFonts w:hint="eastAsia" w:ascii="宋体" w:hAnsi="宋体" w:cs="仿宋_GB2312"/>
                <w:sz w:val="24"/>
                <w:highlight w:val="none"/>
              </w:rPr>
              <w:t>）</w:t>
            </w:r>
          </w:p>
        </w:tc>
      </w:tr>
    </w:tbl>
    <w:p>
      <w:pPr>
        <w:spacing w:line="360" w:lineRule="auto"/>
        <w:contextualSpacing/>
        <w:jc w:val="left"/>
        <w:rPr>
          <w:rFonts w:hint="eastAsia" w:ascii="宋体" w:hAnsi="宋体" w:cs="仿宋_GB2312"/>
          <w:szCs w:val="21"/>
          <w:highlight w:val="none"/>
        </w:rPr>
      </w:pPr>
      <w:r>
        <w:rPr>
          <w:rFonts w:hint="eastAsia" w:ascii="宋体" w:hAnsi="宋体" w:cs="仿宋_GB2312"/>
          <w:szCs w:val="21"/>
          <w:highlight w:val="none"/>
        </w:rPr>
        <w:t xml:space="preserve">注: </w:t>
      </w:r>
    </w:p>
    <w:p>
      <w:pPr>
        <w:spacing w:line="360" w:lineRule="auto"/>
        <w:ind w:firstLine="420" w:firstLineChars="200"/>
        <w:contextualSpacing/>
        <w:jc w:val="left"/>
        <w:rPr>
          <w:rStyle w:val="228"/>
          <w:rFonts w:hint="eastAsia"/>
          <w:szCs w:val="21"/>
          <w:highlight w:val="none"/>
        </w:rPr>
      </w:pPr>
      <w:r>
        <w:rPr>
          <w:rStyle w:val="228"/>
          <w:rFonts w:hint="eastAsia"/>
          <w:szCs w:val="21"/>
          <w:highlight w:val="none"/>
        </w:rPr>
        <w:t>1</w:t>
      </w:r>
      <w:r>
        <w:rPr>
          <w:rStyle w:val="228"/>
          <w:rFonts w:hint="eastAsia"/>
          <w:szCs w:val="21"/>
          <w:highlight w:val="none"/>
          <w:lang w:val="en-US" w:eastAsia="zh-CN"/>
        </w:rPr>
        <w:t>.</w:t>
      </w:r>
      <w:r>
        <w:rPr>
          <w:rStyle w:val="228"/>
          <w:rFonts w:hint="eastAsia"/>
          <w:szCs w:val="21"/>
          <w:highlight w:val="none"/>
        </w:rPr>
        <w:t>供应商的报价表必须加盖供应商公章（或电子签章）并由法定代表人或者委托代理人签字（或者电子签名），</w:t>
      </w:r>
      <w:r>
        <w:rPr>
          <w:rFonts w:hint="eastAsia" w:ascii="宋体" w:hAnsi="宋体" w:cs="仿宋_GB2312"/>
          <w:b/>
          <w:szCs w:val="21"/>
          <w:highlight w:val="none"/>
        </w:rPr>
        <w:t>否则其响应文件按无效处理</w:t>
      </w:r>
      <w:r>
        <w:rPr>
          <w:rStyle w:val="228"/>
          <w:rFonts w:hint="eastAsia"/>
          <w:szCs w:val="21"/>
          <w:highlight w:val="none"/>
        </w:rPr>
        <w:t>。</w:t>
      </w:r>
    </w:p>
    <w:p>
      <w:pPr>
        <w:spacing w:line="360" w:lineRule="auto"/>
        <w:ind w:firstLine="420" w:firstLineChars="200"/>
        <w:contextualSpacing/>
        <w:jc w:val="left"/>
        <w:rPr>
          <w:rFonts w:hint="eastAsia" w:ascii="宋体" w:hAnsi="宋体" w:cs="仿宋_GB2312"/>
          <w:b/>
          <w:szCs w:val="21"/>
          <w:highlight w:val="none"/>
        </w:rPr>
      </w:pPr>
      <w:r>
        <w:rPr>
          <w:rStyle w:val="228"/>
          <w:rFonts w:hint="eastAsia"/>
          <w:szCs w:val="21"/>
          <w:highlight w:val="none"/>
        </w:rPr>
        <w:t>2.报价一经涂改，应在涂改处加盖供应商公章（或电子签章）或者由法定代表人或者授权委托人签字（或者电子签名）</w:t>
      </w:r>
      <w:r>
        <w:rPr>
          <w:rFonts w:hint="eastAsia" w:ascii="宋体" w:hAnsi="宋体" w:cs="仿宋_GB2312"/>
          <w:b/>
          <w:szCs w:val="21"/>
          <w:highlight w:val="none"/>
        </w:rPr>
        <w:t>，否则其响应文件按无效处理。</w:t>
      </w:r>
    </w:p>
    <w:p>
      <w:pPr>
        <w:snapToGrid w:val="0"/>
        <w:spacing w:line="360" w:lineRule="auto"/>
        <w:ind w:firstLine="420" w:firstLineChars="200"/>
        <w:rPr>
          <w:rFonts w:hint="eastAsia" w:ascii="宋体" w:hAnsi="宋体"/>
          <w:b/>
          <w:szCs w:val="21"/>
          <w:highlight w:val="none"/>
        </w:rPr>
      </w:pPr>
      <w:r>
        <w:rPr>
          <w:rStyle w:val="228"/>
          <w:rFonts w:hint="eastAsia"/>
          <w:szCs w:val="21"/>
          <w:highlight w:val="none"/>
        </w:rPr>
        <w:t>3.如有多分标，按分标分别提供报价表</w:t>
      </w:r>
      <w:r>
        <w:rPr>
          <w:rFonts w:hint="eastAsia" w:ascii="宋体" w:hAnsi="宋体"/>
          <w:b w:val="0"/>
          <w:bCs/>
          <w:szCs w:val="21"/>
          <w:highlight w:val="none"/>
        </w:rPr>
        <w:t>。</w:t>
      </w:r>
    </w:p>
    <w:p>
      <w:pPr>
        <w:pStyle w:val="227"/>
        <w:ind w:firstLine="420"/>
        <w:rPr>
          <w:rFonts w:hint="eastAsia"/>
          <w:szCs w:val="21"/>
          <w:highlight w:val="none"/>
        </w:rPr>
      </w:pPr>
    </w:p>
    <w:p>
      <w:pPr>
        <w:spacing w:line="360" w:lineRule="auto"/>
        <w:ind w:right="-817" w:rightChars="-389"/>
        <w:contextualSpacing/>
        <w:rPr>
          <w:rFonts w:hint="eastAsia" w:ascii="宋体" w:hAnsi="宋体" w:cs="仿宋_GB2312"/>
          <w:szCs w:val="21"/>
          <w:highlight w:val="none"/>
        </w:rPr>
      </w:pPr>
    </w:p>
    <w:p>
      <w:pPr>
        <w:spacing w:line="360" w:lineRule="auto"/>
        <w:ind w:right="-817" w:rightChars="-389" w:firstLine="2310" w:firstLineChars="1100"/>
        <w:contextualSpacing/>
        <w:rPr>
          <w:rFonts w:hint="eastAsia" w:ascii="宋体" w:hAnsi="宋体" w:cs="仿宋_GB2312"/>
          <w:szCs w:val="21"/>
          <w:highlight w:val="none"/>
        </w:rPr>
      </w:pPr>
      <w:r>
        <w:rPr>
          <w:rFonts w:hint="eastAsia" w:ascii="宋体" w:hAnsi="宋体" w:cs="仿宋_GB2312"/>
          <w:szCs w:val="21"/>
          <w:highlight w:val="none"/>
        </w:rPr>
        <w:t xml:space="preserve">法定代表人或者委托代理人（签字或者电子签名）：                    </w:t>
      </w:r>
    </w:p>
    <w:p>
      <w:pPr>
        <w:spacing w:line="360" w:lineRule="auto"/>
        <w:ind w:right="-817" w:rightChars="-389" w:firstLine="2310" w:firstLineChars="1100"/>
        <w:contextualSpacing/>
        <w:rPr>
          <w:rFonts w:hint="eastAsia" w:ascii="宋体" w:hAnsi="宋体" w:cs="仿宋_GB2312"/>
          <w:szCs w:val="21"/>
          <w:highlight w:val="none"/>
        </w:rPr>
      </w:pPr>
      <w:r>
        <w:rPr>
          <w:rFonts w:hint="eastAsia" w:ascii="宋体" w:hAnsi="宋体" w:cs="仿宋_GB2312"/>
          <w:szCs w:val="21"/>
          <w:highlight w:val="none"/>
        </w:rPr>
        <w:t>供应商</w:t>
      </w:r>
      <w:r>
        <w:rPr>
          <w:rStyle w:val="228"/>
          <w:rFonts w:hint="eastAsia"/>
          <w:highlight w:val="none"/>
        </w:rPr>
        <w:t>（公章或者电子签章）</w:t>
      </w:r>
      <w:r>
        <w:rPr>
          <w:rFonts w:hint="eastAsia" w:ascii="宋体" w:hAnsi="宋体" w:cs="仿宋_GB2312"/>
          <w:szCs w:val="21"/>
          <w:highlight w:val="none"/>
        </w:rPr>
        <w:t xml:space="preserve">：      </w:t>
      </w:r>
    </w:p>
    <w:p>
      <w:pPr>
        <w:spacing w:line="360" w:lineRule="auto"/>
        <w:ind w:right="-817" w:rightChars="-389" w:firstLine="3570" w:firstLineChars="1700"/>
        <w:contextualSpacing/>
        <w:rPr>
          <w:rFonts w:ascii="宋体" w:hAnsi="宋体" w:cs="仿宋_GB2312"/>
          <w:szCs w:val="21"/>
          <w:highlight w:val="none"/>
        </w:rPr>
      </w:pPr>
      <w:r>
        <w:rPr>
          <w:rFonts w:hint="eastAsia" w:ascii="宋体" w:hAnsi="宋体" w:cs="仿宋_GB2312"/>
          <w:szCs w:val="21"/>
          <w:highlight w:val="none"/>
        </w:rPr>
        <w:t>日期：   年   月   日</w:t>
      </w:r>
    </w:p>
    <w:p>
      <w:pPr>
        <w:spacing w:line="360" w:lineRule="auto"/>
        <w:ind w:right="420"/>
        <w:contextualSpacing/>
        <w:jc w:val="left"/>
        <w:outlineLvl w:val="1"/>
        <w:rPr>
          <w:rFonts w:hint="eastAsia" w:ascii="宋体" w:hAnsi="宋体"/>
          <w:b/>
          <w:sz w:val="32"/>
          <w:szCs w:val="32"/>
          <w:highlight w:val="none"/>
        </w:rPr>
      </w:pPr>
      <w:r>
        <w:rPr>
          <w:rStyle w:val="228"/>
          <w:highlight w:val="none"/>
        </w:rPr>
        <w:br w:type="page"/>
      </w:r>
      <w:r>
        <w:rPr>
          <w:rFonts w:hint="eastAsia" w:ascii="宋体" w:hAnsi="宋体"/>
          <w:b/>
          <w:bCs/>
          <w:sz w:val="32"/>
          <w:szCs w:val="32"/>
          <w:highlight w:val="none"/>
        </w:rPr>
        <w:t>三、</w:t>
      </w:r>
      <w:r>
        <w:rPr>
          <w:rFonts w:hint="eastAsia" w:ascii="宋体" w:hAnsi="宋体"/>
          <w:b/>
          <w:sz w:val="32"/>
          <w:szCs w:val="32"/>
          <w:highlight w:val="none"/>
        </w:rPr>
        <w:t xml:space="preserve">商务技术文件格式 </w:t>
      </w:r>
    </w:p>
    <w:p>
      <w:pPr>
        <w:snapToGrid w:val="0"/>
        <w:spacing w:before="120" w:beforeLines="50" w:after="50" w:line="360" w:lineRule="auto"/>
        <w:jc w:val="left"/>
        <w:outlineLvl w:val="2"/>
        <w:rPr>
          <w:rFonts w:ascii="宋体" w:hAnsi="宋体"/>
          <w:b/>
          <w:sz w:val="32"/>
          <w:szCs w:val="32"/>
          <w:highlight w:val="none"/>
        </w:rPr>
      </w:pPr>
      <w:r>
        <w:rPr>
          <w:rFonts w:hint="eastAsia" w:ascii="宋体" w:hAnsi="宋体"/>
          <w:b/>
          <w:sz w:val="32"/>
          <w:szCs w:val="32"/>
          <w:highlight w:val="none"/>
        </w:rPr>
        <w:t>1.商务技术文件封面格式</w:t>
      </w:r>
    </w:p>
    <w:p>
      <w:pPr>
        <w:snapToGrid w:val="0"/>
        <w:spacing w:before="120" w:beforeLines="50" w:after="50"/>
        <w:rPr>
          <w:rStyle w:val="228"/>
          <w:rFonts w:hint="eastAsia"/>
          <w:highlight w:val="none"/>
        </w:rPr>
      </w:pPr>
      <w:r>
        <w:rPr>
          <w:rStyle w:val="228"/>
          <w:rFonts w:hint="eastAsia"/>
          <w:highlight w:val="none"/>
        </w:rPr>
        <w:t xml:space="preserve">                                                    </w:t>
      </w:r>
    </w:p>
    <w:p>
      <w:pPr>
        <w:snapToGrid w:val="0"/>
        <w:spacing w:before="120" w:beforeLines="50" w:after="50"/>
        <w:jc w:val="center"/>
        <w:rPr>
          <w:rStyle w:val="228"/>
          <w:rFonts w:hint="eastAsia"/>
          <w:highlight w:val="none"/>
        </w:rPr>
      </w:pPr>
      <w:r>
        <w:rPr>
          <w:rFonts w:hint="eastAsia" w:ascii="宋体" w:hAnsi="宋体"/>
          <w:sz w:val="44"/>
          <w:szCs w:val="44"/>
          <w:highlight w:val="none"/>
        </w:rPr>
        <w:t>电 子 响 应 文 件</w:t>
      </w:r>
    </w:p>
    <w:p>
      <w:pPr>
        <w:snapToGrid w:val="0"/>
        <w:spacing w:before="120" w:beforeLines="50" w:after="50"/>
        <w:rPr>
          <w:rFonts w:hint="eastAsia" w:ascii="宋体" w:hAnsi="宋体"/>
          <w:sz w:val="24"/>
          <w:szCs w:val="20"/>
          <w:highlight w:val="none"/>
        </w:rPr>
      </w:pPr>
    </w:p>
    <w:p>
      <w:pPr>
        <w:snapToGrid w:val="0"/>
        <w:spacing w:before="120" w:beforeLines="50" w:after="50"/>
        <w:rPr>
          <w:rFonts w:hint="eastAsia" w:ascii="宋体" w:hAnsi="宋体"/>
          <w:sz w:val="24"/>
          <w:szCs w:val="20"/>
          <w:highlight w:val="none"/>
        </w:rPr>
      </w:pPr>
    </w:p>
    <w:p>
      <w:pPr>
        <w:snapToGrid w:val="0"/>
        <w:spacing w:before="120" w:beforeLines="50" w:after="50"/>
        <w:jc w:val="center"/>
        <w:rPr>
          <w:rFonts w:hint="eastAsia" w:ascii="宋体" w:hAnsi="宋体" w:cs="方正小标宋简体"/>
          <w:bCs/>
          <w:sz w:val="44"/>
          <w:szCs w:val="44"/>
          <w:highlight w:val="none"/>
        </w:rPr>
      </w:pPr>
      <w:r>
        <w:rPr>
          <w:rFonts w:hint="eastAsia" w:ascii="宋体" w:hAnsi="宋体" w:cs="方正小标宋简体"/>
          <w:bCs/>
          <w:sz w:val="44"/>
          <w:szCs w:val="44"/>
          <w:highlight w:val="none"/>
        </w:rPr>
        <w:t>商  务  技  术  文  件</w:t>
      </w: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rPr>
          <w:rFonts w:hint="eastAsia" w:ascii="宋体" w:hAnsi="宋体"/>
          <w:bCs/>
          <w:sz w:val="24"/>
          <w:szCs w:val="20"/>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pPr>
        <w:snapToGrid w:val="0"/>
        <w:spacing w:before="120" w:beforeLines="50" w:after="50"/>
        <w:ind w:firstLine="720" w:firstLineChars="225"/>
        <w:rPr>
          <w:rFonts w:hint="eastAsia" w:ascii="宋体" w:hAnsi="宋体" w:cs="仿宋_GB2312"/>
          <w:bCs/>
          <w:sz w:val="32"/>
          <w:szCs w:val="32"/>
          <w:highlight w:val="none"/>
        </w:rPr>
      </w:pP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highlight w:val="none"/>
        </w:rPr>
      </w:pPr>
    </w:p>
    <w:p>
      <w:pPr>
        <w:pStyle w:val="10"/>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pPr>
        <w:pStyle w:val="10"/>
        <w:snapToGrid w:val="0"/>
        <w:spacing w:before="50" w:after="50"/>
        <w:ind w:firstLine="640" w:firstLineChars="200"/>
        <w:rPr>
          <w:rFonts w:hint="eastAsia" w:ascii="宋体" w:hAnsi="宋体" w:cs="仿宋_GB2312"/>
          <w:bCs/>
          <w:sz w:val="32"/>
          <w:szCs w:val="32"/>
          <w:highlight w:val="none"/>
        </w:rPr>
      </w:pPr>
    </w:p>
    <w:p>
      <w:pPr>
        <w:pStyle w:val="10"/>
        <w:snapToGrid w:val="0"/>
        <w:spacing w:before="50" w:after="50"/>
        <w:ind w:firstLine="720" w:firstLineChars="225"/>
        <w:rPr>
          <w:rFonts w:hint="eastAsia" w:ascii="宋体" w:hAnsi="宋体" w:cs="仿宋_GB2312"/>
          <w:bCs/>
          <w:sz w:val="32"/>
          <w:szCs w:val="32"/>
          <w:highlight w:val="none"/>
        </w:rPr>
      </w:pPr>
    </w:p>
    <w:p>
      <w:pPr>
        <w:pStyle w:val="10"/>
        <w:snapToGrid w:val="0"/>
        <w:spacing w:before="50" w:after="50"/>
        <w:ind w:firstLine="0"/>
        <w:rPr>
          <w:rFonts w:hint="eastAsia" w:ascii="宋体" w:hAnsi="宋体" w:cs="仿宋_GB2312"/>
          <w:bCs/>
          <w:sz w:val="32"/>
          <w:szCs w:val="32"/>
          <w:highlight w:val="none"/>
        </w:rPr>
      </w:pPr>
    </w:p>
    <w:p>
      <w:pPr>
        <w:pStyle w:val="10"/>
        <w:snapToGrid w:val="0"/>
        <w:spacing w:before="50" w:after="50"/>
        <w:ind w:firstLine="1280" w:firstLineChars="400"/>
        <w:rPr>
          <w:rFonts w:hint="eastAsia" w:ascii="宋体" w:hAnsi="宋体" w:cs="仿宋_GB2312"/>
          <w:bCs/>
          <w:sz w:val="32"/>
          <w:szCs w:val="32"/>
          <w:highlight w:val="none"/>
        </w:rPr>
      </w:pPr>
    </w:p>
    <w:p>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pPr>
        <w:snapToGrid w:val="0"/>
        <w:spacing w:before="120" w:beforeLines="50" w:after="50" w:line="360" w:lineRule="auto"/>
        <w:ind w:right="480" w:firstLine="210" w:firstLineChars="100"/>
        <w:jc w:val="left"/>
        <w:outlineLvl w:val="2"/>
        <w:rPr>
          <w:rFonts w:hint="eastAsia" w:ascii="宋体" w:hAnsi="宋体"/>
          <w:b/>
          <w:bCs/>
          <w:sz w:val="24"/>
          <w:highlight w:val="none"/>
        </w:rPr>
      </w:pPr>
      <w:r>
        <w:rPr>
          <w:rStyle w:val="228"/>
          <w:highlight w:val="none"/>
        </w:rPr>
        <w:br w:type="page"/>
      </w:r>
      <w:r>
        <w:rPr>
          <w:rFonts w:hint="eastAsia" w:ascii="宋体" w:hAnsi="宋体"/>
          <w:b/>
          <w:bCs/>
          <w:sz w:val="32"/>
          <w:szCs w:val="32"/>
          <w:highlight w:val="none"/>
        </w:rPr>
        <w:t>2.商务技术文件目录</w:t>
      </w:r>
    </w:p>
    <w:p>
      <w:pPr>
        <w:snapToGrid w:val="0"/>
        <w:spacing w:before="120" w:beforeLines="50" w:after="50" w:line="360" w:lineRule="auto"/>
        <w:ind w:firstLine="480" w:firstLineChars="200"/>
        <w:rPr>
          <w:rFonts w:ascii="宋体" w:hAnsi="宋体"/>
          <w:sz w:val="24"/>
          <w:highlight w:val="none"/>
        </w:rPr>
      </w:pPr>
      <w:r>
        <w:rPr>
          <w:rFonts w:hint="eastAsia" w:ascii="宋体" w:hAnsi="宋体"/>
          <w:sz w:val="24"/>
          <w:highlight w:val="none"/>
        </w:rPr>
        <w:t>根据磋商文件规定及供应商提供的材料自行编写目录（部分格式后附）。</w:t>
      </w:r>
    </w:p>
    <w:p>
      <w:pPr>
        <w:spacing w:line="400" w:lineRule="exact"/>
        <w:rPr>
          <w:rFonts w:hint="eastAsia" w:ascii="宋体" w:hAnsi="宋体" w:cs="仿宋_GB2312"/>
          <w:sz w:val="24"/>
          <w:highlight w:val="none"/>
        </w:rPr>
      </w:pPr>
    </w:p>
    <w:p>
      <w:pPr>
        <w:spacing w:line="520" w:lineRule="exact"/>
        <w:jc w:val="center"/>
        <w:outlineLvl w:val="2"/>
        <w:rPr>
          <w:rFonts w:hint="eastAsia" w:ascii="宋体" w:hAnsi="宋体" w:cs="仿宋_GB2312"/>
          <w:sz w:val="32"/>
          <w:szCs w:val="32"/>
          <w:highlight w:val="none"/>
        </w:rPr>
      </w:pPr>
      <w:r>
        <w:rPr>
          <w:rFonts w:hint="eastAsia" w:ascii="宋体" w:hAnsi="宋体" w:cs="方正小标宋简体"/>
          <w:sz w:val="44"/>
          <w:szCs w:val="44"/>
          <w:highlight w:val="none"/>
        </w:rPr>
        <w:br w:type="page"/>
      </w:r>
      <w:r>
        <w:rPr>
          <w:rFonts w:hint="eastAsia" w:ascii="宋体" w:hAnsi="宋体" w:cs="方正小标宋简体"/>
          <w:sz w:val="44"/>
          <w:szCs w:val="44"/>
          <w:highlight w:val="none"/>
        </w:rPr>
        <w:t>无串通竞标行为的承诺函</w:t>
      </w:r>
    </w:p>
    <w:p>
      <w:pPr>
        <w:spacing w:line="360" w:lineRule="auto"/>
        <w:ind w:firstLine="640" w:firstLineChars="200"/>
        <w:contextualSpacing/>
        <w:rPr>
          <w:rFonts w:hint="eastAsia" w:ascii="宋体" w:hAnsi="宋体" w:cs="仿宋_GB2312"/>
          <w:sz w:val="32"/>
          <w:szCs w:val="32"/>
          <w:highlight w:val="none"/>
        </w:rPr>
      </w:pP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pPr>
        <w:pStyle w:val="227"/>
        <w:ind w:firstLine="420"/>
        <w:rPr>
          <w:rFonts w:hint="eastAsia"/>
          <w:highlight w:val="none"/>
        </w:rPr>
      </w:pPr>
      <w:r>
        <w:rPr>
          <w:rFonts w:hint="eastAsia"/>
          <w:highlight w:val="none"/>
        </w:rPr>
        <w:t xml:space="preserve">1.不同供应商的响应文件由同一单位或者个人编制或者不同供应商报名的IP地址一致的；或者编制标书硬件设备CPU编号、硬盘编号、网卡地址一致的情况； </w:t>
      </w:r>
    </w:p>
    <w:p>
      <w:pPr>
        <w:pStyle w:val="227"/>
        <w:ind w:firstLine="420"/>
        <w:rPr>
          <w:rFonts w:hint="eastAsia"/>
          <w:highlight w:val="none"/>
        </w:rPr>
      </w:pPr>
      <w:r>
        <w:rPr>
          <w:rFonts w:hint="eastAsia"/>
          <w:highlight w:val="none"/>
        </w:rPr>
        <w:t>2.不同供应商委托同一单位或者个人办理竞标事宜；</w:t>
      </w:r>
    </w:p>
    <w:p>
      <w:pPr>
        <w:pStyle w:val="227"/>
        <w:ind w:firstLine="420"/>
        <w:rPr>
          <w:rFonts w:hint="eastAsia"/>
          <w:highlight w:val="none"/>
        </w:rPr>
      </w:pPr>
      <w:r>
        <w:rPr>
          <w:rFonts w:hint="eastAsia"/>
          <w:highlight w:val="none"/>
        </w:rPr>
        <w:t>3.不同供应商的响应文件载明的项目管理员为同一个人；</w:t>
      </w:r>
    </w:p>
    <w:p>
      <w:pPr>
        <w:spacing w:line="360" w:lineRule="auto"/>
        <w:ind w:firstLine="420" w:firstLineChars="200"/>
        <w:contextualSpacing/>
        <w:rPr>
          <w:rStyle w:val="228"/>
          <w:rFonts w:hint="eastAsia"/>
          <w:highlight w:val="none"/>
        </w:rPr>
      </w:pPr>
      <w:r>
        <w:rPr>
          <w:rStyle w:val="228"/>
          <w:rFonts w:hint="eastAsia"/>
          <w:highlight w:val="none"/>
        </w:rPr>
        <w:t>4.不</w:t>
      </w:r>
      <w:r>
        <w:rPr>
          <w:rFonts w:hint="eastAsia" w:ascii="宋体" w:hAnsi="宋体" w:cs="仿宋_GB2312"/>
          <w:spacing w:val="-6"/>
          <w:sz w:val="24"/>
          <w:highlight w:val="none"/>
        </w:rPr>
        <w:t>同供应商的响应文件异常一致或者竞标报价呈规律性差异；</w:t>
      </w:r>
    </w:p>
    <w:p>
      <w:pPr>
        <w:pStyle w:val="227"/>
        <w:ind w:firstLine="420"/>
        <w:rPr>
          <w:rFonts w:hint="eastAsia"/>
          <w:highlight w:val="none"/>
        </w:rPr>
      </w:pPr>
      <w:r>
        <w:rPr>
          <w:rFonts w:hint="eastAsia"/>
          <w:highlight w:val="none"/>
        </w:rPr>
        <w:t>5.不同供应商的响应文件相互混装；</w:t>
      </w:r>
    </w:p>
    <w:p>
      <w:pPr>
        <w:pStyle w:val="227"/>
        <w:ind w:firstLine="420"/>
        <w:rPr>
          <w:rFonts w:hint="eastAsia"/>
          <w:highlight w:val="none"/>
        </w:rPr>
      </w:pPr>
      <w:r>
        <w:rPr>
          <w:rFonts w:hint="eastAsia"/>
          <w:highlight w:val="none"/>
        </w:rPr>
        <w:t>6.不同供应商的磋商保证金从同一单位或者个人账户转出。</w:t>
      </w: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pPr>
        <w:pStyle w:val="227"/>
        <w:ind w:firstLine="420"/>
        <w:rPr>
          <w:rFonts w:hint="eastAsia"/>
          <w:highlight w:val="none"/>
        </w:rPr>
      </w:pPr>
      <w:r>
        <w:rPr>
          <w:rFonts w:hint="eastAsia"/>
          <w:highlight w:val="none"/>
        </w:rPr>
        <w:t>1.供应商直接或者间接从采购人或者采购代理机构处获得其他供应商的相关信息并修改其响应文件；</w:t>
      </w:r>
    </w:p>
    <w:p>
      <w:pPr>
        <w:pStyle w:val="227"/>
        <w:ind w:firstLine="420"/>
        <w:rPr>
          <w:rFonts w:hint="eastAsia"/>
          <w:highlight w:val="none"/>
        </w:rPr>
      </w:pPr>
      <w:r>
        <w:rPr>
          <w:rFonts w:hint="eastAsia"/>
          <w:highlight w:val="none"/>
        </w:rPr>
        <w:t>2.供应商按照采购人或者采购代理机构的授意撤换、修改响应文件；</w:t>
      </w:r>
    </w:p>
    <w:p>
      <w:pPr>
        <w:spacing w:line="360" w:lineRule="auto"/>
        <w:ind w:firstLine="420" w:firstLineChars="200"/>
        <w:contextualSpacing/>
        <w:rPr>
          <w:rStyle w:val="228"/>
          <w:rFonts w:hint="eastAsia"/>
          <w:highlight w:val="none"/>
        </w:rPr>
      </w:pPr>
      <w:r>
        <w:rPr>
          <w:rStyle w:val="228"/>
          <w:rFonts w:hint="eastAsia"/>
          <w:highlight w:val="none"/>
        </w:rPr>
        <w:t>3.供</w:t>
      </w:r>
      <w:r>
        <w:rPr>
          <w:rFonts w:hint="eastAsia" w:ascii="宋体" w:hAnsi="宋体" w:cs="仿宋_GB2312"/>
          <w:spacing w:val="-6"/>
          <w:sz w:val="24"/>
          <w:highlight w:val="none"/>
        </w:rPr>
        <w:t>应商之间协商报价、技术方案等响应文件的实质性内容；</w:t>
      </w:r>
    </w:p>
    <w:p>
      <w:pPr>
        <w:pStyle w:val="227"/>
        <w:ind w:firstLine="420"/>
        <w:rPr>
          <w:rFonts w:hint="eastAsia"/>
          <w:highlight w:val="none"/>
        </w:rPr>
      </w:pPr>
      <w:r>
        <w:rPr>
          <w:rFonts w:hint="eastAsia"/>
          <w:highlight w:val="none"/>
        </w:rPr>
        <w:t>4.属于同一集团、协会、商会等组织成员的供应商按照该组织要求协同参加政府采购活动；</w:t>
      </w:r>
    </w:p>
    <w:p>
      <w:pPr>
        <w:pStyle w:val="227"/>
        <w:ind w:firstLine="420"/>
        <w:rPr>
          <w:rFonts w:hint="eastAsia"/>
          <w:highlight w:val="none"/>
        </w:rPr>
      </w:pPr>
      <w:r>
        <w:rPr>
          <w:rFonts w:hint="eastAsia"/>
          <w:highlight w:val="none"/>
        </w:rPr>
        <w:t>5.供应商之间事先约定一致抬高或者压低竞标报价，或者在竞争性磋商项目中事先约定轮流以高价位或者低价位成交，或者事先约定由某一特定供应商成交，然后再参加竞标；</w:t>
      </w:r>
    </w:p>
    <w:p>
      <w:pPr>
        <w:pStyle w:val="227"/>
        <w:ind w:firstLine="420"/>
        <w:rPr>
          <w:rFonts w:hint="eastAsia"/>
          <w:highlight w:val="none"/>
        </w:rPr>
      </w:pPr>
      <w:r>
        <w:rPr>
          <w:rFonts w:hint="eastAsia"/>
          <w:highlight w:val="none"/>
        </w:rPr>
        <w:t>6.供应商之间商定部分供应商放弃参加政府采购活动或者放弃成交；</w:t>
      </w:r>
    </w:p>
    <w:p>
      <w:pPr>
        <w:spacing w:line="360" w:lineRule="auto"/>
        <w:ind w:firstLine="420" w:firstLineChars="200"/>
        <w:contextualSpacing/>
        <w:rPr>
          <w:rStyle w:val="228"/>
          <w:rFonts w:hint="eastAsia"/>
          <w:highlight w:val="none"/>
        </w:rPr>
      </w:pPr>
      <w:r>
        <w:rPr>
          <w:rStyle w:val="228"/>
          <w:rFonts w:hint="eastAsia"/>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pPr>
        <w:pStyle w:val="227"/>
        <w:ind w:firstLine="420"/>
        <w:rPr>
          <w:rFonts w:hint="eastAsia"/>
          <w:highlight w:val="none"/>
        </w:rPr>
      </w:pPr>
    </w:p>
    <w:p>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sz w:val="24"/>
          <w:highlight w:val="none"/>
        </w:rPr>
      </w:pPr>
    </w:p>
    <w:p>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供应商（公章或者电子签章）：</w:t>
      </w:r>
    </w:p>
    <w:p>
      <w:pPr>
        <w:spacing w:line="360" w:lineRule="auto"/>
        <w:ind w:firstLine="420" w:firstLineChars="200"/>
        <w:contextualSpacing/>
        <w:jc w:val="center"/>
        <w:rPr>
          <w:rStyle w:val="228"/>
          <w:rFonts w:hint="eastAsia"/>
          <w:highlight w:val="none"/>
        </w:rPr>
      </w:pPr>
      <w:r>
        <w:rPr>
          <w:rStyle w:val="228"/>
          <w:rFonts w:hint="eastAsia"/>
          <w:highlight w:val="none"/>
        </w:rPr>
        <w:t xml:space="preserve">                               年   月   日</w:t>
      </w:r>
    </w:p>
    <w:p>
      <w:pPr>
        <w:spacing w:line="520" w:lineRule="exact"/>
        <w:jc w:val="center"/>
        <w:outlineLvl w:val="2"/>
        <w:rPr>
          <w:rFonts w:hint="eastAsia" w:ascii="宋体" w:hAnsi="宋体" w:cs="仿宋_GB2312"/>
          <w:sz w:val="32"/>
          <w:szCs w:val="32"/>
          <w:highlight w:val="none"/>
        </w:rPr>
      </w:pPr>
      <w:r>
        <w:rPr>
          <w:rFonts w:hint="eastAsia" w:ascii="宋体" w:hAnsi="宋体" w:cs="方正小标宋简体"/>
          <w:bCs/>
          <w:sz w:val="44"/>
          <w:szCs w:val="44"/>
          <w:highlight w:val="none"/>
        </w:rPr>
        <w:br w:type="page"/>
      </w:r>
      <w:r>
        <w:rPr>
          <w:rFonts w:hint="eastAsia" w:ascii="宋体" w:hAnsi="宋体" w:cs="方正小标宋简体"/>
          <w:bCs/>
          <w:sz w:val="44"/>
          <w:szCs w:val="44"/>
          <w:highlight w:val="none"/>
        </w:rPr>
        <w:t>法定代表人证明书</w:t>
      </w:r>
    </w:p>
    <w:p>
      <w:pPr>
        <w:spacing w:line="360" w:lineRule="auto"/>
        <w:ind w:left="540"/>
        <w:contextualSpacing/>
        <w:rPr>
          <w:rFonts w:hint="eastAsia" w:ascii="宋体" w:hAnsi="宋体" w:cs="仿宋_GB2312"/>
          <w:sz w:val="32"/>
          <w:szCs w:val="32"/>
          <w:highlight w:val="none"/>
        </w:rPr>
      </w:pPr>
    </w:p>
    <w:p>
      <w:pPr>
        <w:spacing w:line="360" w:lineRule="auto"/>
        <w:ind w:left="540"/>
        <w:contextualSpacing/>
        <w:rPr>
          <w:rStyle w:val="228"/>
          <w:rFonts w:hint="eastAsia"/>
          <w:highlight w:val="none"/>
        </w:rPr>
      </w:pPr>
      <w:r>
        <w:rPr>
          <w:rStyle w:val="228"/>
          <w:rFonts w:hint="eastAsia"/>
          <w:highlight w:val="none"/>
        </w:rPr>
        <w:t xml:space="preserve">供应商名称：                                                        </w:t>
      </w:r>
    </w:p>
    <w:p>
      <w:pPr>
        <w:spacing w:line="360" w:lineRule="auto"/>
        <w:ind w:left="540"/>
        <w:contextualSpacing/>
        <w:rPr>
          <w:rStyle w:val="228"/>
          <w:rFonts w:hint="eastAsia"/>
          <w:highlight w:val="none"/>
        </w:rPr>
      </w:pPr>
      <w:r>
        <w:rPr>
          <w:rStyle w:val="228"/>
          <w:rFonts w:hint="eastAsia"/>
          <w:highlight w:val="none"/>
        </w:rPr>
        <w:t>地    址：</w:t>
      </w:r>
      <w:r>
        <w:rPr>
          <w:rFonts w:hint="eastAsia" w:ascii="宋体" w:hAnsi="宋体" w:cs="仿宋_GB2312"/>
          <w:sz w:val="24"/>
          <w:highlight w:val="none"/>
          <w:u w:val="single"/>
        </w:rPr>
        <w:t xml:space="preserve">                                                        </w:t>
      </w:r>
    </w:p>
    <w:p>
      <w:pPr>
        <w:spacing w:line="360" w:lineRule="auto"/>
        <w:ind w:left="540"/>
        <w:contextualSpacing/>
        <w:rPr>
          <w:rStyle w:val="228"/>
          <w:rFonts w:hint="eastAsia"/>
          <w:highlight w:val="none"/>
        </w:rPr>
      </w:pPr>
      <w:r>
        <w:rPr>
          <w:rStyle w:val="228"/>
          <w:rFonts w:hint="eastAsia"/>
          <w:highlight w:val="none"/>
        </w:rPr>
        <w:t>姓    名：</w:t>
      </w:r>
      <w:r>
        <w:rPr>
          <w:rFonts w:hint="eastAsia" w:ascii="宋体" w:hAnsi="宋体" w:cs="仿宋_GB2312"/>
          <w:sz w:val="24"/>
          <w:highlight w:val="none"/>
          <w:u w:val="single"/>
        </w:rPr>
        <w:t xml:space="preserve">                </w:t>
      </w:r>
      <w:r>
        <w:rPr>
          <w:rStyle w:val="228"/>
          <w:rFonts w:hint="eastAsia"/>
          <w:highlight w:val="none"/>
        </w:rPr>
        <w:t>性     别：</w:t>
      </w:r>
      <w:r>
        <w:rPr>
          <w:rFonts w:hint="eastAsia" w:ascii="宋体" w:hAnsi="宋体" w:cs="仿宋_GB2312"/>
          <w:sz w:val="24"/>
          <w:highlight w:val="none"/>
          <w:u w:val="single"/>
        </w:rPr>
        <w:t xml:space="preserve">                </w:t>
      </w:r>
    </w:p>
    <w:p>
      <w:pPr>
        <w:spacing w:line="360" w:lineRule="auto"/>
        <w:ind w:left="540"/>
        <w:contextualSpacing/>
        <w:rPr>
          <w:rFonts w:hint="eastAsia" w:ascii="宋体" w:hAnsi="宋体" w:cs="仿宋_GB2312"/>
          <w:sz w:val="24"/>
          <w:highlight w:val="none"/>
          <w:u w:val="single"/>
        </w:rPr>
      </w:pPr>
      <w:r>
        <w:rPr>
          <w:rStyle w:val="228"/>
          <w:rFonts w:hint="eastAsia"/>
          <w:highlight w:val="none"/>
        </w:rPr>
        <w:t>年    龄：</w:t>
      </w:r>
      <w:r>
        <w:rPr>
          <w:rFonts w:hint="eastAsia" w:ascii="宋体" w:hAnsi="宋体" w:cs="仿宋_GB2312"/>
          <w:sz w:val="24"/>
          <w:highlight w:val="none"/>
          <w:u w:val="single"/>
        </w:rPr>
        <w:t xml:space="preserve">                </w:t>
      </w:r>
      <w:r>
        <w:rPr>
          <w:rStyle w:val="228"/>
          <w:rFonts w:hint="eastAsia"/>
          <w:highlight w:val="none"/>
        </w:rPr>
        <w:t>职     务：</w:t>
      </w:r>
      <w:r>
        <w:rPr>
          <w:rFonts w:hint="eastAsia" w:ascii="宋体" w:hAnsi="宋体" w:cs="仿宋_GB2312"/>
          <w:sz w:val="24"/>
          <w:highlight w:val="none"/>
          <w:u w:val="single"/>
        </w:rPr>
        <w:t xml:space="preserve">                </w:t>
      </w:r>
    </w:p>
    <w:p>
      <w:pPr>
        <w:spacing w:line="360" w:lineRule="auto"/>
        <w:ind w:left="540"/>
        <w:contextualSpacing/>
        <w:rPr>
          <w:rStyle w:val="228"/>
          <w:rFonts w:hint="eastAsia"/>
          <w:highlight w:val="none"/>
        </w:rPr>
      </w:pPr>
      <w:r>
        <w:rPr>
          <w:rStyle w:val="228"/>
          <w:rFonts w:hint="eastAsia"/>
          <w:highlight w:val="none"/>
        </w:rPr>
        <w:t xml:space="preserve">身份证号码：                                        </w:t>
      </w:r>
    </w:p>
    <w:p>
      <w:pPr>
        <w:spacing w:line="360" w:lineRule="auto"/>
        <w:ind w:firstLine="420" w:firstLineChars="200"/>
        <w:contextualSpacing/>
        <w:rPr>
          <w:rStyle w:val="228"/>
          <w:rFonts w:hint="eastAsia"/>
          <w:highlight w:val="none"/>
        </w:rPr>
      </w:pPr>
      <w:r>
        <w:rPr>
          <w:rStyle w:val="228"/>
          <w:rFonts w:hint="eastAsia"/>
          <w:highlight w:val="none"/>
        </w:rPr>
        <w:t>系</w:t>
      </w:r>
      <w:r>
        <w:rPr>
          <w:rFonts w:hint="eastAsia" w:ascii="宋体" w:hAnsi="宋体" w:cs="仿宋_GB2312"/>
          <w:sz w:val="24"/>
          <w:highlight w:val="none"/>
          <w:u w:val="single"/>
        </w:rPr>
        <w:t>（供应商名称）</w:t>
      </w:r>
      <w:r>
        <w:rPr>
          <w:rStyle w:val="228"/>
          <w:rFonts w:hint="eastAsia"/>
          <w:highlight w:val="none"/>
        </w:rPr>
        <w:t>的法定代表人。</w:t>
      </w: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特此证明。</w:t>
      </w: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p>
    <w:p>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附件：法定代表人有效身份证正反面复印件</w:t>
      </w:r>
    </w:p>
    <w:p>
      <w:pPr>
        <w:spacing w:line="360" w:lineRule="auto"/>
        <w:ind w:left="540"/>
        <w:contextualSpacing/>
        <w:rPr>
          <w:rFonts w:hint="eastAsia" w:ascii="宋体" w:hAnsi="宋体" w:cs="仿宋_GB2312"/>
          <w:sz w:val="24"/>
          <w:highlight w:val="none"/>
        </w:rPr>
      </w:pPr>
    </w:p>
    <w:p>
      <w:pPr>
        <w:spacing w:line="360" w:lineRule="auto"/>
        <w:ind w:left="540"/>
        <w:contextualSpacing/>
        <w:jc w:val="right"/>
        <w:rPr>
          <w:rStyle w:val="228"/>
          <w:rFonts w:hint="eastAsia"/>
          <w:highlight w:val="none"/>
        </w:rPr>
      </w:pPr>
      <w:r>
        <w:rPr>
          <w:rStyle w:val="228"/>
          <w:rFonts w:hint="eastAsia"/>
          <w:highlight w:val="none"/>
        </w:rPr>
        <w:t xml:space="preserve">供应商（公章或者电子签章）：               </w:t>
      </w:r>
    </w:p>
    <w:p>
      <w:pPr>
        <w:spacing w:line="360" w:lineRule="auto"/>
        <w:ind w:firstLine="4080" w:firstLineChars="1700"/>
        <w:contextualSpacing/>
        <w:rPr>
          <w:rStyle w:val="228"/>
          <w:rFonts w:hint="eastAsia"/>
          <w:highlight w:val="none"/>
        </w:rPr>
      </w:pPr>
      <w:r>
        <w:rPr>
          <w:rFonts w:hint="eastAsia" w:ascii="宋体" w:hAnsi="宋体" w:cs="仿宋_GB2312"/>
          <w:sz w:val="24"/>
          <w:highlight w:val="none"/>
          <w:u w:val="single"/>
        </w:rPr>
        <w:t xml:space="preserve">     </w:t>
      </w:r>
      <w:r>
        <w:rPr>
          <w:rStyle w:val="228"/>
          <w:rFonts w:hint="eastAsia"/>
          <w:highlight w:val="none"/>
        </w:rPr>
        <w:t>年</w:t>
      </w:r>
      <w:r>
        <w:rPr>
          <w:rFonts w:hint="eastAsia" w:ascii="宋体" w:hAnsi="宋体" w:cs="仿宋_GB2312"/>
          <w:sz w:val="24"/>
          <w:highlight w:val="none"/>
          <w:u w:val="single"/>
        </w:rPr>
        <w:t xml:space="preserve">     </w:t>
      </w:r>
      <w:r>
        <w:rPr>
          <w:rStyle w:val="228"/>
          <w:rFonts w:hint="eastAsia"/>
          <w:highlight w:val="none"/>
        </w:rPr>
        <w:t>月</w:t>
      </w:r>
      <w:r>
        <w:rPr>
          <w:rFonts w:hint="eastAsia" w:ascii="宋体" w:hAnsi="宋体" w:cs="仿宋_GB2312"/>
          <w:sz w:val="24"/>
          <w:highlight w:val="none"/>
          <w:u w:val="single"/>
        </w:rPr>
        <w:t xml:space="preserve">     </w:t>
      </w:r>
      <w:r>
        <w:rPr>
          <w:rStyle w:val="228"/>
          <w:rFonts w:hint="eastAsia"/>
          <w:highlight w:val="none"/>
        </w:rPr>
        <w:t>日</w:t>
      </w:r>
    </w:p>
    <w:p>
      <w:pPr>
        <w:spacing w:line="360" w:lineRule="auto"/>
        <w:contextualSpacing/>
        <w:jc w:val="center"/>
        <w:rPr>
          <w:rFonts w:hint="eastAsia" w:ascii="宋体" w:hAnsi="宋体" w:cs="仿宋_GB2312"/>
          <w:b/>
          <w:sz w:val="24"/>
          <w:highlight w:val="none"/>
        </w:rPr>
      </w:pPr>
    </w:p>
    <w:p>
      <w:pPr>
        <w:spacing w:line="360" w:lineRule="auto"/>
        <w:contextualSpacing/>
        <w:jc w:val="left"/>
        <w:rPr>
          <w:rFonts w:hint="eastAsia" w:ascii="宋体" w:hAnsi="宋体" w:cs="仿宋_GB2312"/>
          <w:sz w:val="24"/>
          <w:highlight w:val="none"/>
        </w:rPr>
      </w:pPr>
    </w:p>
    <w:p>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注：自然人竞标的无需提供，联合体竞标的只需牵头人出具。</w:t>
      </w:r>
    </w:p>
    <w:p>
      <w:pPr>
        <w:adjustRightInd w:val="0"/>
        <w:snapToGrid w:val="0"/>
        <w:spacing w:line="300" w:lineRule="auto"/>
        <w:jc w:val="left"/>
        <w:rPr>
          <w:rFonts w:hint="eastAsia" w:ascii="宋体" w:hAnsi="宋体"/>
          <w:b/>
          <w:szCs w:val="21"/>
          <w:highlight w:val="none"/>
        </w:rPr>
      </w:pPr>
    </w:p>
    <w:p>
      <w:pPr>
        <w:spacing w:line="500" w:lineRule="exact"/>
        <w:jc w:val="center"/>
        <w:rPr>
          <w:rFonts w:hint="eastAsia" w:ascii="宋体" w:hAnsi="宋体" w:cs="方正小标宋简体"/>
          <w:sz w:val="44"/>
          <w:szCs w:val="44"/>
          <w:highlight w:val="none"/>
        </w:rPr>
      </w:pPr>
      <w:r>
        <w:rPr>
          <w:rFonts w:hint="eastAsia" w:ascii="宋体" w:hAnsi="宋体" w:cs="方正小标宋简体"/>
          <w:sz w:val="44"/>
          <w:szCs w:val="44"/>
          <w:highlight w:val="none"/>
        </w:rPr>
        <w:br w:type="page"/>
      </w:r>
      <w:r>
        <w:rPr>
          <w:rFonts w:ascii="宋体" w:hAnsi="宋体" w:cs="方正小标宋简体"/>
          <w:sz w:val="44"/>
          <w:szCs w:val="44"/>
          <w:highlight w:val="none"/>
        </w:rPr>
        <w:t xml:space="preserve"> </w:t>
      </w:r>
    </w:p>
    <w:p>
      <w:pPr>
        <w:spacing w:line="520" w:lineRule="exact"/>
        <w:jc w:val="center"/>
        <w:outlineLvl w:val="2"/>
        <w:rPr>
          <w:rFonts w:hint="eastAsia" w:ascii="宋体" w:hAnsi="宋体" w:cs="方正小标宋简体"/>
          <w:sz w:val="44"/>
          <w:szCs w:val="44"/>
          <w:highlight w:val="none"/>
        </w:rPr>
      </w:pPr>
      <w:bookmarkStart w:id="97" w:name="_Hlk65853643"/>
      <w:r>
        <w:rPr>
          <w:rFonts w:hint="eastAsia" w:ascii="宋体" w:hAnsi="宋体" w:cs="方正小标宋简体"/>
          <w:sz w:val="44"/>
          <w:szCs w:val="44"/>
          <w:highlight w:val="none"/>
        </w:rPr>
        <w:t>授权委托书</w:t>
      </w:r>
    </w:p>
    <w:p>
      <w:pPr>
        <w:spacing w:line="520" w:lineRule="exact"/>
        <w:jc w:val="center"/>
        <w:rPr>
          <w:rFonts w:hint="eastAsia" w:ascii="宋体" w:hAnsi="宋体" w:cs="方正小标宋简体"/>
          <w:sz w:val="32"/>
          <w:szCs w:val="32"/>
          <w:highlight w:val="none"/>
        </w:rPr>
      </w:pPr>
      <w:r>
        <w:rPr>
          <w:rFonts w:hint="eastAsia" w:ascii="宋体" w:hAnsi="宋体" w:cs="方正小标宋简体"/>
          <w:sz w:val="32"/>
          <w:szCs w:val="32"/>
          <w:highlight w:val="none"/>
        </w:rPr>
        <w:t>（非联合体竞标格式）</w:t>
      </w:r>
    </w:p>
    <w:p>
      <w:pPr>
        <w:spacing w:line="520" w:lineRule="exact"/>
        <w:jc w:val="center"/>
        <w:rPr>
          <w:rFonts w:hint="eastAsia" w:ascii="宋体" w:hAnsi="宋体" w:cs="方正小标宋简体"/>
          <w:sz w:val="44"/>
          <w:szCs w:val="44"/>
          <w:highlight w:val="none"/>
        </w:rPr>
      </w:pPr>
      <w:r>
        <w:rPr>
          <w:rFonts w:hint="eastAsia" w:ascii="宋体" w:hAnsi="宋体" w:cs="方正小标宋简体"/>
          <w:sz w:val="32"/>
          <w:szCs w:val="32"/>
          <w:highlight w:val="none"/>
        </w:rPr>
        <w:t>（如有委托时）</w:t>
      </w:r>
    </w:p>
    <w:p>
      <w:pPr>
        <w:spacing w:line="520" w:lineRule="exact"/>
        <w:rPr>
          <w:rFonts w:hint="eastAsia" w:ascii="宋体" w:hAnsi="宋体" w:cs="仿宋_GB2312"/>
          <w:sz w:val="32"/>
          <w:szCs w:val="32"/>
          <w:highlight w:val="none"/>
        </w:rPr>
      </w:pPr>
    </w:p>
    <w:p>
      <w:pPr>
        <w:spacing w:line="360" w:lineRule="auto"/>
        <w:rPr>
          <w:rStyle w:val="228"/>
          <w:rFonts w:hint="eastAsia"/>
          <w:highlight w:val="none"/>
        </w:rPr>
      </w:pPr>
      <w:r>
        <w:rPr>
          <w:rStyle w:val="228"/>
          <w:rFonts w:hint="eastAsia"/>
          <w:highlight w:val="none"/>
        </w:rPr>
        <w:t>致：</w:t>
      </w:r>
      <w:r>
        <w:rPr>
          <w:rFonts w:hint="eastAsia" w:ascii="宋体" w:hAnsi="宋体" w:cs="仿宋_GB2312"/>
          <w:sz w:val="24"/>
          <w:highlight w:val="none"/>
          <w:u w:val="single"/>
        </w:rPr>
        <w:t>（采购人名称）</w:t>
      </w:r>
      <w:r>
        <w:rPr>
          <w:rStyle w:val="228"/>
          <w:rFonts w:hint="eastAsia"/>
          <w:highlight w:val="none"/>
        </w:rPr>
        <w:t>：</w:t>
      </w:r>
    </w:p>
    <w:p>
      <w:pPr>
        <w:spacing w:line="360" w:lineRule="auto"/>
        <w:ind w:firstLine="420" w:firstLineChars="200"/>
        <w:rPr>
          <w:rStyle w:val="228"/>
          <w:rFonts w:hint="eastAsia"/>
          <w:highlight w:val="none"/>
        </w:rPr>
      </w:pPr>
      <w:r>
        <w:rPr>
          <w:rStyle w:val="228"/>
          <w:rFonts w:hint="eastAsia"/>
          <w:highlight w:val="none"/>
        </w:rPr>
        <w:t>我</w:t>
      </w:r>
      <w:r>
        <w:rPr>
          <w:rFonts w:hint="eastAsia" w:ascii="宋体" w:hAnsi="宋体" w:cs="仿宋_GB2312"/>
          <w:sz w:val="24"/>
          <w:highlight w:val="none"/>
          <w:u w:val="single"/>
        </w:rPr>
        <w:t xml:space="preserve">  （姓名）  </w:t>
      </w:r>
      <w:r>
        <w:rPr>
          <w:rStyle w:val="228"/>
          <w:rFonts w:hint="eastAsia"/>
          <w:highlight w:val="none"/>
        </w:rPr>
        <w:t>系</w:t>
      </w:r>
      <w:r>
        <w:rPr>
          <w:rFonts w:hint="eastAsia" w:ascii="宋体" w:hAnsi="宋体" w:cs="仿宋_GB2312"/>
          <w:sz w:val="24"/>
          <w:highlight w:val="none"/>
          <w:u w:val="single"/>
        </w:rPr>
        <w:t xml:space="preserve">  （供应商名称）  </w:t>
      </w:r>
      <w:r>
        <w:rPr>
          <w:rStyle w:val="228"/>
          <w:rFonts w:hint="eastAsia"/>
          <w:highlight w:val="none"/>
        </w:rPr>
        <w:t>的（</w:t>
      </w:r>
      <w:r>
        <w:rPr>
          <w:rFonts w:hint="eastAsia" w:ascii="宋体" w:hAnsi="宋体" w:cs="仿宋_GB2312"/>
          <w:sz w:val="24"/>
          <w:highlight w:val="none"/>
          <w:u w:val="single"/>
        </w:rPr>
        <w:sym w:font="Wingdings 2" w:char="00A3"/>
      </w:r>
      <w:r>
        <w:rPr>
          <w:rFonts w:hint="eastAsia" w:ascii="宋体" w:hAnsi="宋体" w:cs="仿宋_GB2312"/>
          <w:sz w:val="24"/>
          <w:highlight w:val="none"/>
          <w:u w:val="single"/>
        </w:rPr>
        <w:t>法定代表人/□负责人/□自然人本人</w:t>
      </w:r>
      <w:r>
        <w:rPr>
          <w:rStyle w:val="228"/>
          <w:rFonts w:hint="eastAsia"/>
          <w:highlight w:val="none"/>
        </w:rPr>
        <w:t>），现授权</w:t>
      </w:r>
      <w:r>
        <w:rPr>
          <w:rFonts w:hint="eastAsia" w:ascii="宋体" w:hAnsi="宋体" w:cs="仿宋_GB2312"/>
          <w:sz w:val="24"/>
          <w:highlight w:val="none"/>
          <w:u w:val="single"/>
        </w:rPr>
        <w:t xml:space="preserve"> （姓名） </w:t>
      </w:r>
      <w:r>
        <w:rPr>
          <w:rStyle w:val="228"/>
          <w:rFonts w:hint="eastAsia"/>
          <w:highlight w:val="none"/>
        </w:rPr>
        <w:t>以我方的名义参加</w:t>
      </w:r>
      <w:r>
        <w:rPr>
          <w:rFonts w:hint="eastAsia" w:ascii="宋体" w:hAnsi="宋体" w:cs="仿宋_GB2312"/>
          <w:sz w:val="24"/>
          <w:highlight w:val="none"/>
          <w:u w:val="single"/>
        </w:rPr>
        <w:t xml:space="preserve">              </w:t>
      </w:r>
      <w:r>
        <w:rPr>
          <w:rStyle w:val="228"/>
          <w:rFonts w:hint="eastAsia"/>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sz w:val="24"/>
          <w:highlight w:val="none"/>
        </w:rPr>
      </w:pPr>
      <w:r>
        <w:rPr>
          <w:rFonts w:hint="eastAsia" w:ascii="宋体" w:hAnsi="宋体" w:cs="仿宋_GB2312"/>
          <w:sz w:val="24"/>
          <w:highlight w:val="none"/>
        </w:rPr>
        <w:t xml:space="preserve">    我方对委托代理人的签字</w:t>
      </w:r>
      <w:r>
        <w:rPr>
          <w:rFonts w:hint="eastAsia" w:ascii="宋体" w:hAnsi="宋体"/>
          <w:sz w:val="24"/>
          <w:highlight w:val="none"/>
        </w:rPr>
        <w:t>或者电子签名</w:t>
      </w:r>
      <w:r>
        <w:rPr>
          <w:rFonts w:hint="eastAsia" w:ascii="宋体" w:hAnsi="宋体" w:cs="仿宋_GB2312"/>
          <w:sz w:val="24"/>
          <w:highlight w:val="none"/>
        </w:rPr>
        <w:t>事项负全部责任。</w:t>
      </w:r>
    </w:p>
    <w:p>
      <w:pPr>
        <w:pStyle w:val="227"/>
        <w:ind w:firstLine="420"/>
        <w:rPr>
          <w:rFonts w:hint="eastAsia"/>
          <w:highlight w:val="none"/>
        </w:rPr>
      </w:pPr>
      <w:r>
        <w:rPr>
          <w:rFonts w:hint="eastAsia"/>
          <w:highlight w:val="none"/>
        </w:rPr>
        <w:t>本授权书自签署之日起生效，在撤销授权的书面通知以前，本授权书一直有效。委托代理人在授权书有效期内签署的所有文件不因授权的撤销而失效。</w:t>
      </w:r>
    </w:p>
    <w:p>
      <w:pPr>
        <w:pStyle w:val="227"/>
        <w:ind w:firstLine="420"/>
        <w:rPr>
          <w:rFonts w:hint="eastAsia"/>
          <w:highlight w:val="none"/>
        </w:rPr>
      </w:pPr>
      <w:r>
        <w:rPr>
          <w:rFonts w:hint="eastAsia"/>
          <w:highlight w:val="none"/>
        </w:rPr>
        <w:t>委托代理人无转委托权，特此委托。</w:t>
      </w:r>
    </w:p>
    <w:p>
      <w:pPr>
        <w:pStyle w:val="227"/>
        <w:ind w:firstLine="420"/>
        <w:rPr>
          <w:rFonts w:hint="eastAsia"/>
          <w:highlight w:val="none"/>
        </w:rPr>
      </w:pPr>
      <w:r>
        <w:rPr>
          <w:rFonts w:hint="eastAsia"/>
          <w:highlight w:val="none"/>
        </w:rPr>
        <w:t>附：法定代表人身份证明书及委托代理人有效身份证正反面复印件</w:t>
      </w:r>
    </w:p>
    <w:p>
      <w:pPr>
        <w:spacing w:line="360" w:lineRule="auto"/>
        <w:rPr>
          <w:rFonts w:hint="eastAsia" w:ascii="宋体" w:hAnsi="宋体" w:cs="仿宋_GB2312"/>
          <w:sz w:val="24"/>
          <w:highlight w:val="none"/>
        </w:rPr>
      </w:pP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委托代理人（</w:t>
      </w:r>
      <w:r>
        <w:rPr>
          <w:rFonts w:hint="eastAsia" w:ascii="宋体" w:hAnsi="宋体"/>
          <w:sz w:val="24"/>
          <w:highlight w:val="none"/>
        </w:rPr>
        <w:t>签字或者电子签名</w:t>
      </w:r>
      <w:r>
        <w:rPr>
          <w:rFonts w:hint="eastAsia" w:ascii="宋体" w:hAnsi="宋体" w:cs="仿宋_GB2312"/>
          <w:sz w:val="24"/>
          <w:highlight w:val="none"/>
        </w:rPr>
        <w:t xml:space="preserve">）：     法定代表人（签字或者电子签名）：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委托代理人身份证号码：                              </w:t>
      </w:r>
    </w:p>
    <w:p>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w:t>
      </w:r>
    </w:p>
    <w:p>
      <w:pPr>
        <w:spacing w:line="360" w:lineRule="auto"/>
        <w:rPr>
          <w:rFonts w:hint="eastAsia" w:ascii="宋体" w:hAnsi="宋体" w:cs="仿宋_GB2312"/>
          <w:sz w:val="24"/>
          <w:highlight w:val="none"/>
        </w:rPr>
      </w:pPr>
      <w:r>
        <w:rPr>
          <w:rFonts w:hint="eastAsia" w:ascii="宋体" w:hAnsi="宋体" w:cs="仿宋_GB2312"/>
          <w:sz w:val="24"/>
          <w:highlight w:val="none"/>
        </w:rPr>
        <w:t xml:space="preserve">                         供应商（公章或者电子签章）：                      </w:t>
      </w:r>
    </w:p>
    <w:p>
      <w:pPr>
        <w:spacing w:line="360" w:lineRule="auto"/>
        <w:rPr>
          <w:rFonts w:hint="eastAsia" w:ascii="宋体" w:hAnsi="宋体" w:cs="仿宋_GB2312"/>
          <w:sz w:val="24"/>
          <w:highlight w:val="none"/>
        </w:rPr>
      </w:pPr>
      <w:r>
        <w:rPr>
          <w:rFonts w:hint="eastAsia" w:ascii="宋体" w:hAnsi="宋体" w:cs="仿宋_GB2312"/>
          <w:sz w:val="24"/>
          <w:highlight w:val="none"/>
        </w:rPr>
        <w:t xml:space="preserve">                                         年    月    日</w:t>
      </w:r>
    </w:p>
    <w:p>
      <w:pPr>
        <w:spacing w:line="360" w:lineRule="auto"/>
        <w:rPr>
          <w:rFonts w:hint="eastAsia" w:ascii="宋体" w:hAnsi="宋体" w:cs="仿宋_GB2312"/>
          <w:sz w:val="24"/>
          <w:highlight w:val="none"/>
        </w:rPr>
      </w:pPr>
    </w:p>
    <w:p>
      <w:pPr>
        <w:spacing w:line="360" w:lineRule="auto"/>
        <w:rPr>
          <w:rStyle w:val="228"/>
          <w:highlight w:val="none"/>
        </w:rPr>
      </w:pPr>
      <w:r>
        <w:rPr>
          <w:rStyle w:val="228"/>
          <w:rFonts w:hint="eastAsia"/>
          <w:highlight w:val="none"/>
        </w:rPr>
        <w:t>注：1. 法定代表人必须在授权委托书上签字或者电子签名，委托代理人必须在授权委托书上签字或者电子签名，</w:t>
      </w:r>
      <w:r>
        <w:rPr>
          <w:rFonts w:hint="eastAsia" w:ascii="宋体" w:hAnsi="宋体" w:cs="仿宋_GB2312"/>
          <w:b/>
          <w:sz w:val="24"/>
          <w:highlight w:val="none"/>
        </w:rPr>
        <w:t>否则其响应文件按无效响应处理。</w:t>
      </w:r>
    </w:p>
    <w:p>
      <w:pPr>
        <w:spacing w:line="360" w:lineRule="auto"/>
        <w:ind w:firstLine="480" w:firstLineChars="200"/>
        <w:jc w:val="left"/>
        <w:rPr>
          <w:rFonts w:hint="eastAsia" w:ascii="宋体" w:hAnsi="宋体" w:cs="仿宋_GB2312"/>
          <w:sz w:val="24"/>
          <w:highlight w:val="none"/>
        </w:rPr>
      </w:pPr>
      <w:r>
        <w:rPr>
          <w:rFonts w:ascii="宋体" w:hAnsi="宋体" w:cs="仿宋_GB2312"/>
          <w:sz w:val="24"/>
          <w:highlight w:val="none"/>
        </w:rPr>
        <w:t>2.</w:t>
      </w:r>
      <w:bookmarkStart w:id="98" w:name="_Hlk65853109"/>
      <w:bookmarkStart w:id="99" w:name="_Hlk65853542"/>
      <w:r>
        <w:rPr>
          <w:rFonts w:hint="eastAsia" w:ascii="宋体" w:hAnsi="宋体" w:cs="仿宋_GB2312"/>
          <w:sz w:val="24"/>
          <w:highlight w:val="none"/>
        </w:rPr>
        <w:t>法人、其他组织竞标时“我方”是指“我单位”，自然人竞标时“我方”是指“本人”。</w:t>
      </w:r>
      <w:bookmarkEnd w:id="98"/>
    </w:p>
    <w:bookmarkEnd w:id="99"/>
    <w:p>
      <w:pPr>
        <w:spacing w:line="360" w:lineRule="auto"/>
        <w:ind w:firstLine="420" w:firstLineChars="200"/>
        <w:jc w:val="left"/>
        <w:rPr>
          <w:rFonts w:hint="eastAsia" w:ascii="宋体" w:hAnsi="宋体" w:cs="仿宋_GB2312"/>
          <w:szCs w:val="21"/>
          <w:highlight w:val="none"/>
        </w:rPr>
      </w:pPr>
    </w:p>
    <w:p>
      <w:pPr>
        <w:spacing w:line="500" w:lineRule="exact"/>
        <w:rPr>
          <w:rFonts w:hint="eastAsia" w:ascii="宋体" w:hAnsi="宋体" w:cs="仿宋_GB2312"/>
          <w:spacing w:val="-11"/>
          <w:sz w:val="24"/>
          <w:highlight w:val="none"/>
        </w:rPr>
      </w:pPr>
      <w:r>
        <w:rPr>
          <w:rFonts w:hint="eastAsia" w:ascii="宋体" w:hAnsi="宋体" w:cs="仿宋_GB2312"/>
          <w:spacing w:val="-11"/>
          <w:sz w:val="24"/>
          <w:highlight w:val="none"/>
        </w:rPr>
        <w:t xml:space="preserve"> </w:t>
      </w:r>
    </w:p>
    <w:bookmarkEnd w:id="97"/>
    <w:p>
      <w:pPr>
        <w:jc w:val="center"/>
        <w:rPr>
          <w:rFonts w:ascii="宋体" w:hAnsi="宋体" w:cs="方正小标宋简体"/>
          <w:bCs/>
          <w:sz w:val="44"/>
          <w:szCs w:val="44"/>
          <w:highlight w:val="none"/>
        </w:rPr>
      </w:pPr>
      <w:r>
        <w:rPr>
          <w:rFonts w:ascii="宋体" w:hAnsi="宋体" w:cs="仿宋_GB2312"/>
          <w:sz w:val="32"/>
          <w:szCs w:val="32"/>
          <w:highlight w:val="none"/>
        </w:rPr>
        <w:br w:type="page"/>
      </w:r>
    </w:p>
    <w:p>
      <w:pPr>
        <w:spacing w:line="500" w:lineRule="exact"/>
        <w:jc w:val="center"/>
        <w:outlineLvl w:val="2"/>
        <w:rPr>
          <w:rFonts w:hint="eastAsia" w:ascii="宋体" w:hAnsi="宋体" w:cs="方正小标宋简体"/>
          <w:bCs/>
          <w:sz w:val="44"/>
          <w:szCs w:val="44"/>
          <w:highlight w:val="none"/>
        </w:rPr>
      </w:pPr>
      <w:r>
        <w:rPr>
          <w:rFonts w:hint="eastAsia" w:ascii="宋体" w:hAnsi="宋体" w:cs="方正小标宋简体"/>
          <w:bCs/>
          <w:sz w:val="44"/>
          <w:szCs w:val="44"/>
          <w:highlight w:val="none"/>
        </w:rPr>
        <w:t>商务要求偏离表格式</w:t>
      </w:r>
    </w:p>
    <w:p>
      <w:pPr>
        <w:spacing w:line="360" w:lineRule="auto"/>
        <w:contextualSpacing/>
        <w:jc w:val="left"/>
        <w:rPr>
          <w:rFonts w:hint="eastAsia" w:ascii="宋体" w:hAnsi="宋体"/>
          <w:sz w:val="24"/>
          <w:highlight w:val="none"/>
        </w:rPr>
      </w:pPr>
    </w:p>
    <w:p>
      <w:pPr>
        <w:spacing w:line="360" w:lineRule="auto"/>
        <w:contextualSpacing/>
        <w:rPr>
          <w:rStyle w:val="228"/>
          <w:rFonts w:hint="eastAsia"/>
          <w:highlight w:val="none"/>
        </w:rPr>
      </w:pPr>
      <w:r>
        <w:rPr>
          <w:rStyle w:val="228"/>
          <w:rFonts w:hint="eastAsia"/>
          <w:highlight w:val="none"/>
        </w:rPr>
        <w:t xml:space="preserve">采购项目编号：                 </w:t>
      </w:r>
    </w:p>
    <w:p>
      <w:pPr>
        <w:spacing w:line="360" w:lineRule="auto"/>
        <w:contextualSpacing/>
        <w:rPr>
          <w:rStyle w:val="228"/>
          <w:rFonts w:hint="eastAsia"/>
          <w:highlight w:val="none"/>
        </w:rPr>
      </w:pPr>
      <w:r>
        <w:rPr>
          <w:rStyle w:val="228"/>
          <w:rFonts w:hint="eastAsia"/>
          <w:highlight w:val="none"/>
        </w:rPr>
        <w:t xml:space="preserve">采购项目名称：                 </w:t>
      </w:r>
    </w:p>
    <w:p>
      <w:pPr>
        <w:spacing w:line="360" w:lineRule="auto"/>
        <w:contextualSpacing/>
        <w:rPr>
          <w:rFonts w:hint="eastAsia" w:ascii="宋体" w:hAnsi="宋体" w:cs="仿宋_GB2312"/>
          <w:sz w:val="24"/>
          <w:highlight w:val="none"/>
          <w:u w:val="single"/>
        </w:rPr>
      </w:pPr>
      <w:r>
        <w:rPr>
          <w:rStyle w:val="228"/>
          <w:rFonts w:hint="eastAsia"/>
          <w:highlight w:val="none"/>
        </w:rPr>
        <w:t>分标号：</w:t>
      </w:r>
      <w:r>
        <w:rPr>
          <w:rFonts w:hint="eastAsia" w:ascii="宋体" w:hAnsi="宋体" w:cs="仿宋_GB2312"/>
          <w:sz w:val="24"/>
          <w:highlight w:val="none"/>
          <w:u w:val="single"/>
        </w:rPr>
        <w:t xml:space="preserve">                       </w:t>
      </w:r>
    </w:p>
    <w:p>
      <w:pPr>
        <w:spacing w:line="360" w:lineRule="auto"/>
        <w:contextualSpacing/>
        <w:jc w:val="left"/>
        <w:rPr>
          <w:rFonts w:hint="eastAsia" w:ascii="宋体" w:hAnsi="宋体" w:cs="仿宋_GB2312"/>
          <w:sz w:val="24"/>
          <w:highlight w:val="none"/>
          <w:u w:val="single"/>
        </w:rPr>
      </w:pPr>
    </w:p>
    <w:tbl>
      <w:tblPr>
        <w:tblStyle w:val="4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037"/>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r>
              <w:rPr>
                <w:rFonts w:hint="eastAsia" w:ascii="宋体" w:hAnsi="宋体" w:cs="仿宋_GB2312"/>
                <w:sz w:val="24"/>
                <w:highlight w:val="none"/>
              </w:rPr>
              <w:t>项目</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r>
              <w:rPr>
                <w:rFonts w:hint="eastAsia" w:ascii="宋体" w:hAnsi="宋体" w:cs="仿宋_GB2312"/>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r>
              <w:rPr>
                <w:rFonts w:hint="eastAsia" w:ascii="宋体" w:hAnsi="宋体" w:cs="仿宋_GB2312"/>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r>
              <w:rPr>
                <w:rFonts w:hint="eastAsia" w:ascii="宋体" w:hAnsi="宋体" w:cs="仿宋_GB2312"/>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sz w:val="24"/>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sz w:val="24"/>
                <w:highlight w:val="none"/>
              </w:rPr>
            </w:pPr>
          </w:p>
        </w:tc>
      </w:tr>
    </w:tbl>
    <w:p>
      <w:pPr>
        <w:pStyle w:val="1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注：</w:t>
      </w:r>
    </w:p>
    <w:p>
      <w:pPr>
        <w:pStyle w:val="1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1. 说明：应对照磋商文件“第三章 采购需求”中的</w:t>
      </w:r>
      <w:r>
        <w:rPr>
          <w:rFonts w:hint="eastAsia" w:ascii="宋体" w:hAnsi="宋体"/>
          <w:kern w:val="0"/>
          <w:sz w:val="24"/>
          <w:szCs w:val="24"/>
          <w:highlight w:val="none"/>
          <w:lang w:eastAsia="zh-CN"/>
        </w:rPr>
        <w:t>“</w:t>
      </w:r>
      <w:r>
        <w:rPr>
          <w:rFonts w:hint="eastAsia" w:ascii="宋体" w:hAnsi="宋体"/>
          <w:kern w:val="0"/>
          <w:sz w:val="24"/>
          <w:szCs w:val="24"/>
          <w:highlight w:val="none"/>
        </w:rPr>
        <w:t>商务要求</w:t>
      </w:r>
      <w:r>
        <w:rPr>
          <w:rFonts w:hint="eastAsia" w:ascii="宋体" w:hAnsi="宋体"/>
          <w:kern w:val="0"/>
          <w:sz w:val="24"/>
          <w:szCs w:val="24"/>
          <w:highlight w:val="none"/>
          <w:lang w:eastAsia="zh-CN"/>
        </w:rPr>
        <w:t>”</w:t>
      </w:r>
      <w:r>
        <w:rPr>
          <w:rFonts w:hint="eastAsia" w:ascii="宋体" w:hAnsi="宋体"/>
          <w:kern w:val="0"/>
          <w:sz w:val="24"/>
          <w:szCs w:val="24"/>
          <w:highlight w:val="none"/>
        </w:rPr>
        <w:t>逐条作出明确响应，并作出偏离说明。</w:t>
      </w:r>
    </w:p>
    <w:p>
      <w:pPr>
        <w:spacing w:line="360" w:lineRule="auto"/>
        <w:contextualSpacing/>
        <w:jc w:val="left"/>
        <w:rPr>
          <w:rFonts w:hint="eastAsia" w:ascii="宋体" w:hAnsi="宋体" w:cs="仿宋_GB2312"/>
          <w:sz w:val="24"/>
          <w:highlight w:val="none"/>
          <w:u w:val="single"/>
        </w:rPr>
      </w:pPr>
      <w:r>
        <w:rPr>
          <w:rFonts w:hint="eastAsia" w:ascii="宋体" w:hAnsi="宋体"/>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sz w:val="24"/>
          <w:highlight w:val="none"/>
        </w:rPr>
      </w:pPr>
    </w:p>
    <w:p>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供应商（公章或者电子签章）：      </w:t>
      </w:r>
    </w:p>
    <w:p>
      <w:pPr>
        <w:spacing w:line="360" w:lineRule="auto"/>
        <w:ind w:right="-817" w:rightChars="-389" w:firstLine="3570" w:firstLineChars="1700"/>
        <w:contextualSpacing/>
        <w:rPr>
          <w:rStyle w:val="228"/>
          <w:rFonts w:hint="eastAsia"/>
          <w:highlight w:val="none"/>
        </w:rPr>
      </w:pPr>
      <w:r>
        <w:rPr>
          <w:rStyle w:val="228"/>
          <w:rFonts w:hint="eastAsia"/>
          <w:highlight w:val="none"/>
        </w:rPr>
        <w:t>日期：   年   月   日</w:t>
      </w:r>
    </w:p>
    <w:p>
      <w:pPr>
        <w:adjustRightInd w:val="0"/>
        <w:snapToGrid w:val="0"/>
        <w:spacing w:line="520" w:lineRule="exact"/>
        <w:rPr>
          <w:rFonts w:hint="eastAsia" w:ascii="宋体" w:hAnsi="宋体"/>
          <w:szCs w:val="21"/>
          <w:highlight w:val="none"/>
          <w:u w:val="single"/>
        </w:rPr>
      </w:pPr>
    </w:p>
    <w:p>
      <w:pPr>
        <w:adjustRightInd w:val="0"/>
        <w:snapToGrid w:val="0"/>
        <w:spacing w:line="300" w:lineRule="auto"/>
        <w:jc w:val="center"/>
        <w:outlineLvl w:val="2"/>
        <w:rPr>
          <w:rFonts w:hint="eastAsia" w:ascii="宋体" w:hAnsi="宋体" w:cs="方正小标宋简体"/>
          <w:bCs/>
          <w:sz w:val="44"/>
          <w:szCs w:val="44"/>
          <w:highlight w:val="none"/>
        </w:rPr>
      </w:pPr>
      <w:r>
        <w:rPr>
          <w:rFonts w:ascii="宋体" w:hAnsi="宋体" w:cs="方正小标宋简体"/>
          <w:bCs/>
          <w:sz w:val="44"/>
          <w:szCs w:val="44"/>
          <w:highlight w:val="none"/>
        </w:rPr>
        <w:br w:type="page"/>
      </w:r>
      <w:r>
        <w:rPr>
          <w:rFonts w:hint="eastAsia" w:ascii="宋体" w:hAnsi="宋体" w:cs="方正小标宋简体"/>
          <w:bCs/>
          <w:sz w:val="44"/>
          <w:szCs w:val="44"/>
          <w:highlight w:val="none"/>
        </w:rPr>
        <w:t>技术要求偏离表</w:t>
      </w:r>
    </w:p>
    <w:p>
      <w:pPr>
        <w:spacing w:line="520" w:lineRule="exact"/>
        <w:rPr>
          <w:rFonts w:hint="eastAsia" w:ascii="宋体" w:hAnsi="宋体" w:cs="仿宋_GB2312"/>
          <w:sz w:val="32"/>
          <w:szCs w:val="32"/>
          <w:highlight w:val="none"/>
        </w:rPr>
      </w:pPr>
    </w:p>
    <w:p>
      <w:pPr>
        <w:spacing w:line="360" w:lineRule="auto"/>
        <w:contextualSpacing/>
        <w:rPr>
          <w:rStyle w:val="228"/>
          <w:rFonts w:hint="eastAsia"/>
          <w:highlight w:val="none"/>
        </w:rPr>
      </w:pPr>
      <w:r>
        <w:rPr>
          <w:rStyle w:val="228"/>
          <w:rFonts w:hint="eastAsia"/>
          <w:highlight w:val="none"/>
        </w:rPr>
        <w:t xml:space="preserve">采购项目编号：                 </w:t>
      </w:r>
    </w:p>
    <w:p>
      <w:pPr>
        <w:spacing w:line="360" w:lineRule="auto"/>
        <w:contextualSpacing/>
        <w:rPr>
          <w:rStyle w:val="228"/>
          <w:rFonts w:hint="eastAsia"/>
          <w:highlight w:val="none"/>
        </w:rPr>
      </w:pPr>
      <w:r>
        <w:rPr>
          <w:rStyle w:val="228"/>
          <w:rFonts w:hint="eastAsia"/>
          <w:highlight w:val="none"/>
        </w:rPr>
        <w:t xml:space="preserve">采购项目名称：                 </w:t>
      </w:r>
    </w:p>
    <w:p>
      <w:pPr>
        <w:spacing w:line="360" w:lineRule="auto"/>
        <w:contextualSpacing/>
        <w:rPr>
          <w:rFonts w:hint="eastAsia" w:ascii="宋体" w:hAnsi="宋体" w:cs="仿宋_GB2312"/>
          <w:sz w:val="24"/>
          <w:highlight w:val="none"/>
          <w:u w:val="single"/>
        </w:rPr>
      </w:pPr>
      <w:r>
        <w:rPr>
          <w:rStyle w:val="228"/>
          <w:rFonts w:hint="eastAsia"/>
          <w:highlight w:val="none"/>
        </w:rPr>
        <w:t>分标号：</w:t>
      </w:r>
      <w:r>
        <w:rPr>
          <w:rFonts w:hint="eastAsia" w:ascii="宋体" w:hAnsi="宋体" w:cs="仿宋_GB2312"/>
          <w:sz w:val="24"/>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915"/>
        <w:gridCol w:w="3038"/>
        <w:gridCol w:w="2735"/>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00" w:name="_Toc383699906"/>
            <w:bookmarkStart w:id="101" w:name="_Toc254970729"/>
            <w:bookmarkStart w:id="102" w:name="_Toc301781611"/>
            <w:bookmarkStart w:id="103" w:name="_Toc173211900"/>
            <w:bookmarkStart w:id="104" w:name="_Toc295404981"/>
            <w:bookmarkStart w:id="105" w:name="_Toc173066401"/>
            <w:bookmarkStart w:id="106" w:name="_Toc373333689"/>
            <w:bookmarkStart w:id="107" w:name="_Toc297193185"/>
            <w:bookmarkStart w:id="108" w:name="_Toc254970588"/>
            <w:r>
              <w:rPr>
                <w:rFonts w:hint="eastAsia" w:ascii="宋体" w:hAnsi="宋体" w:eastAsia="宋体" w:cs="仿宋_GB2312"/>
                <w:kern w:val="2"/>
                <w:sz w:val="24"/>
                <w:szCs w:val="24"/>
                <w:highlight w:val="none"/>
              </w:rPr>
              <w:t>序号</w:t>
            </w:r>
            <w:bookmarkEnd w:id="100"/>
            <w:bookmarkEnd w:id="101"/>
            <w:bookmarkEnd w:id="102"/>
            <w:bookmarkEnd w:id="103"/>
            <w:bookmarkEnd w:id="104"/>
            <w:bookmarkEnd w:id="105"/>
            <w:bookmarkEnd w:id="106"/>
            <w:bookmarkEnd w:id="107"/>
            <w:bookmarkEnd w:id="108"/>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磋商文件技术要求</w:t>
            </w: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09" w:name="_Toc301781613"/>
            <w:bookmarkStart w:id="110" w:name="_Toc173066403"/>
            <w:bookmarkStart w:id="111" w:name="_Toc254970590"/>
            <w:bookmarkStart w:id="112" w:name="_Toc383699908"/>
            <w:bookmarkStart w:id="113" w:name="_Toc173211902"/>
            <w:bookmarkStart w:id="114" w:name="_Toc373333691"/>
            <w:bookmarkStart w:id="115" w:name="_Toc254970731"/>
            <w:bookmarkStart w:id="116" w:name="_Toc295404983"/>
            <w:bookmarkStart w:id="117" w:name="_Toc297193187"/>
            <w:r>
              <w:rPr>
                <w:rFonts w:hint="eastAsia" w:ascii="宋体" w:hAnsi="宋体" w:eastAsia="宋体" w:cs="仿宋_GB2312"/>
                <w:kern w:val="2"/>
                <w:sz w:val="24"/>
                <w:szCs w:val="24"/>
                <w:highlight w:val="none"/>
              </w:rPr>
              <w:t>竞标响应</w:t>
            </w:r>
            <w:bookmarkEnd w:id="109"/>
            <w:bookmarkEnd w:id="110"/>
            <w:bookmarkEnd w:id="111"/>
            <w:bookmarkEnd w:id="112"/>
            <w:bookmarkEnd w:id="113"/>
            <w:bookmarkEnd w:id="114"/>
            <w:bookmarkEnd w:id="115"/>
            <w:bookmarkEnd w:id="116"/>
            <w:bookmarkEnd w:id="117"/>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18" w:name="_Toc254970591"/>
            <w:bookmarkStart w:id="119" w:name="_Toc301781614"/>
            <w:bookmarkStart w:id="120" w:name="_Toc173066404"/>
            <w:bookmarkStart w:id="121" w:name="_Toc383699909"/>
            <w:bookmarkStart w:id="122" w:name="_Toc297193188"/>
            <w:bookmarkStart w:id="123" w:name="_Toc254970732"/>
            <w:bookmarkStart w:id="124" w:name="_Toc173211903"/>
            <w:bookmarkStart w:id="125" w:name="_Toc373333692"/>
            <w:bookmarkStart w:id="126" w:name="_Toc295404984"/>
            <w:r>
              <w:rPr>
                <w:rFonts w:hint="eastAsia" w:ascii="宋体" w:hAnsi="宋体" w:eastAsia="宋体" w:cs="仿宋_GB2312"/>
                <w:kern w:val="2"/>
                <w:sz w:val="24"/>
                <w:szCs w:val="24"/>
                <w:highlight w:val="none"/>
              </w:rPr>
              <w:t>偏离</w:t>
            </w:r>
            <w:bookmarkEnd w:id="118"/>
            <w:bookmarkEnd w:id="119"/>
            <w:bookmarkEnd w:id="120"/>
            <w:bookmarkEnd w:id="121"/>
            <w:bookmarkEnd w:id="122"/>
            <w:bookmarkEnd w:id="123"/>
            <w:bookmarkEnd w:id="124"/>
            <w:bookmarkEnd w:id="125"/>
            <w:bookmarkEnd w:id="126"/>
            <w:bookmarkStart w:id="127" w:name="_Toc295404985"/>
            <w:bookmarkStart w:id="128" w:name="_Toc254970733"/>
            <w:bookmarkStart w:id="129" w:name="_Toc373333693"/>
            <w:bookmarkStart w:id="130" w:name="_Toc254970592"/>
            <w:bookmarkStart w:id="131" w:name="_Toc301781615"/>
            <w:bookmarkStart w:id="132" w:name="_Toc297193189"/>
            <w:bookmarkStart w:id="133" w:name="_Toc173066405"/>
            <w:bookmarkStart w:id="134" w:name="_Toc383699910"/>
            <w:bookmarkStart w:id="135" w:name="_Toc173211904"/>
            <w:r>
              <w:rPr>
                <w:rFonts w:hint="eastAsia" w:ascii="宋体" w:hAnsi="宋体" w:eastAsia="宋体" w:cs="仿宋_GB2312"/>
                <w:kern w:val="2"/>
                <w:sz w:val="24"/>
                <w:szCs w:val="24"/>
                <w:highlight w:val="none"/>
              </w:rPr>
              <w:t>说明</w:t>
            </w:r>
            <w:bookmarkEnd w:id="127"/>
            <w:bookmarkEnd w:id="128"/>
            <w:bookmarkEnd w:id="129"/>
            <w:bookmarkEnd w:id="130"/>
            <w:bookmarkEnd w:id="131"/>
            <w:bookmarkEnd w:id="132"/>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36" w:name="_Toc254970734"/>
            <w:bookmarkStart w:id="137" w:name="_Toc173066406"/>
            <w:bookmarkStart w:id="138" w:name="_Toc254970593"/>
            <w:bookmarkStart w:id="139" w:name="_Toc173211905"/>
            <w:bookmarkStart w:id="140" w:name="_Toc295404986"/>
            <w:bookmarkStart w:id="141" w:name="_Toc297193190"/>
            <w:bookmarkStart w:id="142" w:name="_Toc301781616"/>
            <w:bookmarkStart w:id="143" w:name="_Toc383699911"/>
            <w:bookmarkStart w:id="144" w:name="_Toc373333694"/>
            <w:r>
              <w:rPr>
                <w:rFonts w:hint="eastAsia" w:ascii="宋体" w:hAnsi="宋体" w:eastAsia="宋体" w:cs="仿宋_GB2312"/>
                <w:kern w:val="2"/>
                <w:sz w:val="24"/>
                <w:szCs w:val="24"/>
                <w:highlight w:val="none"/>
              </w:rPr>
              <w:t>1</w:t>
            </w:r>
            <w:bookmarkEnd w:id="136"/>
            <w:bookmarkEnd w:id="137"/>
            <w:bookmarkEnd w:id="138"/>
            <w:bookmarkEnd w:id="139"/>
            <w:bookmarkEnd w:id="140"/>
            <w:bookmarkEnd w:id="141"/>
            <w:bookmarkEnd w:id="142"/>
            <w:bookmarkEnd w:id="143"/>
            <w:bookmarkEnd w:id="144"/>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45" w:name="_Toc297193191"/>
            <w:bookmarkStart w:id="146" w:name="_Toc254970594"/>
            <w:bookmarkStart w:id="147" w:name="_Toc173211906"/>
            <w:bookmarkStart w:id="148" w:name="_Toc383699912"/>
            <w:bookmarkStart w:id="149" w:name="_Toc373333695"/>
            <w:bookmarkStart w:id="150" w:name="_Toc254970735"/>
            <w:bookmarkStart w:id="151" w:name="_Toc295404987"/>
            <w:bookmarkStart w:id="152" w:name="_Toc301781617"/>
            <w:bookmarkStart w:id="153" w:name="_Toc173066407"/>
            <w:r>
              <w:rPr>
                <w:rFonts w:hint="eastAsia" w:ascii="宋体" w:hAnsi="宋体" w:eastAsia="宋体" w:cs="仿宋_GB2312"/>
                <w:kern w:val="2"/>
                <w:sz w:val="24"/>
                <w:szCs w:val="24"/>
                <w:highlight w:val="none"/>
              </w:rPr>
              <w:t>2</w:t>
            </w:r>
            <w:bookmarkEnd w:id="145"/>
            <w:bookmarkEnd w:id="146"/>
            <w:bookmarkEnd w:id="147"/>
            <w:bookmarkEnd w:id="148"/>
            <w:bookmarkEnd w:id="149"/>
            <w:bookmarkEnd w:id="150"/>
            <w:bookmarkEnd w:id="151"/>
            <w:bookmarkEnd w:id="152"/>
            <w:bookmarkEnd w:id="153"/>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54" w:name="_Toc383699913"/>
            <w:bookmarkStart w:id="155" w:name="_Toc173066408"/>
            <w:bookmarkStart w:id="156" w:name="_Toc301781618"/>
            <w:bookmarkStart w:id="157" w:name="_Toc173211907"/>
            <w:bookmarkStart w:id="158" w:name="_Toc297193192"/>
            <w:bookmarkStart w:id="159" w:name="_Toc254970595"/>
            <w:bookmarkStart w:id="160" w:name="_Toc373333696"/>
            <w:bookmarkStart w:id="161" w:name="_Toc295404988"/>
            <w:bookmarkStart w:id="162" w:name="_Toc254970736"/>
            <w:r>
              <w:rPr>
                <w:rFonts w:hint="eastAsia" w:ascii="宋体" w:hAnsi="宋体" w:eastAsia="宋体" w:cs="仿宋_GB2312"/>
                <w:kern w:val="2"/>
                <w:sz w:val="24"/>
                <w:szCs w:val="24"/>
                <w:highlight w:val="none"/>
              </w:rPr>
              <w:t>3</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63" w:name="_Toc173066409"/>
            <w:bookmarkStart w:id="164" w:name="_Toc373333697"/>
            <w:bookmarkStart w:id="165" w:name="_Toc295404989"/>
            <w:bookmarkStart w:id="166" w:name="_Toc301781619"/>
            <w:bookmarkStart w:id="167" w:name="_Toc254970596"/>
            <w:bookmarkStart w:id="168" w:name="_Toc297193193"/>
            <w:bookmarkStart w:id="169" w:name="_Toc173211908"/>
            <w:bookmarkStart w:id="170" w:name="_Toc383699914"/>
            <w:bookmarkStart w:id="171" w:name="_Toc254970737"/>
            <w:r>
              <w:rPr>
                <w:rFonts w:hint="eastAsia" w:ascii="宋体" w:hAnsi="宋体" w:eastAsia="宋体" w:cs="仿宋_GB2312"/>
                <w:kern w:val="2"/>
                <w:sz w:val="24"/>
                <w:szCs w:val="24"/>
                <w:highlight w:val="none"/>
              </w:rPr>
              <w:t>4</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72" w:name="_Toc383699915"/>
            <w:bookmarkStart w:id="173" w:name="_Toc173066410"/>
            <w:bookmarkStart w:id="174" w:name="_Toc254970738"/>
            <w:bookmarkStart w:id="175" w:name="_Toc301781620"/>
            <w:bookmarkStart w:id="176" w:name="_Toc173211909"/>
            <w:bookmarkStart w:id="177" w:name="_Toc254970597"/>
            <w:bookmarkStart w:id="178" w:name="_Toc295404990"/>
            <w:bookmarkStart w:id="179" w:name="_Toc297193194"/>
            <w:bookmarkStart w:id="180" w:name="_Toc373333698"/>
            <w:r>
              <w:rPr>
                <w:rFonts w:hint="eastAsia" w:ascii="宋体" w:hAnsi="宋体" w:eastAsia="宋体" w:cs="仿宋_GB2312"/>
                <w:kern w:val="2"/>
                <w:sz w:val="24"/>
                <w:szCs w:val="24"/>
                <w:highlight w:val="none"/>
              </w:rPr>
              <w:t>5</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bookmarkStart w:id="181" w:name="_Toc173211914"/>
            <w:bookmarkStart w:id="182" w:name="_Toc254970743"/>
            <w:bookmarkStart w:id="183" w:name="_Toc295404991"/>
            <w:bookmarkStart w:id="184" w:name="_Toc173066415"/>
            <w:bookmarkStart w:id="185" w:name="_Toc301781621"/>
            <w:bookmarkStart w:id="186" w:name="_Toc383699916"/>
            <w:bookmarkStart w:id="187" w:name="_Toc254970602"/>
            <w:bookmarkStart w:id="188" w:name="_Toc373333699"/>
            <w:bookmarkStart w:id="189" w:name="_Toc297193195"/>
            <w:r>
              <w:rPr>
                <w:rFonts w:hint="eastAsia" w:ascii="宋体" w:hAnsi="宋体" w:eastAsia="宋体" w:cs="仿宋_GB2312"/>
                <w:kern w:val="2"/>
                <w:sz w:val="24"/>
                <w:szCs w:val="24"/>
                <w:highlight w:val="none"/>
              </w:rPr>
              <w:t>…</w:t>
            </w:r>
            <w:bookmarkEnd w:id="181"/>
            <w:bookmarkEnd w:id="182"/>
            <w:bookmarkEnd w:id="183"/>
            <w:bookmarkEnd w:id="184"/>
            <w:bookmarkEnd w:id="185"/>
            <w:bookmarkEnd w:id="186"/>
            <w:bookmarkEnd w:id="187"/>
            <w:bookmarkEnd w:id="188"/>
            <w:bookmarkEnd w:id="189"/>
          </w:p>
        </w:tc>
        <w:tc>
          <w:tcPr>
            <w:tcW w:w="915"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3038" w:type="dxa"/>
            <w:tcBorders>
              <w:lef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2735" w:type="dxa"/>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c>
          <w:tcPr>
            <w:tcW w:w="1492" w:type="dxa"/>
            <w:tcBorders>
              <w:right w:val="single" w:color="auto" w:sz="4" w:space="0"/>
            </w:tcBorders>
            <w:noWrap w:val="0"/>
            <w:vAlign w:val="center"/>
          </w:tcPr>
          <w:p>
            <w:pPr>
              <w:pStyle w:val="22"/>
              <w:spacing w:line="360" w:lineRule="auto"/>
              <w:ind w:firstLine="0" w:firstLineChars="0"/>
              <w:contextualSpacing/>
              <w:jc w:val="center"/>
              <w:rPr>
                <w:rFonts w:hint="eastAsia" w:ascii="宋体" w:hAnsi="宋体" w:eastAsia="宋体" w:cs="仿宋_GB2312"/>
                <w:kern w:val="2"/>
                <w:sz w:val="24"/>
                <w:szCs w:val="24"/>
                <w:highlight w:val="none"/>
              </w:rPr>
            </w:pPr>
          </w:p>
        </w:tc>
      </w:tr>
    </w:tbl>
    <w:p>
      <w:pPr>
        <w:adjustRightInd w:val="0"/>
        <w:spacing w:line="360" w:lineRule="auto"/>
        <w:contextualSpacing/>
        <w:rPr>
          <w:rFonts w:hint="eastAsia" w:ascii="宋体" w:hAnsi="宋体" w:cs="仿宋_GB2312"/>
          <w:sz w:val="24"/>
          <w:highlight w:val="none"/>
        </w:rPr>
      </w:pPr>
    </w:p>
    <w:p>
      <w:pPr>
        <w:pStyle w:val="22"/>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pPr>
        <w:pStyle w:val="22"/>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 说明：应对照磋商文件“第三章 采购需求”中的</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rPr>
        <w:t>技术要求</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rPr>
        <w:t>逐条作出明确响应，并作出偏离说明。</w:t>
      </w:r>
    </w:p>
    <w:p>
      <w:pPr>
        <w:pStyle w:val="22"/>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sz w:val="24"/>
          <w:highlight w:val="none"/>
        </w:rPr>
      </w:pPr>
    </w:p>
    <w:p>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供应商（公章或者电子签章）：      </w:t>
      </w:r>
    </w:p>
    <w:p>
      <w:pPr>
        <w:spacing w:line="360" w:lineRule="auto"/>
        <w:ind w:right="-817" w:rightChars="-389" w:firstLine="4080" w:firstLineChars="1700"/>
        <w:contextualSpacing/>
        <w:rPr>
          <w:rFonts w:ascii="宋体" w:hAnsi="宋体" w:cs="仿宋_GB2312"/>
          <w:sz w:val="24"/>
          <w:highlight w:val="none"/>
        </w:rPr>
      </w:pPr>
      <w:r>
        <w:rPr>
          <w:rFonts w:hint="eastAsia" w:ascii="宋体" w:hAnsi="宋体" w:cs="仿宋_GB2312"/>
          <w:sz w:val="24"/>
          <w:highlight w:val="none"/>
        </w:rPr>
        <w:t>日期：   年   月   日</w:t>
      </w:r>
    </w:p>
    <w:p>
      <w:pPr>
        <w:snapToGrid w:val="0"/>
        <w:spacing w:before="120" w:beforeLines="50" w:after="50"/>
        <w:ind w:left="142"/>
        <w:jc w:val="left"/>
        <w:outlineLvl w:val="2"/>
        <w:rPr>
          <w:rFonts w:hint="eastAsia" w:ascii="宋体" w:hAnsi="宋体"/>
          <w:b/>
          <w:sz w:val="24"/>
          <w:highlight w:val="none"/>
        </w:rPr>
      </w:pPr>
      <w:r>
        <w:rPr>
          <w:rStyle w:val="228"/>
          <w:highlight w:val="none"/>
        </w:rPr>
        <w:br w:type="page"/>
      </w:r>
      <w:r>
        <w:rPr>
          <w:rFonts w:hint="eastAsia" w:ascii="宋体" w:hAnsi="宋体"/>
          <w:b/>
          <w:sz w:val="24"/>
          <w:highlight w:val="none"/>
        </w:rPr>
        <w:t>项目实施人员一览表格式</w:t>
      </w:r>
    </w:p>
    <w:p>
      <w:pPr>
        <w:snapToGrid w:val="0"/>
        <w:spacing w:before="120" w:beforeLines="50" w:after="50"/>
        <w:ind w:left="142"/>
        <w:jc w:val="left"/>
        <w:rPr>
          <w:rFonts w:hint="eastAsia" w:ascii="宋体" w:hAnsi="宋体"/>
          <w:b/>
          <w:sz w:val="24"/>
          <w:highlight w:val="none"/>
        </w:rPr>
      </w:pPr>
    </w:p>
    <w:p>
      <w:pPr>
        <w:spacing w:line="360" w:lineRule="auto"/>
        <w:ind w:left="142"/>
        <w:contextualSpacing/>
        <w:jc w:val="center"/>
        <w:rPr>
          <w:rFonts w:hint="eastAsia" w:ascii="宋体" w:hAnsi="宋体"/>
          <w:b/>
          <w:sz w:val="32"/>
          <w:szCs w:val="32"/>
          <w:highlight w:val="none"/>
        </w:rPr>
      </w:pPr>
      <w:r>
        <w:rPr>
          <w:rFonts w:hint="eastAsia" w:ascii="宋体" w:hAnsi="宋体"/>
          <w:b/>
          <w:sz w:val="32"/>
          <w:szCs w:val="32"/>
          <w:highlight w:val="none"/>
        </w:rPr>
        <w:t>项目实施人员一览表</w:t>
      </w:r>
    </w:p>
    <w:p>
      <w:pPr>
        <w:spacing w:line="360" w:lineRule="auto"/>
        <w:contextualSpacing/>
        <w:rPr>
          <w:rStyle w:val="228"/>
          <w:rFonts w:hint="eastAsia"/>
          <w:highlight w:val="none"/>
        </w:rPr>
      </w:pPr>
      <w:r>
        <w:rPr>
          <w:rStyle w:val="228"/>
          <w:rFonts w:hint="eastAsia"/>
          <w:highlight w:val="none"/>
        </w:rPr>
        <w:t xml:space="preserve">采购项目编号：                 </w:t>
      </w:r>
    </w:p>
    <w:p>
      <w:pPr>
        <w:spacing w:line="360" w:lineRule="auto"/>
        <w:contextualSpacing/>
        <w:rPr>
          <w:rStyle w:val="228"/>
          <w:rFonts w:hint="eastAsia"/>
          <w:highlight w:val="none"/>
        </w:rPr>
      </w:pPr>
      <w:r>
        <w:rPr>
          <w:rStyle w:val="228"/>
          <w:rFonts w:hint="eastAsia"/>
          <w:highlight w:val="none"/>
        </w:rPr>
        <w:t xml:space="preserve">采购项目名称：                 </w:t>
      </w:r>
    </w:p>
    <w:p>
      <w:pPr>
        <w:spacing w:line="360" w:lineRule="auto"/>
        <w:contextualSpacing/>
        <w:rPr>
          <w:rFonts w:hint="eastAsia" w:ascii="宋体" w:hAnsi="宋体" w:cs="仿宋_GB2312"/>
          <w:sz w:val="24"/>
          <w:highlight w:val="none"/>
          <w:u w:val="single"/>
        </w:rPr>
      </w:pPr>
      <w:r>
        <w:rPr>
          <w:rStyle w:val="228"/>
          <w:rFonts w:hint="eastAsia"/>
          <w:highlight w:val="none"/>
        </w:rPr>
        <w:t>分标号：</w:t>
      </w:r>
      <w:r>
        <w:rPr>
          <w:rFonts w:hint="eastAsia" w:ascii="宋体" w:hAnsi="宋体" w:cs="仿宋_GB2312"/>
          <w:sz w:val="24"/>
          <w:highlight w:val="none"/>
          <w:u w:val="single"/>
        </w:rPr>
        <w:t xml:space="preserve">                       </w:t>
      </w:r>
    </w:p>
    <w:tbl>
      <w:tblPr>
        <w:tblStyle w:val="48"/>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977"/>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姓名</w:t>
            </w:r>
          </w:p>
        </w:tc>
        <w:tc>
          <w:tcPr>
            <w:tcW w:w="1134" w:type="dxa"/>
            <w:noWrap w:val="0"/>
            <w:vAlign w:val="center"/>
          </w:tcPr>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职务</w:t>
            </w:r>
          </w:p>
        </w:tc>
        <w:tc>
          <w:tcPr>
            <w:tcW w:w="2977" w:type="dxa"/>
            <w:noWrap w:val="0"/>
            <w:vAlign w:val="center"/>
          </w:tcPr>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专业技术资格（职称）或者职业资格或者执业资格证或者其他证书</w:t>
            </w:r>
          </w:p>
        </w:tc>
        <w:tc>
          <w:tcPr>
            <w:tcW w:w="1559" w:type="dxa"/>
            <w:noWrap w:val="0"/>
            <w:vAlign w:val="center"/>
          </w:tcPr>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证书编号</w:t>
            </w:r>
          </w:p>
        </w:tc>
        <w:tc>
          <w:tcPr>
            <w:tcW w:w="2126" w:type="dxa"/>
            <w:noWrap w:val="0"/>
            <w:vAlign w:val="center"/>
          </w:tcPr>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参加本单位</w:t>
            </w:r>
          </w:p>
          <w:p>
            <w:pPr>
              <w:spacing w:line="360" w:lineRule="auto"/>
              <w:contextualSpacing/>
              <w:jc w:val="center"/>
              <w:rPr>
                <w:rFonts w:hint="eastAsia" w:ascii="宋体" w:hAnsi="宋体"/>
                <w:sz w:val="24"/>
                <w:szCs w:val="20"/>
                <w:highlight w:val="none"/>
              </w:rPr>
            </w:pPr>
            <w:r>
              <w:rPr>
                <w:rFonts w:hint="eastAsia" w:ascii="宋体" w:hAnsi="宋体"/>
                <w:sz w:val="24"/>
                <w:szCs w:val="20"/>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4"/>
                <w:szCs w:val="20"/>
                <w:highlight w:val="none"/>
              </w:rPr>
            </w:pPr>
          </w:p>
        </w:tc>
        <w:tc>
          <w:tcPr>
            <w:tcW w:w="1134" w:type="dxa"/>
            <w:noWrap w:val="0"/>
            <w:vAlign w:val="center"/>
          </w:tcPr>
          <w:p>
            <w:pPr>
              <w:spacing w:line="360" w:lineRule="auto"/>
              <w:contextualSpacing/>
              <w:jc w:val="center"/>
              <w:rPr>
                <w:rFonts w:hint="eastAsia" w:ascii="宋体" w:hAnsi="宋体"/>
                <w:sz w:val="24"/>
                <w:szCs w:val="20"/>
                <w:highlight w:val="none"/>
              </w:rPr>
            </w:pPr>
          </w:p>
        </w:tc>
        <w:tc>
          <w:tcPr>
            <w:tcW w:w="2977" w:type="dxa"/>
            <w:noWrap w:val="0"/>
            <w:vAlign w:val="center"/>
          </w:tcPr>
          <w:p>
            <w:pPr>
              <w:spacing w:line="360" w:lineRule="auto"/>
              <w:contextualSpacing/>
              <w:jc w:val="center"/>
              <w:rPr>
                <w:rFonts w:hint="eastAsia" w:ascii="宋体" w:hAnsi="宋体"/>
                <w:sz w:val="24"/>
                <w:szCs w:val="20"/>
                <w:highlight w:val="none"/>
              </w:rPr>
            </w:pPr>
          </w:p>
        </w:tc>
        <w:tc>
          <w:tcPr>
            <w:tcW w:w="1559" w:type="dxa"/>
            <w:noWrap w:val="0"/>
            <w:vAlign w:val="center"/>
          </w:tcPr>
          <w:p>
            <w:pPr>
              <w:spacing w:line="360" w:lineRule="auto"/>
              <w:contextualSpacing/>
              <w:jc w:val="center"/>
              <w:rPr>
                <w:rFonts w:hint="eastAsia" w:ascii="宋体" w:hAnsi="宋体"/>
                <w:sz w:val="24"/>
                <w:szCs w:val="20"/>
                <w:highlight w:val="none"/>
              </w:rPr>
            </w:pPr>
          </w:p>
        </w:tc>
        <w:tc>
          <w:tcPr>
            <w:tcW w:w="2126" w:type="dxa"/>
            <w:noWrap w:val="0"/>
            <w:vAlign w:val="center"/>
          </w:tcPr>
          <w:p>
            <w:pPr>
              <w:spacing w:line="360" w:lineRule="auto"/>
              <w:contextualSpacing/>
              <w:jc w:val="center"/>
              <w:rPr>
                <w:rFonts w:hint="eastAsia"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4"/>
                <w:szCs w:val="20"/>
                <w:highlight w:val="none"/>
              </w:rPr>
            </w:pPr>
          </w:p>
        </w:tc>
        <w:tc>
          <w:tcPr>
            <w:tcW w:w="1134" w:type="dxa"/>
            <w:noWrap w:val="0"/>
            <w:vAlign w:val="center"/>
          </w:tcPr>
          <w:p>
            <w:pPr>
              <w:spacing w:line="360" w:lineRule="auto"/>
              <w:contextualSpacing/>
              <w:jc w:val="center"/>
              <w:rPr>
                <w:rFonts w:hint="eastAsia" w:ascii="宋体" w:hAnsi="宋体"/>
                <w:sz w:val="24"/>
                <w:szCs w:val="20"/>
                <w:highlight w:val="none"/>
              </w:rPr>
            </w:pPr>
          </w:p>
        </w:tc>
        <w:tc>
          <w:tcPr>
            <w:tcW w:w="2977" w:type="dxa"/>
            <w:noWrap w:val="0"/>
            <w:vAlign w:val="center"/>
          </w:tcPr>
          <w:p>
            <w:pPr>
              <w:spacing w:line="360" w:lineRule="auto"/>
              <w:contextualSpacing/>
              <w:jc w:val="center"/>
              <w:rPr>
                <w:rFonts w:hint="eastAsia" w:ascii="宋体" w:hAnsi="宋体"/>
                <w:sz w:val="24"/>
                <w:szCs w:val="20"/>
                <w:highlight w:val="none"/>
              </w:rPr>
            </w:pPr>
          </w:p>
        </w:tc>
        <w:tc>
          <w:tcPr>
            <w:tcW w:w="1559" w:type="dxa"/>
            <w:noWrap w:val="0"/>
            <w:vAlign w:val="center"/>
          </w:tcPr>
          <w:p>
            <w:pPr>
              <w:spacing w:line="360" w:lineRule="auto"/>
              <w:contextualSpacing/>
              <w:jc w:val="center"/>
              <w:rPr>
                <w:rFonts w:hint="eastAsia" w:ascii="宋体" w:hAnsi="宋体"/>
                <w:sz w:val="24"/>
                <w:szCs w:val="20"/>
                <w:highlight w:val="none"/>
              </w:rPr>
            </w:pPr>
          </w:p>
        </w:tc>
        <w:tc>
          <w:tcPr>
            <w:tcW w:w="2126" w:type="dxa"/>
            <w:noWrap w:val="0"/>
            <w:vAlign w:val="center"/>
          </w:tcPr>
          <w:p>
            <w:pPr>
              <w:spacing w:line="360" w:lineRule="auto"/>
              <w:contextualSpacing/>
              <w:jc w:val="center"/>
              <w:rPr>
                <w:rFonts w:hint="eastAsia"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sz w:val="24"/>
                <w:szCs w:val="20"/>
                <w:highlight w:val="none"/>
              </w:rPr>
            </w:pPr>
          </w:p>
        </w:tc>
        <w:tc>
          <w:tcPr>
            <w:tcW w:w="1134" w:type="dxa"/>
            <w:noWrap w:val="0"/>
            <w:vAlign w:val="center"/>
          </w:tcPr>
          <w:p>
            <w:pPr>
              <w:spacing w:line="360" w:lineRule="auto"/>
              <w:contextualSpacing/>
              <w:jc w:val="center"/>
              <w:rPr>
                <w:rFonts w:hint="eastAsia" w:ascii="宋体" w:hAnsi="宋体"/>
                <w:sz w:val="24"/>
                <w:szCs w:val="20"/>
                <w:highlight w:val="none"/>
              </w:rPr>
            </w:pPr>
          </w:p>
        </w:tc>
        <w:tc>
          <w:tcPr>
            <w:tcW w:w="2977" w:type="dxa"/>
            <w:noWrap w:val="0"/>
            <w:vAlign w:val="center"/>
          </w:tcPr>
          <w:p>
            <w:pPr>
              <w:spacing w:line="360" w:lineRule="auto"/>
              <w:contextualSpacing/>
              <w:jc w:val="center"/>
              <w:rPr>
                <w:rFonts w:hint="eastAsia" w:ascii="宋体" w:hAnsi="宋体"/>
                <w:sz w:val="24"/>
                <w:szCs w:val="20"/>
                <w:highlight w:val="none"/>
              </w:rPr>
            </w:pPr>
          </w:p>
        </w:tc>
        <w:tc>
          <w:tcPr>
            <w:tcW w:w="1559" w:type="dxa"/>
            <w:noWrap w:val="0"/>
            <w:vAlign w:val="center"/>
          </w:tcPr>
          <w:p>
            <w:pPr>
              <w:spacing w:line="360" w:lineRule="auto"/>
              <w:contextualSpacing/>
              <w:jc w:val="center"/>
              <w:rPr>
                <w:rFonts w:hint="eastAsia" w:ascii="宋体" w:hAnsi="宋体"/>
                <w:sz w:val="24"/>
                <w:szCs w:val="20"/>
                <w:highlight w:val="none"/>
              </w:rPr>
            </w:pPr>
          </w:p>
        </w:tc>
        <w:tc>
          <w:tcPr>
            <w:tcW w:w="2126" w:type="dxa"/>
            <w:noWrap w:val="0"/>
            <w:vAlign w:val="center"/>
          </w:tcPr>
          <w:p>
            <w:pPr>
              <w:spacing w:line="360" w:lineRule="auto"/>
              <w:contextualSpacing/>
              <w:jc w:val="center"/>
              <w:rPr>
                <w:rFonts w:hint="eastAsia" w:ascii="宋体" w:hAnsi="宋体"/>
                <w:sz w:val="24"/>
                <w:szCs w:val="20"/>
                <w:highlight w:val="none"/>
              </w:rPr>
            </w:pPr>
          </w:p>
        </w:tc>
      </w:tr>
    </w:tbl>
    <w:p>
      <w:pPr>
        <w:spacing w:line="360" w:lineRule="auto"/>
        <w:contextualSpacing/>
        <w:jc w:val="left"/>
        <w:rPr>
          <w:rFonts w:ascii="宋体" w:hAnsi="宋体"/>
          <w:sz w:val="24"/>
          <w:szCs w:val="20"/>
          <w:highlight w:val="none"/>
        </w:rPr>
      </w:pPr>
      <w:r>
        <w:rPr>
          <w:rFonts w:hint="eastAsia" w:ascii="宋体" w:hAnsi="宋体"/>
          <w:sz w:val="24"/>
          <w:szCs w:val="20"/>
          <w:highlight w:val="none"/>
        </w:rPr>
        <w:t>注：</w:t>
      </w:r>
    </w:p>
    <w:p>
      <w:pPr>
        <w:spacing w:line="360" w:lineRule="auto"/>
        <w:contextualSpacing/>
        <w:jc w:val="left"/>
        <w:rPr>
          <w:rFonts w:ascii="宋体" w:hAnsi="宋体"/>
          <w:sz w:val="24"/>
          <w:szCs w:val="20"/>
          <w:highlight w:val="none"/>
        </w:rPr>
      </w:pPr>
      <w:r>
        <w:rPr>
          <w:rFonts w:hint="eastAsia" w:ascii="宋体" w:hAnsi="宋体"/>
          <w:sz w:val="24"/>
          <w:szCs w:val="20"/>
          <w:highlight w:val="none"/>
        </w:rPr>
        <w:t>1</w:t>
      </w:r>
      <w:r>
        <w:rPr>
          <w:rFonts w:ascii="宋体" w:hAnsi="宋体"/>
          <w:sz w:val="24"/>
          <w:szCs w:val="20"/>
          <w:highlight w:val="none"/>
        </w:rPr>
        <w:t>.</w:t>
      </w:r>
      <w:r>
        <w:rPr>
          <w:rFonts w:hint="eastAsia" w:ascii="宋体" w:hAnsi="宋体"/>
          <w:sz w:val="24"/>
          <w:szCs w:val="20"/>
          <w:highlight w:val="none"/>
        </w:rPr>
        <w:t>在填写时，如本表格不适合供应商的实际情况，可根据本表格式自行制表填写。</w:t>
      </w:r>
    </w:p>
    <w:p>
      <w:pPr>
        <w:spacing w:line="360" w:lineRule="auto"/>
        <w:contextualSpacing/>
        <w:jc w:val="left"/>
        <w:rPr>
          <w:rFonts w:hint="eastAsia"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供应商应当附本表所列证书的复印件并加盖供应商公章或者电子签章。</w:t>
      </w:r>
    </w:p>
    <w:p>
      <w:pPr>
        <w:spacing w:line="360" w:lineRule="auto"/>
        <w:contextualSpacing/>
        <w:rPr>
          <w:rFonts w:ascii="宋体" w:hAnsi="宋体"/>
          <w:sz w:val="24"/>
          <w:highlight w:val="none"/>
        </w:rPr>
      </w:pPr>
    </w:p>
    <w:p>
      <w:pPr>
        <w:spacing w:line="360" w:lineRule="auto"/>
        <w:contextualSpacing/>
        <w:rPr>
          <w:rFonts w:hint="eastAsia" w:ascii="宋体" w:hAnsi="宋体"/>
          <w:spacing w:val="20"/>
          <w:sz w:val="24"/>
          <w:szCs w:val="20"/>
          <w:highlight w:val="none"/>
          <w:u w:val="single"/>
        </w:rPr>
      </w:pPr>
      <w:r>
        <w:rPr>
          <w:rStyle w:val="228"/>
          <w:rFonts w:hint="eastAsia"/>
          <w:highlight w:val="none"/>
        </w:rPr>
        <w:t>法定代表人或者委托代理人</w:t>
      </w:r>
      <w:r>
        <w:rPr>
          <w:rFonts w:hint="eastAsia" w:ascii="宋体" w:hAnsi="宋体"/>
          <w:spacing w:val="20"/>
          <w:sz w:val="24"/>
          <w:highlight w:val="none"/>
        </w:rPr>
        <w:t>签字（或电子签名）：</w:t>
      </w:r>
      <w:r>
        <w:rPr>
          <w:rFonts w:hint="eastAsia" w:ascii="宋体" w:hAnsi="宋体"/>
          <w:spacing w:val="20"/>
          <w:sz w:val="24"/>
          <w:highlight w:val="none"/>
          <w:u w:val="single"/>
        </w:rPr>
        <w:t xml:space="preserve">        </w:t>
      </w:r>
    </w:p>
    <w:p>
      <w:pPr>
        <w:spacing w:line="360" w:lineRule="auto"/>
        <w:contextualSpacing/>
        <w:jc w:val="left"/>
        <w:rPr>
          <w:rStyle w:val="228"/>
          <w:rFonts w:hint="eastAsia"/>
          <w:highlight w:val="none"/>
        </w:rPr>
      </w:pPr>
      <w:r>
        <w:rPr>
          <w:rFonts w:hint="eastAsia" w:ascii="宋体" w:hAnsi="宋体"/>
          <w:spacing w:val="20"/>
          <w:sz w:val="24"/>
          <w:highlight w:val="none"/>
        </w:rPr>
        <w:t>供应商（公章或电子签章）：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日 期：</w:t>
      </w:r>
      <w:r>
        <w:rPr>
          <w:rFonts w:hint="eastAsia" w:ascii="宋体" w:hAnsi="宋体"/>
          <w:spacing w:val="20"/>
          <w:sz w:val="24"/>
          <w:highlight w:val="none"/>
          <w:u w:val="single"/>
        </w:rPr>
        <w:t xml:space="preserve">         </w:t>
      </w:r>
    </w:p>
    <w:p>
      <w:pPr>
        <w:snapToGrid w:val="0"/>
        <w:spacing w:before="50" w:after="120" w:afterLines="50"/>
        <w:jc w:val="left"/>
        <w:rPr>
          <w:rFonts w:hint="eastAsia" w:ascii="宋体" w:hAnsi="宋体"/>
          <w:sz w:val="24"/>
          <w:szCs w:val="20"/>
          <w:highlight w:val="none"/>
        </w:rPr>
      </w:pPr>
    </w:p>
    <w:p>
      <w:pPr>
        <w:snapToGrid w:val="0"/>
        <w:spacing w:before="50" w:after="50" w:line="360" w:lineRule="auto"/>
        <w:ind w:right="-817" w:rightChars="-389" w:firstLine="5461" w:firstLineChars="1700"/>
        <w:rPr>
          <w:rFonts w:hint="eastAsia" w:ascii="宋体" w:hAnsi="宋体" w:cs="仿宋_GB2312"/>
          <w:b/>
          <w:sz w:val="32"/>
          <w:szCs w:val="32"/>
          <w:highlight w:val="none"/>
        </w:rPr>
      </w:pPr>
    </w:p>
    <w:p>
      <w:pPr>
        <w:spacing w:line="300" w:lineRule="auto"/>
        <w:outlineLvl w:val="2"/>
        <w:rPr>
          <w:rFonts w:hint="eastAsia" w:ascii="宋体" w:hAnsi="宋体"/>
          <w:szCs w:val="21"/>
          <w:highlight w:val="none"/>
        </w:rPr>
      </w:pPr>
      <w:r>
        <w:rPr>
          <w:rFonts w:ascii="宋体" w:hAnsi="宋体"/>
          <w:b/>
          <w:bCs/>
          <w:sz w:val="24"/>
          <w:highlight w:val="none"/>
        </w:rPr>
        <w:br w:type="page"/>
      </w:r>
      <w:r>
        <w:rPr>
          <w:rFonts w:hint="eastAsia" w:ascii="宋体" w:hAnsi="宋体"/>
          <w:b/>
          <w:bCs/>
          <w:sz w:val="24"/>
          <w:highlight w:val="none"/>
        </w:rPr>
        <w:t>其他文书、文件格式</w:t>
      </w:r>
    </w:p>
    <w:p>
      <w:pPr>
        <w:spacing w:line="360" w:lineRule="auto"/>
        <w:jc w:val="center"/>
        <w:rPr>
          <w:rFonts w:ascii="宋体" w:hAnsi="宋体" w:cs="仿宋_GB2312"/>
          <w:sz w:val="24"/>
          <w:highlight w:val="none"/>
        </w:rPr>
      </w:pPr>
    </w:p>
    <w:p>
      <w:pPr>
        <w:spacing w:line="360" w:lineRule="auto"/>
        <w:jc w:val="center"/>
        <w:outlineLvl w:val="3"/>
        <w:rPr>
          <w:rFonts w:hint="eastAsia" w:ascii="宋体" w:hAnsi="宋体"/>
          <w:b/>
          <w:bCs/>
          <w:sz w:val="32"/>
          <w:szCs w:val="32"/>
          <w:highlight w:val="none"/>
        </w:rPr>
      </w:pPr>
      <w:r>
        <w:rPr>
          <w:rFonts w:hint="eastAsia" w:ascii="宋体" w:hAnsi="宋体" w:cs="方正小标宋简体"/>
          <w:sz w:val="44"/>
          <w:szCs w:val="44"/>
          <w:highlight w:val="none"/>
        </w:rPr>
        <w:t>质疑函（格式）</w:t>
      </w:r>
    </w:p>
    <w:p>
      <w:pPr>
        <w:pStyle w:val="11"/>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pPr>
        <w:pStyle w:val="11"/>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11"/>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pPr>
        <w:pStyle w:val="11"/>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1"/>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pPr>
        <w:pStyle w:val="11"/>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pPr>
        <w:pStyle w:val="11"/>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pPr>
        <w:pStyle w:val="11"/>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pPr>
        <w:pStyle w:val="11"/>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pPr>
        <w:pStyle w:val="11"/>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11"/>
        <w:spacing w:line="360" w:lineRule="auto"/>
        <w:ind w:left="25" w:leftChars="12" w:firstLine="352" w:firstLineChars="147"/>
        <w:contextualSpacing/>
        <w:rPr>
          <w:rFonts w:hint="eastAsia" w:hAnsi="宋体"/>
          <w:sz w:val="24"/>
          <w:szCs w:val="24"/>
          <w:highlight w:val="none"/>
        </w:rPr>
      </w:pPr>
    </w:p>
    <w:p>
      <w:pPr>
        <w:pStyle w:val="11"/>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公章或者电子签章：</w:t>
      </w:r>
    </w:p>
    <w:p>
      <w:pPr>
        <w:pStyle w:val="11"/>
        <w:spacing w:line="360" w:lineRule="auto"/>
        <w:ind w:firstLine="480" w:firstLineChars="200"/>
        <w:contextualSpacing/>
        <w:rPr>
          <w:rFonts w:hint="eastAsia" w:hAnsi="宋体"/>
          <w:b/>
          <w:sz w:val="24"/>
          <w:szCs w:val="24"/>
          <w:highlight w:val="none"/>
        </w:rPr>
      </w:pPr>
      <w:r>
        <w:rPr>
          <w:rFonts w:hint="eastAsia" w:hAnsi="宋体"/>
          <w:sz w:val="24"/>
          <w:szCs w:val="24"/>
          <w:highlight w:val="none"/>
        </w:rPr>
        <w:t>日期：</w:t>
      </w:r>
    </w:p>
    <w:p>
      <w:pPr>
        <w:pStyle w:val="11"/>
        <w:spacing w:line="360" w:lineRule="auto"/>
        <w:contextualSpacing/>
        <w:rPr>
          <w:rFonts w:hint="eastAsia" w:hAnsi="宋体"/>
          <w:b/>
          <w:sz w:val="24"/>
          <w:szCs w:val="24"/>
          <w:highlight w:val="none"/>
        </w:rPr>
      </w:pPr>
      <w:r>
        <w:rPr>
          <w:rFonts w:hint="eastAsia" w:hAnsi="宋体"/>
          <w:b/>
          <w:sz w:val="24"/>
          <w:szCs w:val="24"/>
          <w:highlight w:val="none"/>
        </w:rPr>
        <w:t>说明：</w:t>
      </w:r>
    </w:p>
    <w:p>
      <w:pPr>
        <w:pStyle w:val="11"/>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pPr>
        <w:pStyle w:val="11"/>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1"/>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pPr>
        <w:pStyle w:val="11"/>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pPr>
        <w:pStyle w:val="11"/>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5.质疑供应商为法人或者其他组织的，质疑函应由法定代表人、主要负责人，或者其授权代表签字或者盖章，并加盖公章或者电子签章。</w:t>
      </w:r>
    </w:p>
    <w:p>
      <w:pPr>
        <w:pStyle w:val="11"/>
        <w:snapToGrid w:val="0"/>
        <w:rPr>
          <w:rFonts w:hint="eastAsia" w:hAnsi="宋体"/>
          <w:b/>
          <w:sz w:val="24"/>
          <w:szCs w:val="24"/>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rPr>
          <w:rFonts w:hint="eastAsia" w:ascii="宋体" w:hAnsi="宋体"/>
          <w:sz w:val="32"/>
          <w:szCs w:val="40"/>
          <w:highlight w:val="none"/>
        </w:rPr>
      </w:pPr>
    </w:p>
    <w:p>
      <w:pPr>
        <w:spacing w:line="360" w:lineRule="auto"/>
        <w:jc w:val="center"/>
        <w:outlineLvl w:val="3"/>
        <w:rPr>
          <w:rFonts w:hint="eastAsia" w:ascii="宋体" w:hAnsi="宋体" w:cs="方正小标宋简体"/>
          <w:sz w:val="44"/>
          <w:szCs w:val="44"/>
          <w:highlight w:val="none"/>
        </w:rPr>
      </w:pPr>
      <w:r>
        <w:rPr>
          <w:rFonts w:ascii="宋体" w:hAnsi="宋体" w:cs="方正小标宋简体"/>
          <w:sz w:val="44"/>
          <w:szCs w:val="44"/>
          <w:highlight w:val="none"/>
        </w:rPr>
        <w:br w:type="page"/>
      </w:r>
      <w:r>
        <w:rPr>
          <w:rFonts w:hint="eastAsia" w:ascii="宋体" w:hAnsi="宋体" w:cs="方正小标宋简体"/>
          <w:sz w:val="44"/>
          <w:szCs w:val="44"/>
          <w:highlight w:val="none"/>
        </w:rPr>
        <w:t>投诉书（格式）</w:t>
      </w:r>
    </w:p>
    <w:p>
      <w:pPr>
        <w:pStyle w:val="11"/>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pPr>
        <w:pStyle w:val="11"/>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pPr>
        <w:pStyle w:val="11"/>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pPr>
        <w:pStyle w:val="11"/>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pPr>
        <w:pStyle w:val="11"/>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pPr>
        <w:pStyle w:val="11"/>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pPr>
        <w:pStyle w:val="11"/>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pPr>
        <w:pStyle w:val="11"/>
        <w:spacing w:line="360" w:lineRule="auto"/>
        <w:ind w:firstLine="480" w:firstLineChars="200"/>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pPr>
        <w:pStyle w:val="11"/>
        <w:spacing w:line="360" w:lineRule="auto"/>
        <w:ind w:firstLine="241"/>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1"/>
        <w:spacing w:line="360" w:lineRule="auto"/>
        <w:ind w:firstLine="241"/>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11"/>
        <w:spacing w:line="360" w:lineRule="auto"/>
        <w:ind w:firstLine="480" w:firstLineChars="200"/>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pPr>
        <w:pStyle w:val="11"/>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pPr>
        <w:pStyle w:val="11"/>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pPr>
        <w:pStyle w:val="11"/>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pPr>
        <w:pStyle w:val="11"/>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pPr>
        <w:pStyle w:val="11"/>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pPr>
        <w:pStyle w:val="11"/>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pPr>
        <w:pStyle w:val="11"/>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pPr>
        <w:pStyle w:val="11"/>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pPr>
        <w:pStyle w:val="11"/>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pPr>
        <w:pStyle w:val="11"/>
        <w:spacing w:line="360" w:lineRule="auto"/>
        <w:ind w:left="25" w:leftChars="12" w:firstLine="352" w:firstLineChars="147"/>
        <w:rPr>
          <w:rFonts w:hint="eastAsia" w:hAnsi="宋体"/>
          <w:sz w:val="24"/>
          <w:szCs w:val="24"/>
          <w:highlight w:val="none"/>
        </w:rPr>
      </w:pPr>
    </w:p>
    <w:p>
      <w:pPr>
        <w:pStyle w:val="11"/>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公章或者电子签章：</w:t>
      </w:r>
    </w:p>
    <w:p>
      <w:pPr>
        <w:pStyle w:val="11"/>
        <w:spacing w:line="360" w:lineRule="auto"/>
        <w:ind w:left="25" w:leftChars="12" w:firstLine="352" w:firstLineChars="147"/>
        <w:rPr>
          <w:rFonts w:hint="eastAsia" w:hAnsi="宋体"/>
          <w:sz w:val="24"/>
          <w:szCs w:val="24"/>
          <w:highlight w:val="none"/>
        </w:rPr>
      </w:pPr>
    </w:p>
    <w:p>
      <w:pPr>
        <w:pStyle w:val="11"/>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pPr>
        <w:pStyle w:val="11"/>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 xml:space="preserve">                                                                                 </w:t>
      </w:r>
    </w:p>
    <w:p>
      <w:pPr>
        <w:pStyle w:val="11"/>
        <w:snapToGrid w:val="0"/>
        <w:spacing w:line="360" w:lineRule="auto"/>
        <w:rPr>
          <w:rFonts w:hint="eastAsia" w:hAnsi="宋体"/>
          <w:b/>
          <w:sz w:val="24"/>
          <w:szCs w:val="24"/>
          <w:highlight w:val="none"/>
        </w:rPr>
      </w:pPr>
      <w:r>
        <w:rPr>
          <w:rFonts w:hint="eastAsia" w:hAnsi="宋体"/>
          <w:b/>
          <w:sz w:val="24"/>
          <w:szCs w:val="24"/>
          <w:highlight w:val="none"/>
        </w:rPr>
        <w:t>说明：</w:t>
      </w:r>
    </w:p>
    <w:p>
      <w:pPr>
        <w:pStyle w:val="11"/>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pPr>
        <w:pStyle w:val="11"/>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1"/>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pPr>
        <w:pStyle w:val="11"/>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pPr>
        <w:pStyle w:val="11"/>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pPr>
        <w:pStyle w:val="11"/>
        <w:spacing w:line="360" w:lineRule="auto"/>
        <w:ind w:left="25" w:leftChars="12" w:firstLine="354" w:firstLineChars="147"/>
        <w:rPr>
          <w:rFonts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6.投诉人为法人或者其他组织的，投诉书应由法定代表人、主要负责人，或者其授权代表签字或者盖章，并加盖公章或者电子签章。</w:t>
      </w:r>
    </w:p>
    <w:p>
      <w:pPr>
        <w:pStyle w:val="11"/>
        <w:spacing w:line="360" w:lineRule="auto"/>
        <w:ind w:left="25" w:leftChars="12" w:firstLine="354" w:firstLineChars="147"/>
        <w:rPr>
          <w:rFonts w:hint="eastAsia" w:hAnsi="宋体"/>
          <w:b/>
          <w:highlight w:val="none"/>
        </w:rPr>
      </w:pPr>
      <w:r>
        <w:rPr>
          <w:rFonts w:hAnsi="宋体"/>
          <w:b/>
          <w:sz w:val="24"/>
          <w:szCs w:val="24"/>
          <w:highlight w:val="none"/>
        </w:rPr>
        <w:br w:type="column"/>
      </w:r>
    </w:p>
    <w:p>
      <w:pPr>
        <w:pStyle w:val="3"/>
        <w:spacing w:before="0" w:after="0" w:line="360" w:lineRule="auto"/>
        <w:jc w:val="center"/>
        <w:rPr>
          <w:rFonts w:hint="eastAsia" w:ascii="宋体" w:hAnsi="宋体" w:eastAsia="宋体" w:cs="宋体"/>
          <w:highlight w:val="none"/>
        </w:rPr>
      </w:pPr>
      <w:bookmarkStart w:id="190" w:name="_Toc25631"/>
      <w:r>
        <w:rPr>
          <w:rFonts w:hint="eastAsia" w:ascii="宋体" w:hAnsi="宋体" w:eastAsia="宋体" w:cs="宋体"/>
          <w:highlight w:val="none"/>
        </w:rPr>
        <w:t>第六章 合同文本</w:t>
      </w:r>
      <w:bookmarkEnd w:id="88"/>
      <w:bookmarkEnd w:id="190"/>
    </w:p>
    <w:p>
      <w:pPr>
        <w:spacing w:line="840" w:lineRule="exact"/>
        <w:ind w:firstLine="420"/>
        <w:jc w:val="center"/>
        <w:rPr>
          <w:rFonts w:hint="eastAsia" w:ascii="宋体" w:hAnsi="宋体" w:eastAsia="宋体" w:cs="宋体"/>
          <w:b/>
          <w:bCs/>
          <w:sz w:val="36"/>
          <w:szCs w:val="36"/>
          <w:highlight w:val="none"/>
          <w:u w:val="none"/>
        </w:rPr>
      </w:pPr>
      <w:bookmarkStart w:id="191" w:name="OLE_LINK45"/>
      <w:bookmarkStart w:id="192" w:name="OLE_LINK46"/>
      <w:bookmarkStart w:id="193" w:name="OLE_LINK28"/>
      <w:r>
        <w:rPr>
          <w:rFonts w:hint="eastAsia" w:ascii="宋体" w:hAnsi="宋体" w:eastAsia="宋体" w:cs="宋体"/>
          <w:b/>
          <w:bCs/>
          <w:sz w:val="36"/>
          <w:szCs w:val="36"/>
          <w:highlight w:val="none"/>
          <w:u w:val="none"/>
        </w:rPr>
        <w:t>采购合同书</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highlight w:val="none"/>
          <w:u w:val="none"/>
        </w:rPr>
      </w:pPr>
      <w:r>
        <w:rPr>
          <w:rFonts w:hint="eastAsia" w:ascii="宋体" w:hAnsi="宋体" w:eastAsia="宋体" w:cs="宋体"/>
          <w:highlight w:val="none"/>
          <w:u w:val="none"/>
        </w:rPr>
        <w:t xml:space="preserve"> </w:t>
      </w:r>
    </w:p>
    <w:p>
      <w:pPr>
        <w:spacing w:line="340" w:lineRule="exact"/>
        <w:ind w:firstLine="420"/>
        <w:rPr>
          <w:rFonts w:hint="eastAsia" w:ascii="宋体" w:hAnsi="宋体" w:eastAsia="宋体" w:cs="宋体"/>
          <w:b/>
          <w:highlight w:val="none"/>
          <w:u w:val="none"/>
        </w:rPr>
      </w:pPr>
      <w:r>
        <w:rPr>
          <w:rFonts w:hint="eastAsia" w:ascii="宋体" w:hAnsi="宋体" w:eastAsia="宋体" w:cs="宋体"/>
          <w:b/>
          <w:highlight w:val="none"/>
          <w:u w:val="none"/>
        </w:rPr>
        <w:t xml:space="preserve"> </w:t>
      </w:r>
    </w:p>
    <w:p>
      <w:pPr>
        <w:spacing w:line="460" w:lineRule="exact"/>
        <w:ind w:left="2469" w:leftChars="650" w:hanging="1104" w:hangingChars="500"/>
        <w:rPr>
          <w:rFonts w:hint="eastAsia" w:ascii="宋体" w:hAnsi="宋体" w:eastAsia="宋体" w:cs="宋体"/>
          <w:b/>
          <w:sz w:val="22"/>
          <w:szCs w:val="22"/>
          <w:highlight w:val="none"/>
          <w:u w:val="none"/>
        </w:rPr>
      </w:pPr>
      <w:r>
        <w:rPr>
          <w:rFonts w:hint="eastAsia" w:ascii="宋体" w:hAnsi="宋体" w:eastAsia="宋体" w:cs="宋体"/>
          <w:b/>
          <w:sz w:val="22"/>
          <w:szCs w:val="22"/>
          <w:highlight w:val="none"/>
          <w:u w:val="none"/>
        </w:rPr>
        <w:t>项目名称：</w:t>
      </w:r>
      <w:r>
        <w:rPr>
          <w:rFonts w:hint="eastAsia" w:ascii="宋体" w:hAnsi="宋体" w:eastAsia="宋体" w:cs="宋体"/>
          <w:b/>
          <w:color w:val="FF0000"/>
          <w:sz w:val="22"/>
          <w:szCs w:val="22"/>
          <w:highlight w:val="none"/>
          <w:u w:val="none"/>
        </w:rPr>
        <w:t xml:space="preserve"> </w:t>
      </w:r>
    </w:p>
    <w:p>
      <w:pPr>
        <w:spacing w:line="460" w:lineRule="exact"/>
        <w:ind w:left="2469" w:leftChars="650" w:hanging="1104" w:hangingChars="500"/>
        <w:rPr>
          <w:rFonts w:hint="eastAsia" w:ascii="宋体" w:hAnsi="宋体" w:eastAsia="宋体" w:cs="宋体"/>
          <w:b/>
          <w:sz w:val="22"/>
          <w:szCs w:val="22"/>
          <w:highlight w:val="none"/>
          <w:u w:val="none"/>
        </w:rPr>
      </w:pPr>
      <w:r>
        <w:rPr>
          <w:rFonts w:hint="eastAsia" w:ascii="宋体" w:hAnsi="宋体" w:eastAsia="宋体" w:cs="宋体"/>
          <w:b/>
          <w:sz w:val="22"/>
          <w:szCs w:val="22"/>
          <w:highlight w:val="none"/>
          <w:u w:val="none"/>
        </w:rPr>
        <w:t>项目编号：</w:t>
      </w:r>
    </w:p>
    <w:p>
      <w:pPr>
        <w:spacing w:line="460" w:lineRule="exact"/>
        <w:ind w:left="2469" w:leftChars="650" w:hanging="1104" w:hangingChars="500"/>
        <w:rPr>
          <w:rFonts w:hint="eastAsia" w:ascii="宋体" w:hAnsi="宋体" w:eastAsia="宋体" w:cs="宋体"/>
          <w:b/>
          <w:sz w:val="22"/>
          <w:szCs w:val="22"/>
          <w:highlight w:val="none"/>
          <w:u w:val="none"/>
        </w:rPr>
      </w:pPr>
      <w:r>
        <w:rPr>
          <w:rFonts w:hint="eastAsia" w:ascii="宋体" w:hAnsi="宋体" w:eastAsia="宋体" w:cs="宋体"/>
          <w:b/>
          <w:sz w:val="22"/>
          <w:szCs w:val="22"/>
          <w:highlight w:val="none"/>
          <w:u w:val="none"/>
        </w:rPr>
        <w:t xml:space="preserve">签订地点： </w:t>
      </w:r>
    </w:p>
    <w:p>
      <w:pPr>
        <w:spacing w:line="460" w:lineRule="exact"/>
        <w:ind w:left="2469" w:leftChars="650" w:hanging="1104" w:hangingChars="500"/>
        <w:rPr>
          <w:rFonts w:hint="eastAsia" w:ascii="宋体" w:hAnsi="宋体" w:eastAsia="宋体" w:cs="宋体"/>
          <w:b/>
          <w:sz w:val="22"/>
          <w:szCs w:val="22"/>
          <w:highlight w:val="none"/>
          <w:u w:val="none"/>
        </w:rPr>
      </w:pPr>
      <w:r>
        <w:rPr>
          <w:rFonts w:hint="eastAsia" w:ascii="宋体" w:hAnsi="宋体" w:eastAsia="宋体" w:cs="宋体"/>
          <w:b/>
          <w:sz w:val="22"/>
          <w:szCs w:val="22"/>
          <w:highlight w:val="none"/>
          <w:u w:val="none"/>
        </w:rPr>
        <w:t>签订时间：</w:t>
      </w:r>
    </w:p>
    <w:p>
      <w:pPr>
        <w:spacing w:line="340" w:lineRule="exact"/>
        <w:ind w:firstLine="420"/>
        <w:jc w:val="center"/>
        <w:rPr>
          <w:rFonts w:hint="eastAsia" w:ascii="宋体" w:hAnsi="宋体" w:eastAsia="宋体" w:cs="宋体"/>
          <w:b/>
          <w:sz w:val="28"/>
          <w:szCs w:val="28"/>
          <w:highlight w:val="none"/>
          <w:u w:val="none"/>
        </w:rPr>
      </w:pPr>
      <w:r>
        <w:rPr>
          <w:rFonts w:hint="eastAsia" w:ascii="宋体" w:hAnsi="宋体" w:eastAsia="宋体" w:cs="宋体"/>
          <w:b/>
          <w:sz w:val="28"/>
          <w:szCs w:val="28"/>
          <w:highlight w:val="none"/>
          <w:u w:val="none"/>
        </w:rPr>
        <w:t xml:space="preserve"> </w:t>
      </w:r>
    </w:p>
    <w:p>
      <w:pPr>
        <w:suppressAutoHyphens/>
        <w:snapToGrid w:val="0"/>
        <w:spacing w:line="360" w:lineRule="exact"/>
        <w:rPr>
          <w:rFonts w:hint="eastAsia" w:ascii="宋体" w:hAnsi="宋体" w:eastAsia="宋体" w:cs="宋体"/>
          <w:highlight w:val="none"/>
          <w:u w:val="none"/>
        </w:rPr>
      </w:pPr>
      <w:r>
        <w:rPr>
          <w:rFonts w:hint="eastAsia" w:ascii="宋体" w:hAnsi="宋体" w:eastAsia="宋体" w:cs="宋体"/>
          <w:highlight w:val="none"/>
          <w:u w:val="none"/>
        </w:rPr>
        <w:t xml:space="preserve"> </w:t>
      </w:r>
    </w:p>
    <w:p>
      <w:pPr>
        <w:widowControl/>
        <w:jc w:val="left"/>
        <w:rPr>
          <w:rFonts w:hint="eastAsia" w:ascii="宋体" w:hAnsi="宋体" w:eastAsia="宋体" w:cs="宋体"/>
          <w:b/>
          <w:bCs/>
          <w:sz w:val="44"/>
          <w:szCs w:val="44"/>
          <w:highlight w:val="none"/>
          <w:u w:val="none"/>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highlight w:val="none"/>
          <w:u w:val="none"/>
        </w:rPr>
      </w:pPr>
      <w:r>
        <w:rPr>
          <w:rFonts w:hint="eastAsia" w:ascii="宋体" w:hAnsi="宋体" w:eastAsia="宋体" w:cs="宋体"/>
          <w:b/>
          <w:bCs/>
          <w:sz w:val="44"/>
          <w:szCs w:val="44"/>
          <w:highlight w:val="none"/>
          <w:u w:val="none"/>
        </w:rPr>
        <w:t>目       录</w:t>
      </w:r>
    </w:p>
    <w:p>
      <w:pPr>
        <w:spacing w:line="600" w:lineRule="exact"/>
        <w:ind w:firstLine="2311" w:firstLineChars="642"/>
        <w:rPr>
          <w:rFonts w:hint="eastAsia" w:ascii="宋体" w:hAnsi="宋体" w:eastAsia="宋体" w:cs="宋体"/>
          <w:spacing w:val="40"/>
          <w:sz w:val="28"/>
          <w:szCs w:val="28"/>
          <w:highlight w:val="none"/>
          <w:u w:val="none"/>
        </w:rPr>
      </w:pPr>
      <w:r>
        <w:rPr>
          <w:rFonts w:hint="eastAsia" w:ascii="宋体" w:hAnsi="宋体" w:eastAsia="宋体" w:cs="宋体"/>
          <w:spacing w:val="40"/>
          <w:sz w:val="28"/>
          <w:szCs w:val="28"/>
          <w:highlight w:val="none"/>
          <w:u w:val="none"/>
        </w:rPr>
        <w:t xml:space="preserve"> </w:t>
      </w:r>
    </w:p>
    <w:p>
      <w:pPr>
        <w:spacing w:line="480" w:lineRule="auto"/>
        <w:ind w:firstLine="2311" w:firstLineChars="642"/>
        <w:rPr>
          <w:rFonts w:hint="eastAsia" w:ascii="宋体" w:hAnsi="宋体" w:eastAsia="宋体" w:cs="宋体"/>
          <w:spacing w:val="40"/>
          <w:sz w:val="28"/>
          <w:szCs w:val="28"/>
          <w:highlight w:val="none"/>
          <w:u w:val="none"/>
        </w:rPr>
      </w:pPr>
      <w:r>
        <w:rPr>
          <w:rFonts w:hint="eastAsia" w:ascii="宋体" w:hAnsi="宋体" w:eastAsia="宋体" w:cs="宋体"/>
          <w:spacing w:val="40"/>
          <w:sz w:val="28"/>
          <w:szCs w:val="28"/>
          <w:highlight w:val="none"/>
          <w:u w:val="none"/>
        </w:rPr>
        <w:t xml:space="preserve"> </w:t>
      </w:r>
    </w:p>
    <w:p>
      <w:pPr>
        <w:spacing w:line="480" w:lineRule="auto"/>
        <w:ind w:firstLine="2800" w:firstLineChars="1000"/>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第一部分  合同主要条款</w:t>
      </w:r>
    </w:p>
    <w:p>
      <w:pPr>
        <w:spacing w:line="480" w:lineRule="auto"/>
        <w:ind w:firstLine="2800" w:firstLineChars="1000"/>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第二部分  合同附件</w:t>
      </w:r>
    </w:p>
    <w:p>
      <w:pPr>
        <w:spacing w:line="480" w:lineRule="auto"/>
        <w:ind w:firstLine="2880" w:firstLineChars="1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附件1：项目采购需求</w:t>
      </w:r>
    </w:p>
    <w:p>
      <w:pPr>
        <w:spacing w:line="480" w:lineRule="auto"/>
        <w:ind w:firstLine="2880" w:firstLineChars="1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附件2：</w:t>
      </w:r>
      <w:r>
        <w:rPr>
          <w:rFonts w:hint="eastAsia" w:ascii="宋体" w:hAnsi="宋体" w:eastAsia="宋体" w:cs="宋体"/>
          <w:sz w:val="24"/>
          <w:szCs w:val="24"/>
          <w:highlight w:val="none"/>
          <w:u w:val="none"/>
          <w:lang w:val="en-US" w:eastAsia="zh-CN"/>
        </w:rPr>
        <w:t>竞标声明</w:t>
      </w:r>
    </w:p>
    <w:p>
      <w:pPr>
        <w:spacing w:line="480" w:lineRule="auto"/>
        <w:ind w:firstLine="2880" w:firstLineChars="1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附件3：</w:t>
      </w:r>
      <w:r>
        <w:rPr>
          <w:rFonts w:hint="eastAsia" w:ascii="宋体" w:hAnsi="宋体" w:eastAsia="宋体" w:cs="宋体"/>
          <w:sz w:val="24"/>
          <w:szCs w:val="24"/>
          <w:highlight w:val="none"/>
          <w:u w:val="none"/>
          <w:lang w:val="en-US" w:eastAsia="zh-CN"/>
        </w:rPr>
        <w:t>竞标</w:t>
      </w:r>
      <w:r>
        <w:rPr>
          <w:rFonts w:hint="eastAsia" w:ascii="宋体" w:hAnsi="宋体" w:eastAsia="宋体" w:cs="宋体"/>
          <w:sz w:val="24"/>
          <w:szCs w:val="24"/>
          <w:highlight w:val="none"/>
          <w:u w:val="none"/>
        </w:rPr>
        <w:t>报价表</w:t>
      </w:r>
    </w:p>
    <w:p>
      <w:pPr>
        <w:spacing w:line="480" w:lineRule="auto"/>
        <w:ind w:firstLine="2880" w:firstLineChars="1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附件4：商务、技术</w:t>
      </w:r>
      <w:r>
        <w:rPr>
          <w:rFonts w:hint="eastAsia" w:ascii="宋体" w:hAnsi="宋体" w:eastAsia="宋体" w:cs="宋体"/>
          <w:sz w:val="24"/>
          <w:szCs w:val="24"/>
          <w:highlight w:val="none"/>
          <w:u w:val="none"/>
          <w:lang w:val="en-US" w:eastAsia="zh-CN"/>
        </w:rPr>
        <w:t>要求偏离</w:t>
      </w:r>
      <w:r>
        <w:rPr>
          <w:rFonts w:hint="eastAsia" w:ascii="宋体" w:hAnsi="宋体" w:eastAsia="宋体" w:cs="宋体"/>
          <w:sz w:val="24"/>
          <w:szCs w:val="24"/>
          <w:highlight w:val="none"/>
          <w:u w:val="none"/>
        </w:rPr>
        <w:t>表</w:t>
      </w:r>
    </w:p>
    <w:p>
      <w:pPr>
        <w:spacing w:line="480" w:lineRule="auto"/>
        <w:ind w:firstLine="2880" w:firstLineChars="1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附件5：售后服务承诺</w:t>
      </w:r>
    </w:p>
    <w:p>
      <w:pPr>
        <w:spacing w:line="480" w:lineRule="auto"/>
        <w:ind w:firstLine="2880" w:firstLineChars="1200"/>
        <w:rPr>
          <w:rFonts w:hint="eastAsia" w:ascii="宋体" w:hAnsi="宋体" w:eastAsia="宋体" w:cs="宋体"/>
          <w:highlight w:val="none"/>
          <w:u w:val="none"/>
        </w:rPr>
      </w:pPr>
      <w:r>
        <w:rPr>
          <w:rFonts w:hint="eastAsia" w:ascii="宋体" w:hAnsi="宋体" w:eastAsia="宋体" w:cs="宋体"/>
          <w:sz w:val="24"/>
          <w:szCs w:val="24"/>
          <w:highlight w:val="none"/>
          <w:u w:val="none"/>
        </w:rPr>
        <w:t>附件6：成交通知书</w:t>
      </w:r>
    </w:p>
    <w:p>
      <w:pPr>
        <w:widowControl/>
        <w:spacing w:line="480" w:lineRule="auto"/>
        <w:jc w:val="left"/>
        <w:rPr>
          <w:rFonts w:hint="eastAsia" w:ascii="宋体" w:hAnsi="宋体" w:eastAsia="宋体" w:cs="宋体"/>
          <w:sz w:val="24"/>
          <w:szCs w:val="24"/>
          <w:highlight w:val="none"/>
          <w:u w:val="none"/>
        </w:rPr>
        <w:sectPr>
          <w:pgSz w:w="11906" w:h="16838"/>
          <w:pgMar w:top="1440" w:right="1800" w:bottom="1440" w:left="1800" w:header="851" w:footer="992" w:gutter="0"/>
          <w:cols w:space="720" w:num="1"/>
          <w:docGrid w:type="lines" w:linePitch="312" w:charSpace="0"/>
        </w:sectPr>
      </w:pPr>
    </w:p>
    <w:p>
      <w:pPr>
        <w:spacing w:before="120" w:line="320" w:lineRule="atLeast"/>
        <w:ind w:firstLine="560" w:firstLineChars="200"/>
        <w:jc w:val="center"/>
        <w:outlineLvl w:val="1"/>
        <w:rPr>
          <w:rFonts w:hint="eastAsia" w:ascii="宋体" w:hAnsi="宋体" w:eastAsia="宋体" w:cs="宋体"/>
          <w:b/>
          <w:bCs/>
          <w:kern w:val="0"/>
          <w:sz w:val="36"/>
          <w:szCs w:val="36"/>
          <w:highlight w:val="none"/>
          <w:u w:val="none"/>
        </w:rPr>
      </w:pPr>
      <w:r>
        <w:rPr>
          <w:rFonts w:hint="eastAsia" w:ascii="宋体" w:hAnsi="宋体" w:eastAsia="宋体" w:cs="宋体"/>
          <w:sz w:val="28"/>
          <w:szCs w:val="28"/>
          <w:highlight w:val="none"/>
          <w:u w:val="none"/>
        </w:rPr>
        <w:t>第一部分  合同主要条款</w:t>
      </w:r>
    </w:p>
    <w:p>
      <w:pPr>
        <w:spacing w:before="120" w:line="320" w:lineRule="atLeast"/>
        <w:ind w:firstLine="723" w:firstLineChars="200"/>
        <w:jc w:val="center"/>
        <w:outlineLvl w:val="1"/>
        <w:rPr>
          <w:rFonts w:hint="eastAsia" w:ascii="宋体" w:hAnsi="宋体" w:eastAsia="宋体" w:cs="宋体"/>
          <w:b/>
          <w:bCs/>
          <w:kern w:val="0"/>
          <w:sz w:val="36"/>
          <w:szCs w:val="36"/>
          <w:highlight w:val="none"/>
          <w:u w:val="none"/>
        </w:rPr>
      </w:pPr>
      <w:r>
        <w:rPr>
          <w:rFonts w:hint="eastAsia" w:ascii="宋体" w:hAnsi="宋体" w:eastAsia="宋体" w:cs="宋体"/>
          <w:b/>
          <w:bCs/>
          <w:kern w:val="0"/>
          <w:sz w:val="36"/>
          <w:szCs w:val="36"/>
          <w:highlight w:val="none"/>
          <w:u w:val="none"/>
        </w:rPr>
        <w:t>广西壮族自治区政府采购合同</w:t>
      </w:r>
    </w:p>
    <w:p>
      <w:pPr>
        <w:snapToGrid w:val="0"/>
        <w:spacing w:line="360" w:lineRule="exact"/>
        <w:ind w:right="480"/>
        <w:jc w:val="left"/>
        <w:rPr>
          <w:rFonts w:hint="eastAsia" w:ascii="宋体" w:hAnsi="宋体" w:eastAsia="宋体" w:cs="宋体"/>
          <w:bCs/>
          <w:highlight w:val="none"/>
          <w:u w:val="none"/>
        </w:rPr>
      </w:pPr>
      <w:r>
        <w:rPr>
          <w:rFonts w:hint="eastAsia" w:ascii="宋体" w:hAnsi="宋体" w:eastAsia="宋体" w:cs="宋体"/>
          <w:bCs/>
          <w:highlight w:val="none"/>
          <w:u w:val="none"/>
        </w:rPr>
        <w:t xml:space="preserve"> </w:t>
      </w:r>
    </w:p>
    <w:p>
      <w:pPr>
        <w:snapToGrid w:val="0"/>
        <w:spacing w:line="360" w:lineRule="exact"/>
        <w:ind w:right="48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 xml:space="preserve">合同编号：                                           </w:t>
      </w:r>
    </w:p>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采购单位（甲方）：广西壮族自治区工业和信息化厅  </w:t>
      </w:r>
    </w:p>
    <w:p>
      <w:pPr>
        <w:autoSpaceDE w:val="0"/>
        <w:snapToGrid w:val="0"/>
        <w:spacing w:line="440" w:lineRule="exact"/>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供 应 商（乙方）：                             </w:t>
      </w:r>
    </w:p>
    <w:p>
      <w:pPr>
        <w:autoSpaceDE w:val="0"/>
        <w:snapToGrid w:val="0"/>
        <w:spacing w:line="440" w:lineRule="exact"/>
        <w:jc w:val="left"/>
        <w:rPr>
          <w:rFonts w:hint="eastAsia" w:ascii="宋体" w:hAnsi="宋体" w:eastAsia="宋体" w:cs="宋体"/>
          <w:sz w:val="24"/>
          <w:szCs w:val="24"/>
          <w:highlight w:val="none"/>
          <w:u w:val="none"/>
        </w:rPr>
      </w:pPr>
      <w:r>
        <w:rPr>
          <w:rFonts w:hint="eastAsia" w:ascii="宋体" w:hAnsi="宋体" w:eastAsia="宋体" w:cs="宋体"/>
          <w:spacing w:val="-20"/>
          <w:sz w:val="24"/>
          <w:szCs w:val="24"/>
          <w:highlight w:val="none"/>
          <w:u w:val="none"/>
        </w:rPr>
        <w:t>采购计划号：</w:t>
      </w:r>
      <w:r>
        <w:rPr>
          <w:rFonts w:hint="eastAsia" w:ascii="宋体" w:hAnsi="宋体" w:eastAsia="宋体" w:cs="宋体"/>
          <w:sz w:val="24"/>
          <w:szCs w:val="24"/>
          <w:highlight w:val="none"/>
          <w:u w:val="none"/>
        </w:rPr>
        <w:t xml:space="preserve">                       项目</w:t>
      </w:r>
      <w:r>
        <w:rPr>
          <w:rFonts w:hint="eastAsia" w:ascii="宋体" w:hAnsi="宋体" w:eastAsia="宋体" w:cs="宋体"/>
          <w:spacing w:val="-20"/>
          <w:sz w:val="24"/>
          <w:szCs w:val="24"/>
          <w:highlight w:val="none"/>
          <w:u w:val="none"/>
        </w:rPr>
        <w:t>编号：</w:t>
      </w:r>
      <w:r>
        <w:rPr>
          <w:rFonts w:hint="eastAsia" w:ascii="宋体" w:hAnsi="宋体" w:eastAsia="宋体" w:cs="宋体"/>
          <w:sz w:val="24"/>
          <w:szCs w:val="24"/>
          <w:highlight w:val="none"/>
          <w:u w:val="none"/>
        </w:rPr>
        <w:t xml:space="preserve">                      </w:t>
      </w:r>
    </w:p>
    <w:p>
      <w:pPr>
        <w:autoSpaceDE w:val="0"/>
        <w:snapToGrid w:val="0"/>
        <w:spacing w:line="440" w:lineRule="exact"/>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项目名称：                                  </w:t>
      </w:r>
    </w:p>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签订地点：南宁市                     签订时间：       年   月  日 </w:t>
      </w:r>
    </w:p>
    <w:p>
      <w:pPr>
        <w:snapToGrid w:val="0"/>
        <w:spacing w:line="36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 </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根据《中华人民共和国政府采购法》、《政府采购竞争性磋商采购方式管理暂行办法》、《中华人民共和国民法典》等法律、法规规定，按照</w:t>
      </w:r>
      <w:r>
        <w:rPr>
          <w:rFonts w:hint="eastAsia" w:ascii="宋体" w:hAnsi="宋体" w:eastAsia="宋体" w:cs="宋体"/>
          <w:sz w:val="24"/>
          <w:szCs w:val="24"/>
          <w:highlight w:val="none"/>
          <w:u w:val="none"/>
          <w:lang w:eastAsia="zh-CN"/>
        </w:rPr>
        <w:t>竞争性磋商文件</w:t>
      </w:r>
      <w:r>
        <w:rPr>
          <w:rFonts w:hint="eastAsia" w:ascii="宋体" w:hAnsi="宋体" w:eastAsia="宋体" w:cs="宋体"/>
          <w:sz w:val="24"/>
          <w:szCs w:val="24"/>
          <w:highlight w:val="none"/>
          <w:u w:val="none"/>
        </w:rPr>
        <w:t>规定和乙方</w:t>
      </w:r>
      <w:r>
        <w:rPr>
          <w:rFonts w:hint="eastAsia" w:ascii="宋体" w:hAnsi="宋体" w:eastAsia="宋体" w:cs="宋体"/>
          <w:sz w:val="24"/>
          <w:szCs w:val="24"/>
          <w:highlight w:val="none"/>
          <w:u w:val="none"/>
          <w:lang w:eastAsia="zh-CN"/>
        </w:rPr>
        <w:t>响应文件</w:t>
      </w:r>
      <w:r>
        <w:rPr>
          <w:rFonts w:hint="eastAsia" w:ascii="宋体" w:hAnsi="宋体" w:eastAsia="宋体" w:cs="宋体"/>
          <w:sz w:val="24"/>
          <w:szCs w:val="24"/>
          <w:highlight w:val="none"/>
          <w:u w:val="none"/>
        </w:rPr>
        <w:t>及其承诺，甲乙双</w:t>
      </w:r>
      <w:r>
        <w:rPr>
          <w:rFonts w:hint="eastAsia" w:ascii="宋体" w:hAnsi="宋体" w:eastAsia="宋体" w:cs="宋体"/>
          <w:b w:val="0"/>
          <w:bCs w:val="0"/>
          <w:sz w:val="24"/>
          <w:szCs w:val="24"/>
          <w:highlight w:val="none"/>
          <w:u w:val="none"/>
        </w:rPr>
        <w:t>方</w:t>
      </w:r>
      <w:r>
        <w:rPr>
          <w:rFonts w:hint="eastAsia" w:ascii="宋体" w:hAnsi="宋体" w:eastAsia="宋体" w:cs="宋体"/>
          <w:b w:val="0"/>
          <w:bCs w:val="0"/>
          <w:sz w:val="24"/>
          <w:szCs w:val="24"/>
          <w:highlight w:val="none"/>
          <w:u w:val="none"/>
          <w:lang w:eastAsia="zh-CN"/>
        </w:rPr>
        <w:t>经友好协商，就</w:t>
      </w:r>
      <w:r>
        <w:rPr>
          <w:rFonts w:hint="eastAsia" w:ascii="宋体" w:hAnsi="宋体" w:eastAsia="宋体" w:cs="宋体"/>
          <w:b w:val="0"/>
          <w:bCs w:val="0"/>
          <w:sz w:val="24"/>
          <w:szCs w:val="24"/>
          <w:highlight w:val="none"/>
          <w:u w:val="none"/>
          <w:lang w:val="en-US" w:eastAsia="zh-CN"/>
        </w:rPr>
        <w:t xml:space="preserve">     项目（项目合同编号      ）采购相关事宜，达成如下条款，供双方共同遵守</w:t>
      </w:r>
      <w:r>
        <w:rPr>
          <w:rFonts w:hint="eastAsia" w:ascii="宋体" w:hAnsi="宋体" w:eastAsia="宋体" w:cs="宋体"/>
          <w:b w:val="0"/>
          <w:bCs w:val="0"/>
          <w:sz w:val="24"/>
          <w:szCs w:val="24"/>
          <w:highlight w:val="none"/>
          <w:u w:val="none"/>
        </w:rPr>
        <w:t>。</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第一条 合同标的</w:t>
      </w:r>
    </w:p>
    <w:p>
      <w:pPr>
        <w:snapToGrid w:val="0"/>
        <w:spacing w:line="44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1.服务内容一览表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32"/>
        <w:gridCol w:w="2508"/>
        <w:gridCol w:w="850"/>
        <w:gridCol w:w="759"/>
        <w:gridCol w:w="12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项目名称</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服务内容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数量</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单价（元）</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2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25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eastAsia="宋体" w:cs="宋体"/>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5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人民币合计金额（大写）                          （小写）            </w:t>
            </w:r>
          </w:p>
        </w:tc>
      </w:tr>
    </w:tbl>
    <w:p>
      <w:pPr>
        <w:pStyle w:val="11"/>
        <w:autoSpaceDE w:val="0"/>
        <w:spacing w:line="440" w:lineRule="exact"/>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sz w:val="24"/>
          <w:szCs w:val="24"/>
          <w:highlight w:val="none"/>
          <w:u w:val="none"/>
        </w:rPr>
        <w:t>2.合同价格形式：</w:t>
      </w:r>
      <w:r>
        <w:rPr>
          <w:rFonts w:hint="eastAsia" w:ascii="宋体" w:hAnsi="宋体" w:eastAsia="宋体" w:cs="宋体"/>
          <w:b w:val="0"/>
          <w:bCs w:val="0"/>
          <w:sz w:val="24"/>
          <w:szCs w:val="24"/>
          <w:highlight w:val="none"/>
          <w:u w:val="none"/>
          <w:lang w:eastAsia="zh-CN"/>
        </w:rPr>
        <w:t>合同总价为人民币</w:t>
      </w:r>
      <w:r>
        <w:rPr>
          <w:rFonts w:hint="eastAsia" w:ascii="宋体" w:hAnsi="宋体" w:eastAsia="宋体" w:cs="宋体"/>
          <w:b w:val="0"/>
          <w:bCs w:val="0"/>
          <w:sz w:val="24"/>
          <w:szCs w:val="24"/>
          <w:highlight w:val="none"/>
          <w:u w:val="none"/>
          <w:lang w:val="en-US" w:eastAsia="zh-CN"/>
        </w:rPr>
        <w:t xml:space="preserve">       元，此价格为</w:t>
      </w:r>
      <w:r>
        <w:rPr>
          <w:rFonts w:hint="eastAsia" w:ascii="宋体" w:hAnsi="宋体" w:eastAsia="宋体" w:cs="宋体"/>
          <w:b w:val="0"/>
          <w:bCs w:val="0"/>
          <w:sz w:val="24"/>
          <w:szCs w:val="24"/>
          <w:highlight w:val="none"/>
          <w:u w:val="none"/>
        </w:rPr>
        <w:t>固定总价</w:t>
      </w:r>
      <w:r>
        <w:rPr>
          <w:rFonts w:hint="eastAsia" w:ascii="宋体" w:hAnsi="宋体" w:eastAsia="宋体" w:cs="宋体"/>
          <w:b w:val="0"/>
          <w:bCs w:val="0"/>
          <w:sz w:val="24"/>
          <w:szCs w:val="24"/>
          <w:highlight w:val="none"/>
          <w:u w:val="none"/>
          <w:lang w:eastAsia="zh-CN"/>
        </w:rPr>
        <w:t>，不会因为市场变化或者其他因素调整。</w:t>
      </w:r>
      <w:r>
        <w:rPr>
          <w:rFonts w:hint="eastAsia" w:ascii="宋体" w:hAnsi="宋体" w:eastAsia="宋体" w:cs="宋体"/>
          <w:b w:val="0"/>
          <w:bCs w:val="0"/>
          <w:sz w:val="24"/>
          <w:szCs w:val="24"/>
          <w:highlight w:val="none"/>
          <w:u w:val="none"/>
        </w:rPr>
        <w:t xml:space="preserve"> </w:t>
      </w:r>
    </w:p>
    <w:p>
      <w:pPr>
        <w:pStyle w:val="11"/>
        <w:autoSpaceDE w:val="0"/>
        <w:spacing w:line="440" w:lineRule="exact"/>
        <w:ind w:firstLine="480" w:firstLineChars="200"/>
        <w:jc w:val="left"/>
        <w:rPr>
          <w:rFonts w:hint="eastAsia" w:ascii="宋体" w:hAnsi="宋体" w:eastAsia="宋体" w:cs="宋体"/>
          <w:b/>
          <w:sz w:val="24"/>
          <w:szCs w:val="24"/>
          <w:highlight w:val="none"/>
          <w:u w:val="none"/>
        </w:rPr>
      </w:pPr>
      <w:r>
        <w:rPr>
          <w:rFonts w:hint="eastAsia" w:ascii="宋体" w:hAnsi="宋体" w:eastAsia="宋体" w:cs="宋体"/>
          <w:sz w:val="24"/>
          <w:szCs w:val="24"/>
          <w:highlight w:val="none"/>
          <w:u w:val="none"/>
        </w:rPr>
        <w:t>3.合同合计金额包括服务、备件、专用工具、安装调试、检验、技术培训、技术资料、包装、运输、税金等等类似服务内容的全部费用。如</w:t>
      </w:r>
      <w:r>
        <w:rPr>
          <w:rFonts w:hint="eastAsia" w:ascii="宋体" w:hAnsi="宋体" w:eastAsia="宋体" w:cs="宋体"/>
          <w:sz w:val="24"/>
          <w:szCs w:val="24"/>
          <w:highlight w:val="none"/>
          <w:u w:val="none"/>
          <w:lang w:eastAsia="zh-CN"/>
        </w:rPr>
        <w:t>竞争性磋商文件</w:t>
      </w:r>
      <w:r>
        <w:rPr>
          <w:rFonts w:hint="eastAsia" w:ascii="宋体" w:hAnsi="宋体" w:eastAsia="宋体" w:cs="宋体"/>
          <w:sz w:val="24"/>
          <w:szCs w:val="24"/>
          <w:highlight w:val="none"/>
          <w:u w:val="none"/>
        </w:rPr>
        <w:t xml:space="preserve">对其另有规定的，从其规定。 </w:t>
      </w:r>
    </w:p>
    <w:p>
      <w:pPr>
        <w:autoSpaceDE w:val="0"/>
        <w:snapToGrid w:val="0"/>
        <w:spacing w:line="440" w:lineRule="exact"/>
        <w:ind w:firstLine="482" w:firstLineChars="200"/>
        <w:jc w:val="left"/>
        <w:rPr>
          <w:rFonts w:hint="eastAsia" w:ascii="宋体" w:hAnsi="宋体" w:eastAsia="宋体" w:cs="宋体"/>
          <w:sz w:val="24"/>
          <w:szCs w:val="24"/>
          <w:highlight w:val="none"/>
          <w:u w:val="none"/>
        </w:rPr>
      </w:pPr>
      <w:r>
        <w:rPr>
          <w:rFonts w:hint="eastAsia" w:ascii="宋体" w:hAnsi="宋体" w:eastAsia="宋体" w:cs="宋体"/>
          <w:b/>
          <w:sz w:val="24"/>
          <w:szCs w:val="24"/>
          <w:highlight w:val="none"/>
          <w:u w:val="none"/>
        </w:rPr>
        <w:t>第二条  质量保证</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1.乙方所提供的服务内容必须与</w:t>
      </w:r>
      <w:r>
        <w:rPr>
          <w:rFonts w:hint="eastAsia" w:ascii="宋体" w:hAnsi="宋体" w:eastAsia="宋体" w:cs="宋体"/>
          <w:sz w:val="24"/>
          <w:szCs w:val="24"/>
          <w:highlight w:val="none"/>
          <w:u w:val="none"/>
          <w:lang w:eastAsia="zh-CN"/>
        </w:rPr>
        <w:t>竞争性磋商文件</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eastAsia="zh-CN"/>
        </w:rPr>
        <w:t>响应文件</w:t>
      </w:r>
      <w:r>
        <w:rPr>
          <w:rFonts w:hint="eastAsia" w:ascii="宋体" w:hAnsi="宋体" w:eastAsia="宋体" w:cs="宋体"/>
          <w:sz w:val="24"/>
          <w:szCs w:val="24"/>
          <w:highlight w:val="none"/>
          <w:u w:val="none"/>
        </w:rPr>
        <w:t>和承诺相一致且符合相应的服务规范及标准。</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2.乙方提供不符合</w:t>
      </w:r>
      <w:r>
        <w:rPr>
          <w:rFonts w:hint="eastAsia" w:ascii="宋体" w:hAnsi="宋体" w:eastAsia="宋体" w:cs="宋体"/>
          <w:sz w:val="24"/>
          <w:szCs w:val="24"/>
          <w:highlight w:val="none"/>
          <w:u w:val="none"/>
          <w:lang w:eastAsia="zh-CN"/>
        </w:rPr>
        <w:t>响应文件</w:t>
      </w:r>
      <w:r>
        <w:rPr>
          <w:rFonts w:hint="eastAsia" w:ascii="宋体" w:hAnsi="宋体" w:eastAsia="宋体" w:cs="宋体"/>
          <w:sz w:val="24"/>
          <w:szCs w:val="24"/>
          <w:highlight w:val="none"/>
          <w:u w:val="none"/>
        </w:rPr>
        <w:t>和本合同规定的服务内容，甲方有权拒绝接受。</w:t>
      </w:r>
    </w:p>
    <w:p>
      <w:pPr>
        <w:pStyle w:val="2"/>
        <w:rPr>
          <w:rFonts w:hint="eastAsia" w:ascii="宋体" w:hAnsi="宋体" w:eastAsia="宋体" w:cs="宋体"/>
          <w:sz w:val="24"/>
          <w:szCs w:val="24"/>
          <w:highlight w:val="none"/>
          <w:u w:val="none"/>
        </w:rPr>
      </w:pPr>
      <w:r>
        <w:rPr>
          <w:rFonts w:hint="eastAsia" w:ascii="宋体" w:hAnsi="宋体" w:eastAsia="宋体" w:cs="宋体"/>
          <w:highlight w:val="none"/>
          <w:u w:val="none"/>
        </w:rPr>
        <w:t xml:space="preserve">   </w:t>
      </w:r>
      <w:r>
        <w:rPr>
          <w:rFonts w:hint="eastAsia" w:ascii="宋体" w:hAnsi="宋体" w:eastAsia="宋体" w:cs="宋体"/>
          <w:sz w:val="24"/>
          <w:szCs w:val="24"/>
          <w:highlight w:val="none"/>
          <w:u w:val="none"/>
        </w:rPr>
        <w:t xml:space="preserve">  3</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乙方提供的商品或者服务有欺诈行为，甲方有权要求乙方赔偿的金额为本合同总金额的三倍。</w:t>
      </w:r>
    </w:p>
    <w:p>
      <w:pPr>
        <w:pStyle w:val="2"/>
        <w:ind w:firstLine="480" w:firstLineChars="200"/>
        <w:rPr>
          <w:rFonts w:hint="eastAsia" w:ascii="宋体" w:hAnsi="宋体" w:eastAsia="宋体" w:cs="宋体"/>
          <w:b w:val="0"/>
          <w:bCs w:val="0"/>
          <w:color w:val="FF000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4.乙方提供的服务造成他人财产、人身损害的，应承担赔偿责任。</w:t>
      </w:r>
    </w:p>
    <w:p>
      <w:pPr>
        <w:jc w:val="left"/>
        <w:rPr>
          <w:rFonts w:hint="eastAsia" w:ascii="宋体" w:hAnsi="宋体" w:eastAsia="宋体" w:cs="宋体"/>
          <w:highlight w:val="none"/>
          <w:u w:val="none"/>
        </w:rPr>
      </w:pPr>
    </w:p>
    <w:p>
      <w:pPr>
        <w:autoSpaceDE w:val="0"/>
        <w:snapToGrid w:val="0"/>
        <w:spacing w:line="440" w:lineRule="exact"/>
        <w:ind w:firstLine="482" w:firstLineChars="200"/>
        <w:jc w:val="left"/>
        <w:rPr>
          <w:rFonts w:hint="eastAsia" w:ascii="宋体" w:hAnsi="宋体" w:eastAsia="宋体" w:cs="宋体"/>
          <w:sz w:val="24"/>
          <w:szCs w:val="24"/>
          <w:highlight w:val="none"/>
          <w:u w:val="none"/>
        </w:rPr>
      </w:pPr>
      <w:r>
        <w:rPr>
          <w:rFonts w:hint="eastAsia" w:ascii="宋体" w:hAnsi="宋体" w:eastAsia="宋体" w:cs="宋体"/>
          <w:b/>
          <w:sz w:val="24"/>
          <w:szCs w:val="24"/>
          <w:highlight w:val="none"/>
          <w:u w:val="none"/>
        </w:rPr>
        <w:t>第三条  权利保证</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1.乙方应保证所提供的服务在使用时不会侵犯任何第三方的专利权、商标权、工业设计权或其他权利。</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2.乙方应按</w:t>
      </w:r>
      <w:r>
        <w:rPr>
          <w:rFonts w:hint="eastAsia" w:ascii="宋体" w:hAnsi="宋体" w:eastAsia="宋体" w:cs="宋体"/>
          <w:sz w:val="24"/>
          <w:szCs w:val="24"/>
          <w:highlight w:val="none"/>
          <w:u w:val="none"/>
          <w:lang w:eastAsia="zh-CN"/>
        </w:rPr>
        <w:t>竞争性磋商文件</w:t>
      </w:r>
      <w:r>
        <w:rPr>
          <w:rFonts w:hint="eastAsia" w:ascii="宋体" w:hAnsi="宋体" w:eastAsia="宋体" w:cs="宋体"/>
          <w:sz w:val="24"/>
          <w:szCs w:val="24"/>
          <w:highlight w:val="none"/>
          <w:u w:val="none"/>
        </w:rPr>
        <w:t>规定的时间向甲方提供服务的有关技术资料。</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4.如采购项目涉及采购标的的知识产权归属的，产权归属为：甲方所有。</w:t>
      </w:r>
    </w:p>
    <w:p>
      <w:pPr>
        <w:pStyle w:val="11"/>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5.如果甲方在使用乙方提供的服务时，受到第三方提出的侵犯其知识产权的起诉，给甲方造成经济损失的，乙方应当赔偿甲方的经济损失。</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第四条  交付和验收</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1.服务期限：</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rPr>
        <w:t>。交付地点：</w:t>
      </w:r>
      <w:r>
        <w:rPr>
          <w:rFonts w:hint="eastAsia" w:ascii="宋体" w:hAnsi="宋体" w:eastAsia="宋体" w:cs="宋体"/>
          <w:bCs/>
          <w:sz w:val="24"/>
          <w:szCs w:val="24"/>
          <w:highlight w:val="none"/>
          <w:u w:val="single"/>
        </w:rPr>
        <w:t>甲方指定地点</w:t>
      </w:r>
      <w:r>
        <w:rPr>
          <w:rFonts w:hint="eastAsia" w:ascii="宋体" w:hAnsi="宋体" w:eastAsia="宋体" w:cs="宋体"/>
          <w:bCs/>
          <w:sz w:val="24"/>
          <w:szCs w:val="24"/>
          <w:highlight w:val="none"/>
          <w:u w:val="none"/>
        </w:rPr>
        <w:t>。</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2.乙方应按响应文件的承诺向甲方提供相应的服务，并提供所服务内容的相关技术资料。</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3.乙方提供不符合响应文件和本合同规定的服务成果，甲方有权拒绝接受。</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4.乙方完成服务后应及时书面通知甲方进行验收，验收合格后由甲乙双方签署验收单并加盖甲乙双方单位公章，甲乙双方各执一份。</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5.甲乙双方应按照《广西壮族自治区政府采购项目履约验收管理办法》、双方合同、响应文件验收。</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8.甲方验收时以书面形式提出异议的，乙方应自收到甲方书面异议后五个工作日内及时予以解决，否则甲方有权不出具服务验收合格单。</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 xml:space="preserve">第五条  履约保证金   </w:t>
      </w:r>
    </w:p>
    <w:p>
      <w:pPr>
        <w:autoSpaceDE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本合同履约保证金金额：无。</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第六条  税费</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本合同执行中相关的一切税费均由乙方负担。</w:t>
      </w:r>
    </w:p>
    <w:p>
      <w:pPr>
        <w:autoSpaceDE w:val="0"/>
        <w:snapToGrid w:val="0"/>
        <w:spacing w:line="440" w:lineRule="exact"/>
        <w:ind w:firstLine="482" w:firstLineChars="200"/>
        <w:jc w:val="left"/>
        <w:rPr>
          <w:rFonts w:hint="eastAsia" w:ascii="宋体" w:hAnsi="宋体" w:eastAsia="宋体" w:cs="宋体"/>
          <w:sz w:val="24"/>
          <w:szCs w:val="24"/>
          <w:highlight w:val="none"/>
          <w:u w:val="none"/>
        </w:rPr>
      </w:pPr>
      <w:r>
        <w:rPr>
          <w:rFonts w:hint="eastAsia" w:ascii="宋体" w:hAnsi="宋体" w:eastAsia="宋体" w:cs="宋体"/>
          <w:b/>
          <w:sz w:val="24"/>
          <w:szCs w:val="24"/>
          <w:highlight w:val="none"/>
          <w:u w:val="none"/>
        </w:rPr>
        <w:t>第七条  付款方式</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1.资金性质：财政性资金。</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2.付款方式：</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bookmarkStart w:id="194" w:name="OLE_LINK44"/>
      <w:r>
        <w:rPr>
          <w:rFonts w:hint="eastAsia" w:ascii="宋体" w:hAnsi="宋体" w:eastAsia="宋体" w:cs="宋体"/>
          <w:sz w:val="24"/>
          <w:szCs w:val="24"/>
          <w:highlight w:val="none"/>
          <w:u w:val="none"/>
        </w:rPr>
        <w:t>（1）合同签订后，甲方在合同生效后30个工作日内向乙方支付总价的50%（大写：          ）作为预付款，乙方在收到上述货款后10个工作日内开具等额发票给甲方。</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（2）乙方提供服务完毕且经验收合格后，向甲方申请支付尾款并附甲方出具的服务验收合格单，甲方收到乙方支付尾款申请书后30个工作日内支付合同剩余50%（大写：          ）尾款给乙方，乙方在收到上述尾款10个工作日内开具等额发票给甲方。</w:t>
      </w:r>
    </w:p>
    <w:bookmarkEnd w:id="194"/>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（3）货款支付形式为：转账。</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第八条  违约责任</w:t>
      </w:r>
    </w:p>
    <w:p>
      <w:pPr>
        <w:autoSpaceDE w:val="0"/>
        <w:snapToGrid w:val="0"/>
        <w:spacing w:line="440" w:lineRule="exact"/>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sz w:val="24"/>
          <w:szCs w:val="24"/>
          <w:highlight w:val="none"/>
          <w:u w:val="none"/>
        </w:rPr>
        <w:t>1.乙方提供的服务如侵犯了第三方合法权益而引发的任何纠纷或诉讼，均由乙方负责交</w:t>
      </w:r>
      <w:r>
        <w:rPr>
          <w:rFonts w:hint="eastAsia" w:ascii="宋体" w:hAnsi="宋体" w:eastAsia="宋体" w:cs="宋体"/>
          <w:bCs/>
          <w:color w:val="auto"/>
          <w:sz w:val="24"/>
          <w:szCs w:val="24"/>
          <w:highlight w:val="none"/>
          <w:u w:val="none"/>
        </w:rPr>
        <w:t>涉并承担全部责任。</w:t>
      </w:r>
    </w:p>
    <w:p>
      <w:pPr>
        <w:autoSpaceDE w:val="0"/>
        <w:snapToGrid w:val="0"/>
        <w:spacing w:line="440" w:lineRule="exact"/>
        <w:ind w:firstLine="480" w:firstLineChars="200"/>
        <w:jc w:val="left"/>
        <w:rPr>
          <w:rFonts w:hint="eastAsia" w:ascii="宋体" w:hAnsi="宋体" w:eastAsia="宋体" w:cs="宋体"/>
          <w:b/>
          <w:color w:val="auto"/>
          <w:sz w:val="24"/>
          <w:szCs w:val="24"/>
          <w:highlight w:val="none"/>
          <w:u w:val="none"/>
        </w:rPr>
      </w:pPr>
      <w:r>
        <w:rPr>
          <w:rFonts w:hint="eastAsia" w:ascii="宋体" w:hAnsi="宋体" w:eastAsia="宋体" w:cs="宋体"/>
          <w:bCs/>
          <w:color w:val="auto"/>
          <w:sz w:val="24"/>
          <w:szCs w:val="24"/>
          <w:highlight w:val="none"/>
          <w:u w:val="none"/>
        </w:rPr>
        <w:t>2.乙方未按本合同和</w:t>
      </w:r>
      <w:r>
        <w:rPr>
          <w:rFonts w:hint="eastAsia" w:ascii="宋体" w:hAnsi="宋体" w:eastAsia="宋体" w:cs="宋体"/>
          <w:bCs/>
          <w:color w:val="auto"/>
          <w:sz w:val="24"/>
          <w:szCs w:val="24"/>
          <w:highlight w:val="none"/>
          <w:u w:val="none"/>
          <w:lang w:eastAsia="zh-CN"/>
        </w:rPr>
        <w:t>响应文件</w:t>
      </w:r>
      <w:r>
        <w:rPr>
          <w:rFonts w:hint="eastAsia" w:ascii="宋体" w:hAnsi="宋体" w:eastAsia="宋体" w:cs="宋体"/>
          <w:bCs/>
          <w:color w:val="auto"/>
          <w:sz w:val="24"/>
          <w:szCs w:val="24"/>
          <w:highlight w:val="none"/>
          <w:u w:val="none"/>
        </w:rPr>
        <w:t xml:space="preserve">中规定的服务承诺提供服务或所提供的服务质量不合格的，乙方应按本合同合计金额 </w:t>
      </w:r>
      <w:r>
        <w:rPr>
          <w:rFonts w:hint="eastAsia" w:ascii="宋体" w:hAnsi="宋体" w:eastAsia="宋体" w:cs="宋体"/>
          <w:bCs/>
          <w:color w:val="auto"/>
          <w:sz w:val="24"/>
          <w:szCs w:val="24"/>
          <w:highlight w:val="none"/>
          <w:u w:val="none"/>
          <w:lang w:val="en-US" w:eastAsia="zh-CN"/>
        </w:rPr>
        <w:t>30</w:t>
      </w:r>
      <w:r>
        <w:rPr>
          <w:rFonts w:hint="eastAsia" w:ascii="宋体" w:hAnsi="宋体" w:eastAsia="宋体" w:cs="宋体"/>
          <w:bCs/>
          <w:color w:val="auto"/>
          <w:sz w:val="24"/>
          <w:szCs w:val="24"/>
          <w:highlight w:val="none"/>
          <w:u w:val="none"/>
        </w:rPr>
        <w:t>% 向甲方支付违约金,如果违约金不足于赔偿甲方的损失，乙方应当足额赔偿甲方经济损失。</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第九条  不可抗力事件处理</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1.在合同有效期内，任何一方因不可抗力事件导致不能履行合同，则合同履行期可延长，其延长期与不可抗力影响期相同。</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2.不可抗力事件发生后，应立即书面通知对方，并寄送有关权威机构出具的证明。</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3.不可抗力事件延续一百二十天以上，双方应通过友好协商，确定是否继续履行合同。</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第十条  合同争议解决</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1.因履行本合同引起的或与本合同有关的争议，甲乙双方应首先通过友好协商解决，如果协商不能解决，可向甲方所在地人民法院提起诉讼。</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2.诉讼期间，本合同继续履行。</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第十一条  合同生效及其它</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1．合同经双方法定代表人或授权代表签字并加盖单位公章后生效。</w:t>
      </w:r>
    </w:p>
    <w:p>
      <w:pPr>
        <w:autoSpaceDE w:val="0"/>
        <w:snapToGrid w:val="0"/>
        <w:spacing w:line="440" w:lineRule="exact"/>
        <w:ind w:firstLine="480" w:firstLineChars="200"/>
        <w:jc w:val="left"/>
        <w:rPr>
          <w:rFonts w:hint="eastAsia" w:ascii="宋体" w:hAnsi="宋体" w:eastAsia="宋体" w:cs="宋体"/>
          <w:bCs/>
          <w:kern w:val="21"/>
          <w:sz w:val="24"/>
          <w:szCs w:val="24"/>
          <w:highlight w:val="none"/>
          <w:u w:val="none"/>
        </w:rPr>
      </w:pPr>
      <w:r>
        <w:rPr>
          <w:rFonts w:hint="eastAsia" w:ascii="宋体" w:hAnsi="宋体" w:eastAsia="宋体" w:cs="宋体"/>
          <w:bCs/>
          <w:kern w:val="21"/>
          <w:sz w:val="24"/>
          <w:szCs w:val="24"/>
          <w:highlight w:val="none"/>
          <w:u w:val="none"/>
        </w:rPr>
        <w:t>2．合同执行中涉及采购资金和采购内容修改或补充的，须经财政部门审批，并签书面补充协议报财政部门备案，方可作为主合同不可分割的一部分。</w:t>
      </w:r>
    </w:p>
    <w:p>
      <w:pPr>
        <w:autoSpaceDE w:val="0"/>
        <w:snapToGrid w:val="0"/>
        <w:spacing w:line="440" w:lineRule="exact"/>
        <w:ind w:firstLine="480" w:firstLineChars="200"/>
        <w:jc w:val="left"/>
        <w:rPr>
          <w:rFonts w:hint="eastAsia" w:ascii="宋体" w:hAnsi="宋体" w:eastAsia="宋体" w:cs="宋体"/>
          <w:b/>
          <w:kern w:val="21"/>
          <w:sz w:val="24"/>
          <w:szCs w:val="24"/>
          <w:highlight w:val="none"/>
          <w:u w:val="none"/>
        </w:rPr>
      </w:pPr>
      <w:r>
        <w:rPr>
          <w:rFonts w:hint="eastAsia" w:ascii="宋体" w:hAnsi="宋体" w:eastAsia="宋体" w:cs="宋体"/>
          <w:bCs/>
          <w:kern w:val="21"/>
          <w:sz w:val="24"/>
          <w:szCs w:val="24"/>
          <w:highlight w:val="none"/>
          <w:u w:val="none"/>
        </w:rPr>
        <w:t>3．本合同未尽事宜，由双方协商，签订补充协议。</w:t>
      </w:r>
    </w:p>
    <w:p>
      <w:pPr>
        <w:autoSpaceDE w:val="0"/>
        <w:snapToGrid w:val="0"/>
        <w:spacing w:line="440" w:lineRule="exact"/>
        <w:ind w:firstLine="482" w:firstLineChars="200"/>
        <w:jc w:val="left"/>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第十二条  签订本合同依据</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1.政府采购</w:t>
      </w:r>
      <w:r>
        <w:rPr>
          <w:rFonts w:hint="eastAsia" w:ascii="宋体" w:hAnsi="宋体" w:eastAsia="宋体" w:cs="宋体"/>
          <w:bCs/>
          <w:sz w:val="24"/>
          <w:szCs w:val="24"/>
          <w:highlight w:val="none"/>
          <w:u w:val="none"/>
          <w:lang w:eastAsia="zh-CN"/>
        </w:rPr>
        <w:t>竞争性磋商文件</w:t>
      </w:r>
      <w:r>
        <w:rPr>
          <w:rFonts w:hint="eastAsia" w:ascii="宋体" w:hAnsi="宋体" w:eastAsia="宋体" w:cs="宋体"/>
          <w:bCs/>
          <w:sz w:val="24"/>
          <w:szCs w:val="24"/>
          <w:highlight w:val="none"/>
          <w:u w:val="none"/>
        </w:rPr>
        <w:t>；</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2.乙方提供的</w:t>
      </w:r>
      <w:r>
        <w:rPr>
          <w:rFonts w:hint="eastAsia" w:ascii="宋体" w:hAnsi="宋体" w:eastAsia="宋体" w:cs="宋体"/>
          <w:bCs/>
          <w:sz w:val="24"/>
          <w:szCs w:val="24"/>
          <w:highlight w:val="none"/>
          <w:u w:val="none"/>
          <w:lang w:eastAsia="zh-CN"/>
        </w:rPr>
        <w:t>响应文件</w:t>
      </w:r>
      <w:r>
        <w:rPr>
          <w:rFonts w:hint="eastAsia" w:ascii="宋体" w:hAnsi="宋体" w:eastAsia="宋体" w:cs="宋体"/>
          <w:bCs/>
          <w:sz w:val="24"/>
          <w:szCs w:val="24"/>
          <w:highlight w:val="none"/>
          <w:u w:val="none"/>
        </w:rPr>
        <w:t>；</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3.投标承诺书；</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4.中标（成交）通知书。</w:t>
      </w:r>
    </w:p>
    <w:p>
      <w:pPr>
        <w:pStyle w:val="2"/>
        <w:rPr>
          <w:rFonts w:hint="eastAsia" w:ascii="宋体" w:hAnsi="宋体" w:eastAsia="宋体" w:cs="宋体"/>
          <w:highlight w:val="none"/>
          <w:u w:val="none"/>
          <w:lang w:val="en-US" w:eastAsia="zh-CN"/>
        </w:rPr>
      </w:pPr>
      <w:r>
        <w:rPr>
          <w:rFonts w:hint="eastAsia" w:ascii="宋体" w:hAnsi="宋体" w:eastAsia="宋体" w:cs="宋体"/>
          <w:b w:val="0"/>
          <w:bCs w:val="0"/>
          <w:sz w:val="24"/>
          <w:szCs w:val="24"/>
          <w:highlight w:val="none"/>
          <w:u w:val="none"/>
          <w:lang w:val="en-US" w:eastAsia="zh-CN"/>
        </w:rPr>
        <w:t>上述依据</w:t>
      </w:r>
      <w:r>
        <w:rPr>
          <w:rFonts w:hint="eastAsia" w:ascii="宋体" w:hAnsi="宋体" w:eastAsia="宋体" w:cs="宋体"/>
          <w:sz w:val="24"/>
          <w:szCs w:val="24"/>
          <w:highlight w:val="none"/>
          <w:u w:val="none"/>
          <w:lang w:val="en-US" w:eastAsia="zh-CN"/>
        </w:rPr>
        <w:t>，作为本合同的附件</w:t>
      </w:r>
      <w:r>
        <w:rPr>
          <w:rFonts w:hint="eastAsia" w:ascii="宋体" w:hAnsi="宋体" w:eastAsia="宋体" w:cs="宋体"/>
          <w:highlight w:val="none"/>
          <w:u w:val="none"/>
          <w:lang w:val="en-US" w:eastAsia="zh-CN"/>
        </w:rPr>
        <w:t>。</w:t>
      </w:r>
    </w:p>
    <w:p>
      <w:pPr>
        <w:autoSpaceDE w:val="0"/>
        <w:snapToGrid w:val="0"/>
        <w:spacing w:line="440" w:lineRule="exact"/>
        <w:ind w:firstLine="482" w:firstLineChars="200"/>
        <w:jc w:val="left"/>
        <w:rPr>
          <w:rFonts w:hint="eastAsia" w:ascii="宋体" w:hAnsi="宋体" w:eastAsia="宋体" w:cs="宋体"/>
          <w:bCs/>
          <w:sz w:val="24"/>
          <w:szCs w:val="24"/>
          <w:highlight w:val="none"/>
          <w:u w:val="none"/>
        </w:rPr>
      </w:pPr>
      <w:r>
        <w:rPr>
          <w:rFonts w:hint="eastAsia" w:ascii="宋体" w:hAnsi="宋体" w:eastAsia="宋体" w:cs="宋体"/>
          <w:b/>
          <w:sz w:val="24"/>
          <w:szCs w:val="24"/>
          <w:highlight w:val="none"/>
          <w:u w:val="none"/>
        </w:rPr>
        <w:t xml:space="preserve">第十三条 </w:t>
      </w:r>
      <w:r>
        <w:rPr>
          <w:rFonts w:hint="eastAsia" w:ascii="宋体" w:hAnsi="宋体" w:eastAsia="宋体" w:cs="宋体"/>
          <w:bCs/>
          <w:sz w:val="24"/>
          <w:szCs w:val="24"/>
          <w:highlight w:val="none"/>
          <w:u w:val="none"/>
        </w:rPr>
        <w:t>本合同一式七份，具有同等法律效力。政府采购监督管理部门、采购代理机构各一份，甲方三份，乙方二份。</w:t>
      </w:r>
    </w:p>
    <w:p>
      <w:pPr>
        <w:autoSpaceDE w:val="0"/>
        <w:snapToGrid w:val="0"/>
        <w:spacing w:line="440" w:lineRule="exact"/>
        <w:ind w:firstLine="480" w:firstLineChars="200"/>
        <w:jc w:val="left"/>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本合同经甲乙双方法定代表人或授权代表签字并加盖单位公章</w:t>
      </w:r>
      <w:r>
        <w:rPr>
          <w:rFonts w:hint="eastAsia" w:ascii="宋体" w:hAnsi="宋体" w:eastAsia="宋体" w:cs="宋体"/>
          <w:sz w:val="24"/>
          <w:highlight w:val="none"/>
          <w:u w:val="none"/>
          <w:lang w:eastAsia="zh-CN"/>
        </w:rPr>
        <w:t>之日起</w:t>
      </w:r>
      <w:r>
        <w:rPr>
          <w:rFonts w:hint="eastAsia" w:ascii="宋体" w:hAnsi="宋体" w:eastAsia="宋体" w:cs="宋体"/>
          <w:sz w:val="24"/>
          <w:highlight w:val="none"/>
          <w:u w:val="none"/>
        </w:rPr>
        <w:t>生效。</w:t>
      </w:r>
    </w:p>
    <w:p>
      <w:pPr>
        <w:autoSpaceDE w:val="0"/>
        <w:snapToGrid w:val="0"/>
        <w:spacing w:line="440" w:lineRule="exact"/>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甲方（章）           </w:t>
            </w:r>
          </w:p>
          <w:p>
            <w:pPr>
              <w:snapToGrid w:val="0"/>
              <w:spacing w:line="360" w:lineRule="exact"/>
              <w:ind w:right="105" w:firstLine="1080" w:firstLineChars="450"/>
              <w:jc w:val="right"/>
              <w:rPr>
                <w:rFonts w:hint="eastAsia" w:ascii="宋体" w:hAnsi="宋体" w:eastAsia="宋体" w:cs="宋体"/>
                <w:sz w:val="24"/>
                <w:szCs w:val="24"/>
                <w:highlight w:val="none"/>
                <w:u w:val="none"/>
              </w:rPr>
            </w:pP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乙方（章）              </w:t>
            </w:r>
          </w:p>
          <w:p>
            <w:pPr>
              <w:snapToGrid w:val="0"/>
              <w:spacing w:line="360" w:lineRule="exact"/>
              <w:jc w:val="right"/>
              <w:rPr>
                <w:rFonts w:hint="eastAsia" w:ascii="宋体" w:hAnsi="宋体" w:eastAsia="宋体" w:cs="宋体"/>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单位地址：</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法定代表人：</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委托代理人：</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电子邮箱：</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开户银行：</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账号：</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邮政编码：</w:t>
            </w:r>
          </w:p>
        </w:tc>
        <w:tc>
          <w:tcPr>
            <w:tcW w:w="4688"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ind w:firstLine="720" w:firstLineChars="300"/>
              <w:jc w:val="right"/>
              <w:rPr>
                <w:rFonts w:hint="eastAsia" w:ascii="宋体" w:hAnsi="宋体" w:eastAsia="宋体" w:cs="宋体"/>
                <w:sz w:val="24"/>
                <w:szCs w:val="24"/>
                <w:highlight w:val="none"/>
                <w:u w:val="none"/>
              </w:rPr>
            </w:pPr>
          </w:p>
          <w:p>
            <w:pPr>
              <w:snapToGrid w:val="0"/>
              <w:spacing w:line="360" w:lineRule="exact"/>
              <w:ind w:firstLine="720" w:firstLineChars="300"/>
              <w:jc w:val="righ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  签订日期：    年    月    日</w:t>
            </w:r>
          </w:p>
        </w:tc>
      </w:tr>
      <w:bookmarkEnd w:id="191"/>
      <w:bookmarkEnd w:id="192"/>
      <w:bookmarkEnd w:id="193"/>
    </w:tbl>
    <w:p>
      <w:pPr>
        <w:pStyle w:val="2"/>
        <w:rPr>
          <w:rFonts w:hint="eastAsia" w:ascii="宋体" w:hAnsi="宋体" w:eastAsia="宋体" w:cs="宋体"/>
          <w:highlight w:val="none"/>
        </w:rPr>
      </w:pPr>
    </w:p>
    <w:sectPr>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0A46DC-AD0B-46EB-A5E4-B13629846516}"/>
  </w:font>
  <w:font w:name="黑体">
    <w:panose1 w:val="02010609060101010101"/>
    <w:charset w:val="86"/>
    <w:family w:val="auto"/>
    <w:pitch w:val="default"/>
    <w:sig w:usb0="800002BF" w:usb1="38CF7CFA" w:usb2="00000016" w:usb3="00000000" w:csb0="00040001" w:csb1="00000000"/>
    <w:embedRegular r:id="rId2" w:fontKey="{1324B6D8-50FD-4D14-947E-07C4D2D79105}"/>
  </w:font>
  <w:font w:name="Courier New">
    <w:panose1 w:val="02070309020205020404"/>
    <w:charset w:val="01"/>
    <w:family w:val="modern"/>
    <w:pitch w:val="default"/>
    <w:sig w:usb0="E0002EFF" w:usb1="C0007843" w:usb2="00000009" w:usb3="00000000" w:csb0="400001FF" w:csb1="FFFF0000"/>
    <w:embedRegular r:id="rId3" w:fontKey="{B78DA379-AC72-412D-8AD2-2194D10FA9D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448ED03-3C47-4330-B6B5-4C01EFEEEB3A}"/>
  </w:font>
  <w:font w:name="等线 Light">
    <w:panose1 w:val="02010600030101010101"/>
    <w:charset w:val="86"/>
    <w:family w:val="auto"/>
    <w:pitch w:val="default"/>
    <w:sig w:usb0="A00002BF" w:usb1="38CF7CFA" w:usb2="00000016" w:usb3="00000000" w:csb0="0004000F" w:csb1="00000000"/>
  </w:font>
  <w:font w:name="方正黑体简体">
    <w:panose1 w:val="02000000000000000000"/>
    <w:charset w:val="86"/>
    <w:family w:val="script"/>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16DB736E-06CF-4AB2-BBD1-F1D775FFC8DD}"/>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embedRegular r:id="rId6" w:fontKey="{2A1D9E2E-D173-49BA-A7A1-B426EDA840FB}"/>
  </w:font>
  <w:font w:name="Segoe UI Symbol">
    <w:panose1 w:val="020B0502040204020203"/>
    <w:charset w:val="00"/>
    <w:family w:val="swiss"/>
    <w:pitch w:val="default"/>
    <w:sig w:usb0="800001E3" w:usb1="1200FFEF" w:usb2="00040000" w:usb3="04000000" w:csb0="00000001" w:csb1="40000000"/>
    <w:embedRegular r:id="rId7" w:fontKey="{7C40C378-EEE6-45CB-9EA7-150F4DFD721A}"/>
  </w:font>
  <w:font w:name="方正小标宋简体">
    <w:panose1 w:val="02000000000000000000"/>
    <w:charset w:val="86"/>
    <w:family w:val="script"/>
    <w:pitch w:val="default"/>
    <w:sig w:usb0="A00002BF" w:usb1="184F6CFA" w:usb2="00000012" w:usb3="00000000" w:csb0="00040001" w:csb1="00000000"/>
    <w:embedRegular r:id="rId8" w:fontKey="{95F7B1FA-36A1-41E8-9D70-F219CD8646D7}"/>
  </w:font>
  <w:font w:name="Wingdings 2">
    <w:panose1 w:val="05020102010507070707"/>
    <w:charset w:val="02"/>
    <w:family w:val="roman"/>
    <w:pitch w:val="default"/>
    <w:sig w:usb0="00000000" w:usb1="00000000" w:usb2="00000000" w:usb3="00000000" w:csb0="80000000" w:csb1="00000000"/>
    <w:embedRegular r:id="rId9" w:fontKey="{AEF4BDB7-989C-4BEA-A190-DCA7AB6547E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j3Vs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PqfEcYsDv3z/dvnx6/LzK3m5&#10;XL3I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Y91b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XU4c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3m5&#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y11OHLAQAAnA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140" w:firstLineChars="2300"/>
      <w:rPr>
        <w:rFonts w:hint="eastAsia"/>
      </w:rPr>
    </w:pPr>
    <w:r>
      <w:fldChar w:fldCharType="begin"/>
    </w:r>
    <w:r>
      <w:instrText xml:space="preserve">PAGE   \* MERGEFORMAT</w:instrText>
    </w:r>
    <w:r>
      <w:fldChar w:fldCharType="separate"/>
    </w:r>
    <w: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hPV8sBAACc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ZuPgg9p3eY9SPfDvDh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4T1f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254C2"/>
    <w:multiLevelType w:val="singleLevel"/>
    <w:tmpl w:val="CA6254C2"/>
    <w:lvl w:ilvl="0" w:tentative="0">
      <w:start w:val="1"/>
      <w:numFmt w:val="decimal"/>
      <w:pStyle w:val="23"/>
      <w:lvlText w:val="%1."/>
      <w:lvlJc w:val="left"/>
      <w:pPr>
        <w:tabs>
          <w:tab w:val="left" w:pos="1200"/>
        </w:tabs>
        <w:ind w:left="1200" w:hanging="360"/>
      </w:pPr>
    </w:lvl>
  </w:abstractNum>
  <w:abstractNum w:abstractNumId="1">
    <w:nsid w:val="D97EBDB8"/>
    <w:multiLevelType w:val="singleLevel"/>
    <w:tmpl w:val="D97EBDB8"/>
    <w:lvl w:ilvl="0" w:tentative="0">
      <w:start w:val="1"/>
      <w:numFmt w:val="decimal"/>
      <w:suff w:val="nothing"/>
      <w:lvlText w:val="（%1）"/>
      <w:lvlJc w:val="left"/>
    </w:lvl>
  </w:abstractNum>
  <w:abstractNum w:abstractNumId="2">
    <w:nsid w:val="020645C8"/>
    <w:multiLevelType w:val="multilevel"/>
    <w:tmpl w:val="020645C8"/>
    <w:lvl w:ilvl="0" w:tentative="0">
      <w:start w:val="1"/>
      <w:numFmt w:val="decimal"/>
      <w:pStyle w:val="174"/>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3842DA"/>
    <w:multiLevelType w:val="multilevel"/>
    <w:tmpl w:val="0A3842DA"/>
    <w:lvl w:ilvl="0" w:tentative="0">
      <w:start w:val="1"/>
      <w:numFmt w:val="decimal"/>
      <w:pStyle w:val="170"/>
      <w:suff w:val="nothing"/>
      <w:lvlText w:val="%1、"/>
      <w:lvlJc w:val="left"/>
      <w:pPr>
        <w:ind w:left="0" w:firstLine="40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0A790698"/>
    <w:multiLevelType w:val="singleLevel"/>
    <w:tmpl w:val="0A790698"/>
    <w:lvl w:ilvl="0" w:tentative="0">
      <w:start w:val="1"/>
      <w:numFmt w:val="chineseCountingThousand"/>
      <w:pStyle w:val="171"/>
      <w:suff w:val="space"/>
      <w:lvlText w:val="（%1）"/>
      <w:lvlJc w:val="left"/>
      <w:pPr>
        <w:ind w:left="0" w:firstLine="400"/>
      </w:pPr>
      <w:rPr>
        <w:rFonts w:hint="eastAsia"/>
      </w:rPr>
    </w:lvl>
  </w:abstractNum>
  <w:abstractNum w:abstractNumId="5">
    <w:nsid w:val="0CF84248"/>
    <w:multiLevelType w:val="multilevel"/>
    <w:tmpl w:val="0CF84248"/>
    <w:lvl w:ilvl="0" w:tentative="0">
      <w:start w:val="1"/>
      <w:numFmt w:val="decimal"/>
      <w:pStyle w:val="172"/>
      <w:suff w:val="nothing"/>
      <w:lvlText w:val="（%1）"/>
      <w:lvlJc w:val="left"/>
      <w:pPr>
        <w:ind w:left="0" w:firstLine="40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24737EAD"/>
    <w:multiLevelType w:val="multilevel"/>
    <w:tmpl w:val="24737EAD"/>
    <w:lvl w:ilvl="0" w:tentative="0">
      <w:start w:val="1"/>
      <w:numFmt w:val="decimal"/>
      <w:pStyle w:val="180"/>
      <w:suff w:val="space"/>
      <w:lvlText w:val="(%1)"/>
      <w:lvlJc w:val="left"/>
      <w:pPr>
        <w:ind w:left="400" w:firstLine="20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9910A9"/>
    <w:multiLevelType w:val="multilevel"/>
    <w:tmpl w:val="309910A9"/>
    <w:lvl w:ilvl="0" w:tentative="0">
      <w:start w:val="1"/>
      <w:numFmt w:val="chineseCountingThousand"/>
      <w:pStyle w:val="177"/>
      <w:suff w:val="nothing"/>
      <w:lvlText w:val="%1、"/>
      <w:lvlJc w:val="left"/>
      <w:pPr>
        <w:ind w:left="0" w:firstLine="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9">
    <w:nsid w:val="42C7CB00"/>
    <w:multiLevelType w:val="singleLevel"/>
    <w:tmpl w:val="42C7CB00"/>
    <w:lvl w:ilvl="0" w:tentative="0">
      <w:start w:val="1"/>
      <w:numFmt w:val="decimal"/>
      <w:lvlText w:val="%1)"/>
      <w:lvlJc w:val="left"/>
      <w:pPr>
        <w:ind w:left="425" w:hanging="425"/>
      </w:pPr>
      <w:rPr>
        <w:rFonts w:hint="default"/>
      </w:rPr>
    </w:lvl>
  </w:abstractNum>
  <w:abstractNum w:abstractNumId="10">
    <w:nsid w:val="4FF6DE49"/>
    <w:multiLevelType w:val="multilevel"/>
    <w:tmpl w:val="4FF6DE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79E0569A"/>
    <w:multiLevelType w:val="multilevel"/>
    <w:tmpl w:val="79E0569A"/>
    <w:lvl w:ilvl="0" w:tentative="0">
      <w:start w:val="1"/>
      <w:numFmt w:val="decimal"/>
      <w:pStyle w:val="173"/>
      <w:suff w:val="space"/>
      <w:lvlText w:val="%1)"/>
      <w:lvlJc w:val="left"/>
      <w:pPr>
        <w:ind w:left="0" w:firstLine="400"/>
      </w:pPr>
      <w:rPr>
        <w:rFonts w:hint="eastAsia"/>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12">
    <w:nsid w:val="7DDF28A0"/>
    <w:multiLevelType w:val="multilevel"/>
    <w:tmpl w:val="7DDF28A0"/>
    <w:lvl w:ilvl="0" w:tentative="0">
      <w:start w:val="1"/>
      <w:numFmt w:val="decimal"/>
      <w:pStyle w:val="186"/>
      <w:suff w:val="nothing"/>
      <w:lvlText w:val="%1）"/>
      <w:lvlJc w:val="left"/>
      <w:pPr>
        <w:ind w:left="400" w:firstLine="2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3"/>
  </w:num>
  <w:num w:numId="4">
    <w:abstractNumId w:val="4"/>
  </w:num>
  <w:num w:numId="5">
    <w:abstractNumId w:val="5"/>
  </w:num>
  <w:num w:numId="6">
    <w:abstractNumId w:val="11"/>
  </w:num>
  <w:num w:numId="7">
    <w:abstractNumId w:val="2"/>
  </w:num>
  <w:num w:numId="8">
    <w:abstractNumId w:val="7"/>
  </w:num>
  <w:num w:numId="9">
    <w:abstractNumId w:val="6"/>
  </w:num>
  <w:num w:numId="10">
    <w:abstractNumId w:val="12"/>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TEzMjljYzJmNzg2MmU1NWQ2YjY3ZDg5ZmJiOD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45F5"/>
    <w:rsid w:val="000352E9"/>
    <w:rsid w:val="00035494"/>
    <w:rsid w:val="00036125"/>
    <w:rsid w:val="00036A07"/>
    <w:rsid w:val="0003780B"/>
    <w:rsid w:val="00040571"/>
    <w:rsid w:val="00040973"/>
    <w:rsid w:val="0004156E"/>
    <w:rsid w:val="00041713"/>
    <w:rsid w:val="0004440C"/>
    <w:rsid w:val="00046B5E"/>
    <w:rsid w:val="000470CB"/>
    <w:rsid w:val="000509D9"/>
    <w:rsid w:val="000514F0"/>
    <w:rsid w:val="00051ACB"/>
    <w:rsid w:val="000533E7"/>
    <w:rsid w:val="00053CDA"/>
    <w:rsid w:val="00055D41"/>
    <w:rsid w:val="00057CD6"/>
    <w:rsid w:val="00060DCE"/>
    <w:rsid w:val="000610E3"/>
    <w:rsid w:val="000614F3"/>
    <w:rsid w:val="000623B4"/>
    <w:rsid w:val="00062405"/>
    <w:rsid w:val="000634A7"/>
    <w:rsid w:val="00063B0B"/>
    <w:rsid w:val="00063F81"/>
    <w:rsid w:val="00064847"/>
    <w:rsid w:val="0006509A"/>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7CB"/>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16"/>
    <w:rsid w:val="00141C9C"/>
    <w:rsid w:val="0014277F"/>
    <w:rsid w:val="001434BE"/>
    <w:rsid w:val="00144050"/>
    <w:rsid w:val="0014479F"/>
    <w:rsid w:val="001452B4"/>
    <w:rsid w:val="00145320"/>
    <w:rsid w:val="001476D3"/>
    <w:rsid w:val="001509CF"/>
    <w:rsid w:val="00150D1D"/>
    <w:rsid w:val="00151A84"/>
    <w:rsid w:val="001525AA"/>
    <w:rsid w:val="00152A87"/>
    <w:rsid w:val="00153BB5"/>
    <w:rsid w:val="00154518"/>
    <w:rsid w:val="00156359"/>
    <w:rsid w:val="001568F3"/>
    <w:rsid w:val="00156DD6"/>
    <w:rsid w:val="0016086E"/>
    <w:rsid w:val="00160D0C"/>
    <w:rsid w:val="00160D14"/>
    <w:rsid w:val="00161172"/>
    <w:rsid w:val="00161998"/>
    <w:rsid w:val="00161E65"/>
    <w:rsid w:val="0016218A"/>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CD1"/>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C75"/>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2C2B"/>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247"/>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472"/>
    <w:rsid w:val="002746B1"/>
    <w:rsid w:val="00274BAD"/>
    <w:rsid w:val="00282D56"/>
    <w:rsid w:val="002832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3C5"/>
    <w:rsid w:val="002B058D"/>
    <w:rsid w:val="002B0C16"/>
    <w:rsid w:val="002B1D7A"/>
    <w:rsid w:val="002B2AC5"/>
    <w:rsid w:val="002B3528"/>
    <w:rsid w:val="002B3539"/>
    <w:rsid w:val="002B4532"/>
    <w:rsid w:val="002B5042"/>
    <w:rsid w:val="002B69CC"/>
    <w:rsid w:val="002B6D71"/>
    <w:rsid w:val="002C0C1C"/>
    <w:rsid w:val="002C54C2"/>
    <w:rsid w:val="002C5D34"/>
    <w:rsid w:val="002C5D7F"/>
    <w:rsid w:val="002C5EC6"/>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0DF9"/>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0B8"/>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6F28"/>
    <w:rsid w:val="00367764"/>
    <w:rsid w:val="00367935"/>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0FE"/>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5CA"/>
    <w:rsid w:val="003C0FE1"/>
    <w:rsid w:val="003C151A"/>
    <w:rsid w:val="003C293F"/>
    <w:rsid w:val="003C350C"/>
    <w:rsid w:val="003C3903"/>
    <w:rsid w:val="003C3BA0"/>
    <w:rsid w:val="003C4580"/>
    <w:rsid w:val="003C5C5E"/>
    <w:rsid w:val="003C6449"/>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C63"/>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4E9B"/>
    <w:rsid w:val="00405AC1"/>
    <w:rsid w:val="004061EB"/>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27CD7"/>
    <w:rsid w:val="0043013A"/>
    <w:rsid w:val="00430421"/>
    <w:rsid w:val="00430A36"/>
    <w:rsid w:val="00430B4F"/>
    <w:rsid w:val="00431084"/>
    <w:rsid w:val="004310D7"/>
    <w:rsid w:val="0043188A"/>
    <w:rsid w:val="004322D6"/>
    <w:rsid w:val="00432589"/>
    <w:rsid w:val="00432A94"/>
    <w:rsid w:val="00432C95"/>
    <w:rsid w:val="00433827"/>
    <w:rsid w:val="00433A40"/>
    <w:rsid w:val="00434B70"/>
    <w:rsid w:val="00435938"/>
    <w:rsid w:val="004360C8"/>
    <w:rsid w:val="004371D5"/>
    <w:rsid w:val="0044006B"/>
    <w:rsid w:val="0044033F"/>
    <w:rsid w:val="00440630"/>
    <w:rsid w:val="00441F0F"/>
    <w:rsid w:val="00442965"/>
    <w:rsid w:val="00444157"/>
    <w:rsid w:val="0044417C"/>
    <w:rsid w:val="0044430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C39"/>
    <w:rsid w:val="00491FA1"/>
    <w:rsid w:val="00492A25"/>
    <w:rsid w:val="00492D1D"/>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449F"/>
    <w:rsid w:val="004F7160"/>
    <w:rsid w:val="004F7D99"/>
    <w:rsid w:val="00500258"/>
    <w:rsid w:val="00500B2D"/>
    <w:rsid w:val="00500E7A"/>
    <w:rsid w:val="00501A99"/>
    <w:rsid w:val="00503180"/>
    <w:rsid w:val="005038A4"/>
    <w:rsid w:val="0050456D"/>
    <w:rsid w:val="00505450"/>
    <w:rsid w:val="005100B7"/>
    <w:rsid w:val="00510583"/>
    <w:rsid w:val="005113C9"/>
    <w:rsid w:val="00512050"/>
    <w:rsid w:val="00512055"/>
    <w:rsid w:val="0051280C"/>
    <w:rsid w:val="00512842"/>
    <w:rsid w:val="005128BE"/>
    <w:rsid w:val="0051356F"/>
    <w:rsid w:val="00513E7C"/>
    <w:rsid w:val="005140BB"/>
    <w:rsid w:val="00514FBE"/>
    <w:rsid w:val="00514FD9"/>
    <w:rsid w:val="0051550A"/>
    <w:rsid w:val="0051608F"/>
    <w:rsid w:val="00520294"/>
    <w:rsid w:val="00520EF8"/>
    <w:rsid w:val="005210F7"/>
    <w:rsid w:val="00521753"/>
    <w:rsid w:val="0052239D"/>
    <w:rsid w:val="005224EE"/>
    <w:rsid w:val="00522879"/>
    <w:rsid w:val="00522A46"/>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67C"/>
    <w:rsid w:val="00546840"/>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60D8"/>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087A"/>
    <w:rsid w:val="005A11BC"/>
    <w:rsid w:val="005A1525"/>
    <w:rsid w:val="005A1E17"/>
    <w:rsid w:val="005A252B"/>
    <w:rsid w:val="005A2A8F"/>
    <w:rsid w:val="005A3204"/>
    <w:rsid w:val="005A3341"/>
    <w:rsid w:val="005A3C3D"/>
    <w:rsid w:val="005A46EC"/>
    <w:rsid w:val="005A4C47"/>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3"/>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2F12"/>
    <w:rsid w:val="005E3111"/>
    <w:rsid w:val="005E318A"/>
    <w:rsid w:val="005E3F85"/>
    <w:rsid w:val="005E4A5F"/>
    <w:rsid w:val="005E57B0"/>
    <w:rsid w:val="005E5B01"/>
    <w:rsid w:val="005E6D3B"/>
    <w:rsid w:val="005F009E"/>
    <w:rsid w:val="005F0DF1"/>
    <w:rsid w:val="005F1516"/>
    <w:rsid w:val="005F229E"/>
    <w:rsid w:val="005F2564"/>
    <w:rsid w:val="005F30D8"/>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5DE1"/>
    <w:rsid w:val="00656281"/>
    <w:rsid w:val="0065636A"/>
    <w:rsid w:val="00657003"/>
    <w:rsid w:val="00660238"/>
    <w:rsid w:val="006602EF"/>
    <w:rsid w:val="006609C7"/>
    <w:rsid w:val="00661277"/>
    <w:rsid w:val="006619E0"/>
    <w:rsid w:val="00663FEA"/>
    <w:rsid w:val="006646B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0D1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3B86"/>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E7E97"/>
    <w:rsid w:val="006F0760"/>
    <w:rsid w:val="006F11E2"/>
    <w:rsid w:val="006F2014"/>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47ED"/>
    <w:rsid w:val="007076DD"/>
    <w:rsid w:val="0070796C"/>
    <w:rsid w:val="007109BB"/>
    <w:rsid w:val="00710EBF"/>
    <w:rsid w:val="007110B8"/>
    <w:rsid w:val="0071209F"/>
    <w:rsid w:val="007125A2"/>
    <w:rsid w:val="00713DD9"/>
    <w:rsid w:val="00713F79"/>
    <w:rsid w:val="0071475F"/>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0CC4"/>
    <w:rsid w:val="00731434"/>
    <w:rsid w:val="00731E59"/>
    <w:rsid w:val="007323E0"/>
    <w:rsid w:val="00732911"/>
    <w:rsid w:val="00733721"/>
    <w:rsid w:val="00733AAF"/>
    <w:rsid w:val="00733DE2"/>
    <w:rsid w:val="007352EA"/>
    <w:rsid w:val="0073625F"/>
    <w:rsid w:val="0073792F"/>
    <w:rsid w:val="00740C81"/>
    <w:rsid w:val="00740DA6"/>
    <w:rsid w:val="00741B4B"/>
    <w:rsid w:val="00741D1E"/>
    <w:rsid w:val="00741DD6"/>
    <w:rsid w:val="00741EE2"/>
    <w:rsid w:val="0074207F"/>
    <w:rsid w:val="00742367"/>
    <w:rsid w:val="00742C15"/>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813"/>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16A7"/>
    <w:rsid w:val="007838F3"/>
    <w:rsid w:val="007856FE"/>
    <w:rsid w:val="00785F46"/>
    <w:rsid w:val="007865F4"/>
    <w:rsid w:val="00786D5C"/>
    <w:rsid w:val="00786E96"/>
    <w:rsid w:val="00787DFF"/>
    <w:rsid w:val="00787F93"/>
    <w:rsid w:val="00790188"/>
    <w:rsid w:val="007908D9"/>
    <w:rsid w:val="00791E6D"/>
    <w:rsid w:val="00791EB5"/>
    <w:rsid w:val="00791FF2"/>
    <w:rsid w:val="00793696"/>
    <w:rsid w:val="00793F47"/>
    <w:rsid w:val="007955DA"/>
    <w:rsid w:val="0079640E"/>
    <w:rsid w:val="00796F65"/>
    <w:rsid w:val="00797106"/>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23EA"/>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1646"/>
    <w:rsid w:val="008129E5"/>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5825"/>
    <w:rsid w:val="00836075"/>
    <w:rsid w:val="00836417"/>
    <w:rsid w:val="00836A3E"/>
    <w:rsid w:val="00837526"/>
    <w:rsid w:val="00837F20"/>
    <w:rsid w:val="008407A7"/>
    <w:rsid w:val="0084322B"/>
    <w:rsid w:val="00843F81"/>
    <w:rsid w:val="00844087"/>
    <w:rsid w:val="00844526"/>
    <w:rsid w:val="008448F1"/>
    <w:rsid w:val="00844BC6"/>
    <w:rsid w:val="0084519E"/>
    <w:rsid w:val="00845CAE"/>
    <w:rsid w:val="00846370"/>
    <w:rsid w:val="008477E7"/>
    <w:rsid w:val="00847C2B"/>
    <w:rsid w:val="00850272"/>
    <w:rsid w:val="008506B9"/>
    <w:rsid w:val="00851822"/>
    <w:rsid w:val="008521BE"/>
    <w:rsid w:val="00852956"/>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29EF"/>
    <w:rsid w:val="008931DA"/>
    <w:rsid w:val="00893671"/>
    <w:rsid w:val="008946DC"/>
    <w:rsid w:val="00894F3B"/>
    <w:rsid w:val="00895838"/>
    <w:rsid w:val="00895A1E"/>
    <w:rsid w:val="00895A72"/>
    <w:rsid w:val="00895CDF"/>
    <w:rsid w:val="0089631A"/>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B16"/>
    <w:rsid w:val="008C2CD5"/>
    <w:rsid w:val="008C3618"/>
    <w:rsid w:val="008C39E7"/>
    <w:rsid w:val="008C43AD"/>
    <w:rsid w:val="008C49A5"/>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668D"/>
    <w:rsid w:val="008F7012"/>
    <w:rsid w:val="008F7ADA"/>
    <w:rsid w:val="008F7B17"/>
    <w:rsid w:val="00900042"/>
    <w:rsid w:val="0090034B"/>
    <w:rsid w:val="00901121"/>
    <w:rsid w:val="00902623"/>
    <w:rsid w:val="00902A67"/>
    <w:rsid w:val="00902C5E"/>
    <w:rsid w:val="00904BE4"/>
    <w:rsid w:val="0090504A"/>
    <w:rsid w:val="009051F5"/>
    <w:rsid w:val="00905221"/>
    <w:rsid w:val="009059BF"/>
    <w:rsid w:val="00905A7C"/>
    <w:rsid w:val="00905D7E"/>
    <w:rsid w:val="00907037"/>
    <w:rsid w:val="0091112C"/>
    <w:rsid w:val="0091160A"/>
    <w:rsid w:val="009128E6"/>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488E"/>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824"/>
    <w:rsid w:val="00983B6E"/>
    <w:rsid w:val="00983FE5"/>
    <w:rsid w:val="009849E9"/>
    <w:rsid w:val="009859E4"/>
    <w:rsid w:val="00987812"/>
    <w:rsid w:val="00990225"/>
    <w:rsid w:val="00992A13"/>
    <w:rsid w:val="00994706"/>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76E"/>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B27"/>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111"/>
    <w:rsid w:val="00A3467F"/>
    <w:rsid w:val="00A34B4C"/>
    <w:rsid w:val="00A35030"/>
    <w:rsid w:val="00A3551A"/>
    <w:rsid w:val="00A35610"/>
    <w:rsid w:val="00A366A0"/>
    <w:rsid w:val="00A37209"/>
    <w:rsid w:val="00A37584"/>
    <w:rsid w:val="00A376E8"/>
    <w:rsid w:val="00A37F8E"/>
    <w:rsid w:val="00A40947"/>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596B"/>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77E8B"/>
    <w:rsid w:val="00A8311C"/>
    <w:rsid w:val="00A835D0"/>
    <w:rsid w:val="00A84C5F"/>
    <w:rsid w:val="00A85930"/>
    <w:rsid w:val="00A863F7"/>
    <w:rsid w:val="00A86604"/>
    <w:rsid w:val="00A87519"/>
    <w:rsid w:val="00A9246D"/>
    <w:rsid w:val="00A92CCA"/>
    <w:rsid w:val="00A93BD0"/>
    <w:rsid w:val="00A93CC2"/>
    <w:rsid w:val="00A974B5"/>
    <w:rsid w:val="00A974CC"/>
    <w:rsid w:val="00AA1067"/>
    <w:rsid w:val="00AA2001"/>
    <w:rsid w:val="00AA2B5C"/>
    <w:rsid w:val="00AA32D2"/>
    <w:rsid w:val="00AA3A5C"/>
    <w:rsid w:val="00AA4016"/>
    <w:rsid w:val="00AA44A2"/>
    <w:rsid w:val="00AA4C1F"/>
    <w:rsid w:val="00AA5328"/>
    <w:rsid w:val="00AA5352"/>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1C10"/>
    <w:rsid w:val="00AD23EF"/>
    <w:rsid w:val="00AD2662"/>
    <w:rsid w:val="00AD307B"/>
    <w:rsid w:val="00AD4014"/>
    <w:rsid w:val="00AD41B3"/>
    <w:rsid w:val="00AD5721"/>
    <w:rsid w:val="00AD5C4D"/>
    <w:rsid w:val="00AD69F0"/>
    <w:rsid w:val="00AD7127"/>
    <w:rsid w:val="00AD730C"/>
    <w:rsid w:val="00AE123A"/>
    <w:rsid w:val="00AE1539"/>
    <w:rsid w:val="00AE1EEF"/>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D8"/>
    <w:rsid w:val="00B13EC9"/>
    <w:rsid w:val="00B14319"/>
    <w:rsid w:val="00B14A06"/>
    <w:rsid w:val="00B158E1"/>
    <w:rsid w:val="00B16715"/>
    <w:rsid w:val="00B1768E"/>
    <w:rsid w:val="00B17910"/>
    <w:rsid w:val="00B20F18"/>
    <w:rsid w:val="00B21516"/>
    <w:rsid w:val="00B21A37"/>
    <w:rsid w:val="00B21BD5"/>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37A36"/>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0492"/>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3D64"/>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D22"/>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2AE"/>
    <w:rsid w:val="00BA3FC7"/>
    <w:rsid w:val="00BA4762"/>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07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042"/>
    <w:rsid w:val="00BF4342"/>
    <w:rsid w:val="00BF4704"/>
    <w:rsid w:val="00BF4FFC"/>
    <w:rsid w:val="00BF5050"/>
    <w:rsid w:val="00BF50D1"/>
    <w:rsid w:val="00BF5422"/>
    <w:rsid w:val="00BF595E"/>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37CAE"/>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697"/>
    <w:rsid w:val="00C62A48"/>
    <w:rsid w:val="00C62AC4"/>
    <w:rsid w:val="00C62B59"/>
    <w:rsid w:val="00C62F96"/>
    <w:rsid w:val="00C631E1"/>
    <w:rsid w:val="00C638D8"/>
    <w:rsid w:val="00C63AE7"/>
    <w:rsid w:val="00C63D26"/>
    <w:rsid w:val="00C6540A"/>
    <w:rsid w:val="00C668A1"/>
    <w:rsid w:val="00C67223"/>
    <w:rsid w:val="00C707B8"/>
    <w:rsid w:val="00C712AC"/>
    <w:rsid w:val="00C71761"/>
    <w:rsid w:val="00C71C15"/>
    <w:rsid w:val="00C71F3D"/>
    <w:rsid w:val="00C72F53"/>
    <w:rsid w:val="00C74035"/>
    <w:rsid w:val="00C748EA"/>
    <w:rsid w:val="00C7617C"/>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D86"/>
    <w:rsid w:val="00CB19D7"/>
    <w:rsid w:val="00CB19FE"/>
    <w:rsid w:val="00CB1C3F"/>
    <w:rsid w:val="00CB2133"/>
    <w:rsid w:val="00CB2364"/>
    <w:rsid w:val="00CB304C"/>
    <w:rsid w:val="00CB31C8"/>
    <w:rsid w:val="00CB3933"/>
    <w:rsid w:val="00CB53E8"/>
    <w:rsid w:val="00CB594A"/>
    <w:rsid w:val="00CB5CB2"/>
    <w:rsid w:val="00CB6979"/>
    <w:rsid w:val="00CB7DDE"/>
    <w:rsid w:val="00CC0A3D"/>
    <w:rsid w:val="00CC1585"/>
    <w:rsid w:val="00CC1B88"/>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D38"/>
    <w:rsid w:val="00CE0E8D"/>
    <w:rsid w:val="00CE1A03"/>
    <w:rsid w:val="00CE2346"/>
    <w:rsid w:val="00CE25B2"/>
    <w:rsid w:val="00CE2687"/>
    <w:rsid w:val="00CE3529"/>
    <w:rsid w:val="00CE35C8"/>
    <w:rsid w:val="00CE3962"/>
    <w:rsid w:val="00CE4D1A"/>
    <w:rsid w:val="00CE4E8A"/>
    <w:rsid w:val="00CE5105"/>
    <w:rsid w:val="00CE53EB"/>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A0F"/>
    <w:rsid w:val="00D12B03"/>
    <w:rsid w:val="00D1383D"/>
    <w:rsid w:val="00D13E70"/>
    <w:rsid w:val="00D15FCD"/>
    <w:rsid w:val="00D16C58"/>
    <w:rsid w:val="00D17019"/>
    <w:rsid w:val="00D17FC8"/>
    <w:rsid w:val="00D20B44"/>
    <w:rsid w:val="00D21168"/>
    <w:rsid w:val="00D2438C"/>
    <w:rsid w:val="00D24D48"/>
    <w:rsid w:val="00D254F3"/>
    <w:rsid w:val="00D2585A"/>
    <w:rsid w:val="00D259B0"/>
    <w:rsid w:val="00D26C3F"/>
    <w:rsid w:val="00D27026"/>
    <w:rsid w:val="00D27185"/>
    <w:rsid w:val="00D30EF8"/>
    <w:rsid w:val="00D316A1"/>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C66"/>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69AB"/>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C93"/>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CD0"/>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43D0"/>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17F34"/>
    <w:rsid w:val="00E219CE"/>
    <w:rsid w:val="00E2295A"/>
    <w:rsid w:val="00E24071"/>
    <w:rsid w:val="00E24EBC"/>
    <w:rsid w:val="00E2522C"/>
    <w:rsid w:val="00E2552F"/>
    <w:rsid w:val="00E2599B"/>
    <w:rsid w:val="00E2710C"/>
    <w:rsid w:val="00E27428"/>
    <w:rsid w:val="00E305B4"/>
    <w:rsid w:val="00E31811"/>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40F"/>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969D3"/>
    <w:rsid w:val="00EA14C8"/>
    <w:rsid w:val="00EA2110"/>
    <w:rsid w:val="00EA283A"/>
    <w:rsid w:val="00EA2C90"/>
    <w:rsid w:val="00EA2E07"/>
    <w:rsid w:val="00EA383B"/>
    <w:rsid w:val="00EA408E"/>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6F70"/>
    <w:rsid w:val="00ED7A7A"/>
    <w:rsid w:val="00EE0327"/>
    <w:rsid w:val="00EE038C"/>
    <w:rsid w:val="00EE0A07"/>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89E"/>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34E"/>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0EF1"/>
    <w:rsid w:val="00F61B12"/>
    <w:rsid w:val="00F63264"/>
    <w:rsid w:val="00F634E4"/>
    <w:rsid w:val="00F6379E"/>
    <w:rsid w:val="00F64047"/>
    <w:rsid w:val="00F64FEF"/>
    <w:rsid w:val="00F65171"/>
    <w:rsid w:val="00F6560D"/>
    <w:rsid w:val="00F65C23"/>
    <w:rsid w:val="00F67844"/>
    <w:rsid w:val="00F70799"/>
    <w:rsid w:val="00F70A8B"/>
    <w:rsid w:val="00F70B8D"/>
    <w:rsid w:val="00F7127D"/>
    <w:rsid w:val="00F71936"/>
    <w:rsid w:val="00F724FB"/>
    <w:rsid w:val="00F726B8"/>
    <w:rsid w:val="00F72A26"/>
    <w:rsid w:val="00F72D01"/>
    <w:rsid w:val="00F72E02"/>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5EC"/>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201"/>
    <w:rsid w:val="00FD374D"/>
    <w:rsid w:val="00FD6071"/>
    <w:rsid w:val="00FD633B"/>
    <w:rsid w:val="00FE0794"/>
    <w:rsid w:val="00FE0A4E"/>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9863BF"/>
    <w:rsid w:val="01AF3D99"/>
    <w:rsid w:val="02511F9D"/>
    <w:rsid w:val="03681C3C"/>
    <w:rsid w:val="03A314B8"/>
    <w:rsid w:val="03D82B98"/>
    <w:rsid w:val="03F83E8B"/>
    <w:rsid w:val="0479352D"/>
    <w:rsid w:val="05C56868"/>
    <w:rsid w:val="060025E6"/>
    <w:rsid w:val="06B86512"/>
    <w:rsid w:val="06CB7731"/>
    <w:rsid w:val="071618C4"/>
    <w:rsid w:val="07B72767"/>
    <w:rsid w:val="08077E72"/>
    <w:rsid w:val="08814C04"/>
    <w:rsid w:val="08882DD0"/>
    <w:rsid w:val="09CC2AAC"/>
    <w:rsid w:val="09D26E76"/>
    <w:rsid w:val="0A652D3E"/>
    <w:rsid w:val="0B326F2A"/>
    <w:rsid w:val="0B8912F8"/>
    <w:rsid w:val="0BBD60F3"/>
    <w:rsid w:val="0C1E2888"/>
    <w:rsid w:val="0C92213C"/>
    <w:rsid w:val="0D7C33D3"/>
    <w:rsid w:val="0D84032B"/>
    <w:rsid w:val="0DCC6F05"/>
    <w:rsid w:val="0F2A74C4"/>
    <w:rsid w:val="0F3A4BE8"/>
    <w:rsid w:val="0FD61908"/>
    <w:rsid w:val="102512DD"/>
    <w:rsid w:val="108370F4"/>
    <w:rsid w:val="10A27F31"/>
    <w:rsid w:val="113A3CB3"/>
    <w:rsid w:val="11927058"/>
    <w:rsid w:val="11D97125"/>
    <w:rsid w:val="12030CB7"/>
    <w:rsid w:val="130917CA"/>
    <w:rsid w:val="136043D7"/>
    <w:rsid w:val="13AF4F03"/>
    <w:rsid w:val="13F0586D"/>
    <w:rsid w:val="146A1321"/>
    <w:rsid w:val="14736E66"/>
    <w:rsid w:val="147F458F"/>
    <w:rsid w:val="14D958EC"/>
    <w:rsid w:val="152143B8"/>
    <w:rsid w:val="1534169A"/>
    <w:rsid w:val="15C03E03"/>
    <w:rsid w:val="162A25EB"/>
    <w:rsid w:val="16E16597"/>
    <w:rsid w:val="16FD2A55"/>
    <w:rsid w:val="17067C1A"/>
    <w:rsid w:val="17366761"/>
    <w:rsid w:val="177C01F0"/>
    <w:rsid w:val="17C73DF4"/>
    <w:rsid w:val="17CE6630"/>
    <w:rsid w:val="183304C3"/>
    <w:rsid w:val="1AFF0AFE"/>
    <w:rsid w:val="1B4F19F8"/>
    <w:rsid w:val="1C226F03"/>
    <w:rsid w:val="1C7B7E93"/>
    <w:rsid w:val="1D253A7D"/>
    <w:rsid w:val="1D5D4C3D"/>
    <w:rsid w:val="1E274306"/>
    <w:rsid w:val="1E8659A4"/>
    <w:rsid w:val="1ECC44FA"/>
    <w:rsid w:val="1F063325"/>
    <w:rsid w:val="1FBC5DF5"/>
    <w:rsid w:val="1FF90588"/>
    <w:rsid w:val="20C3623F"/>
    <w:rsid w:val="20EE1EBF"/>
    <w:rsid w:val="21781212"/>
    <w:rsid w:val="21B83F86"/>
    <w:rsid w:val="221178A8"/>
    <w:rsid w:val="221213CF"/>
    <w:rsid w:val="22327A92"/>
    <w:rsid w:val="231D53A2"/>
    <w:rsid w:val="236D5383"/>
    <w:rsid w:val="23B7504C"/>
    <w:rsid w:val="23E0247D"/>
    <w:rsid w:val="24571307"/>
    <w:rsid w:val="24C84BAB"/>
    <w:rsid w:val="25110A2A"/>
    <w:rsid w:val="254C40BE"/>
    <w:rsid w:val="256C0944"/>
    <w:rsid w:val="26446DE3"/>
    <w:rsid w:val="269669E7"/>
    <w:rsid w:val="26D7699F"/>
    <w:rsid w:val="26F11651"/>
    <w:rsid w:val="2711393C"/>
    <w:rsid w:val="28A97478"/>
    <w:rsid w:val="29040956"/>
    <w:rsid w:val="29714AF7"/>
    <w:rsid w:val="29F64B42"/>
    <w:rsid w:val="2A6A3460"/>
    <w:rsid w:val="2ADD3A5F"/>
    <w:rsid w:val="2B602ED5"/>
    <w:rsid w:val="2B766C8D"/>
    <w:rsid w:val="2B774624"/>
    <w:rsid w:val="2BF40180"/>
    <w:rsid w:val="2C692ABE"/>
    <w:rsid w:val="2C7A72BE"/>
    <w:rsid w:val="2C9A7D75"/>
    <w:rsid w:val="2CC17412"/>
    <w:rsid w:val="2CF50884"/>
    <w:rsid w:val="2D471911"/>
    <w:rsid w:val="2D4B43CB"/>
    <w:rsid w:val="2E9976CE"/>
    <w:rsid w:val="2EE94448"/>
    <w:rsid w:val="2F401D3C"/>
    <w:rsid w:val="2F5B24E1"/>
    <w:rsid w:val="2FA95C88"/>
    <w:rsid w:val="3041370F"/>
    <w:rsid w:val="3071491F"/>
    <w:rsid w:val="310600FC"/>
    <w:rsid w:val="312B50A3"/>
    <w:rsid w:val="31514CF8"/>
    <w:rsid w:val="31756537"/>
    <w:rsid w:val="3238172D"/>
    <w:rsid w:val="32453A27"/>
    <w:rsid w:val="3263064A"/>
    <w:rsid w:val="32A43132"/>
    <w:rsid w:val="32AC0C06"/>
    <w:rsid w:val="32CE7637"/>
    <w:rsid w:val="33344EF5"/>
    <w:rsid w:val="337226DF"/>
    <w:rsid w:val="34241DBC"/>
    <w:rsid w:val="34DA5C46"/>
    <w:rsid w:val="3537750C"/>
    <w:rsid w:val="3537798C"/>
    <w:rsid w:val="35C13FC9"/>
    <w:rsid w:val="364257B6"/>
    <w:rsid w:val="36D24400"/>
    <w:rsid w:val="37266088"/>
    <w:rsid w:val="37285706"/>
    <w:rsid w:val="37EA5922"/>
    <w:rsid w:val="380E3685"/>
    <w:rsid w:val="38276B93"/>
    <w:rsid w:val="3870129A"/>
    <w:rsid w:val="38AC3431"/>
    <w:rsid w:val="38BC19A2"/>
    <w:rsid w:val="392F2E16"/>
    <w:rsid w:val="39422F00"/>
    <w:rsid w:val="39B82B3E"/>
    <w:rsid w:val="39E00529"/>
    <w:rsid w:val="3A0B64A7"/>
    <w:rsid w:val="3A574DDA"/>
    <w:rsid w:val="3AD3075A"/>
    <w:rsid w:val="3AF74C02"/>
    <w:rsid w:val="3B0B1FFB"/>
    <w:rsid w:val="3B5725EA"/>
    <w:rsid w:val="3B76761C"/>
    <w:rsid w:val="3C0059A5"/>
    <w:rsid w:val="3C134E78"/>
    <w:rsid w:val="3D363D7A"/>
    <w:rsid w:val="3D7C6C9E"/>
    <w:rsid w:val="3D947997"/>
    <w:rsid w:val="3DA64849"/>
    <w:rsid w:val="3DEC7285"/>
    <w:rsid w:val="3DF6345D"/>
    <w:rsid w:val="3E2B5515"/>
    <w:rsid w:val="3E4D4F28"/>
    <w:rsid w:val="3E7008FD"/>
    <w:rsid w:val="3EE13701"/>
    <w:rsid w:val="3EF91251"/>
    <w:rsid w:val="3F1A4BB3"/>
    <w:rsid w:val="3F7F1E43"/>
    <w:rsid w:val="3F8F1BE1"/>
    <w:rsid w:val="40192BA6"/>
    <w:rsid w:val="41766EA9"/>
    <w:rsid w:val="418278B3"/>
    <w:rsid w:val="42550A18"/>
    <w:rsid w:val="427A361C"/>
    <w:rsid w:val="429D496A"/>
    <w:rsid w:val="42D352F9"/>
    <w:rsid w:val="42F473A1"/>
    <w:rsid w:val="436E65B6"/>
    <w:rsid w:val="441E62C0"/>
    <w:rsid w:val="44A33F14"/>
    <w:rsid w:val="450C3955"/>
    <w:rsid w:val="45325D14"/>
    <w:rsid w:val="45682325"/>
    <w:rsid w:val="45811C7C"/>
    <w:rsid w:val="458F06AB"/>
    <w:rsid w:val="45906116"/>
    <w:rsid w:val="45D74323"/>
    <w:rsid w:val="468B3EFB"/>
    <w:rsid w:val="470A6193"/>
    <w:rsid w:val="47385210"/>
    <w:rsid w:val="47DC4F5C"/>
    <w:rsid w:val="47E56EA2"/>
    <w:rsid w:val="483D2FCF"/>
    <w:rsid w:val="4878156E"/>
    <w:rsid w:val="48B40671"/>
    <w:rsid w:val="499B5738"/>
    <w:rsid w:val="499F244D"/>
    <w:rsid w:val="49A43D49"/>
    <w:rsid w:val="49D338FF"/>
    <w:rsid w:val="4A547680"/>
    <w:rsid w:val="4A973F3F"/>
    <w:rsid w:val="4AF96BC7"/>
    <w:rsid w:val="4B5A416B"/>
    <w:rsid w:val="4B862A85"/>
    <w:rsid w:val="4BFC1895"/>
    <w:rsid w:val="4CB70FC1"/>
    <w:rsid w:val="4CEF36E2"/>
    <w:rsid w:val="4CEF4DC5"/>
    <w:rsid w:val="4D1D5914"/>
    <w:rsid w:val="4E0F4014"/>
    <w:rsid w:val="4E257655"/>
    <w:rsid w:val="4E8E7871"/>
    <w:rsid w:val="4EEE7D8E"/>
    <w:rsid w:val="4F1418FD"/>
    <w:rsid w:val="4F372380"/>
    <w:rsid w:val="4F372FFB"/>
    <w:rsid w:val="5025116D"/>
    <w:rsid w:val="50760B0E"/>
    <w:rsid w:val="50CA0599"/>
    <w:rsid w:val="513F0557"/>
    <w:rsid w:val="51FB1F8F"/>
    <w:rsid w:val="52395ECD"/>
    <w:rsid w:val="52C10D75"/>
    <w:rsid w:val="52DF7A57"/>
    <w:rsid w:val="53C27FF8"/>
    <w:rsid w:val="549E1A80"/>
    <w:rsid w:val="54C658F4"/>
    <w:rsid w:val="550C4BD7"/>
    <w:rsid w:val="55125CB8"/>
    <w:rsid w:val="554C1D56"/>
    <w:rsid w:val="55572986"/>
    <w:rsid w:val="55C062DD"/>
    <w:rsid w:val="55DC1BEA"/>
    <w:rsid w:val="563A60ED"/>
    <w:rsid w:val="565340FA"/>
    <w:rsid w:val="566662CB"/>
    <w:rsid w:val="5723343E"/>
    <w:rsid w:val="573D7EAB"/>
    <w:rsid w:val="593E67B4"/>
    <w:rsid w:val="5A0709C0"/>
    <w:rsid w:val="5A1D0965"/>
    <w:rsid w:val="5A2F2CC8"/>
    <w:rsid w:val="5A460BBC"/>
    <w:rsid w:val="5A7F5187"/>
    <w:rsid w:val="5B3677E9"/>
    <w:rsid w:val="5BA26962"/>
    <w:rsid w:val="5BD317AC"/>
    <w:rsid w:val="5C10702D"/>
    <w:rsid w:val="5C152601"/>
    <w:rsid w:val="5C3F1830"/>
    <w:rsid w:val="5C591F03"/>
    <w:rsid w:val="5C8A1B2F"/>
    <w:rsid w:val="5CD36928"/>
    <w:rsid w:val="5D2E2F01"/>
    <w:rsid w:val="5D464695"/>
    <w:rsid w:val="5D914004"/>
    <w:rsid w:val="5DA57F32"/>
    <w:rsid w:val="5F4D50E3"/>
    <w:rsid w:val="5F561B72"/>
    <w:rsid w:val="5FD17AC2"/>
    <w:rsid w:val="606007BB"/>
    <w:rsid w:val="606D1A84"/>
    <w:rsid w:val="60AC7F66"/>
    <w:rsid w:val="60F143EE"/>
    <w:rsid w:val="613D6494"/>
    <w:rsid w:val="61657B29"/>
    <w:rsid w:val="61BF10D9"/>
    <w:rsid w:val="61DA3D4C"/>
    <w:rsid w:val="61FB7B4C"/>
    <w:rsid w:val="62AC22DC"/>
    <w:rsid w:val="632D4A46"/>
    <w:rsid w:val="6346509E"/>
    <w:rsid w:val="637833E8"/>
    <w:rsid w:val="64E45EF7"/>
    <w:rsid w:val="653B4B43"/>
    <w:rsid w:val="654237C0"/>
    <w:rsid w:val="65BF465B"/>
    <w:rsid w:val="66402837"/>
    <w:rsid w:val="665D0100"/>
    <w:rsid w:val="6691014E"/>
    <w:rsid w:val="66C87CCE"/>
    <w:rsid w:val="66D1246E"/>
    <w:rsid w:val="66EF727A"/>
    <w:rsid w:val="676B6FB9"/>
    <w:rsid w:val="677435B2"/>
    <w:rsid w:val="67AF3AEA"/>
    <w:rsid w:val="67EF75F1"/>
    <w:rsid w:val="67FE6C10"/>
    <w:rsid w:val="6840299F"/>
    <w:rsid w:val="69124F16"/>
    <w:rsid w:val="69315B2B"/>
    <w:rsid w:val="694A5205"/>
    <w:rsid w:val="69C76E18"/>
    <w:rsid w:val="69CD5C14"/>
    <w:rsid w:val="69CF0D33"/>
    <w:rsid w:val="6A134D68"/>
    <w:rsid w:val="6A625381"/>
    <w:rsid w:val="6A8B7E5B"/>
    <w:rsid w:val="6B9946B3"/>
    <w:rsid w:val="6BAF240D"/>
    <w:rsid w:val="6BFB3534"/>
    <w:rsid w:val="6C530FB7"/>
    <w:rsid w:val="6C662189"/>
    <w:rsid w:val="6C7007C7"/>
    <w:rsid w:val="6CA7144F"/>
    <w:rsid w:val="6D450464"/>
    <w:rsid w:val="6D8D3DA9"/>
    <w:rsid w:val="6DE76850"/>
    <w:rsid w:val="6E3522FC"/>
    <w:rsid w:val="6E9047F2"/>
    <w:rsid w:val="6EA9791B"/>
    <w:rsid w:val="6ECB7D56"/>
    <w:rsid w:val="6ED948C1"/>
    <w:rsid w:val="6EFB7C4C"/>
    <w:rsid w:val="6FB20BD4"/>
    <w:rsid w:val="6FB650F7"/>
    <w:rsid w:val="6FBA59BE"/>
    <w:rsid w:val="70296B3E"/>
    <w:rsid w:val="70611204"/>
    <w:rsid w:val="71461992"/>
    <w:rsid w:val="7172548B"/>
    <w:rsid w:val="723039E4"/>
    <w:rsid w:val="727950DD"/>
    <w:rsid w:val="72BF4363"/>
    <w:rsid w:val="73123FD7"/>
    <w:rsid w:val="73445350"/>
    <w:rsid w:val="74756965"/>
    <w:rsid w:val="74FA2C30"/>
    <w:rsid w:val="754D5C4B"/>
    <w:rsid w:val="7587206F"/>
    <w:rsid w:val="75CA0CCD"/>
    <w:rsid w:val="76C240A7"/>
    <w:rsid w:val="775246B7"/>
    <w:rsid w:val="781E69D1"/>
    <w:rsid w:val="784B1612"/>
    <w:rsid w:val="79C505D8"/>
    <w:rsid w:val="79DB4BC0"/>
    <w:rsid w:val="7A263B6B"/>
    <w:rsid w:val="7A6B030B"/>
    <w:rsid w:val="7A921F41"/>
    <w:rsid w:val="7AF46346"/>
    <w:rsid w:val="7B0F5EBF"/>
    <w:rsid w:val="7B130FB9"/>
    <w:rsid w:val="7BF344C5"/>
    <w:rsid w:val="7BF64EDE"/>
    <w:rsid w:val="7C400C1E"/>
    <w:rsid w:val="7D6B38D1"/>
    <w:rsid w:val="7D8027B1"/>
    <w:rsid w:val="7DD11708"/>
    <w:rsid w:val="7EBD579E"/>
    <w:rsid w:val="7EC167BD"/>
    <w:rsid w:val="7F272D9E"/>
    <w:rsid w:val="7F556C75"/>
    <w:rsid w:val="7F7338C5"/>
    <w:rsid w:val="7F831D43"/>
    <w:rsid w:val="7FC91D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spacing w:before="340" w:after="330" w:line="578" w:lineRule="auto"/>
      <w:outlineLvl w:val="0"/>
    </w:pPr>
    <w:rPr>
      <w:b/>
      <w:bCs/>
      <w:kern w:val="44"/>
      <w:sz w:val="44"/>
      <w:szCs w:val="44"/>
    </w:rPr>
  </w:style>
  <w:style w:type="paragraph" w:styleId="4">
    <w:name w:val="heading 2"/>
    <w:basedOn w:val="5"/>
    <w:next w:val="1"/>
    <w:link w:val="85"/>
    <w:qFormat/>
    <w:uiPriority w:val="9"/>
    <w:pPr>
      <w:keepNext/>
      <w:keepLines/>
      <w:tabs>
        <w:tab w:val="left" w:pos="1152"/>
      </w:tabs>
      <w:spacing w:before="260" w:after="260" w:line="416" w:lineRule="auto"/>
      <w:outlineLvl w:val="1"/>
    </w:pPr>
    <w:rPr>
      <w:rFonts w:ascii="Cambria" w:hAnsi="Cambria"/>
      <w:sz w:val="32"/>
      <w:szCs w:val="32"/>
    </w:rPr>
  </w:style>
  <w:style w:type="paragraph" w:styleId="7">
    <w:name w:val="heading 3"/>
    <w:basedOn w:val="1"/>
    <w:next w:val="1"/>
    <w:link w:val="86"/>
    <w:qFormat/>
    <w:uiPriority w:val="9"/>
    <w:pPr>
      <w:keepNext/>
      <w:keepLines/>
      <w:spacing w:before="260" w:after="260" w:line="416" w:lineRule="auto"/>
      <w:outlineLvl w:val="2"/>
    </w:pPr>
    <w:rPr>
      <w:b/>
      <w:bCs/>
      <w:sz w:val="32"/>
      <w:szCs w:val="32"/>
    </w:rPr>
  </w:style>
  <w:style w:type="paragraph" w:styleId="8">
    <w:name w:val="heading 4"/>
    <w:basedOn w:val="1"/>
    <w:next w:val="1"/>
    <w:link w:val="61"/>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link w:val="87"/>
    <w:qFormat/>
    <w:uiPriority w:val="0"/>
    <w:pPr>
      <w:keepNext/>
      <w:keepLines/>
      <w:spacing w:before="280" w:after="290" w:line="376" w:lineRule="auto"/>
      <w:outlineLvl w:val="4"/>
    </w:pPr>
    <w:rPr>
      <w:b/>
      <w:bCs/>
      <w:sz w:val="28"/>
      <w:szCs w:val="28"/>
    </w:rPr>
  </w:style>
  <w:style w:type="paragraph" w:styleId="9">
    <w:name w:val="heading 6"/>
    <w:basedOn w:val="1"/>
    <w:next w:val="10"/>
    <w:link w:val="63"/>
    <w:qFormat/>
    <w:uiPriority w:val="9"/>
    <w:pPr>
      <w:keepNext/>
      <w:keepLines/>
      <w:numPr>
        <w:ilvl w:val="5"/>
        <w:numId w:val="1"/>
      </w:numPr>
      <w:spacing w:before="240" w:after="64" w:line="320" w:lineRule="auto"/>
      <w:outlineLvl w:val="5"/>
    </w:pPr>
    <w:rPr>
      <w:rFonts w:ascii="Arial" w:hAnsi="Arial" w:eastAsia="黑体" w:cs="Times New Roman"/>
      <w:b/>
      <w:sz w:val="24"/>
    </w:rPr>
  </w:style>
  <w:style w:type="paragraph" w:styleId="12">
    <w:name w:val="heading 7"/>
    <w:basedOn w:val="1"/>
    <w:next w:val="10"/>
    <w:link w:val="64"/>
    <w:qFormat/>
    <w:uiPriority w:val="9"/>
    <w:pPr>
      <w:keepNext/>
      <w:keepLines/>
      <w:numPr>
        <w:ilvl w:val="6"/>
        <w:numId w:val="1"/>
      </w:numPr>
      <w:spacing w:before="240" w:after="64" w:line="320" w:lineRule="auto"/>
      <w:outlineLvl w:val="6"/>
    </w:pPr>
    <w:rPr>
      <w:rFonts w:ascii="Times New Roman" w:hAnsi="Times New Roman" w:eastAsia="宋体" w:cs="Times New Roman"/>
      <w:b/>
      <w:sz w:val="24"/>
    </w:rPr>
  </w:style>
  <w:style w:type="paragraph" w:styleId="13">
    <w:name w:val="heading 8"/>
    <w:basedOn w:val="1"/>
    <w:next w:val="10"/>
    <w:link w:val="88"/>
    <w:qFormat/>
    <w:uiPriority w:val="9"/>
    <w:pPr>
      <w:keepNext/>
      <w:keepLines/>
      <w:spacing w:before="240" w:after="64" w:line="320" w:lineRule="auto"/>
      <w:outlineLvl w:val="7"/>
    </w:pPr>
    <w:rPr>
      <w:rFonts w:ascii="等线 Light" w:hAnsi="等线 Light" w:eastAsia="等线 Light"/>
      <w:sz w:val="24"/>
    </w:rPr>
  </w:style>
  <w:style w:type="paragraph" w:styleId="14">
    <w:name w:val="heading 9"/>
    <w:basedOn w:val="1"/>
    <w:next w:val="10"/>
    <w:link w:val="66"/>
    <w:qFormat/>
    <w:uiPriority w:val="9"/>
    <w:pPr>
      <w:keepNext/>
      <w:keepLines/>
      <w:numPr>
        <w:ilvl w:val="8"/>
        <w:numId w:val="1"/>
      </w:numPr>
      <w:spacing w:before="240" w:after="64" w:line="320" w:lineRule="auto"/>
      <w:outlineLvl w:val="8"/>
    </w:pPr>
    <w:rPr>
      <w:rFonts w:ascii="Arial" w:hAnsi="Arial" w:eastAsia="黑体" w:cs="Times New Roman"/>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footer"/>
    <w:basedOn w:val="1"/>
    <w:link w:val="96"/>
    <w:unhideWhenUsed/>
    <w:qFormat/>
    <w:uiPriority w:val="99"/>
    <w:pPr>
      <w:tabs>
        <w:tab w:val="center" w:pos="4153"/>
        <w:tab w:val="right" w:pos="8306"/>
      </w:tabs>
      <w:snapToGrid w:val="0"/>
      <w:jc w:val="left"/>
    </w:pPr>
    <w:rPr>
      <w:kern w:val="0"/>
      <w:sz w:val="18"/>
      <w:szCs w:val="18"/>
    </w:rPr>
  </w:style>
  <w:style w:type="paragraph" w:customStyle="1" w:styleId="5">
    <w:name w:val="标题 55"/>
    <w:basedOn w:val="6"/>
    <w:qFormat/>
    <w:uiPriority w:val="0"/>
    <w:pPr>
      <w:tabs>
        <w:tab w:val="left" w:pos="1152"/>
      </w:tabs>
      <w:spacing w:line="376" w:lineRule="auto"/>
    </w:pPr>
    <w:rPr>
      <w:rFonts w:ascii="方正黑体简体" w:eastAsia="方正黑体简体"/>
    </w:rPr>
  </w:style>
  <w:style w:type="paragraph" w:styleId="10">
    <w:name w:val="Normal Indent"/>
    <w:basedOn w:val="1"/>
    <w:next w:val="11"/>
    <w:qFormat/>
    <w:uiPriority w:val="0"/>
    <w:pPr>
      <w:ind w:firstLine="420"/>
    </w:pPr>
    <w:rPr>
      <w:szCs w:val="20"/>
    </w:rPr>
  </w:style>
  <w:style w:type="paragraph" w:styleId="11">
    <w:name w:val="Plain Text"/>
    <w:basedOn w:val="1"/>
    <w:next w:val="8"/>
    <w:link w:val="93"/>
    <w:qFormat/>
    <w:uiPriority w:val="0"/>
    <w:rPr>
      <w:rFonts w:ascii="宋体" w:hAnsi="Courier New"/>
      <w:kern w:val="0"/>
      <w:sz w:val="20"/>
      <w:szCs w:val="21"/>
    </w:rPr>
  </w:style>
  <w:style w:type="paragraph" w:styleId="15">
    <w:name w:val="toc 7"/>
    <w:basedOn w:val="1"/>
    <w:next w:val="1"/>
    <w:unhideWhenUsed/>
    <w:qFormat/>
    <w:uiPriority w:val="39"/>
    <w:pPr>
      <w:ind w:left="2520" w:leftChars="1200"/>
    </w:pPr>
    <w:rPr>
      <w:rFonts w:ascii="Calibri" w:hAnsi="Calibri" w:eastAsia="宋体" w:cs="Times New Roman"/>
      <w:szCs w:val="22"/>
    </w:r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35"/>
    <w:pPr>
      <w:spacing w:before="152" w:after="160"/>
    </w:pPr>
    <w:rPr>
      <w:rFonts w:ascii="Arial" w:hAnsi="Arial" w:eastAsia="黑体" w:cs="Arial"/>
      <w:sz w:val="20"/>
      <w:szCs w:val="20"/>
    </w:rPr>
  </w:style>
  <w:style w:type="paragraph" w:styleId="18">
    <w:name w:val="annotation text"/>
    <w:basedOn w:val="1"/>
    <w:link w:val="89"/>
    <w:unhideWhenUsed/>
    <w:qFormat/>
    <w:uiPriority w:val="0"/>
    <w:pPr>
      <w:jc w:val="left"/>
    </w:pPr>
  </w:style>
  <w:style w:type="paragraph" w:styleId="19">
    <w:name w:val="Body Text 3"/>
    <w:basedOn w:val="1"/>
    <w:link w:val="90"/>
    <w:qFormat/>
    <w:uiPriority w:val="0"/>
    <w:pPr>
      <w:spacing w:after="120"/>
    </w:pPr>
    <w:rPr>
      <w:sz w:val="16"/>
      <w:szCs w:val="16"/>
    </w:rPr>
  </w:style>
  <w:style w:type="paragraph" w:styleId="20">
    <w:name w:val="Body Text"/>
    <w:basedOn w:val="1"/>
    <w:next w:val="21"/>
    <w:link w:val="91"/>
    <w:qFormat/>
    <w:uiPriority w:val="99"/>
    <w:pPr>
      <w:spacing w:after="120"/>
    </w:pPr>
  </w:style>
  <w:style w:type="paragraph" w:styleId="21">
    <w:name w:val="Body Text First Indent 2"/>
    <w:basedOn w:val="22"/>
    <w:qFormat/>
    <w:uiPriority w:val="0"/>
    <w:pPr>
      <w:ind w:firstLine="420" w:firstLineChars="200"/>
    </w:pPr>
  </w:style>
  <w:style w:type="paragraph" w:styleId="22">
    <w:name w:val="Body Text Indent"/>
    <w:basedOn w:val="1"/>
    <w:next w:val="21"/>
    <w:link w:val="92"/>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contextualSpacing/>
    </w:pPr>
  </w:style>
  <w:style w:type="paragraph" w:styleId="25">
    <w:name w:val="toc 5"/>
    <w:basedOn w:val="1"/>
    <w:next w:val="1"/>
    <w:unhideWhenUsed/>
    <w:qFormat/>
    <w:uiPriority w:val="39"/>
    <w:pPr>
      <w:ind w:left="1680" w:leftChars="800"/>
    </w:pPr>
    <w:rPr>
      <w:rFonts w:ascii="Calibri" w:hAnsi="Calibri" w:eastAsia="宋体" w:cs="Times New Roman"/>
      <w:szCs w:val="22"/>
    </w:rPr>
  </w:style>
  <w:style w:type="paragraph" w:styleId="26">
    <w:name w:val="toc 3"/>
    <w:basedOn w:val="1"/>
    <w:next w:val="1"/>
    <w:unhideWhenUsed/>
    <w:qFormat/>
    <w:uiPriority w:val="39"/>
    <w:pPr>
      <w:ind w:left="840" w:leftChars="400"/>
    </w:pPr>
  </w:style>
  <w:style w:type="paragraph" w:styleId="27">
    <w:name w:val="toc 8"/>
    <w:basedOn w:val="1"/>
    <w:next w:val="1"/>
    <w:unhideWhenUsed/>
    <w:qFormat/>
    <w:uiPriority w:val="39"/>
    <w:pPr>
      <w:ind w:left="2940" w:leftChars="1400"/>
    </w:pPr>
    <w:rPr>
      <w:rFonts w:ascii="Calibri" w:hAnsi="Calibri" w:eastAsia="宋体" w:cs="Times New Roman"/>
      <w:szCs w:val="22"/>
    </w:rPr>
  </w:style>
  <w:style w:type="paragraph" w:styleId="28">
    <w:name w:val="Date"/>
    <w:basedOn w:val="1"/>
    <w:next w:val="1"/>
    <w:link w:val="94"/>
    <w:qFormat/>
    <w:uiPriority w:val="0"/>
    <w:pPr>
      <w:ind w:left="100" w:leftChars="2500"/>
    </w:pPr>
  </w:style>
  <w:style w:type="paragraph" w:styleId="29">
    <w:name w:val="Body Text Indent 2"/>
    <w:basedOn w:val="1"/>
    <w:link w:val="73"/>
    <w:qFormat/>
    <w:uiPriority w:val="0"/>
    <w:pPr>
      <w:ind w:firstLine="630"/>
    </w:pPr>
    <w:rPr>
      <w:rFonts w:ascii="Times New Roman" w:hAnsi="Times New Roman" w:eastAsia="宋体" w:cs="Times New Roman"/>
      <w:kern w:val="0"/>
      <w:sz w:val="32"/>
      <w:szCs w:val="20"/>
    </w:rPr>
  </w:style>
  <w:style w:type="paragraph" w:styleId="30">
    <w:name w:val="endnote text"/>
    <w:basedOn w:val="1"/>
    <w:link w:val="74"/>
    <w:unhideWhenUsed/>
    <w:qFormat/>
    <w:uiPriority w:val="99"/>
    <w:pPr>
      <w:snapToGrid w:val="0"/>
      <w:jc w:val="left"/>
    </w:pPr>
    <w:rPr>
      <w:rFonts w:ascii="Times New Roman" w:hAnsi="Times New Roman" w:eastAsia="宋体" w:cs="Times New Roman"/>
    </w:rPr>
  </w:style>
  <w:style w:type="paragraph" w:styleId="31">
    <w:name w:val="Balloon Text"/>
    <w:basedOn w:val="1"/>
    <w:link w:val="95"/>
    <w:semiHidden/>
    <w:qFormat/>
    <w:uiPriority w:val="99"/>
    <w:rPr>
      <w:sz w:val="18"/>
      <w:szCs w:val="18"/>
    </w:rPr>
  </w:style>
  <w:style w:type="paragraph" w:styleId="32">
    <w:name w:val="header"/>
    <w:basedOn w:val="1"/>
    <w:link w:val="9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style>
  <w:style w:type="paragraph" w:styleId="34">
    <w:name w:val="toc 4"/>
    <w:basedOn w:val="1"/>
    <w:next w:val="1"/>
    <w:unhideWhenUsed/>
    <w:qFormat/>
    <w:uiPriority w:val="39"/>
    <w:pPr>
      <w:ind w:left="1260" w:leftChars="600"/>
    </w:pPr>
    <w:rPr>
      <w:rFonts w:ascii="Calibri" w:hAnsi="Calibri" w:eastAsia="宋体" w:cs="Times New Roman"/>
      <w:szCs w:val="22"/>
    </w:rPr>
  </w:style>
  <w:style w:type="paragraph" w:styleId="35">
    <w:name w:val="Subtitle"/>
    <w:basedOn w:val="1"/>
    <w:next w:val="1"/>
    <w:link w:val="78"/>
    <w:qFormat/>
    <w:uiPriority w:val="11"/>
    <w:pPr>
      <w:overflowPunct w:val="0"/>
      <w:spacing w:before="240" w:after="60" w:line="312" w:lineRule="auto"/>
      <w:jc w:val="center"/>
    </w:pPr>
    <w:rPr>
      <w:rFonts w:ascii="Calibri" w:hAnsi="Calibri" w:eastAsia="宋体" w:cs="Times New Roman"/>
      <w:b/>
      <w:bCs/>
      <w:kern w:val="28"/>
      <w:sz w:val="44"/>
      <w:szCs w:val="32"/>
    </w:rPr>
  </w:style>
  <w:style w:type="paragraph" w:styleId="36">
    <w:name w:val="List"/>
    <w:basedOn w:val="1"/>
    <w:qFormat/>
    <w:uiPriority w:val="0"/>
    <w:pPr>
      <w:ind w:left="200" w:hanging="200" w:hangingChars="200"/>
      <w:contextualSpacing/>
    </w:pPr>
  </w:style>
  <w:style w:type="paragraph" w:styleId="37">
    <w:name w:val="footnote text"/>
    <w:basedOn w:val="1"/>
    <w:link w:val="79"/>
    <w:unhideWhenUsed/>
    <w:qFormat/>
    <w:uiPriority w:val="99"/>
    <w:pPr>
      <w:snapToGrid w:val="0"/>
      <w:jc w:val="left"/>
    </w:pPr>
    <w:rPr>
      <w:rFonts w:ascii="Times New Roman" w:hAnsi="Times New Roman" w:eastAsia="宋体" w:cs="Times New Roman"/>
      <w:sz w:val="18"/>
      <w:szCs w:val="18"/>
    </w:rPr>
  </w:style>
  <w:style w:type="paragraph" w:styleId="38">
    <w:name w:val="toc 6"/>
    <w:basedOn w:val="1"/>
    <w:next w:val="1"/>
    <w:unhideWhenUsed/>
    <w:qFormat/>
    <w:uiPriority w:val="39"/>
    <w:pPr>
      <w:ind w:left="2100" w:leftChars="1000"/>
    </w:pPr>
    <w:rPr>
      <w:rFonts w:ascii="Calibri" w:hAnsi="Calibri" w:eastAsia="宋体" w:cs="Times New Roman"/>
      <w:szCs w:val="22"/>
    </w:rPr>
  </w:style>
  <w:style w:type="paragraph" w:styleId="39">
    <w:name w:val="Body Text Indent 3"/>
    <w:basedOn w:val="1"/>
    <w:link w:val="80"/>
    <w:qFormat/>
    <w:uiPriority w:val="0"/>
    <w:pPr>
      <w:spacing w:after="120"/>
      <w:ind w:left="420" w:leftChars="200"/>
    </w:pPr>
    <w:rPr>
      <w:rFonts w:ascii="Times New Roman" w:hAnsi="Times New Roman" w:eastAsia="宋体" w:cs="Times New Roman"/>
      <w:kern w:val="0"/>
      <w:sz w:val="16"/>
      <w:szCs w:val="16"/>
    </w:rPr>
  </w:style>
  <w:style w:type="paragraph" w:styleId="40">
    <w:name w:val="table of figures"/>
    <w:basedOn w:val="1"/>
    <w:next w:val="1"/>
    <w:unhideWhenUsed/>
    <w:qFormat/>
    <w:uiPriority w:val="99"/>
    <w:pPr>
      <w:overflowPunct w:val="0"/>
      <w:ind w:left="200" w:hanging="200" w:hangingChars="200"/>
    </w:pPr>
    <w:rPr>
      <w:rFonts w:ascii="宋体" w:hAnsi="Calibri" w:eastAsia="宋体" w:cs="Times New Roman"/>
      <w:sz w:val="24"/>
      <w:szCs w:val="21"/>
    </w:rP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val="1"/>
    <w:next w:val="1"/>
    <w:unhideWhenUsed/>
    <w:qFormat/>
    <w:uiPriority w:val="39"/>
    <w:pPr>
      <w:ind w:left="3360" w:leftChars="1600"/>
    </w:pPr>
    <w:rPr>
      <w:rFonts w:ascii="Calibri" w:hAnsi="Calibri" w:eastAsia="宋体" w:cs="Times New Roman"/>
      <w:szCs w:val="22"/>
    </w:rPr>
  </w:style>
  <w:style w:type="paragraph" w:styleId="43">
    <w:name w:val="Body Text 2"/>
    <w:basedOn w:val="1"/>
    <w:link w:val="81"/>
    <w:qFormat/>
    <w:uiPriority w:val="0"/>
    <w:pPr>
      <w:spacing w:after="120" w:line="480" w:lineRule="auto"/>
    </w:pPr>
    <w:rPr>
      <w:rFonts w:ascii="Times New Roman" w:hAnsi="Times New Roman" w:eastAsia="宋体" w:cs="Times New Roman"/>
      <w:kern w:val="0"/>
      <w:sz w:val="20"/>
    </w:rPr>
  </w:style>
  <w:style w:type="paragraph" w:styleId="44">
    <w:name w:val="Normal (Web)"/>
    <w:basedOn w:val="1"/>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45">
    <w:name w:val="index 1"/>
    <w:basedOn w:val="1"/>
    <w:next w:val="1"/>
    <w:semiHidden/>
    <w:qFormat/>
    <w:uiPriority w:val="0"/>
    <w:pPr>
      <w:spacing w:line="400" w:lineRule="exact"/>
      <w:ind w:firstLine="420" w:firstLineChars="200"/>
    </w:pPr>
    <w:rPr>
      <w:rFonts w:ascii="宋体" w:hAnsi="Courier New" w:eastAsia="宋体" w:cs="Times New Roman"/>
      <w:b/>
      <w:szCs w:val="20"/>
    </w:rPr>
  </w:style>
  <w:style w:type="paragraph" w:styleId="46">
    <w:name w:val="Title"/>
    <w:basedOn w:val="1"/>
    <w:next w:val="1"/>
    <w:link w:val="82"/>
    <w:qFormat/>
    <w:uiPriority w:val="10"/>
    <w:pPr>
      <w:spacing w:before="240" w:after="60"/>
      <w:jc w:val="center"/>
      <w:outlineLvl w:val="0"/>
    </w:pPr>
    <w:rPr>
      <w:rFonts w:ascii="Cambria" w:hAnsi="Cambria" w:eastAsia="宋体" w:cs="Times New Roman"/>
      <w:b/>
      <w:bCs/>
      <w:sz w:val="32"/>
      <w:szCs w:val="32"/>
    </w:rPr>
  </w:style>
  <w:style w:type="paragraph" w:styleId="47">
    <w:name w:val="annotation subject"/>
    <w:basedOn w:val="18"/>
    <w:next w:val="18"/>
    <w:link w:val="98"/>
    <w:unhideWhenUsed/>
    <w:qFormat/>
    <w:uiPriority w:val="99"/>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rFonts w:ascii="Times New Roman" w:hAnsi="Times New Roman" w:eastAsia="宋体" w:cs="Times New Roman"/>
      <w:vertAlign w:val="superscript"/>
    </w:rPr>
  </w:style>
  <w:style w:type="paragraph" w:customStyle="1" w:styleId="57">
    <w:name w:val="正文首行缩进1"/>
    <w:basedOn w:val="1"/>
    <w:qFormat/>
    <w:uiPriority w:val="0"/>
    <w:pPr>
      <w:autoSpaceDE w:val="0"/>
      <w:autoSpaceDN w:val="0"/>
      <w:adjustRightInd w:val="0"/>
      <w:spacing w:before="30" w:beforeLines="30"/>
      <w:ind w:firstLine="200" w:firstLineChars="200"/>
    </w:pPr>
    <w:rPr>
      <w:kern w:val="0"/>
      <w:sz w:val="28"/>
      <w:szCs w:val="20"/>
      <w:lang w:val="zh-CN"/>
    </w:rPr>
  </w:style>
  <w:style w:type="character" w:customStyle="1" w:styleId="58">
    <w:name w:val="标题 1 字符3"/>
    <w:link w:val="3"/>
    <w:qFormat/>
    <w:uiPriority w:val="9"/>
    <w:rPr>
      <w:rFonts w:ascii="Times New Roman" w:hAnsi="Times New Roman" w:eastAsia="宋体" w:cs="Times New Roman"/>
      <w:b/>
      <w:bCs/>
      <w:kern w:val="44"/>
      <w:sz w:val="44"/>
      <w:szCs w:val="44"/>
    </w:rPr>
  </w:style>
  <w:style w:type="character" w:customStyle="1" w:styleId="59">
    <w:name w:val="标题 2 字符2"/>
    <w:link w:val="4"/>
    <w:qFormat/>
    <w:uiPriority w:val="9"/>
    <w:rPr>
      <w:rFonts w:ascii="Cambria" w:hAnsi="Cambria" w:eastAsia="宋体" w:cs="Times New Roman"/>
      <w:b/>
      <w:bCs/>
      <w:kern w:val="2"/>
      <w:sz w:val="32"/>
      <w:szCs w:val="32"/>
    </w:rPr>
  </w:style>
  <w:style w:type="character" w:customStyle="1" w:styleId="60">
    <w:name w:val="标题 3 字符2"/>
    <w:link w:val="7"/>
    <w:qFormat/>
    <w:uiPriority w:val="9"/>
    <w:rPr>
      <w:rFonts w:ascii="Times New Roman" w:hAnsi="Times New Roman" w:eastAsia="宋体" w:cs="Times New Roman"/>
      <w:b/>
      <w:bCs/>
      <w:sz w:val="32"/>
      <w:szCs w:val="32"/>
    </w:rPr>
  </w:style>
  <w:style w:type="character" w:customStyle="1" w:styleId="61">
    <w:name w:val="标题 4 字符"/>
    <w:link w:val="8"/>
    <w:qFormat/>
    <w:uiPriority w:val="9"/>
    <w:rPr>
      <w:rFonts w:ascii="Calibri Light" w:hAnsi="Calibri Light" w:eastAsia="宋体" w:cs="Times New Roman"/>
      <w:b/>
      <w:bCs/>
      <w:sz w:val="28"/>
      <w:szCs w:val="28"/>
    </w:rPr>
  </w:style>
  <w:style w:type="character" w:customStyle="1" w:styleId="62">
    <w:name w:val="标题 5 字符2"/>
    <w:link w:val="6"/>
    <w:qFormat/>
    <w:uiPriority w:val="0"/>
    <w:rPr>
      <w:rFonts w:ascii="Times New Roman" w:hAnsi="Times New Roman" w:eastAsia="宋体" w:cs="Times New Roman"/>
      <w:b/>
      <w:kern w:val="2"/>
      <w:sz w:val="28"/>
      <w:szCs w:val="24"/>
    </w:rPr>
  </w:style>
  <w:style w:type="character" w:customStyle="1" w:styleId="63">
    <w:name w:val="标题 6 字符"/>
    <w:link w:val="9"/>
    <w:qFormat/>
    <w:uiPriority w:val="9"/>
    <w:rPr>
      <w:rFonts w:ascii="Arial" w:hAnsi="Arial" w:eastAsia="黑体" w:cs="Times New Roman"/>
      <w:b/>
      <w:sz w:val="24"/>
    </w:rPr>
  </w:style>
  <w:style w:type="character" w:customStyle="1" w:styleId="64">
    <w:name w:val="标题 7 字符"/>
    <w:link w:val="12"/>
    <w:qFormat/>
    <w:uiPriority w:val="9"/>
    <w:rPr>
      <w:rFonts w:ascii="Times New Roman" w:hAnsi="Times New Roman" w:eastAsia="宋体" w:cs="Times New Roman"/>
      <w:b/>
      <w:sz w:val="24"/>
    </w:rPr>
  </w:style>
  <w:style w:type="character" w:customStyle="1" w:styleId="65">
    <w:name w:val="标题 8 字符2"/>
    <w:link w:val="13"/>
    <w:qFormat/>
    <w:uiPriority w:val="0"/>
    <w:rPr>
      <w:rFonts w:ascii="Arial" w:hAnsi="Arial" w:eastAsia="黑体"/>
      <w:kern w:val="2"/>
      <w:sz w:val="24"/>
      <w:szCs w:val="24"/>
    </w:rPr>
  </w:style>
  <w:style w:type="character" w:customStyle="1" w:styleId="66">
    <w:name w:val="标题 9 字符"/>
    <w:link w:val="14"/>
    <w:qFormat/>
    <w:uiPriority w:val="9"/>
    <w:rPr>
      <w:rFonts w:ascii="Arial" w:hAnsi="Arial" w:eastAsia="黑体" w:cs="Times New Roman"/>
    </w:rPr>
  </w:style>
  <w:style w:type="character" w:customStyle="1" w:styleId="67">
    <w:name w:val="批注文字 字符5"/>
    <w:link w:val="18"/>
    <w:qFormat/>
    <w:uiPriority w:val="0"/>
    <w:rPr>
      <w:rFonts w:ascii="Times New Roman" w:hAnsi="Times New Roman" w:eastAsia="宋体" w:cs="Times New Roman"/>
      <w:kern w:val="2"/>
      <w:sz w:val="21"/>
      <w:szCs w:val="24"/>
    </w:rPr>
  </w:style>
  <w:style w:type="character" w:customStyle="1" w:styleId="68">
    <w:name w:val="正文文本 3 字符2"/>
    <w:link w:val="19"/>
    <w:qFormat/>
    <w:uiPriority w:val="0"/>
    <w:rPr>
      <w:rFonts w:ascii="Times New Roman" w:hAnsi="Times New Roman" w:eastAsia="宋体" w:cs="Times New Roman"/>
      <w:b/>
      <w:bCs/>
      <w:sz w:val="24"/>
      <w:szCs w:val="24"/>
    </w:rPr>
  </w:style>
  <w:style w:type="character" w:customStyle="1" w:styleId="69">
    <w:name w:val="正文文本 字符3"/>
    <w:link w:val="20"/>
    <w:qFormat/>
    <w:uiPriority w:val="0"/>
    <w:rPr>
      <w:rFonts w:ascii="Times New Roman" w:hAnsi="Times New Roman"/>
      <w:kern w:val="2"/>
      <w:sz w:val="21"/>
      <w:szCs w:val="24"/>
    </w:rPr>
  </w:style>
  <w:style w:type="character" w:customStyle="1" w:styleId="70">
    <w:name w:val="正文文本缩进 字符2"/>
    <w:link w:val="22"/>
    <w:qFormat/>
    <w:uiPriority w:val="0"/>
    <w:rPr>
      <w:rFonts w:ascii="仿宋_GB2312" w:hAnsi="Times New Roman" w:eastAsia="仿宋_GB2312" w:cs="Times New Roman"/>
      <w:sz w:val="32"/>
      <w:szCs w:val="20"/>
    </w:rPr>
  </w:style>
  <w:style w:type="character" w:customStyle="1" w:styleId="71">
    <w:name w:val="纯文本 字符5"/>
    <w:link w:val="11"/>
    <w:qFormat/>
    <w:uiPriority w:val="0"/>
    <w:rPr>
      <w:rFonts w:ascii="宋体" w:hAnsi="Courier New" w:eastAsia="宋体" w:cs="Courier New"/>
      <w:szCs w:val="21"/>
    </w:rPr>
  </w:style>
  <w:style w:type="character" w:customStyle="1" w:styleId="72">
    <w:name w:val="日期 字符2"/>
    <w:link w:val="28"/>
    <w:qFormat/>
    <w:uiPriority w:val="0"/>
    <w:rPr>
      <w:rFonts w:ascii="宋体" w:hAnsi="Courier New" w:eastAsia="宋体" w:cs="Courier New"/>
      <w:szCs w:val="21"/>
    </w:rPr>
  </w:style>
  <w:style w:type="character" w:customStyle="1" w:styleId="73">
    <w:name w:val="正文文本缩进 2 字符"/>
    <w:link w:val="29"/>
    <w:qFormat/>
    <w:uiPriority w:val="0"/>
    <w:rPr>
      <w:rFonts w:ascii="Times New Roman" w:hAnsi="Times New Roman" w:eastAsia="宋体" w:cs="Times New Roman"/>
      <w:kern w:val="0"/>
      <w:sz w:val="32"/>
      <w:szCs w:val="20"/>
    </w:rPr>
  </w:style>
  <w:style w:type="character" w:customStyle="1" w:styleId="74">
    <w:name w:val="尾注文本 字符"/>
    <w:link w:val="30"/>
    <w:semiHidden/>
    <w:qFormat/>
    <w:uiPriority w:val="99"/>
    <w:rPr>
      <w:rFonts w:ascii="Times New Roman" w:hAnsi="Times New Roman" w:eastAsia="宋体" w:cs="Times New Roman"/>
    </w:rPr>
  </w:style>
  <w:style w:type="character" w:customStyle="1" w:styleId="75">
    <w:name w:val="批注框文本 字符1"/>
    <w:link w:val="31"/>
    <w:semiHidden/>
    <w:qFormat/>
    <w:uiPriority w:val="99"/>
    <w:rPr>
      <w:rFonts w:ascii="Times New Roman" w:hAnsi="Times New Roman" w:eastAsia="宋体" w:cs="Times New Roman"/>
      <w:sz w:val="18"/>
      <w:szCs w:val="18"/>
    </w:rPr>
  </w:style>
  <w:style w:type="character" w:customStyle="1" w:styleId="76">
    <w:name w:val="页脚 字符2"/>
    <w:link w:val="2"/>
    <w:qFormat/>
    <w:uiPriority w:val="99"/>
    <w:rPr>
      <w:rFonts w:ascii="Times New Roman" w:hAnsi="Times New Roman" w:eastAsia="宋体" w:cs="Times New Roman"/>
      <w:sz w:val="18"/>
      <w:szCs w:val="18"/>
    </w:rPr>
  </w:style>
  <w:style w:type="character" w:customStyle="1" w:styleId="77">
    <w:name w:val="页眉 字符2"/>
    <w:link w:val="32"/>
    <w:qFormat/>
    <w:uiPriority w:val="99"/>
    <w:rPr>
      <w:rFonts w:ascii="Times New Roman" w:hAnsi="Times New Roman" w:eastAsia="宋体" w:cs="Times New Roman"/>
      <w:kern w:val="2"/>
      <w:sz w:val="18"/>
      <w:szCs w:val="18"/>
    </w:rPr>
  </w:style>
  <w:style w:type="character" w:customStyle="1" w:styleId="78">
    <w:name w:val="副标题 字符"/>
    <w:link w:val="35"/>
    <w:qFormat/>
    <w:uiPriority w:val="11"/>
    <w:rPr>
      <w:rFonts w:ascii="Calibri" w:hAnsi="Calibri" w:eastAsia="宋体" w:cs="Times New Roman"/>
      <w:b/>
      <w:bCs/>
      <w:kern w:val="28"/>
      <w:sz w:val="44"/>
      <w:szCs w:val="32"/>
    </w:rPr>
  </w:style>
  <w:style w:type="character" w:customStyle="1" w:styleId="79">
    <w:name w:val="脚注文本 字符"/>
    <w:link w:val="37"/>
    <w:semiHidden/>
    <w:qFormat/>
    <w:uiPriority w:val="99"/>
    <w:rPr>
      <w:rFonts w:ascii="Times New Roman" w:hAnsi="Times New Roman" w:eastAsia="宋体" w:cs="Times New Roman"/>
      <w:sz w:val="18"/>
      <w:szCs w:val="18"/>
    </w:rPr>
  </w:style>
  <w:style w:type="character" w:customStyle="1" w:styleId="80">
    <w:name w:val="正文文本缩进 3 字符"/>
    <w:link w:val="39"/>
    <w:qFormat/>
    <w:uiPriority w:val="0"/>
    <w:rPr>
      <w:rFonts w:ascii="Times New Roman" w:hAnsi="Times New Roman" w:eastAsia="宋体" w:cs="Times New Roman"/>
      <w:kern w:val="0"/>
      <w:sz w:val="16"/>
      <w:szCs w:val="16"/>
    </w:rPr>
  </w:style>
  <w:style w:type="character" w:customStyle="1" w:styleId="81">
    <w:name w:val="正文文本 2 字符"/>
    <w:link w:val="43"/>
    <w:qFormat/>
    <w:uiPriority w:val="0"/>
    <w:rPr>
      <w:rFonts w:ascii="Times New Roman" w:hAnsi="Times New Roman" w:eastAsia="宋体" w:cs="Times New Roman"/>
      <w:kern w:val="0"/>
      <w:sz w:val="20"/>
    </w:rPr>
  </w:style>
  <w:style w:type="character" w:customStyle="1" w:styleId="82">
    <w:name w:val="标题 字符"/>
    <w:link w:val="46"/>
    <w:qFormat/>
    <w:uiPriority w:val="10"/>
    <w:rPr>
      <w:rFonts w:ascii="Cambria" w:hAnsi="Cambria" w:eastAsia="宋体" w:cs="Times New Roman"/>
      <w:b/>
      <w:bCs/>
      <w:sz w:val="32"/>
      <w:szCs w:val="32"/>
    </w:rPr>
  </w:style>
  <w:style w:type="character" w:customStyle="1" w:styleId="83">
    <w:name w:val="批注主题 字符2"/>
    <w:link w:val="47"/>
    <w:semiHidden/>
    <w:qFormat/>
    <w:uiPriority w:val="99"/>
    <w:rPr>
      <w:rFonts w:ascii="Times New Roman" w:hAnsi="Times New Roman" w:eastAsia="宋体" w:cs="Times New Roman"/>
      <w:b/>
      <w:bCs/>
      <w:kern w:val="2"/>
      <w:sz w:val="21"/>
      <w:szCs w:val="24"/>
    </w:rPr>
  </w:style>
  <w:style w:type="character" w:customStyle="1" w:styleId="84">
    <w:name w:val="标题 1 字符2"/>
    <w:link w:val="3"/>
    <w:qFormat/>
    <w:uiPriority w:val="9"/>
    <w:rPr>
      <w:b/>
      <w:bCs/>
      <w:kern w:val="44"/>
      <w:sz w:val="44"/>
      <w:szCs w:val="44"/>
    </w:rPr>
  </w:style>
  <w:style w:type="character" w:customStyle="1" w:styleId="85">
    <w:name w:val="标题 2 字符1"/>
    <w:link w:val="4"/>
    <w:qFormat/>
    <w:uiPriority w:val="9"/>
    <w:rPr>
      <w:rFonts w:ascii="Cambria" w:hAnsi="Cambria" w:eastAsia="宋体" w:cs="Times New Roman"/>
      <w:b/>
      <w:bCs/>
      <w:kern w:val="2"/>
      <w:sz w:val="32"/>
      <w:szCs w:val="32"/>
    </w:rPr>
  </w:style>
  <w:style w:type="character" w:customStyle="1" w:styleId="86">
    <w:name w:val="标题 3 字符1"/>
    <w:link w:val="7"/>
    <w:qFormat/>
    <w:uiPriority w:val="9"/>
    <w:rPr>
      <w:b/>
      <w:bCs/>
      <w:kern w:val="2"/>
      <w:sz w:val="32"/>
      <w:szCs w:val="32"/>
    </w:rPr>
  </w:style>
  <w:style w:type="character" w:customStyle="1" w:styleId="87">
    <w:name w:val="标题 5 字符1"/>
    <w:link w:val="6"/>
    <w:qFormat/>
    <w:uiPriority w:val="9"/>
    <w:rPr>
      <w:rFonts w:ascii="Times New Roman" w:hAnsi="Times New Roman"/>
      <w:b/>
      <w:bCs/>
      <w:kern w:val="2"/>
      <w:sz w:val="28"/>
      <w:szCs w:val="28"/>
    </w:rPr>
  </w:style>
  <w:style w:type="character" w:customStyle="1" w:styleId="88">
    <w:name w:val="标题 8 字符1"/>
    <w:link w:val="13"/>
    <w:qFormat/>
    <w:uiPriority w:val="9"/>
    <w:rPr>
      <w:rFonts w:ascii="等线 Light" w:hAnsi="等线 Light" w:eastAsia="等线 Light" w:cs="Times New Roman"/>
      <w:kern w:val="2"/>
      <w:sz w:val="24"/>
      <w:szCs w:val="24"/>
    </w:rPr>
  </w:style>
  <w:style w:type="character" w:customStyle="1" w:styleId="89">
    <w:name w:val="批注文字 字符3"/>
    <w:link w:val="18"/>
    <w:qFormat/>
    <w:uiPriority w:val="0"/>
    <w:rPr>
      <w:rFonts w:ascii="Times New Roman" w:hAnsi="Times New Roman"/>
      <w:kern w:val="2"/>
      <w:sz w:val="21"/>
      <w:szCs w:val="24"/>
    </w:rPr>
  </w:style>
  <w:style w:type="character" w:customStyle="1" w:styleId="90">
    <w:name w:val="正文文本 3 字符1"/>
    <w:link w:val="19"/>
    <w:qFormat/>
    <w:uiPriority w:val="99"/>
    <w:rPr>
      <w:kern w:val="2"/>
      <w:sz w:val="16"/>
      <w:szCs w:val="16"/>
    </w:rPr>
  </w:style>
  <w:style w:type="character" w:customStyle="1" w:styleId="91">
    <w:name w:val="正文文本 字符2"/>
    <w:link w:val="20"/>
    <w:qFormat/>
    <w:uiPriority w:val="0"/>
    <w:rPr>
      <w:rFonts w:ascii="Times New Roman" w:hAnsi="Times New Roman"/>
      <w:kern w:val="2"/>
      <w:sz w:val="21"/>
      <w:szCs w:val="24"/>
    </w:rPr>
  </w:style>
  <w:style w:type="character" w:customStyle="1" w:styleId="92">
    <w:name w:val="正文文本缩进 字符1"/>
    <w:link w:val="22"/>
    <w:qFormat/>
    <w:uiPriority w:val="0"/>
    <w:rPr>
      <w:rFonts w:ascii="仿宋_GB2312" w:hAnsi="Times New Roman" w:eastAsia="仿宋_GB2312" w:cs="Times New Roman"/>
      <w:sz w:val="32"/>
      <w:szCs w:val="20"/>
    </w:rPr>
  </w:style>
  <w:style w:type="character" w:customStyle="1" w:styleId="93">
    <w:name w:val="纯文本 字符4"/>
    <w:link w:val="11"/>
    <w:qFormat/>
    <w:uiPriority w:val="0"/>
    <w:rPr>
      <w:rFonts w:ascii="宋体" w:hAnsi="Courier New" w:eastAsia="宋体" w:cs="Courier New"/>
      <w:szCs w:val="21"/>
    </w:rPr>
  </w:style>
  <w:style w:type="character" w:customStyle="1" w:styleId="94">
    <w:name w:val="日期 字符1"/>
    <w:link w:val="28"/>
    <w:qFormat/>
    <w:uiPriority w:val="99"/>
    <w:rPr>
      <w:rFonts w:ascii="Times New Roman" w:hAnsi="Times New Roman"/>
      <w:kern w:val="2"/>
      <w:sz w:val="21"/>
      <w:szCs w:val="24"/>
    </w:rPr>
  </w:style>
  <w:style w:type="character" w:customStyle="1" w:styleId="95">
    <w:name w:val="批注框文本 字符"/>
    <w:link w:val="31"/>
    <w:semiHidden/>
    <w:qFormat/>
    <w:uiPriority w:val="99"/>
    <w:rPr>
      <w:kern w:val="2"/>
      <w:sz w:val="18"/>
      <w:szCs w:val="18"/>
    </w:rPr>
  </w:style>
  <w:style w:type="character" w:customStyle="1" w:styleId="96">
    <w:name w:val="页脚 字符1"/>
    <w:link w:val="2"/>
    <w:qFormat/>
    <w:uiPriority w:val="99"/>
    <w:rPr>
      <w:sz w:val="18"/>
      <w:szCs w:val="18"/>
    </w:rPr>
  </w:style>
  <w:style w:type="character" w:customStyle="1" w:styleId="97">
    <w:name w:val="页眉 字符1"/>
    <w:link w:val="32"/>
    <w:qFormat/>
    <w:uiPriority w:val="99"/>
    <w:rPr>
      <w:sz w:val="18"/>
      <w:szCs w:val="18"/>
    </w:rPr>
  </w:style>
  <w:style w:type="character" w:customStyle="1" w:styleId="98">
    <w:name w:val="批注主题 字符1"/>
    <w:link w:val="47"/>
    <w:qFormat/>
    <w:uiPriority w:val="99"/>
    <w:rPr>
      <w:rFonts w:ascii="Times New Roman" w:hAnsi="Times New Roman"/>
      <w:b/>
      <w:bCs/>
      <w:kern w:val="2"/>
      <w:sz w:val="21"/>
      <w:szCs w:val="24"/>
    </w:rPr>
  </w:style>
  <w:style w:type="character" w:customStyle="1" w:styleId="99">
    <w:name w:val="纯文本 字符2"/>
    <w:qFormat/>
    <w:uiPriority w:val="0"/>
    <w:rPr>
      <w:rFonts w:ascii="宋体" w:hAnsi="Courier New" w:eastAsia="宋体" w:cs="Courier New"/>
      <w:szCs w:val="21"/>
    </w:rPr>
  </w:style>
  <w:style w:type="character" w:customStyle="1" w:styleId="100">
    <w:name w:val="apple-style-span"/>
    <w:qFormat/>
    <w:uiPriority w:val="0"/>
  </w:style>
  <w:style w:type="character" w:customStyle="1" w:styleId="101">
    <w:name w:val="纯文本 字符"/>
    <w:qFormat/>
    <w:uiPriority w:val="0"/>
    <w:rPr>
      <w:rFonts w:ascii="宋体" w:hAnsi="Courier New" w:eastAsia="宋体" w:cs="Courier New"/>
      <w:szCs w:val="21"/>
    </w:rPr>
  </w:style>
  <w:style w:type="character" w:customStyle="1" w:styleId="102">
    <w:name w:val="纯文本 字符1"/>
    <w:qFormat/>
    <w:uiPriority w:val="0"/>
    <w:rPr>
      <w:rFonts w:ascii="宋体" w:hAnsi="Courier New"/>
    </w:rPr>
  </w:style>
  <w:style w:type="character" w:customStyle="1" w:styleId="103">
    <w:name w:val="纯文本 Char"/>
    <w:qFormat/>
    <w:uiPriority w:val="0"/>
    <w:rPr>
      <w:rFonts w:ascii="宋体" w:hAnsi="Courier New" w:eastAsia="宋体" w:cs="Courier New"/>
      <w:szCs w:val="21"/>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6">
    <w:name w:val="标题 1 字符1"/>
    <w:qFormat/>
    <w:uiPriority w:val="0"/>
    <w:rPr>
      <w:b/>
      <w:bCs/>
      <w:kern w:val="44"/>
      <w:sz w:val="44"/>
      <w:szCs w:val="44"/>
    </w:rPr>
  </w:style>
  <w:style w:type="character" w:customStyle="1" w:styleId="107">
    <w:name w:val="正文文本 字符"/>
    <w:qFormat/>
    <w:uiPriority w:val="0"/>
    <w:rPr>
      <w:rFonts w:ascii="Times New Roman" w:hAnsi="Times New Roman"/>
      <w:kern w:val="2"/>
      <w:sz w:val="21"/>
      <w:szCs w:val="24"/>
    </w:rPr>
  </w:style>
  <w:style w:type="character" w:customStyle="1" w:styleId="108">
    <w:name w:val="批注文字 字符"/>
    <w:qFormat/>
    <w:uiPriority w:val="0"/>
    <w:rPr>
      <w:rFonts w:ascii="Times New Roman" w:hAnsi="Times New Roman"/>
      <w:kern w:val="2"/>
      <w:sz w:val="21"/>
      <w:szCs w:val="24"/>
    </w:rPr>
  </w:style>
  <w:style w:type="character" w:customStyle="1" w:styleId="109">
    <w:name w:val="textcontents"/>
    <w:qFormat/>
    <w:uiPriority w:val="0"/>
  </w:style>
  <w:style w:type="character" w:customStyle="1" w:styleId="110">
    <w:name w:val="批注文字 Char"/>
    <w:qFormat/>
    <w:uiPriority w:val="0"/>
    <w:rPr>
      <w:rFonts w:ascii="Times New Roman" w:hAnsi="Times New Roman"/>
      <w:kern w:val="2"/>
      <w:sz w:val="21"/>
      <w:szCs w:val="24"/>
    </w:rPr>
  </w:style>
  <w:style w:type="paragraph" w:customStyle="1" w:styleId="111">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112">
    <w:name w:val="List Paragraph"/>
    <w:basedOn w:val="1"/>
    <w:qFormat/>
    <w:uiPriority w:val="34"/>
    <w:pPr>
      <w:ind w:firstLine="420" w:firstLineChars="200"/>
    </w:pPr>
  </w:style>
  <w:style w:type="paragraph" w:customStyle="1" w:styleId="113">
    <w:name w:val="默认段落字体 Para Char Char Char Char Char Char Char Char Char1 Char Char Char Char"/>
    <w:basedOn w:val="1"/>
    <w:qFormat/>
    <w:uiPriority w:val="99"/>
    <w:rPr>
      <w:rFonts w:ascii="Tahoma" w:hAnsi="Tahoma"/>
      <w:sz w:val="24"/>
      <w:szCs w:val="20"/>
    </w:rPr>
  </w:style>
  <w:style w:type="paragraph" w:customStyle="1" w:styleId="114">
    <w:name w:val="Table Paragraph"/>
    <w:basedOn w:val="1"/>
    <w:qFormat/>
    <w:uiPriority w:val="1"/>
    <w:pPr>
      <w:jc w:val="left"/>
    </w:pPr>
    <w:rPr>
      <w:rFonts w:ascii="Calibri" w:hAnsi="Calibri"/>
      <w:kern w:val="0"/>
      <w:sz w:val="22"/>
      <w:szCs w:val="22"/>
      <w:lang w:eastAsia="en-US"/>
    </w:rPr>
  </w:style>
  <w:style w:type="paragraph" w:customStyle="1" w:styleId="115">
    <w:name w:val="Char Char Char Char"/>
    <w:basedOn w:val="1"/>
    <w:qFormat/>
    <w:uiPriority w:val="99"/>
    <w:pPr>
      <w:widowControl/>
      <w:spacing w:after="160" w:line="240" w:lineRule="exact"/>
      <w:jc w:val="left"/>
    </w:pPr>
  </w:style>
  <w:style w:type="character" w:customStyle="1" w:styleId="116">
    <w:name w:val="_Style 112"/>
    <w:unhideWhenUsed/>
    <w:qFormat/>
    <w:uiPriority w:val="99"/>
    <w:rPr>
      <w:color w:val="605E5C"/>
      <w:shd w:val="clear" w:color="auto" w:fill="E1DFDD"/>
    </w:rPr>
  </w:style>
  <w:style w:type="paragraph" w:customStyle="1" w:styleId="117">
    <w:name w:val="_Style 113"/>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118">
    <w:name w:val="正文2 Char Char"/>
    <w:link w:val="119"/>
    <w:qFormat/>
    <w:uiPriority w:val="0"/>
    <w:rPr>
      <w:sz w:val="24"/>
    </w:rPr>
  </w:style>
  <w:style w:type="paragraph" w:customStyle="1" w:styleId="119">
    <w:name w:val="正文2"/>
    <w:basedOn w:val="1"/>
    <w:link w:val="118"/>
    <w:qFormat/>
    <w:uiPriority w:val="0"/>
    <w:pPr>
      <w:adjustRightInd w:val="0"/>
      <w:spacing w:before="156" w:line="360" w:lineRule="auto"/>
      <w:ind w:firstLine="510" w:firstLineChars="200"/>
    </w:pPr>
    <w:rPr>
      <w:kern w:val="0"/>
      <w:sz w:val="24"/>
      <w:szCs w:val="20"/>
    </w:rPr>
  </w:style>
  <w:style w:type="paragraph" w:customStyle="1" w:styleId="12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21">
    <w:name w:val="正文缩进1"/>
    <w:basedOn w:val="1"/>
    <w:next w:val="22"/>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22">
    <w:name w:val="标题 1 字符"/>
    <w:qFormat/>
    <w:uiPriority w:val="9"/>
    <w:rPr>
      <w:b/>
      <w:bCs/>
      <w:kern w:val="44"/>
      <w:sz w:val="44"/>
      <w:szCs w:val="44"/>
    </w:rPr>
  </w:style>
  <w:style w:type="character" w:customStyle="1" w:styleId="123">
    <w:name w:val="标题 2 字符"/>
    <w:qFormat/>
    <w:uiPriority w:val="9"/>
    <w:rPr>
      <w:rFonts w:ascii="Cambria" w:hAnsi="Cambria"/>
      <w:b/>
      <w:bCs/>
      <w:kern w:val="2"/>
      <w:sz w:val="32"/>
      <w:szCs w:val="32"/>
    </w:rPr>
  </w:style>
  <w:style w:type="character" w:customStyle="1" w:styleId="124">
    <w:name w:val="标题 3 字符"/>
    <w:qFormat/>
    <w:uiPriority w:val="9"/>
    <w:rPr>
      <w:b/>
      <w:bCs/>
      <w:kern w:val="2"/>
      <w:sz w:val="32"/>
      <w:szCs w:val="32"/>
    </w:rPr>
  </w:style>
  <w:style w:type="character" w:customStyle="1" w:styleId="125">
    <w:name w:val="标题 5 字符"/>
    <w:qFormat/>
    <w:uiPriority w:val="9"/>
    <w:rPr>
      <w:b/>
      <w:bCs/>
      <w:kern w:val="2"/>
      <w:sz w:val="28"/>
      <w:szCs w:val="28"/>
    </w:rPr>
  </w:style>
  <w:style w:type="character" w:customStyle="1" w:styleId="126">
    <w:name w:val="标题 8 字符"/>
    <w:qFormat/>
    <w:uiPriority w:val="9"/>
    <w:rPr>
      <w:rFonts w:ascii="等线 Light" w:hAnsi="等线 Light" w:eastAsia="等线 Light"/>
      <w:kern w:val="2"/>
      <w:sz w:val="24"/>
      <w:szCs w:val="24"/>
    </w:rPr>
  </w:style>
  <w:style w:type="character" w:customStyle="1" w:styleId="127">
    <w:name w:val="批注文字 字符2"/>
    <w:qFormat/>
    <w:uiPriority w:val="0"/>
    <w:rPr>
      <w:kern w:val="2"/>
      <w:sz w:val="21"/>
      <w:szCs w:val="24"/>
    </w:rPr>
  </w:style>
  <w:style w:type="character" w:customStyle="1" w:styleId="128">
    <w:name w:val="正文文本 3 字符"/>
    <w:qFormat/>
    <w:uiPriority w:val="99"/>
    <w:rPr>
      <w:kern w:val="2"/>
      <w:sz w:val="16"/>
      <w:szCs w:val="16"/>
    </w:rPr>
  </w:style>
  <w:style w:type="character" w:customStyle="1" w:styleId="129">
    <w:name w:val="正文文本 字符1"/>
    <w:qFormat/>
    <w:uiPriority w:val="99"/>
    <w:rPr>
      <w:kern w:val="2"/>
      <w:sz w:val="21"/>
      <w:szCs w:val="24"/>
    </w:rPr>
  </w:style>
  <w:style w:type="character" w:customStyle="1" w:styleId="130">
    <w:name w:val="正文文本缩进 字符"/>
    <w:qFormat/>
    <w:uiPriority w:val="99"/>
    <w:rPr>
      <w:rFonts w:ascii="仿宋_GB2312" w:eastAsia="仿宋_GB2312"/>
      <w:sz w:val="32"/>
    </w:rPr>
  </w:style>
  <w:style w:type="character" w:customStyle="1" w:styleId="131">
    <w:name w:val="纯文本 字符3"/>
    <w:qFormat/>
    <w:uiPriority w:val="0"/>
    <w:rPr>
      <w:rFonts w:ascii="宋体" w:hAnsi="Courier New"/>
      <w:szCs w:val="21"/>
    </w:rPr>
  </w:style>
  <w:style w:type="character" w:customStyle="1" w:styleId="132">
    <w:name w:val="日期 字符"/>
    <w:qFormat/>
    <w:uiPriority w:val="99"/>
    <w:rPr>
      <w:kern w:val="2"/>
      <w:sz w:val="21"/>
      <w:szCs w:val="24"/>
    </w:rPr>
  </w:style>
  <w:style w:type="character" w:customStyle="1" w:styleId="133">
    <w:name w:val="页脚 字符"/>
    <w:qFormat/>
    <w:uiPriority w:val="99"/>
    <w:rPr>
      <w:sz w:val="18"/>
      <w:szCs w:val="18"/>
    </w:rPr>
  </w:style>
  <w:style w:type="character" w:customStyle="1" w:styleId="134">
    <w:name w:val="页眉 字符"/>
    <w:qFormat/>
    <w:uiPriority w:val="99"/>
    <w:rPr>
      <w:sz w:val="18"/>
      <w:szCs w:val="18"/>
    </w:rPr>
  </w:style>
  <w:style w:type="character" w:customStyle="1" w:styleId="135">
    <w:name w:val="批注主题 字符"/>
    <w:qFormat/>
    <w:uiPriority w:val="99"/>
    <w:rPr>
      <w:rFonts w:ascii="Times New Roman" w:hAnsi="Times New Roman"/>
      <w:b/>
      <w:bCs/>
      <w:kern w:val="2"/>
      <w:sz w:val="21"/>
      <w:szCs w:val="24"/>
    </w:rPr>
  </w:style>
  <w:style w:type="paragraph" w:customStyle="1" w:styleId="136">
    <w:name w:val="_Style 94"/>
    <w:basedOn w:val="1"/>
    <w:unhideWhenUsed/>
    <w:qFormat/>
    <w:uiPriority w:val="99"/>
  </w:style>
  <w:style w:type="paragraph" w:customStyle="1" w:styleId="137">
    <w:name w:val="_Style 95"/>
    <w:basedOn w:val="1"/>
    <w:unhideWhenUsed/>
    <w:qFormat/>
    <w:uiPriority w:val="99"/>
  </w:style>
  <w:style w:type="paragraph" w:customStyle="1" w:styleId="138">
    <w:name w:val="msonormal"/>
    <w:basedOn w:val="1"/>
    <w:qFormat/>
    <w:uiPriority w:val="0"/>
    <w:rPr>
      <w:rFonts w:ascii="Calibri" w:hAnsi="Calibri"/>
      <w:kern w:val="0"/>
      <w:sz w:val="24"/>
    </w:rPr>
  </w:style>
  <w:style w:type="character" w:customStyle="1" w:styleId="139">
    <w:name w:val="批注文字 Char1"/>
    <w:qFormat/>
    <w:locked/>
    <w:uiPriority w:val="0"/>
    <w:rPr>
      <w:rFonts w:ascii="Times New Roman" w:hAnsi="Times New Roman" w:eastAsia="宋体" w:cs="Times New Roman"/>
      <w:kern w:val="2"/>
      <w:sz w:val="21"/>
      <w:szCs w:val="24"/>
    </w:rPr>
  </w:style>
  <w:style w:type="character" w:customStyle="1" w:styleId="140">
    <w:name w:val="headline-content4"/>
    <w:qFormat/>
    <w:uiPriority w:val="0"/>
    <w:rPr>
      <w:rFonts w:ascii="Times New Roman" w:hAnsi="Times New Roman" w:eastAsia="宋体" w:cs="Times New Roman"/>
    </w:rPr>
  </w:style>
  <w:style w:type="character" w:customStyle="1" w:styleId="141">
    <w:name w:val="标题 5 Char"/>
    <w:qFormat/>
    <w:uiPriority w:val="9"/>
    <w:rPr>
      <w:rFonts w:ascii="Times New Roman" w:hAnsi="Times New Roman" w:eastAsia="宋体" w:cs="Times New Roman"/>
      <w:b/>
      <w:kern w:val="2"/>
      <w:sz w:val="28"/>
      <w:szCs w:val="24"/>
    </w:rPr>
  </w:style>
  <w:style w:type="character" w:customStyle="1" w:styleId="142">
    <w:name w:val="case31"/>
    <w:qFormat/>
    <w:uiPriority w:val="0"/>
    <w:rPr>
      <w:rFonts w:hint="default" w:ascii="_x000B__x000C_" w:hAnsi="_x000B__x000C_" w:eastAsia="宋体" w:cs="Times New Roman"/>
      <w:sz w:val="21"/>
      <w:szCs w:val="21"/>
    </w:rPr>
  </w:style>
  <w:style w:type="character" w:customStyle="1" w:styleId="143">
    <w:name w:val="普通文字 Char Char2"/>
    <w:qFormat/>
    <w:uiPriority w:val="0"/>
    <w:rPr>
      <w:rFonts w:ascii="宋体" w:hAnsi="Courier New" w:eastAsia="宋体" w:cs="Times New Roman"/>
      <w:kern w:val="2"/>
      <w:sz w:val="21"/>
      <w:lang w:val="en-US" w:eastAsia="zh-CN" w:bidi="ar-SA"/>
    </w:rPr>
  </w:style>
  <w:style w:type="paragraph" w:customStyle="1" w:styleId="144">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4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6">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8">
    <w:name w:val="Char1"/>
    <w:basedOn w:val="1"/>
    <w:qFormat/>
    <w:uiPriority w:val="0"/>
    <w:rPr>
      <w:rFonts w:ascii="Times New Roman" w:hAnsi="Times New Roman" w:eastAsia="宋体" w:cs="Times New Roman"/>
      <w:szCs w:val="21"/>
    </w:rPr>
  </w:style>
  <w:style w:type="paragraph" w:customStyle="1" w:styleId="149">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customStyle="1" w:styleId="150">
    <w:name w:val="表格"/>
    <w:basedOn w:val="1"/>
    <w:qFormat/>
    <w:uiPriority w:val="0"/>
    <w:pPr>
      <w:spacing w:line="400" w:lineRule="exact"/>
    </w:pPr>
    <w:rPr>
      <w:rFonts w:ascii="Times New Roman" w:hAnsi="Times New Roman" w:eastAsia="宋体" w:cs="Times New Roman"/>
      <w:sz w:val="24"/>
    </w:rPr>
  </w:style>
  <w:style w:type="paragraph" w:customStyle="1" w:styleId="151">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152">
    <w:name w:val="Plain Text"/>
    <w:basedOn w:val="1"/>
    <w:qFormat/>
    <w:uiPriority w:val="0"/>
    <w:rPr>
      <w:rFonts w:ascii="宋体" w:hAnsi="Courier New" w:eastAsia="宋体" w:cs="Century"/>
      <w:szCs w:val="21"/>
    </w:rPr>
  </w:style>
  <w:style w:type="paragraph" w:customStyle="1" w:styleId="153">
    <w:name w:val="样式 标题 3 + (中文) 黑体 小四 非加粗 段前: 7.8 磅 段后: 0 磅 行距: 固定值 20 磅"/>
    <w:basedOn w:val="7"/>
    <w:qFormat/>
    <w:uiPriority w:val="0"/>
    <w:pPr>
      <w:spacing w:before="0" w:after="0" w:line="400" w:lineRule="exact"/>
    </w:pPr>
    <w:rPr>
      <w:rFonts w:ascii="Times New Roman" w:hAnsi="Times New Roman" w:eastAsia="黑体" w:cs="宋体"/>
      <w:b w:val="0"/>
      <w:bCs w:val="0"/>
      <w:kern w:val="0"/>
      <w:sz w:val="24"/>
      <w:szCs w:val="20"/>
    </w:rPr>
  </w:style>
  <w:style w:type="table" w:customStyle="1" w:styleId="154">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55">
    <w:name w:val="纯文本 Char1"/>
    <w:qFormat/>
    <w:uiPriority w:val="0"/>
    <w:rPr>
      <w:rFonts w:ascii="宋体" w:hAnsi="Courier New" w:eastAsia="宋体" w:cs="Courier New"/>
      <w:szCs w:val="21"/>
    </w:rPr>
  </w:style>
  <w:style w:type="character" w:customStyle="1" w:styleId="156">
    <w:name w:val="标题 5 Char1"/>
    <w:qFormat/>
    <w:uiPriority w:val="0"/>
    <w:rPr>
      <w:rFonts w:ascii="Times New Roman" w:hAnsi="Times New Roman" w:eastAsia="宋体" w:cs="Times New Roman"/>
      <w:b/>
      <w:kern w:val="2"/>
      <w:sz w:val="28"/>
      <w:szCs w:val="24"/>
    </w:rPr>
  </w:style>
  <w:style w:type="character" w:customStyle="1" w:styleId="157">
    <w:name w:val="纯文本 Char2"/>
    <w:qFormat/>
    <w:uiPriority w:val="0"/>
    <w:rPr>
      <w:rFonts w:ascii="宋体" w:hAnsi="Courier New" w:eastAsia="宋体" w:cs="Courier New"/>
      <w:szCs w:val="21"/>
    </w:rPr>
  </w:style>
  <w:style w:type="paragraph" w:customStyle="1" w:styleId="158">
    <w:name w:val="文章正文"/>
    <w:basedOn w:val="1"/>
    <w:link w:val="159"/>
    <w:qFormat/>
    <w:uiPriority w:val="0"/>
    <w:pPr>
      <w:spacing w:line="360" w:lineRule="auto"/>
      <w:ind w:firstLine="200" w:firstLineChars="200"/>
    </w:pPr>
    <w:rPr>
      <w:rFonts w:ascii="Calibri" w:hAnsi="Calibri" w:eastAsia="仿宋" w:cs="Times New Roman"/>
      <w:sz w:val="28"/>
      <w:szCs w:val="22"/>
    </w:rPr>
  </w:style>
  <w:style w:type="character" w:customStyle="1" w:styleId="159">
    <w:name w:val="文章正文 Char"/>
    <w:link w:val="158"/>
    <w:qFormat/>
    <w:uiPriority w:val="0"/>
    <w:rPr>
      <w:rFonts w:ascii="Calibri" w:hAnsi="Calibri" w:eastAsia="仿宋" w:cs="Times New Roman"/>
      <w:sz w:val="28"/>
      <w:szCs w:val="22"/>
    </w:rPr>
  </w:style>
  <w:style w:type="paragraph" w:customStyle="1" w:styleId="160">
    <w:name w:val="正文_0_0"/>
    <w:qFormat/>
    <w:uiPriority w:val="0"/>
    <w:pPr>
      <w:widowControl w:val="0"/>
      <w:jc w:val="both"/>
    </w:pPr>
    <w:rPr>
      <w:rFonts w:ascii="Calibri" w:hAnsi="Calibri" w:eastAsia="宋体" w:cs="Calibri"/>
      <w:kern w:val="2"/>
      <w:sz w:val="21"/>
      <w:szCs w:val="21"/>
      <w:lang w:val="en-US" w:eastAsia="zh-CN" w:bidi="ar-SA"/>
    </w:rPr>
  </w:style>
  <w:style w:type="paragraph" w:customStyle="1" w:styleId="161">
    <w:name w:val="Indent Normal"/>
    <w:basedOn w:val="1"/>
    <w:qFormat/>
    <w:uiPriority w:val="0"/>
    <w:pPr>
      <w:ind w:firstLine="150" w:firstLineChars="150"/>
    </w:pPr>
    <w:rPr>
      <w:rFonts w:ascii="Calibri" w:hAnsi="Calibri" w:eastAsia="宋体" w:cs="Times New Roman"/>
      <w:sz w:val="24"/>
    </w:rPr>
  </w:style>
  <w:style w:type="paragraph" w:customStyle="1" w:styleId="162">
    <w:name w:val="正文-首行缩进-自定义"/>
    <w:basedOn w:val="1"/>
    <w:qFormat/>
    <w:uiPriority w:val="0"/>
    <w:pPr>
      <w:overflowPunct w:val="0"/>
      <w:spacing w:line="360" w:lineRule="auto"/>
      <w:ind w:firstLine="200" w:firstLineChars="200"/>
    </w:pPr>
    <w:rPr>
      <w:rFonts w:ascii="宋体" w:hAnsi="Calibri" w:eastAsia="宋体" w:cs="Times New Roman"/>
      <w:sz w:val="24"/>
      <w:szCs w:val="21"/>
    </w:rPr>
  </w:style>
  <w:style w:type="paragraph" w:customStyle="1" w:styleId="163">
    <w:name w:val="表格-文稿-标题"/>
    <w:qFormat/>
    <w:uiPriority w:val="0"/>
    <w:pPr>
      <w:jc w:val="center"/>
    </w:pPr>
    <w:rPr>
      <w:rFonts w:ascii="宋体" w:hAnsi="Calibri" w:eastAsia="宋体" w:cs="Times New Roman"/>
      <w:b/>
      <w:kern w:val="2"/>
      <w:sz w:val="24"/>
      <w:szCs w:val="21"/>
      <w:lang w:val="en-US" w:eastAsia="zh-CN" w:bidi="ar-SA"/>
    </w:rPr>
  </w:style>
  <w:style w:type="paragraph" w:customStyle="1" w:styleId="164">
    <w:name w:val="表格-文稿-内容"/>
    <w:qFormat/>
    <w:uiPriority w:val="0"/>
    <w:pPr>
      <w:jc w:val="both"/>
    </w:pPr>
    <w:rPr>
      <w:rFonts w:ascii="宋体" w:hAnsi="Calibri" w:eastAsia="宋体" w:cs="Times New Roman"/>
      <w:kern w:val="2"/>
      <w:sz w:val="24"/>
      <w:szCs w:val="21"/>
      <w:lang w:val="en-US" w:eastAsia="zh-CN" w:bidi="ar-SA"/>
    </w:rPr>
  </w:style>
  <w:style w:type="paragraph" w:customStyle="1" w:styleId="165">
    <w:name w:val="正文-首行缩进-强调-自定义"/>
    <w:basedOn w:val="162"/>
    <w:next w:val="162"/>
    <w:qFormat/>
    <w:uiPriority w:val="0"/>
    <w:pPr>
      <w:ind w:firstLine="480"/>
    </w:pPr>
    <w:rPr>
      <w:rFonts w:hAnsi="Calibri" w:cs="Times New Roman"/>
      <w:b/>
    </w:rPr>
  </w:style>
  <w:style w:type="table" w:customStyle="1" w:styleId="166">
    <w:name w:val="无格式表格 11"/>
    <w:basedOn w:val="48"/>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67">
    <w:name w:val="网格型浅色1"/>
    <w:basedOn w:val="4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168">
    <w:name w:val="正文-横线-自定义"/>
    <w:basedOn w:val="1"/>
    <w:next w:val="1"/>
    <w:qFormat/>
    <w:uiPriority w:val="0"/>
    <w:pPr>
      <w:pBdr>
        <w:bottom w:val="thinThickSmallGap" w:color="auto" w:sz="36" w:space="1"/>
      </w:pBdr>
      <w:overflowPunct w:val="0"/>
      <w:spacing w:line="360" w:lineRule="auto"/>
      <w:jc w:val="center"/>
    </w:pPr>
    <w:rPr>
      <w:rFonts w:ascii="宋体" w:hAnsi="Calibri" w:eastAsia="宋体" w:cs="Times New Roman"/>
      <w:sz w:val="24"/>
      <w:szCs w:val="21"/>
    </w:rPr>
  </w:style>
  <w:style w:type="paragraph" w:customStyle="1" w:styleId="169">
    <w:name w:val="正文-嵌入式图片-自定义"/>
    <w:basedOn w:val="168"/>
    <w:next w:val="162"/>
    <w:qFormat/>
    <w:uiPriority w:val="0"/>
    <w:pPr>
      <w:pBdr>
        <w:bottom w:val="none" w:color="auto" w:sz="0" w:space="0"/>
      </w:pBdr>
    </w:pPr>
  </w:style>
  <w:style w:type="paragraph" w:customStyle="1" w:styleId="170">
    <w:name w:val="正文-编号列表-1、-首行缩进-自定义"/>
    <w:basedOn w:val="1"/>
    <w:next w:val="162"/>
    <w:qFormat/>
    <w:uiPriority w:val="0"/>
    <w:pPr>
      <w:numPr>
        <w:ilvl w:val="0"/>
        <w:numId w:val="3"/>
      </w:numPr>
      <w:overflowPunct w:val="0"/>
      <w:spacing w:line="360" w:lineRule="auto"/>
    </w:pPr>
    <w:rPr>
      <w:rFonts w:ascii="宋体" w:hAnsi="Calibri" w:eastAsia="宋体" w:cs="Times New Roman"/>
      <w:sz w:val="24"/>
      <w:szCs w:val="21"/>
    </w:rPr>
  </w:style>
  <w:style w:type="paragraph" w:customStyle="1" w:styleId="171">
    <w:name w:val="正文-编号列表-（一）-首行缩进-自定义"/>
    <w:basedOn w:val="1"/>
    <w:next w:val="162"/>
    <w:qFormat/>
    <w:uiPriority w:val="0"/>
    <w:pPr>
      <w:numPr>
        <w:ilvl w:val="0"/>
        <w:numId w:val="4"/>
      </w:numPr>
      <w:overflowPunct w:val="0"/>
      <w:spacing w:line="360" w:lineRule="auto"/>
      <w:ind w:firstLine="200" w:firstLineChars="200"/>
    </w:pPr>
    <w:rPr>
      <w:rFonts w:ascii="宋体" w:hAnsi="Calibri" w:eastAsia="宋体" w:cs="Times New Roman"/>
      <w:b/>
      <w:sz w:val="24"/>
      <w:szCs w:val="21"/>
    </w:rPr>
  </w:style>
  <w:style w:type="paragraph" w:customStyle="1" w:styleId="172">
    <w:name w:val="正文-编号列表-（1）-首行缩进-自定义"/>
    <w:basedOn w:val="1"/>
    <w:next w:val="162"/>
    <w:qFormat/>
    <w:uiPriority w:val="0"/>
    <w:pPr>
      <w:numPr>
        <w:ilvl w:val="0"/>
        <w:numId w:val="5"/>
      </w:numPr>
      <w:overflowPunct w:val="0"/>
      <w:spacing w:line="360" w:lineRule="auto"/>
    </w:pPr>
    <w:rPr>
      <w:rFonts w:ascii="宋体" w:hAnsi="Calibri" w:eastAsia="宋体" w:cs="Times New Roman"/>
      <w:sz w:val="24"/>
      <w:szCs w:val="21"/>
    </w:rPr>
  </w:style>
  <w:style w:type="paragraph" w:customStyle="1" w:styleId="173">
    <w:name w:val="正文-编号列表-1）-首行缩进-自定义"/>
    <w:basedOn w:val="1"/>
    <w:next w:val="162"/>
    <w:qFormat/>
    <w:uiPriority w:val="0"/>
    <w:pPr>
      <w:numPr>
        <w:ilvl w:val="0"/>
        <w:numId w:val="6"/>
      </w:numPr>
      <w:overflowPunct w:val="0"/>
      <w:spacing w:line="360" w:lineRule="auto"/>
    </w:pPr>
    <w:rPr>
      <w:rFonts w:ascii="宋体" w:hAnsi="Calibri" w:eastAsia="宋体" w:cs="Times New Roman"/>
      <w:sz w:val="24"/>
      <w:szCs w:val="21"/>
    </w:rPr>
  </w:style>
  <w:style w:type="paragraph" w:customStyle="1" w:styleId="174">
    <w:name w:val="正文-编号列表-1.-首行缩进-自定义"/>
    <w:basedOn w:val="1"/>
    <w:next w:val="162"/>
    <w:qFormat/>
    <w:uiPriority w:val="0"/>
    <w:pPr>
      <w:numPr>
        <w:ilvl w:val="0"/>
        <w:numId w:val="7"/>
      </w:numPr>
      <w:overflowPunct w:val="0"/>
      <w:spacing w:line="360" w:lineRule="auto"/>
    </w:pPr>
    <w:rPr>
      <w:rFonts w:ascii="宋体" w:hAnsi="Calibri" w:eastAsia="宋体" w:cs="Times New Roman"/>
      <w:sz w:val="24"/>
      <w:szCs w:val="21"/>
    </w:rPr>
  </w:style>
  <w:style w:type="paragraph" w:customStyle="1" w:styleId="175">
    <w:name w:val="表格-清单-内容"/>
    <w:qFormat/>
    <w:uiPriority w:val="0"/>
    <w:pPr>
      <w:autoSpaceDE w:val="0"/>
      <w:autoSpaceDN w:val="0"/>
      <w:adjustRightInd w:val="0"/>
      <w:jc w:val="both"/>
    </w:pPr>
    <w:rPr>
      <w:rFonts w:ascii="等线" w:hAnsi="Calibri" w:eastAsia="等线" w:cs="等线"/>
      <w:bCs/>
      <w:color w:val="000000"/>
      <w:lang w:val="en-US" w:eastAsia="zh-CN" w:bidi="ar-SA"/>
    </w:rPr>
  </w:style>
  <w:style w:type="paragraph" w:customStyle="1" w:styleId="176">
    <w:name w:val="表格-清单-标题"/>
    <w:qFormat/>
    <w:uiPriority w:val="0"/>
    <w:pPr>
      <w:jc w:val="center"/>
    </w:pPr>
    <w:rPr>
      <w:rFonts w:ascii="等线" w:hAnsi="Calibri" w:eastAsia="等线" w:cs="等线"/>
      <w:b/>
      <w:bCs/>
      <w:color w:val="000000"/>
      <w:lang w:val="en-US" w:eastAsia="zh-CN" w:bidi="ar-SA"/>
    </w:rPr>
  </w:style>
  <w:style w:type="paragraph" w:customStyle="1" w:styleId="177">
    <w:name w:val="正文-编号列表-一、-首行缩进--自定义"/>
    <w:basedOn w:val="1"/>
    <w:next w:val="162"/>
    <w:qFormat/>
    <w:uiPriority w:val="0"/>
    <w:pPr>
      <w:widowControl/>
      <w:numPr>
        <w:ilvl w:val="0"/>
        <w:numId w:val="8"/>
      </w:numPr>
      <w:spacing w:line="360" w:lineRule="auto"/>
      <w:ind w:firstLine="200" w:firstLineChars="200"/>
      <w:jc w:val="left"/>
    </w:pPr>
    <w:rPr>
      <w:rFonts w:ascii="宋体" w:hAnsi="宋体" w:eastAsia="宋体" w:cs="Times New Roman"/>
      <w:b/>
      <w:bCs/>
      <w:kern w:val="0"/>
      <w:sz w:val="24"/>
    </w:rPr>
  </w:style>
  <w:style w:type="table" w:customStyle="1" w:styleId="178">
    <w:name w:val="网格型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1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
    <w:name w:val="正文-编号列表-（1）-悬挂缩进-自定义"/>
    <w:basedOn w:val="1"/>
    <w:next w:val="162"/>
    <w:qFormat/>
    <w:uiPriority w:val="0"/>
    <w:pPr>
      <w:numPr>
        <w:ilvl w:val="0"/>
        <w:numId w:val="9"/>
      </w:numPr>
      <w:overflowPunct w:val="0"/>
      <w:spacing w:line="360" w:lineRule="auto"/>
    </w:pPr>
    <w:rPr>
      <w:rFonts w:ascii="宋体" w:hAnsi="Calibri" w:eastAsia="宋体" w:cs="Times New Roman"/>
      <w:sz w:val="24"/>
      <w:szCs w:val="21"/>
    </w:rPr>
  </w:style>
  <w:style w:type="table" w:customStyle="1" w:styleId="181">
    <w:name w:val="网格型2"/>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修订1"/>
    <w:semiHidden/>
    <w:qFormat/>
    <w:uiPriority w:val="99"/>
    <w:rPr>
      <w:rFonts w:ascii="宋体" w:hAnsi="Calibri" w:eastAsia="宋体" w:cs="Times New Roman"/>
      <w:kern w:val="2"/>
      <w:sz w:val="24"/>
      <w:szCs w:val="21"/>
      <w:lang w:val="en-US" w:eastAsia="zh-CN" w:bidi="ar-SA"/>
    </w:rPr>
  </w:style>
  <w:style w:type="table" w:customStyle="1" w:styleId="183">
    <w:name w:val="网格型2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11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网格型21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正文-编号列表-1）-悬挂缩进-自定义"/>
    <w:basedOn w:val="1"/>
    <w:next w:val="162"/>
    <w:qFormat/>
    <w:uiPriority w:val="0"/>
    <w:pPr>
      <w:numPr>
        <w:ilvl w:val="0"/>
        <w:numId w:val="10"/>
      </w:numPr>
      <w:overflowPunct w:val="0"/>
      <w:spacing w:line="360" w:lineRule="auto"/>
    </w:pPr>
    <w:rPr>
      <w:rFonts w:ascii="宋体" w:hAnsi="Calibri" w:eastAsia="宋体" w:cs="Times New Roman"/>
      <w:sz w:val="24"/>
      <w:szCs w:val="21"/>
    </w:rPr>
  </w:style>
  <w:style w:type="paragraph" w:customStyle="1" w:styleId="187">
    <w:name w:val="副标题-黑体-三号-自定义"/>
    <w:basedOn w:val="35"/>
    <w:qFormat/>
    <w:uiPriority w:val="0"/>
    <w:rPr>
      <w:rFonts w:ascii="Times New Roman" w:hAnsi="Times New Roman" w:eastAsia="黑体"/>
      <w:sz w:val="32"/>
    </w:rPr>
  </w:style>
  <w:style w:type="paragraph" w:customStyle="1" w:styleId="188">
    <w:name w:val="TOC 标题1"/>
    <w:basedOn w:val="3"/>
    <w:next w:val="1"/>
    <w:unhideWhenUsed/>
    <w:qFormat/>
    <w:uiPriority w:val="39"/>
    <w:pPr>
      <w:widowControl/>
      <w:spacing w:before="240" w:after="0" w:line="259" w:lineRule="auto"/>
      <w:jc w:val="left"/>
      <w:outlineLvl w:val="9"/>
    </w:pPr>
    <w:rPr>
      <w:rFonts w:ascii="Cambria" w:hAnsi="Cambria" w:eastAsia="黑体" w:cs="Times New Roman"/>
      <w:bCs w:val="0"/>
      <w:kern w:val="0"/>
      <w:sz w:val="32"/>
      <w:szCs w:val="32"/>
      <w:lang w:val="en-US" w:eastAsia="zh-CN"/>
    </w:rPr>
  </w:style>
  <w:style w:type="character" w:customStyle="1" w:styleId="189">
    <w:name w:val="FC正文 Char"/>
    <w:link w:val="190"/>
    <w:qFormat/>
    <w:locked/>
    <w:uiPriority w:val="0"/>
    <w:rPr>
      <w:rFonts w:ascii="Times New Roman" w:hAnsi="Times New Roman" w:eastAsia="宋体" w:cs="Times New Roman"/>
      <w:kern w:val="0"/>
      <w:sz w:val="24"/>
      <w:szCs w:val="28"/>
    </w:rPr>
  </w:style>
  <w:style w:type="paragraph" w:customStyle="1" w:styleId="190">
    <w:name w:val="FC正文"/>
    <w:basedOn w:val="1"/>
    <w:link w:val="189"/>
    <w:qFormat/>
    <w:uiPriority w:val="0"/>
    <w:pPr>
      <w:autoSpaceDE w:val="0"/>
      <w:autoSpaceDN w:val="0"/>
      <w:adjustRightInd w:val="0"/>
      <w:spacing w:line="360" w:lineRule="auto"/>
      <w:ind w:firstLine="200" w:firstLineChars="200"/>
    </w:pPr>
    <w:rPr>
      <w:rFonts w:ascii="Times New Roman" w:hAnsi="Times New Roman" w:eastAsia="宋体" w:cs="Times New Roman"/>
      <w:kern w:val="0"/>
      <w:sz w:val="24"/>
      <w:szCs w:val="28"/>
    </w:rPr>
  </w:style>
  <w:style w:type="table" w:customStyle="1" w:styleId="191">
    <w:name w:val="网格型3"/>
    <w:basedOn w:val="4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2">
    <w:name w:val="_Style 151"/>
    <w:unhideWhenUsed/>
    <w:qFormat/>
    <w:uiPriority w:val="99"/>
    <w:rPr>
      <w:rFonts w:ascii="Times New Roman" w:hAnsi="Times New Roman" w:eastAsia="宋体" w:cs="Times New Roman"/>
      <w:kern w:val="2"/>
      <w:sz w:val="21"/>
      <w:szCs w:val="24"/>
      <w:lang w:val="en-US" w:eastAsia="zh-CN" w:bidi="ar-SA"/>
    </w:rPr>
  </w:style>
  <w:style w:type="character" w:customStyle="1" w:styleId="193">
    <w:name w:val="批注文字 字符4"/>
    <w:qFormat/>
    <w:uiPriority w:val="0"/>
    <w:rPr>
      <w:rFonts w:ascii="Times New Roman" w:hAnsi="Times New Roman" w:eastAsia="宋体" w:cs="Times New Roman"/>
      <w:kern w:val="2"/>
      <w:sz w:val="21"/>
      <w:szCs w:val="24"/>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71"/>
    <w:basedOn w:val="1"/>
    <w:qFormat/>
    <w:uiPriority w:val="0"/>
    <w:pPr>
      <w:widowControl/>
      <w:pBdr>
        <w:top w:val="single" w:color="000000" w:sz="4" w:space="0"/>
        <w:left w:val="single" w:color="auto" w:sz="4" w:space="0"/>
        <w:bottom w:val="single" w:color="auto" w:sz="4" w:space="0"/>
        <w:right w:val="single" w:color="000000" w:sz="4" w:space="0"/>
      </w:pBdr>
      <w:spacing w:before="100" w:beforeAutospacing="1" w:after="100" w:afterAutospacing="1"/>
      <w:jc w:val="center"/>
    </w:pPr>
    <w:rPr>
      <w:rFonts w:ascii="宋体" w:hAnsi="宋体" w:cs="宋体"/>
      <w:color w:val="000000"/>
      <w:kern w:val="0"/>
      <w:sz w:val="22"/>
      <w:szCs w:val="22"/>
    </w:rPr>
  </w:style>
  <w:style w:type="paragraph" w:customStyle="1" w:styleId="196">
    <w:name w:val="xl72"/>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cs="宋体"/>
      <w:color w:val="000000"/>
      <w:kern w:val="0"/>
      <w:sz w:val="22"/>
      <w:szCs w:val="22"/>
    </w:rPr>
  </w:style>
  <w:style w:type="paragraph" w:customStyle="1" w:styleId="197">
    <w:name w:val="xl7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2"/>
      <w:szCs w:val="22"/>
    </w:rPr>
  </w:style>
  <w:style w:type="paragraph" w:customStyle="1" w:styleId="2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color w:val="000000"/>
      <w:kern w:val="0"/>
      <w:sz w:val="22"/>
      <w:szCs w:val="22"/>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20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color w:val="000000"/>
      <w:kern w:val="0"/>
      <w:sz w:val="22"/>
      <w:szCs w:val="22"/>
    </w:rPr>
  </w:style>
  <w:style w:type="paragraph" w:customStyle="1" w:styleId="2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2"/>
      <w:szCs w:val="22"/>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1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21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1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1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2"/>
      <w:szCs w:val="22"/>
    </w:rPr>
  </w:style>
  <w:style w:type="paragraph" w:customStyle="1" w:styleId="216">
    <w:name w:val="xl9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9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94"/>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9">
    <w:name w:val="xl9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20">
    <w:name w:val="xl9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21">
    <w:name w:val="xl97"/>
    <w:basedOn w:val="1"/>
    <w:qFormat/>
    <w:uiPriority w:val="0"/>
    <w:pPr>
      <w:widowControl/>
      <w:spacing w:before="100" w:beforeAutospacing="1" w:after="100" w:afterAutospacing="1"/>
      <w:jc w:val="left"/>
      <w:textAlignment w:val="top"/>
    </w:pPr>
    <w:rPr>
      <w:rFonts w:ascii="宋体" w:hAnsi="宋体" w:cs="宋体"/>
      <w:color w:val="000000"/>
      <w:kern w:val="0"/>
      <w:sz w:val="22"/>
      <w:szCs w:val="22"/>
    </w:rPr>
  </w:style>
  <w:style w:type="paragraph" w:customStyle="1" w:styleId="222">
    <w:name w:val="xl98"/>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cs="宋体"/>
      <w:kern w:val="0"/>
      <w:sz w:val="22"/>
      <w:szCs w:val="22"/>
    </w:rPr>
  </w:style>
  <w:style w:type="paragraph" w:customStyle="1" w:styleId="223">
    <w:name w:val="xl99"/>
    <w:basedOn w:val="1"/>
    <w:qFormat/>
    <w:uiPriority w:val="0"/>
    <w:pPr>
      <w:widowControl/>
      <w:pBdr>
        <w:top w:val="single" w:color="auto"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22"/>
      <w:szCs w:val="22"/>
    </w:rPr>
  </w:style>
  <w:style w:type="paragraph" w:customStyle="1" w:styleId="224">
    <w:name w:val="xl100"/>
    <w:basedOn w:val="1"/>
    <w:qFormat/>
    <w:uiPriority w:val="0"/>
    <w:pPr>
      <w:widowControl/>
      <w:spacing w:before="100" w:beforeAutospacing="1" w:after="100" w:afterAutospacing="1"/>
      <w:jc w:val="center"/>
      <w:textAlignment w:val="bottom"/>
    </w:pPr>
    <w:rPr>
      <w:rFonts w:ascii="宋体" w:hAnsi="宋体" w:cs="宋体"/>
      <w:color w:val="000000"/>
      <w:kern w:val="0"/>
      <w:sz w:val="22"/>
      <w:szCs w:val="22"/>
    </w:rPr>
  </w:style>
  <w:style w:type="paragraph" w:customStyle="1" w:styleId="225">
    <w:name w:val="xl101"/>
    <w:basedOn w:val="1"/>
    <w:qFormat/>
    <w:uiPriority w:val="0"/>
    <w:pPr>
      <w:widowControl/>
      <w:spacing w:before="100" w:beforeAutospacing="1" w:after="100" w:afterAutospacing="1"/>
      <w:jc w:val="center"/>
      <w:textAlignment w:val="bottom"/>
    </w:pPr>
    <w:rPr>
      <w:rFonts w:ascii="宋体" w:hAnsi="宋体" w:cs="宋体"/>
      <w:kern w:val="0"/>
      <w:sz w:val="22"/>
      <w:szCs w:val="22"/>
    </w:rPr>
  </w:style>
  <w:style w:type="paragraph" w:customStyle="1" w:styleId="226">
    <w:name w:val="xl102"/>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227">
    <w:name w:val="样式 宋体 小四 行距: 1.5 倍行距 首行缩进:  2 字符"/>
    <w:basedOn w:val="1"/>
    <w:qFormat/>
    <w:uiPriority w:val="0"/>
    <w:pPr>
      <w:spacing w:line="440" w:lineRule="exact"/>
      <w:ind w:firstLine="200" w:firstLineChars="200"/>
    </w:pPr>
    <w:rPr>
      <w:rFonts w:ascii="宋体" w:hAnsi="宋体" w:cs="宋体"/>
      <w:szCs w:val="20"/>
    </w:rPr>
  </w:style>
  <w:style w:type="character" w:customStyle="1" w:styleId="228">
    <w:name w:val="样式 宋体 小四"/>
    <w:qFormat/>
    <w:uiPriority w:val="0"/>
    <w:rPr>
      <w:rFonts w:ascii="宋体" w:hAnsi="宋体" w:eastAsia="宋体"/>
      <w:sz w:val="21"/>
    </w:rPr>
  </w:style>
  <w:style w:type="paragraph" w:customStyle="1" w:styleId="229">
    <w:name w:val="_Style 225"/>
    <w:hidden/>
    <w:unhideWhenUsed/>
    <w:qFormat/>
    <w:uiPriority w:val="99"/>
    <w:rPr>
      <w:rFonts w:ascii="Times New Roman" w:hAnsi="Times New Roman" w:eastAsia="宋体" w:cs="Times New Roman"/>
      <w:kern w:val="2"/>
      <w:sz w:val="21"/>
      <w:szCs w:val="24"/>
      <w:lang w:val="en-US" w:eastAsia="zh-CN" w:bidi="ar-SA"/>
    </w:rPr>
  </w:style>
  <w:style w:type="paragraph" w:customStyle="1" w:styleId="230">
    <w:name w:val="*正文"/>
    <w:basedOn w:val="1"/>
    <w:qFormat/>
    <w:uiPriority w:val="0"/>
    <w:pPr>
      <w:widowControl/>
      <w:ind w:firstLine="200" w:firstLineChars="200"/>
    </w:pPr>
    <w:rPr>
      <w:rFonts w:ascii="仿宋_GB2312" w:hAnsi="仿宋_GB2312"/>
    </w:rPr>
  </w:style>
  <w:style w:type="paragraph" w:customStyle="1" w:styleId="231">
    <w:name w:val="列出段落1"/>
    <w:basedOn w:val="1"/>
    <w:qFormat/>
    <w:uiPriority w:val="0"/>
    <w:pPr>
      <w:ind w:firstLine="420" w:firstLineChars="200"/>
    </w:pPr>
    <w:rPr>
      <w:rFonts w:ascii="Calibri" w:hAnsi="Calibri"/>
      <w:sz w:val="21"/>
      <w:szCs w:val="22"/>
      <w:lang w:val="zh-CN"/>
    </w:rPr>
  </w:style>
  <w:style w:type="character" w:customStyle="1" w:styleId="232">
    <w:name w:val="font21"/>
    <w:basedOn w:val="50"/>
    <w:qFormat/>
    <w:uiPriority w:val="0"/>
    <w:rPr>
      <w:rFonts w:hint="eastAsia" w:ascii="宋体" w:hAnsi="宋体" w:eastAsia="宋体" w:cs="宋体"/>
      <w:b/>
      <w:bCs/>
      <w:color w:val="000000"/>
      <w:sz w:val="24"/>
      <w:szCs w:val="24"/>
      <w:u w:val="none"/>
    </w:rPr>
  </w:style>
  <w:style w:type="character" w:customStyle="1" w:styleId="233">
    <w:name w:val="font41"/>
    <w:basedOn w:val="50"/>
    <w:qFormat/>
    <w:uiPriority w:val="0"/>
    <w:rPr>
      <w:rFonts w:hint="eastAsia" w:ascii="宋体" w:hAnsi="宋体" w:eastAsia="宋体" w:cs="宋体"/>
      <w:b/>
      <w:bCs/>
      <w:color w:val="FF0000"/>
      <w:sz w:val="24"/>
      <w:szCs w:val="24"/>
      <w:u w:val="none"/>
    </w:rPr>
  </w:style>
  <w:style w:type="paragraph" w:customStyle="1" w:styleId="234">
    <w:name w:val="标准正文"/>
    <w:basedOn w:val="1"/>
    <w:qFormat/>
    <w:uiPriority w:val="0"/>
    <w:pPr>
      <w:spacing w:line="360" w:lineRule="auto"/>
      <w:ind w:firstLine="200" w:firstLineChars="200"/>
      <w:jc w:val="left"/>
    </w:pPr>
    <w:rPr>
      <w:rFonts w:ascii="宋体" w:hAnsi="宋体" w:eastAsia="宋体"/>
      <w:sz w:val="24"/>
    </w:rPr>
  </w:style>
  <w:style w:type="character" w:customStyle="1" w:styleId="235">
    <w:name w:val="font31"/>
    <w:basedOn w:val="5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100</Pages>
  <Words>12325</Words>
  <Characters>70255</Characters>
  <Lines>585</Lines>
  <Paragraphs>164</Paragraphs>
  <TotalTime>39</TotalTime>
  <ScaleCrop>false</ScaleCrop>
  <LinksUpToDate>false</LinksUpToDate>
  <CharactersWithSpaces>82416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2024-05-22T03:01:00Z</dcterms:created>
  <dc:creator>番茄花园</dc:creator>
  <cp:lastModifiedBy>gczb</cp:lastModifiedBy>
  <cp:lastPrinted>2022-09-07T11:47:00Z</cp:lastPrinted>
  <dcterms:modified xsi:type="dcterms:W3CDTF">2025-06-26T09:14:45Z</dcterms:modified>
  <dc:title>公开招标采购文件范本</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A2C0048FC64C4C9281C4EEA66046B762_13</vt:lpwstr>
  </property>
</Properties>
</file>